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C4CDC">
      <w:pPr>
        <w:keepNext w:val="0"/>
        <w:keepLines w:val="0"/>
        <w:pageBreakBefore w:val="0"/>
        <w:shd w:val="clear"/>
        <w:kinsoku/>
        <w:overflowPunct/>
        <w:topLinePunct w:val="0"/>
        <w:bidi w:val="0"/>
        <w:spacing w:beforeAutospacing="0" w:afterAutospacing="0"/>
        <w:ind w:left="0" w:leftChars="0" w:right="0"/>
        <w:rPr>
          <w:rFonts w:hint="default" w:ascii="Times New Roman" w:hAnsi="Times New Roman" w:eastAsia="宋体" w:cs="Times New Roman"/>
          <w:color w:val="auto"/>
          <w:spacing w:val="0"/>
          <w:position w:val="0"/>
          <w:sz w:val="36"/>
          <w:szCs w:val="36"/>
          <w:highlight w:val="none"/>
        </w:rPr>
      </w:pPr>
      <w:bookmarkStart w:id="0" w:name="_Hlk57883707"/>
    </w:p>
    <w:p w14:paraId="27CCAB5E">
      <w:pPr>
        <w:pStyle w:val="8"/>
        <w:shd w:val="clear"/>
        <w:ind w:left="0" w:leftChars="0" w:firstLine="0" w:firstLineChars="0"/>
        <w:rPr>
          <w:rFonts w:hint="default" w:ascii="Times New Roman" w:hAnsi="Times New Roman" w:eastAsia="宋体" w:cs="Times New Roman"/>
          <w:color w:val="auto"/>
          <w:spacing w:val="0"/>
          <w:position w:val="0"/>
          <w:highlight w:val="none"/>
        </w:rPr>
      </w:pPr>
    </w:p>
    <w:p w14:paraId="6A446E8A">
      <w:pPr>
        <w:keepNext w:val="0"/>
        <w:keepLines w:val="0"/>
        <w:pageBreakBefore w:val="0"/>
        <w:shd w:val="clear"/>
        <w:kinsoku/>
        <w:overflowPunct/>
        <w:topLinePunct w:val="0"/>
        <w:bidi w:val="0"/>
        <w:spacing w:beforeAutospacing="0" w:afterAutospacing="0"/>
        <w:ind w:left="0" w:leftChars="0" w:right="0"/>
        <w:rPr>
          <w:rFonts w:hint="default" w:ascii="Times New Roman" w:hAnsi="Times New Roman" w:eastAsia="宋体" w:cs="Times New Roman"/>
          <w:color w:val="auto"/>
          <w:spacing w:val="0"/>
          <w:position w:val="0"/>
          <w:sz w:val="36"/>
          <w:szCs w:val="36"/>
          <w:highlight w:val="none"/>
        </w:rPr>
      </w:pPr>
    </w:p>
    <w:p w14:paraId="573F1C77">
      <w:pPr>
        <w:keepNext w:val="0"/>
        <w:keepLines w:val="0"/>
        <w:pageBreakBefore w:val="0"/>
        <w:shd w:val="clear"/>
        <w:kinsoku/>
        <w:overflowPunct/>
        <w:topLinePunct w:val="0"/>
        <w:bidi w:val="0"/>
        <w:spacing w:beforeAutospacing="0" w:afterAutospacing="0"/>
        <w:ind w:left="0" w:leftChars="0" w:right="0"/>
        <w:rPr>
          <w:rFonts w:hint="default" w:ascii="Times New Roman" w:hAnsi="Times New Roman" w:eastAsia="宋体" w:cs="Times New Roman"/>
          <w:color w:val="auto"/>
          <w:spacing w:val="0"/>
          <w:position w:val="0"/>
          <w:sz w:val="36"/>
          <w:szCs w:val="36"/>
          <w:highlight w:val="none"/>
        </w:rPr>
      </w:pPr>
    </w:p>
    <w:p w14:paraId="3B7A6B00">
      <w:pPr>
        <w:pStyle w:val="38"/>
        <w:shd w:val="clear"/>
        <w:ind w:left="0" w:leftChars="0" w:firstLine="0" w:firstLineChars="0"/>
        <w:rPr>
          <w:rFonts w:hint="default" w:ascii="Times New Roman" w:hAnsi="Times New Roman" w:eastAsia="宋体" w:cs="Times New Roman"/>
          <w:color w:val="auto"/>
          <w:spacing w:val="0"/>
          <w:position w:val="0"/>
          <w:highlight w:val="none"/>
        </w:rPr>
      </w:pPr>
    </w:p>
    <w:p w14:paraId="24AFECB7">
      <w:pPr>
        <w:keepNext w:val="0"/>
        <w:keepLines w:val="0"/>
        <w:pageBreakBefore w:val="0"/>
        <w:shd w:val="clear"/>
        <w:kinsoku/>
        <w:overflowPunct/>
        <w:topLinePunct w:val="0"/>
        <w:bidi w:val="0"/>
        <w:adjustRightInd w:val="0"/>
        <w:snapToGrid w:val="0"/>
        <w:spacing w:beforeAutospacing="0" w:afterAutospacing="0"/>
        <w:ind w:left="0" w:leftChars="-295" w:right="0" w:hanging="619" w:hangingChars="86"/>
        <w:jc w:val="center"/>
        <w:outlineLvl w:val="0"/>
        <w:rPr>
          <w:rFonts w:hint="default" w:ascii="Times New Roman" w:hAnsi="Times New Roman" w:eastAsia="方正小标宋简体" w:cs="Times New Roman"/>
          <w:bCs/>
          <w:color w:val="auto"/>
          <w:spacing w:val="0"/>
          <w:position w:val="0"/>
          <w:sz w:val="72"/>
          <w:szCs w:val="72"/>
          <w:highlight w:val="none"/>
        </w:rPr>
      </w:pPr>
      <w:r>
        <w:rPr>
          <w:rFonts w:hint="default" w:ascii="Times New Roman" w:hAnsi="Times New Roman" w:eastAsia="方正小标宋简体" w:cs="Times New Roman"/>
          <w:bCs/>
          <w:color w:val="auto"/>
          <w:spacing w:val="0"/>
          <w:position w:val="0"/>
          <w:sz w:val="72"/>
          <w:szCs w:val="72"/>
          <w:highlight w:val="none"/>
        </w:rPr>
        <w:t>建设项目环境影响报告表</w:t>
      </w:r>
    </w:p>
    <w:p w14:paraId="6103FBDC">
      <w:pPr>
        <w:keepNext w:val="0"/>
        <w:keepLines w:val="0"/>
        <w:pageBreakBefore w:val="0"/>
        <w:shd w:val="clear"/>
        <w:kinsoku/>
        <w:overflowPunct/>
        <w:topLinePunct w:val="0"/>
        <w:bidi w:val="0"/>
        <w:adjustRightInd w:val="0"/>
        <w:snapToGrid w:val="0"/>
        <w:spacing w:beforeAutospacing="0" w:afterAutospacing="0"/>
        <w:ind w:left="0" w:leftChars="0" w:right="0"/>
        <w:jc w:val="center"/>
        <w:rPr>
          <w:rFonts w:hint="default" w:ascii="Times New Roman" w:hAnsi="Times New Roman" w:eastAsia="楷体" w:cs="Times New Roman"/>
          <w:bCs/>
          <w:color w:val="auto"/>
          <w:spacing w:val="0"/>
          <w:position w:val="0"/>
          <w:sz w:val="48"/>
          <w:szCs w:val="48"/>
          <w:highlight w:val="none"/>
        </w:rPr>
      </w:pPr>
      <w:r>
        <w:rPr>
          <w:rFonts w:hint="default" w:ascii="Times New Roman" w:hAnsi="Times New Roman" w:eastAsia="楷体" w:cs="Times New Roman"/>
          <w:bCs/>
          <w:color w:val="auto"/>
          <w:spacing w:val="0"/>
          <w:position w:val="0"/>
          <w:sz w:val="48"/>
          <w:szCs w:val="48"/>
          <w:highlight w:val="none"/>
        </w:rPr>
        <w:t>（</w:t>
      </w:r>
      <w:r>
        <w:rPr>
          <w:rFonts w:hint="default" w:ascii="Times New Roman" w:hAnsi="Times New Roman" w:eastAsia="楷体" w:cs="Times New Roman"/>
          <w:bCs/>
          <w:color w:val="auto"/>
          <w:spacing w:val="0"/>
          <w:position w:val="0"/>
          <w:sz w:val="48"/>
          <w:szCs w:val="48"/>
          <w:highlight w:val="none"/>
          <w:lang w:val="en-US" w:eastAsia="zh-CN"/>
        </w:rPr>
        <w:t>生态</w:t>
      </w:r>
      <w:r>
        <w:rPr>
          <w:rFonts w:hint="default" w:ascii="Times New Roman" w:hAnsi="Times New Roman" w:eastAsia="楷体" w:cs="Times New Roman"/>
          <w:bCs/>
          <w:color w:val="auto"/>
          <w:spacing w:val="0"/>
          <w:position w:val="0"/>
          <w:sz w:val="48"/>
          <w:szCs w:val="48"/>
          <w:highlight w:val="none"/>
        </w:rPr>
        <w:t>影响类）</w:t>
      </w:r>
    </w:p>
    <w:p w14:paraId="4BF83AEC">
      <w:pPr>
        <w:keepNext w:val="0"/>
        <w:keepLines w:val="0"/>
        <w:pageBreakBefore w:val="0"/>
        <w:shd w:val="clear"/>
        <w:kinsoku/>
        <w:overflowPunct/>
        <w:topLinePunct w:val="0"/>
        <w:bidi w:val="0"/>
        <w:adjustRightInd w:val="0"/>
        <w:snapToGrid w:val="0"/>
        <w:spacing w:beforeAutospacing="0" w:afterAutospacing="0" w:line="288" w:lineRule="auto"/>
        <w:ind w:left="0" w:leftChars="0" w:right="0"/>
        <w:jc w:val="center"/>
        <w:outlineLvl w:val="9"/>
        <w:rPr>
          <w:rFonts w:hint="default" w:ascii="Times New Roman" w:hAnsi="Times New Roman" w:eastAsia="楷体" w:cs="Times New Roman"/>
          <w:color w:val="auto"/>
          <w:spacing w:val="0"/>
          <w:kern w:val="44"/>
          <w:position w:val="0"/>
          <w:sz w:val="44"/>
          <w:szCs w:val="44"/>
          <w:highlight w:val="none"/>
          <w:lang w:eastAsia="zh-CN"/>
        </w:rPr>
      </w:pPr>
      <w:r>
        <w:rPr>
          <w:rFonts w:hint="default" w:ascii="Times New Roman" w:hAnsi="Times New Roman" w:eastAsia="楷体" w:cs="Times New Roman"/>
          <w:color w:val="auto"/>
          <w:spacing w:val="0"/>
          <w:kern w:val="44"/>
          <w:position w:val="0"/>
          <w:sz w:val="44"/>
          <w:szCs w:val="44"/>
          <w:highlight w:val="none"/>
          <w:lang w:eastAsia="zh-CN"/>
        </w:rPr>
        <w:t>（</w:t>
      </w:r>
      <w:r>
        <w:rPr>
          <w:rFonts w:hint="eastAsia" w:eastAsia="楷体" w:cs="Times New Roman"/>
          <w:color w:val="auto"/>
          <w:spacing w:val="0"/>
          <w:kern w:val="44"/>
          <w:position w:val="0"/>
          <w:sz w:val="44"/>
          <w:szCs w:val="44"/>
          <w:highlight w:val="none"/>
          <w:lang w:val="en-US" w:eastAsia="zh-CN"/>
        </w:rPr>
        <w:t>公示</w:t>
      </w:r>
      <w:r>
        <w:rPr>
          <w:rFonts w:hint="default" w:ascii="Times New Roman" w:hAnsi="Times New Roman" w:eastAsia="楷体" w:cs="Times New Roman"/>
          <w:color w:val="auto"/>
          <w:spacing w:val="0"/>
          <w:kern w:val="44"/>
          <w:position w:val="0"/>
          <w:sz w:val="44"/>
          <w:szCs w:val="44"/>
          <w:highlight w:val="none"/>
          <w:lang w:val="en-US" w:eastAsia="zh-CN"/>
        </w:rPr>
        <w:t>稿</w:t>
      </w:r>
      <w:r>
        <w:rPr>
          <w:rFonts w:hint="default" w:ascii="Times New Roman" w:hAnsi="Times New Roman" w:eastAsia="楷体" w:cs="Times New Roman"/>
          <w:color w:val="auto"/>
          <w:spacing w:val="0"/>
          <w:kern w:val="44"/>
          <w:position w:val="0"/>
          <w:sz w:val="44"/>
          <w:szCs w:val="44"/>
          <w:highlight w:val="none"/>
          <w:lang w:eastAsia="zh-CN"/>
        </w:rPr>
        <w:t>）</w:t>
      </w:r>
    </w:p>
    <w:p w14:paraId="560173E2">
      <w:pPr>
        <w:pStyle w:val="58"/>
        <w:keepNext w:val="0"/>
        <w:keepLines w:val="0"/>
        <w:pageBreakBefore w:val="0"/>
        <w:shd w:val="clear"/>
        <w:kinsoku/>
        <w:overflowPunct/>
        <w:topLinePunct w:val="0"/>
        <w:bidi w:val="0"/>
        <w:spacing w:beforeLines="0" w:beforeAutospacing="0" w:afterLines="0" w:afterAutospacing="0"/>
        <w:ind w:left="0" w:leftChars="0" w:right="0"/>
        <w:rPr>
          <w:rFonts w:hint="default" w:ascii="Times New Roman" w:hAnsi="Times New Roman" w:eastAsia="宋体" w:cs="Times New Roman"/>
          <w:color w:val="auto"/>
          <w:spacing w:val="0"/>
          <w:position w:val="0"/>
          <w:highlight w:val="none"/>
        </w:rPr>
      </w:pPr>
    </w:p>
    <w:p w14:paraId="354C831B">
      <w:pPr>
        <w:keepNext w:val="0"/>
        <w:keepLines w:val="0"/>
        <w:pageBreakBefore w:val="0"/>
        <w:shd w:val="clear"/>
        <w:kinsoku/>
        <w:overflowPunct/>
        <w:topLinePunct w:val="0"/>
        <w:bidi w:val="0"/>
        <w:spacing w:beforeAutospacing="0" w:afterAutospacing="0"/>
        <w:ind w:right="0"/>
        <w:rPr>
          <w:rFonts w:hint="default" w:ascii="Times New Roman" w:hAnsi="Times New Roman" w:eastAsia="宋体" w:cs="Times New Roman"/>
          <w:color w:val="auto"/>
          <w:spacing w:val="0"/>
          <w:position w:val="0"/>
          <w:sz w:val="44"/>
          <w:szCs w:val="44"/>
          <w:highlight w:val="none"/>
        </w:rPr>
      </w:pPr>
    </w:p>
    <w:p w14:paraId="3D294E7A">
      <w:pPr>
        <w:keepNext w:val="0"/>
        <w:keepLines w:val="0"/>
        <w:pageBreakBefore w:val="0"/>
        <w:shd w:val="clear"/>
        <w:kinsoku/>
        <w:overflowPunct/>
        <w:topLinePunct w:val="0"/>
        <w:bidi w:val="0"/>
        <w:spacing w:beforeAutospacing="0" w:afterAutospacing="0"/>
        <w:ind w:left="1800" w:leftChars="0" w:right="0" w:hanging="1800" w:hangingChars="500"/>
        <w:rPr>
          <w:rFonts w:hint="default" w:ascii="Times New Roman" w:hAnsi="Times New Roman" w:eastAsia="宋体" w:cs="Times New Roman"/>
          <w:color w:val="auto"/>
          <w:spacing w:val="0"/>
          <w:position w:val="0"/>
          <w:sz w:val="36"/>
          <w:szCs w:val="36"/>
          <w:highlight w:val="none"/>
        </w:rPr>
      </w:pPr>
    </w:p>
    <w:p w14:paraId="72C5BDF3">
      <w:pPr>
        <w:pStyle w:val="38"/>
        <w:shd w:val="clear"/>
        <w:ind w:left="0" w:leftChars="0" w:firstLine="0" w:firstLineChars="0"/>
        <w:rPr>
          <w:rFonts w:hint="default" w:ascii="Times New Roman" w:hAnsi="Times New Roman" w:eastAsia="宋体" w:cs="Times New Roman"/>
          <w:color w:val="auto"/>
          <w:spacing w:val="0"/>
          <w:position w:val="0"/>
          <w:sz w:val="36"/>
          <w:szCs w:val="36"/>
          <w:highlight w:val="none"/>
        </w:rPr>
      </w:pPr>
    </w:p>
    <w:p w14:paraId="0543B523">
      <w:pPr>
        <w:shd w:val="clear"/>
        <w:rPr>
          <w:rFonts w:hint="default" w:ascii="Times New Roman" w:hAnsi="Times New Roman" w:eastAsia="宋体" w:cs="Times New Roman"/>
          <w:color w:val="auto"/>
          <w:spacing w:val="0"/>
          <w:position w:val="0"/>
          <w:sz w:val="36"/>
          <w:szCs w:val="36"/>
          <w:highlight w:val="none"/>
        </w:rPr>
      </w:pPr>
    </w:p>
    <w:p w14:paraId="76281AFA">
      <w:pPr>
        <w:pStyle w:val="38"/>
        <w:shd w:val="clear"/>
        <w:ind w:left="0" w:leftChars="0" w:firstLine="0" w:firstLineChars="0"/>
        <w:rPr>
          <w:rFonts w:hint="default" w:ascii="Times New Roman" w:hAnsi="Times New Roman" w:eastAsia="宋体" w:cs="Times New Roman"/>
          <w:color w:val="auto"/>
          <w:spacing w:val="0"/>
          <w:position w:val="0"/>
          <w:sz w:val="36"/>
          <w:szCs w:val="36"/>
          <w:highlight w:val="none"/>
        </w:rPr>
      </w:pPr>
    </w:p>
    <w:p w14:paraId="45A7AA9B">
      <w:pPr>
        <w:keepNext w:val="0"/>
        <w:keepLines w:val="0"/>
        <w:pageBreakBefore w:val="0"/>
        <w:shd w:val="clear"/>
        <w:kinsoku/>
        <w:overflowPunct/>
        <w:topLinePunct w:val="0"/>
        <w:bidi w:val="0"/>
        <w:spacing w:beforeAutospacing="0" w:afterAutospacing="0"/>
        <w:ind w:left="1800" w:leftChars="0" w:right="0" w:hanging="1800" w:hangingChars="500"/>
        <w:rPr>
          <w:rFonts w:hint="default" w:ascii="Times New Roman" w:hAnsi="Times New Roman" w:eastAsia="宋体" w:cs="Times New Roman"/>
          <w:color w:val="auto"/>
          <w:spacing w:val="0"/>
          <w:position w:val="0"/>
          <w:sz w:val="36"/>
          <w:szCs w:val="36"/>
          <w:highlight w:val="none"/>
        </w:rPr>
      </w:pPr>
    </w:p>
    <w:p w14:paraId="29AE621C">
      <w:pPr>
        <w:keepNext w:val="0"/>
        <w:keepLines w:val="0"/>
        <w:pageBreakBefore w:val="0"/>
        <w:shd w:val="clear"/>
        <w:kinsoku/>
        <w:overflowPunct/>
        <w:topLinePunct w:val="0"/>
        <w:bidi w:val="0"/>
        <w:spacing w:beforeAutospacing="0" w:afterAutospacing="0"/>
        <w:ind w:left="1800" w:leftChars="0" w:right="0" w:hanging="1800" w:hangingChars="500"/>
        <w:rPr>
          <w:rFonts w:hint="default" w:ascii="Times New Roman" w:hAnsi="Times New Roman" w:eastAsia="宋体" w:cs="Times New Roman"/>
          <w:color w:val="auto"/>
          <w:spacing w:val="0"/>
          <w:position w:val="0"/>
          <w:sz w:val="36"/>
          <w:szCs w:val="36"/>
          <w:highlight w:val="none"/>
        </w:rPr>
      </w:pPr>
    </w:p>
    <w:p w14:paraId="0099A5D4">
      <w:pPr>
        <w:keepNext w:val="0"/>
        <w:keepLines w:val="0"/>
        <w:pageBreakBefore w:val="0"/>
        <w:shd w:val="clear"/>
        <w:kinsoku/>
        <w:overflowPunct/>
        <w:topLinePunct w:val="0"/>
        <w:bidi w:val="0"/>
        <w:spacing w:beforeAutospacing="0" w:afterAutospacing="0"/>
        <w:ind w:left="1875" w:leftChars="-295" w:right="0" w:hanging="2494" w:hangingChars="693"/>
        <w:jc w:val="left"/>
        <w:rPr>
          <w:rFonts w:hint="default" w:ascii="Times New Roman" w:hAnsi="Times New Roman" w:eastAsia="仿宋" w:cs="Times New Roman"/>
          <w:color w:val="auto"/>
          <w:spacing w:val="0"/>
          <w:position w:val="0"/>
          <w:sz w:val="36"/>
          <w:szCs w:val="36"/>
          <w:highlight w:val="none"/>
          <w:lang w:val="en-US"/>
        </w:rPr>
      </w:pPr>
      <w:r>
        <w:rPr>
          <w:rFonts w:hint="default" w:ascii="Times New Roman" w:hAnsi="Times New Roman" w:eastAsia="仿宋" w:cs="Times New Roman"/>
          <w:color w:val="auto"/>
          <w:spacing w:val="0"/>
          <w:position w:val="0"/>
          <w:sz w:val="36"/>
          <w:szCs w:val="36"/>
          <w:highlight w:val="none"/>
        </w:rPr>
        <w:t>项目名称：</w:t>
      </w:r>
      <w:r>
        <w:rPr>
          <w:rFonts w:hint="default" w:ascii="Times New Roman" w:hAnsi="Times New Roman" w:eastAsia="仿宋" w:cs="Times New Roman"/>
          <w:color w:val="auto"/>
          <w:spacing w:val="0"/>
          <w:position w:val="0"/>
          <w:sz w:val="36"/>
          <w:szCs w:val="36"/>
          <w:highlight w:val="none"/>
          <w:u w:val="single"/>
          <w:lang w:val="en-US" w:eastAsia="zh-CN"/>
        </w:rPr>
        <w:t xml:space="preserve">新疆库尔阿根河昌吉市中小河流治理项目                              </w:t>
      </w:r>
    </w:p>
    <w:p w14:paraId="5C8335FC">
      <w:pPr>
        <w:keepNext w:val="0"/>
        <w:keepLines w:val="0"/>
        <w:pageBreakBefore w:val="0"/>
        <w:shd w:val="clear"/>
        <w:kinsoku/>
        <w:overflowPunct/>
        <w:topLinePunct w:val="0"/>
        <w:bidi w:val="0"/>
        <w:spacing w:beforeAutospacing="0" w:afterAutospacing="0"/>
        <w:ind w:left="1875" w:leftChars="-295" w:right="0" w:hanging="2494" w:hangingChars="693"/>
        <w:jc w:val="left"/>
        <w:rPr>
          <w:rFonts w:hint="default" w:ascii="Times New Roman" w:hAnsi="Times New Roman" w:eastAsia="仿宋" w:cs="Times New Roman"/>
          <w:color w:val="auto"/>
          <w:spacing w:val="0"/>
          <w:position w:val="0"/>
          <w:sz w:val="36"/>
          <w:szCs w:val="36"/>
          <w:highlight w:val="none"/>
          <w:lang w:val="en-US"/>
        </w:rPr>
      </w:pPr>
      <w:r>
        <w:rPr>
          <w:rFonts w:hint="default" w:ascii="Times New Roman" w:hAnsi="Times New Roman" w:eastAsia="仿宋" w:cs="Times New Roman"/>
          <w:color w:val="auto"/>
          <w:spacing w:val="0"/>
          <w:position w:val="0"/>
          <w:sz w:val="36"/>
          <w:szCs w:val="36"/>
          <w:highlight w:val="none"/>
        </w:rPr>
        <w:t>建设单位（盖章）：</w:t>
      </w:r>
      <w:r>
        <w:rPr>
          <w:rFonts w:hint="default" w:ascii="Times New Roman" w:hAnsi="Times New Roman" w:eastAsia="仿宋" w:cs="Times New Roman"/>
          <w:color w:val="auto"/>
          <w:spacing w:val="0"/>
          <w:position w:val="0"/>
          <w:sz w:val="36"/>
          <w:szCs w:val="36"/>
          <w:highlight w:val="none"/>
          <w:u w:val="single"/>
          <w:lang w:val="en-US" w:eastAsia="zh-CN"/>
        </w:rPr>
        <w:t xml:space="preserve">         昌吉市水利局         </w:t>
      </w:r>
    </w:p>
    <w:p w14:paraId="0A6C811A">
      <w:pPr>
        <w:keepNext w:val="0"/>
        <w:keepLines w:val="0"/>
        <w:pageBreakBefore w:val="0"/>
        <w:shd w:val="clear"/>
        <w:kinsoku/>
        <w:overflowPunct/>
        <w:topLinePunct w:val="0"/>
        <w:bidi w:val="0"/>
        <w:adjustRightInd w:val="0"/>
        <w:snapToGrid w:val="0"/>
        <w:spacing w:beforeAutospacing="0" w:afterAutospacing="0"/>
        <w:ind w:left="1875" w:leftChars="-295" w:right="0" w:hanging="2494" w:hangingChars="693"/>
        <w:rPr>
          <w:rFonts w:hint="default" w:ascii="Times New Roman" w:hAnsi="Times New Roman" w:eastAsia="仿宋" w:cs="Times New Roman"/>
          <w:color w:val="auto"/>
          <w:spacing w:val="0"/>
          <w:position w:val="0"/>
          <w:sz w:val="36"/>
          <w:szCs w:val="36"/>
          <w:highlight w:val="none"/>
          <w:u w:val="single"/>
          <w:lang w:val="en-US" w:eastAsia="zh-CN"/>
        </w:rPr>
      </w:pPr>
      <w:r>
        <w:rPr>
          <w:rFonts w:hint="default" w:ascii="Times New Roman" w:hAnsi="Times New Roman" w:eastAsia="仿宋" w:cs="Times New Roman"/>
          <w:color w:val="auto"/>
          <w:spacing w:val="0"/>
          <w:position w:val="0"/>
          <w:sz w:val="36"/>
          <w:szCs w:val="36"/>
          <w:highlight w:val="none"/>
        </w:rPr>
        <w:t>编制日期：</w:t>
      </w:r>
      <w:r>
        <w:rPr>
          <w:rFonts w:hint="default" w:ascii="Times New Roman" w:hAnsi="Times New Roman" w:eastAsia="仿宋" w:cs="Times New Roman"/>
          <w:color w:val="auto"/>
          <w:spacing w:val="0"/>
          <w:position w:val="0"/>
          <w:sz w:val="36"/>
          <w:szCs w:val="36"/>
          <w:highlight w:val="none"/>
          <w:u w:val="single"/>
          <w:lang w:val="en-US" w:eastAsia="zh-CN"/>
        </w:rPr>
        <w:t xml:space="preserve">          </w:t>
      </w:r>
      <w:r>
        <w:rPr>
          <w:rFonts w:hint="default" w:ascii="Times New Roman" w:hAnsi="Times New Roman" w:eastAsia="仿宋" w:cs="Times New Roman"/>
          <w:color w:val="auto"/>
          <w:spacing w:val="0"/>
          <w:position w:val="0"/>
          <w:sz w:val="36"/>
          <w:szCs w:val="36"/>
          <w:highlight w:val="none"/>
          <w:u w:val="single"/>
        </w:rPr>
        <w:t>二〇二</w:t>
      </w:r>
      <w:r>
        <w:rPr>
          <w:rFonts w:hint="default" w:ascii="Times New Roman" w:hAnsi="Times New Roman" w:eastAsia="仿宋" w:cs="Times New Roman"/>
          <w:color w:val="auto"/>
          <w:spacing w:val="0"/>
          <w:position w:val="0"/>
          <w:sz w:val="36"/>
          <w:szCs w:val="36"/>
          <w:highlight w:val="none"/>
          <w:u w:val="single"/>
          <w:lang w:val="en-US" w:eastAsia="zh-CN"/>
        </w:rPr>
        <w:t>五</w:t>
      </w:r>
      <w:r>
        <w:rPr>
          <w:rFonts w:hint="default" w:ascii="Times New Roman" w:hAnsi="Times New Roman" w:eastAsia="仿宋" w:cs="Times New Roman"/>
          <w:color w:val="auto"/>
          <w:spacing w:val="0"/>
          <w:position w:val="0"/>
          <w:sz w:val="36"/>
          <w:szCs w:val="36"/>
          <w:highlight w:val="none"/>
          <w:u w:val="single"/>
        </w:rPr>
        <w:t>年</w:t>
      </w:r>
      <w:r>
        <w:rPr>
          <w:rFonts w:hint="eastAsia" w:eastAsia="仿宋" w:cs="Times New Roman"/>
          <w:color w:val="auto"/>
          <w:spacing w:val="0"/>
          <w:position w:val="0"/>
          <w:sz w:val="36"/>
          <w:szCs w:val="36"/>
          <w:highlight w:val="none"/>
          <w:u w:val="single"/>
          <w:lang w:val="en-US" w:eastAsia="zh-CN"/>
        </w:rPr>
        <w:t>三</w:t>
      </w:r>
      <w:r>
        <w:rPr>
          <w:rFonts w:hint="default" w:ascii="Times New Roman" w:hAnsi="Times New Roman" w:eastAsia="仿宋" w:cs="Times New Roman"/>
          <w:color w:val="auto"/>
          <w:spacing w:val="0"/>
          <w:position w:val="0"/>
          <w:sz w:val="36"/>
          <w:szCs w:val="36"/>
          <w:highlight w:val="none"/>
          <w:u w:val="single"/>
        </w:rPr>
        <w:t>月</w:t>
      </w:r>
      <w:r>
        <w:rPr>
          <w:rFonts w:hint="default" w:ascii="Times New Roman" w:hAnsi="Times New Roman" w:eastAsia="仿宋" w:cs="Times New Roman"/>
          <w:color w:val="auto"/>
          <w:spacing w:val="0"/>
          <w:position w:val="0"/>
          <w:sz w:val="36"/>
          <w:szCs w:val="36"/>
          <w:highlight w:val="none"/>
          <w:u w:val="single"/>
          <w:lang w:val="en-US" w:eastAsia="zh-CN"/>
        </w:rPr>
        <w:t xml:space="preserve">              </w:t>
      </w:r>
    </w:p>
    <w:p w14:paraId="7A3F36F3">
      <w:pPr>
        <w:keepNext w:val="0"/>
        <w:keepLines w:val="0"/>
        <w:pageBreakBefore w:val="0"/>
        <w:shd w:val="clear"/>
        <w:kinsoku/>
        <w:overflowPunct/>
        <w:topLinePunct w:val="0"/>
        <w:bidi w:val="0"/>
        <w:adjustRightInd w:val="0"/>
        <w:snapToGrid w:val="0"/>
        <w:spacing w:beforeAutospacing="0" w:afterAutospacing="0" w:line="288" w:lineRule="auto"/>
        <w:ind w:right="0"/>
        <w:rPr>
          <w:rFonts w:hint="default" w:ascii="Times New Roman" w:hAnsi="Times New Roman" w:eastAsia="宋体" w:cs="Times New Roman"/>
          <w:color w:val="auto"/>
          <w:spacing w:val="0"/>
          <w:position w:val="0"/>
          <w:sz w:val="36"/>
          <w:szCs w:val="36"/>
          <w:highlight w:val="none"/>
          <w:u w:val="single"/>
        </w:rPr>
      </w:pPr>
      <w:bookmarkStart w:id="1" w:name="_Hlk57884087"/>
    </w:p>
    <w:bookmarkEnd w:id="1"/>
    <w:p w14:paraId="251F20D3">
      <w:pPr>
        <w:keepNext w:val="0"/>
        <w:keepLines w:val="0"/>
        <w:pageBreakBefore w:val="0"/>
        <w:shd w:val="clear"/>
        <w:kinsoku/>
        <w:overflowPunct/>
        <w:topLinePunct w:val="0"/>
        <w:bidi w:val="0"/>
        <w:adjustRightInd w:val="0"/>
        <w:snapToGrid w:val="0"/>
        <w:spacing w:beforeAutospacing="0" w:afterAutospacing="0" w:line="288" w:lineRule="auto"/>
        <w:ind w:left="0" w:leftChars="0" w:right="0"/>
        <w:jc w:val="both"/>
        <w:rPr>
          <w:rFonts w:hint="default" w:ascii="Times New Roman" w:hAnsi="Times New Roman" w:eastAsia="宋体" w:cs="Times New Roman"/>
          <w:color w:val="auto"/>
          <w:spacing w:val="0"/>
          <w:position w:val="0"/>
          <w:sz w:val="36"/>
          <w:szCs w:val="36"/>
          <w:highlight w:val="none"/>
        </w:rPr>
      </w:pPr>
    </w:p>
    <w:p w14:paraId="0F0F9C25">
      <w:pPr>
        <w:pStyle w:val="39"/>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color w:val="auto"/>
          <w:spacing w:val="0"/>
          <w:position w:val="0"/>
          <w:sz w:val="36"/>
          <w:szCs w:val="36"/>
          <w:highlight w:val="none"/>
        </w:rPr>
      </w:pPr>
    </w:p>
    <w:p w14:paraId="45B23950">
      <w:pPr>
        <w:pStyle w:val="39"/>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color w:val="auto"/>
          <w:spacing w:val="0"/>
          <w:position w:val="0"/>
          <w:sz w:val="36"/>
          <w:szCs w:val="36"/>
          <w:highlight w:val="none"/>
        </w:rPr>
      </w:pPr>
    </w:p>
    <w:p w14:paraId="746A9F72">
      <w:pPr>
        <w:pStyle w:val="39"/>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color w:val="auto"/>
          <w:spacing w:val="0"/>
          <w:position w:val="0"/>
          <w:sz w:val="36"/>
          <w:szCs w:val="36"/>
          <w:highlight w:val="none"/>
        </w:rPr>
      </w:pPr>
    </w:p>
    <w:p w14:paraId="4FC3B1C7">
      <w:pPr>
        <w:pStyle w:val="39"/>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color w:val="auto"/>
          <w:spacing w:val="0"/>
          <w:position w:val="0"/>
          <w:sz w:val="36"/>
          <w:szCs w:val="36"/>
          <w:highlight w:val="none"/>
        </w:rPr>
      </w:pPr>
    </w:p>
    <w:p w14:paraId="109BB8F9">
      <w:pPr>
        <w:keepNext w:val="0"/>
        <w:keepLines w:val="0"/>
        <w:pageBreakBefore w:val="0"/>
        <w:shd w:val="clear"/>
        <w:kinsoku/>
        <w:overflowPunct/>
        <w:topLinePunct w:val="0"/>
        <w:bidi w:val="0"/>
        <w:spacing w:beforeAutospacing="0" w:afterAutospacing="0"/>
        <w:ind w:left="0" w:leftChars="0" w:right="0"/>
        <w:rPr>
          <w:rFonts w:hint="default" w:ascii="Times New Roman" w:hAnsi="Times New Roman" w:eastAsia="宋体" w:cs="Times New Roman"/>
          <w:color w:val="auto"/>
          <w:spacing w:val="0"/>
          <w:position w:val="0"/>
          <w:highlight w:val="none"/>
        </w:rPr>
      </w:pPr>
    </w:p>
    <w:p w14:paraId="67F2FD16">
      <w:pPr>
        <w:keepNext w:val="0"/>
        <w:keepLines w:val="0"/>
        <w:pageBreakBefore w:val="0"/>
        <w:shd w:val="clear"/>
        <w:kinsoku/>
        <w:overflowPunct/>
        <w:topLinePunct w:val="0"/>
        <w:bidi w:val="0"/>
        <w:spacing w:beforeAutospacing="0" w:afterAutospacing="0"/>
        <w:ind w:left="0" w:leftChars="0" w:right="0"/>
        <w:rPr>
          <w:rFonts w:hint="default" w:ascii="Times New Roman" w:hAnsi="Times New Roman" w:eastAsia="宋体" w:cs="Times New Roman"/>
          <w:color w:val="auto"/>
          <w:spacing w:val="0"/>
          <w:position w:val="0"/>
          <w:highlight w:val="none"/>
        </w:rPr>
      </w:pPr>
    </w:p>
    <w:p w14:paraId="6382E4BC">
      <w:pPr>
        <w:keepNext w:val="0"/>
        <w:keepLines w:val="0"/>
        <w:pageBreakBefore w:val="0"/>
        <w:shd w:val="clear"/>
        <w:kinsoku/>
        <w:overflowPunct/>
        <w:topLinePunct w:val="0"/>
        <w:bidi w:val="0"/>
        <w:spacing w:beforeAutospacing="0" w:afterAutospacing="0"/>
        <w:ind w:left="0" w:leftChars="0" w:right="0"/>
        <w:rPr>
          <w:rFonts w:hint="default" w:ascii="Times New Roman" w:hAnsi="Times New Roman" w:eastAsia="宋体" w:cs="Times New Roman"/>
          <w:color w:val="auto"/>
          <w:spacing w:val="0"/>
          <w:position w:val="0"/>
          <w:highlight w:val="none"/>
        </w:rPr>
      </w:pPr>
    </w:p>
    <w:p w14:paraId="7BABC407">
      <w:pPr>
        <w:pStyle w:val="39"/>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color w:val="auto"/>
          <w:spacing w:val="0"/>
          <w:position w:val="0"/>
          <w:sz w:val="36"/>
          <w:szCs w:val="36"/>
          <w:highlight w:val="none"/>
        </w:rPr>
      </w:pPr>
    </w:p>
    <w:p w14:paraId="13E2A81C">
      <w:pPr>
        <w:keepNext w:val="0"/>
        <w:keepLines w:val="0"/>
        <w:pageBreakBefore w:val="0"/>
        <w:shd w:val="clear"/>
        <w:kinsoku/>
        <w:overflowPunct/>
        <w:topLinePunct w:val="0"/>
        <w:bidi w:val="0"/>
        <w:spacing w:beforeAutospacing="0" w:afterAutospacing="0"/>
        <w:ind w:left="0" w:leftChars="0" w:right="0"/>
        <w:rPr>
          <w:rFonts w:hint="default" w:ascii="Times New Roman" w:hAnsi="Times New Roman" w:eastAsia="楷体" w:cs="Times New Roman"/>
          <w:color w:val="auto"/>
          <w:spacing w:val="0"/>
          <w:position w:val="0"/>
          <w:highlight w:val="none"/>
        </w:rPr>
      </w:pPr>
    </w:p>
    <w:p w14:paraId="77A0F122">
      <w:pPr>
        <w:keepNext w:val="0"/>
        <w:keepLines w:val="0"/>
        <w:pageBreakBefore w:val="0"/>
        <w:shd w:val="clear"/>
        <w:kinsoku/>
        <w:overflowPunct/>
        <w:topLinePunct w:val="0"/>
        <w:bidi w:val="0"/>
        <w:adjustRightInd w:val="0"/>
        <w:snapToGrid w:val="0"/>
        <w:spacing w:beforeAutospacing="0" w:afterAutospacing="0" w:line="288" w:lineRule="auto"/>
        <w:ind w:left="0" w:leftChars="0" w:right="0"/>
        <w:jc w:val="center"/>
        <w:rPr>
          <w:rFonts w:hint="default" w:ascii="Times New Roman" w:hAnsi="Times New Roman" w:eastAsia="楷体" w:cs="Times New Roman"/>
          <w:color w:val="auto"/>
          <w:spacing w:val="0"/>
          <w:position w:val="0"/>
          <w:highlight w:val="none"/>
        </w:rPr>
      </w:pPr>
      <w:r>
        <w:rPr>
          <w:rFonts w:hint="default" w:ascii="Times New Roman" w:hAnsi="Times New Roman" w:eastAsia="楷体" w:cs="Times New Roman"/>
          <w:color w:val="auto"/>
          <w:spacing w:val="0"/>
          <w:position w:val="0"/>
          <w:sz w:val="36"/>
          <w:szCs w:val="36"/>
          <w:highlight w:val="none"/>
        </w:rPr>
        <w:t>中华人民共和国生态环境部制</w:t>
      </w:r>
    </w:p>
    <w:bookmarkEnd w:id="0"/>
    <w:p w14:paraId="0BC6F612">
      <w:pPr>
        <w:shd w:val="clear"/>
        <w:rPr>
          <w:rFonts w:hint="default" w:ascii="Times New Roman" w:hAnsi="Times New Roman" w:eastAsia="宋体" w:cs="Times New Roman"/>
          <w:snapToGrid w:val="0"/>
          <w:color w:val="auto"/>
          <w:spacing w:val="0"/>
          <w:w w:val="100"/>
          <w:position w:val="0"/>
          <w:sz w:val="30"/>
          <w:szCs w:val="30"/>
          <w:highlight w:val="none"/>
        </w:rPr>
      </w:pPr>
      <w:r>
        <w:rPr>
          <w:rFonts w:hint="default" w:ascii="Times New Roman" w:hAnsi="Times New Roman" w:eastAsia="宋体" w:cs="Times New Roman"/>
          <w:snapToGrid w:val="0"/>
          <w:color w:val="auto"/>
          <w:spacing w:val="0"/>
          <w:w w:val="100"/>
          <w:position w:val="0"/>
          <w:sz w:val="30"/>
          <w:szCs w:val="30"/>
          <w:highlight w:val="none"/>
        </w:rPr>
        <w:br w:type="page"/>
      </w:r>
    </w:p>
    <w:p w14:paraId="6C4738C4">
      <w:pPr>
        <w:pStyle w:val="8"/>
        <w:shd w:val="clear"/>
        <w:rPr>
          <w:rFonts w:hint="default" w:ascii="Times New Roman" w:hAnsi="Times New Roman" w:eastAsia="宋体" w:cs="Times New Roman"/>
          <w:color w:val="auto"/>
          <w:spacing w:val="0"/>
          <w:position w:val="0"/>
          <w:highlight w:val="none"/>
        </w:rPr>
        <w:sectPr>
          <w:footerReference r:id="rId3" w:type="default"/>
          <w:pgSz w:w="11906" w:h="16838"/>
          <w:pgMar w:top="1701" w:right="1531" w:bottom="1701" w:left="237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6FB75841">
      <w:pPr>
        <w:pStyle w:val="23"/>
        <w:shd w:val="clear"/>
        <w:rPr>
          <w:rFonts w:hint="default" w:ascii="Times New Roman" w:hAnsi="Times New Roman" w:eastAsia="宋体" w:cs="Times New Roman"/>
          <w:color w:val="auto"/>
          <w:spacing w:val="0"/>
          <w:position w:val="0"/>
          <w:highlight w:val="none"/>
        </w:rPr>
        <w:sectPr>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0C6F857F">
      <w:pPr>
        <w:keepNext w:val="0"/>
        <w:keepLines w:val="0"/>
        <w:pageBreakBefore w:val="0"/>
        <w:shd w:val="clear"/>
        <w:kinsoku/>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黑体" w:cs="Times New Roman"/>
          <w:snapToGrid w:val="0"/>
          <w:color w:val="auto"/>
          <w:spacing w:val="0"/>
          <w:w w:val="100"/>
          <w:position w:val="0"/>
          <w:sz w:val="30"/>
          <w:szCs w:val="30"/>
          <w:highlight w:val="none"/>
        </w:rPr>
      </w:pPr>
      <w:r>
        <w:rPr>
          <w:rFonts w:hint="default" w:ascii="Times New Roman" w:hAnsi="Times New Roman" w:eastAsia="黑体" w:cs="Times New Roman"/>
          <w:snapToGrid w:val="0"/>
          <w:color w:val="auto"/>
          <w:spacing w:val="0"/>
          <w:w w:val="100"/>
          <w:position w:val="0"/>
          <w:sz w:val="30"/>
          <w:szCs w:val="30"/>
          <w:highlight w:val="none"/>
        </w:rPr>
        <w:t>一、建设项目基本情况</w:t>
      </w:r>
    </w:p>
    <w:tbl>
      <w:tblPr>
        <w:tblStyle w:val="31"/>
        <w:tblW w:w="498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991"/>
        <w:gridCol w:w="1857"/>
        <w:gridCol w:w="1549"/>
        <w:gridCol w:w="2913"/>
      </w:tblGrid>
      <w:tr w14:paraId="448FC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exact"/>
          <w:jc w:val="center"/>
        </w:trPr>
        <w:tc>
          <w:tcPr>
            <w:tcW w:w="1197" w:type="pct"/>
            <w:tcBorders>
              <w:tl2br w:val="nil"/>
              <w:tr2bl w:val="nil"/>
            </w:tcBorders>
            <w:noWrap w:val="0"/>
            <w:tcMar>
              <w:top w:w="16" w:type="dxa"/>
              <w:left w:w="16" w:type="dxa"/>
              <w:right w:w="16" w:type="dxa"/>
            </w:tcMar>
            <w:vAlign w:val="center"/>
          </w:tcPr>
          <w:p w14:paraId="7E0E3D99">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szCs w:val="24"/>
                <w:highlight w:val="none"/>
                <w:lang w:val="en-US" w:eastAsia="zh-CN"/>
              </w:rPr>
              <w:t>建设项目名称</w:t>
            </w:r>
          </w:p>
        </w:tc>
        <w:tc>
          <w:tcPr>
            <w:tcW w:w="3802" w:type="pct"/>
            <w:gridSpan w:val="3"/>
            <w:tcBorders>
              <w:tl2br w:val="nil"/>
              <w:tr2bl w:val="nil"/>
            </w:tcBorders>
            <w:noWrap w:val="0"/>
            <w:vAlign w:val="center"/>
          </w:tcPr>
          <w:p w14:paraId="31973A00">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cs="Times New Roman"/>
                <w:color w:val="auto"/>
                <w:spacing w:val="0"/>
                <w:w w:val="100"/>
                <w:position w:val="0"/>
                <w:sz w:val="24"/>
                <w:szCs w:val="24"/>
                <w:highlight w:val="none"/>
                <w:lang w:val="en-US" w:eastAsia="zh-CN"/>
              </w:rPr>
              <w:t>新疆库尔阿根河昌吉市中小河流治理项目</w:t>
            </w:r>
          </w:p>
        </w:tc>
      </w:tr>
      <w:tr w14:paraId="0D23D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97" w:type="pct"/>
            <w:tcBorders>
              <w:tl2br w:val="nil"/>
              <w:tr2bl w:val="nil"/>
            </w:tcBorders>
            <w:noWrap w:val="0"/>
            <w:tcMar>
              <w:top w:w="16" w:type="dxa"/>
              <w:left w:w="16" w:type="dxa"/>
              <w:right w:w="16" w:type="dxa"/>
            </w:tcMar>
            <w:vAlign w:val="center"/>
          </w:tcPr>
          <w:p w14:paraId="53BBD509">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szCs w:val="24"/>
                <w:highlight w:val="none"/>
                <w:lang w:val="en-US" w:eastAsia="zh-CN"/>
              </w:rPr>
              <w:t>项目代码</w:t>
            </w:r>
          </w:p>
        </w:tc>
        <w:tc>
          <w:tcPr>
            <w:tcW w:w="3802" w:type="pct"/>
            <w:gridSpan w:val="3"/>
            <w:tcBorders>
              <w:tl2br w:val="nil"/>
              <w:tr2bl w:val="nil"/>
            </w:tcBorders>
            <w:noWrap w:val="0"/>
            <w:vAlign w:val="center"/>
          </w:tcPr>
          <w:p w14:paraId="42AFC9D2">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cs="Times New Roman"/>
                <w:color w:val="auto"/>
                <w:spacing w:val="0"/>
                <w:w w:val="100"/>
                <w:position w:val="0"/>
                <w:sz w:val="24"/>
                <w:szCs w:val="24"/>
                <w:highlight w:val="none"/>
                <w:lang w:val="en-US" w:eastAsia="zh-CN"/>
              </w:rPr>
              <w:t>/</w:t>
            </w:r>
          </w:p>
        </w:tc>
      </w:tr>
      <w:tr w14:paraId="55F130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97" w:type="pct"/>
            <w:tcBorders>
              <w:tl2br w:val="nil"/>
              <w:tr2bl w:val="nil"/>
            </w:tcBorders>
            <w:noWrap w:val="0"/>
            <w:tcMar>
              <w:top w:w="16" w:type="dxa"/>
              <w:left w:w="16" w:type="dxa"/>
              <w:right w:w="16" w:type="dxa"/>
            </w:tcMar>
            <w:vAlign w:val="center"/>
          </w:tcPr>
          <w:p w14:paraId="2639BA9E">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建设单位联系人</w:t>
            </w:r>
          </w:p>
        </w:tc>
        <w:tc>
          <w:tcPr>
            <w:tcW w:w="1117" w:type="pct"/>
            <w:tcBorders>
              <w:tl2br w:val="nil"/>
              <w:tr2bl w:val="nil"/>
            </w:tcBorders>
            <w:noWrap w:val="0"/>
            <w:vAlign w:val="center"/>
          </w:tcPr>
          <w:p w14:paraId="77F22814">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eastAsia" w:cs="Times New Roman"/>
                <w:color w:val="auto"/>
                <w:spacing w:val="0"/>
                <w:w w:val="100"/>
                <w:position w:val="0"/>
                <w:sz w:val="24"/>
                <w:szCs w:val="24"/>
                <w:highlight w:val="none"/>
                <w:lang w:val="en-US" w:eastAsia="zh-CN"/>
              </w:rPr>
              <w:t>-</w:t>
            </w:r>
          </w:p>
        </w:tc>
        <w:tc>
          <w:tcPr>
            <w:tcW w:w="931" w:type="pct"/>
            <w:tcBorders>
              <w:tl2br w:val="nil"/>
              <w:tr2bl w:val="nil"/>
            </w:tcBorders>
            <w:noWrap w:val="0"/>
            <w:vAlign w:val="center"/>
          </w:tcPr>
          <w:p w14:paraId="7E7B52FC">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联系方式</w:t>
            </w:r>
          </w:p>
        </w:tc>
        <w:tc>
          <w:tcPr>
            <w:tcW w:w="1753" w:type="pct"/>
            <w:tcBorders>
              <w:tl2br w:val="nil"/>
              <w:tr2bl w:val="nil"/>
            </w:tcBorders>
            <w:noWrap w:val="0"/>
            <w:vAlign w:val="center"/>
          </w:tcPr>
          <w:p w14:paraId="76F9DAE7">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eastAsia" w:cs="Times New Roman"/>
                <w:color w:val="auto"/>
                <w:spacing w:val="0"/>
                <w:w w:val="100"/>
                <w:position w:val="0"/>
                <w:sz w:val="24"/>
                <w:szCs w:val="24"/>
                <w:highlight w:val="none"/>
                <w:lang w:val="en-US" w:eastAsia="zh-CN"/>
              </w:rPr>
              <w:t>-</w:t>
            </w:r>
          </w:p>
        </w:tc>
      </w:tr>
      <w:tr w14:paraId="4AA894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97" w:type="pct"/>
            <w:tcBorders>
              <w:tl2br w:val="nil"/>
              <w:tr2bl w:val="nil"/>
            </w:tcBorders>
            <w:noWrap w:val="0"/>
            <w:tcMar>
              <w:top w:w="16" w:type="dxa"/>
              <w:left w:w="16" w:type="dxa"/>
              <w:right w:w="16" w:type="dxa"/>
            </w:tcMar>
            <w:vAlign w:val="center"/>
          </w:tcPr>
          <w:p w14:paraId="3DA248C7">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建设地点</w:t>
            </w:r>
          </w:p>
        </w:tc>
        <w:tc>
          <w:tcPr>
            <w:tcW w:w="3802" w:type="pct"/>
            <w:gridSpan w:val="3"/>
            <w:tcBorders>
              <w:tl2br w:val="nil"/>
              <w:tr2bl w:val="nil"/>
            </w:tcBorders>
            <w:noWrap w:val="0"/>
            <w:vAlign w:val="center"/>
          </w:tcPr>
          <w:p w14:paraId="730D0089">
            <w:pPr>
              <w:keepNext w:val="0"/>
              <w:keepLines w:val="0"/>
              <w:pageBreakBefore w:val="0"/>
              <w:widowControl/>
              <w:suppressLineNumbers w:val="0"/>
              <w:shd w:val="clear"/>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szCs w:val="24"/>
                <w:highlight w:val="none"/>
                <w:lang w:val="en-US" w:eastAsia="zh-CN"/>
              </w:rPr>
              <w:t>昌吉市昌吉市</w:t>
            </w:r>
          </w:p>
        </w:tc>
      </w:tr>
      <w:tr w14:paraId="2B7CE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69" w:hRule="exact"/>
          <w:jc w:val="center"/>
        </w:trPr>
        <w:tc>
          <w:tcPr>
            <w:tcW w:w="1197" w:type="pct"/>
            <w:tcBorders>
              <w:tl2br w:val="nil"/>
              <w:tr2bl w:val="nil"/>
            </w:tcBorders>
            <w:noWrap w:val="0"/>
            <w:tcMar>
              <w:top w:w="16" w:type="dxa"/>
              <w:left w:w="16" w:type="dxa"/>
              <w:right w:w="16" w:type="dxa"/>
            </w:tcMar>
            <w:vAlign w:val="center"/>
          </w:tcPr>
          <w:p w14:paraId="6ABB50B5">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地理坐标</w:t>
            </w:r>
          </w:p>
        </w:tc>
        <w:tc>
          <w:tcPr>
            <w:tcW w:w="3802" w:type="pct"/>
            <w:gridSpan w:val="3"/>
            <w:tcBorders>
              <w:tl2br w:val="nil"/>
              <w:tr2bl w:val="nil"/>
            </w:tcBorders>
            <w:noWrap w:val="0"/>
            <w:vAlign w:val="center"/>
          </w:tcPr>
          <w:p w14:paraId="036C854F">
            <w:pPr>
              <w:keepNext w:val="0"/>
              <w:keepLines w:val="0"/>
              <w:pageBreakBefore w:val="0"/>
              <w:widowControl/>
              <w:suppressLineNumbers w:val="0"/>
              <w:shd w:val="clear"/>
              <w:wordWrap/>
              <w:overflowPunct/>
              <w:topLinePunct w:val="0"/>
              <w:bidi w:val="0"/>
              <w:spacing w:line="240" w:lineRule="auto"/>
              <w:ind w:left="0" w:right="0"/>
              <w:jc w:val="both"/>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起点坐标：（东经87度07分13.142秒，北纬43度55分15.573秒）</w:t>
            </w:r>
          </w:p>
          <w:p w14:paraId="52497648">
            <w:pPr>
              <w:keepNext w:val="0"/>
              <w:keepLines w:val="0"/>
              <w:pageBreakBefore w:val="0"/>
              <w:widowControl/>
              <w:suppressLineNumbers w:val="0"/>
              <w:shd w:val="clear"/>
              <w:wordWrap/>
              <w:overflowPunct/>
              <w:topLinePunct w:val="0"/>
              <w:bidi w:val="0"/>
              <w:spacing w:line="240" w:lineRule="auto"/>
              <w:ind w:left="0" w:right="0"/>
              <w:jc w:val="both"/>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终点坐标：（东经87度11分18.112秒，北纬44度02分25.474秒）</w:t>
            </w:r>
          </w:p>
        </w:tc>
      </w:tr>
      <w:tr w14:paraId="30999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97" w:type="pct"/>
            <w:tcBorders>
              <w:tl2br w:val="nil"/>
              <w:tr2bl w:val="nil"/>
            </w:tcBorders>
            <w:noWrap w:val="0"/>
            <w:tcMar>
              <w:top w:w="16" w:type="dxa"/>
              <w:left w:w="16" w:type="dxa"/>
              <w:right w:w="16" w:type="dxa"/>
            </w:tcMar>
            <w:vAlign w:val="center"/>
          </w:tcPr>
          <w:p w14:paraId="789952EE">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建设项目</w:t>
            </w:r>
          </w:p>
          <w:p w14:paraId="5476AF2F">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行业类别</w:t>
            </w:r>
          </w:p>
        </w:tc>
        <w:tc>
          <w:tcPr>
            <w:tcW w:w="1117" w:type="pct"/>
            <w:tcBorders>
              <w:tl2br w:val="nil"/>
              <w:tr2bl w:val="nil"/>
            </w:tcBorders>
            <w:noWrap w:val="0"/>
            <w:vAlign w:val="center"/>
          </w:tcPr>
          <w:p w14:paraId="7886653C">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szCs w:val="24"/>
                <w:highlight w:val="none"/>
              </w:rPr>
              <w:t>五</w:t>
            </w:r>
            <w:r>
              <w:rPr>
                <w:rFonts w:hint="default" w:ascii="Times New Roman" w:hAnsi="Times New Roman" w:eastAsia="宋体" w:cs="Times New Roman"/>
                <w:color w:val="auto"/>
                <w:spacing w:val="0"/>
                <w:w w:val="100"/>
                <w:kern w:val="21"/>
                <w:position w:val="0"/>
                <w:sz w:val="24"/>
                <w:szCs w:val="24"/>
                <w:highlight w:val="none"/>
                <w:lang w:val="en-US" w:eastAsia="zh-CN" w:bidi="ar-SA"/>
              </w:rPr>
              <w:t>十一、128.河湖整治（不含农村塘堰、水渠）</w:t>
            </w:r>
          </w:p>
        </w:tc>
        <w:tc>
          <w:tcPr>
            <w:tcW w:w="931" w:type="pct"/>
            <w:tcBorders>
              <w:tl2br w:val="nil"/>
              <w:tr2bl w:val="nil"/>
            </w:tcBorders>
            <w:noWrap w:val="0"/>
            <w:vAlign w:val="center"/>
          </w:tcPr>
          <w:p w14:paraId="681CCD0B">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用地（用海）面积（</w:t>
            </w:r>
            <w:r>
              <w:rPr>
                <w:rFonts w:hint="default" w:ascii="Times New Roman" w:hAnsi="Times New Roman" w:eastAsia="宋体" w:cs="Times New Roman"/>
                <w:color w:val="auto"/>
                <w:spacing w:val="0"/>
                <w:position w:val="0"/>
                <w:sz w:val="24"/>
                <w:szCs w:val="24"/>
                <w:highlight w:val="none"/>
                <w:lang w:val="en-US" w:eastAsia="zh-CN"/>
              </w:rPr>
              <w:t>m</w:t>
            </w:r>
            <w:r>
              <w:rPr>
                <w:rFonts w:hint="default" w:ascii="Times New Roman" w:hAnsi="Times New Roman" w:eastAsia="宋体" w:cs="Times New Roman"/>
                <w:color w:val="auto"/>
                <w:spacing w:val="0"/>
                <w:position w:val="0"/>
                <w:sz w:val="24"/>
                <w:szCs w:val="24"/>
                <w:highlight w:val="none"/>
                <w:vertAlign w:val="superscript"/>
                <w:lang w:val="en-US" w:eastAsia="zh-CN"/>
              </w:rPr>
              <w:t>2</w:t>
            </w:r>
            <w:r>
              <w:rPr>
                <w:rFonts w:hint="default" w:ascii="Times New Roman" w:hAnsi="Times New Roman" w:eastAsia="宋体" w:cs="Times New Roman"/>
                <w:color w:val="auto"/>
                <w:spacing w:val="0"/>
                <w:w w:val="100"/>
                <w:position w:val="0"/>
                <w:sz w:val="24"/>
                <w:szCs w:val="24"/>
                <w:highlight w:val="none"/>
              </w:rPr>
              <w:t>）/长度（km）</w:t>
            </w:r>
          </w:p>
        </w:tc>
        <w:tc>
          <w:tcPr>
            <w:tcW w:w="1753" w:type="pct"/>
            <w:tcBorders>
              <w:tl2br w:val="nil"/>
              <w:tr2bl w:val="nil"/>
            </w:tcBorders>
            <w:noWrap w:val="0"/>
            <w:vAlign w:val="center"/>
          </w:tcPr>
          <w:p w14:paraId="602E3673">
            <w:pPr>
              <w:pStyle w:val="39"/>
              <w:keepNext w:val="0"/>
              <w:keepLines w:val="0"/>
              <w:pageBreakBefore w:val="0"/>
              <w:shd w:val="clear"/>
              <w:kinsoku/>
              <w:wordWrap/>
              <w:overflowPunct/>
              <w:topLinePunct w:val="0"/>
              <w:bidi w:val="0"/>
              <w:spacing w:beforeAutospacing="0" w:afterAutospacing="0" w:line="240" w:lineRule="auto"/>
              <w:ind w:left="0" w:leftChars="0" w:right="0"/>
              <w:rPr>
                <w:rFonts w:hint="default" w:ascii="Times New Roman" w:hAnsi="Times New Roman" w:eastAsia="宋体" w:cs="Times New Roman"/>
                <w:color w:val="auto"/>
                <w:spacing w:val="0"/>
                <w:w w:val="100"/>
                <w:kern w:val="2"/>
                <w:position w:val="0"/>
                <w:sz w:val="24"/>
                <w:szCs w:val="24"/>
                <w:highlight w:val="none"/>
                <w:vertAlign w:val="superscript"/>
                <w:lang w:val="en-US" w:eastAsia="zh-CN" w:bidi="ar-SA"/>
              </w:rPr>
            </w:pPr>
            <w:r>
              <w:rPr>
                <w:rFonts w:hint="default" w:ascii="Times New Roman" w:hAnsi="Times New Roman" w:eastAsia="宋体" w:cs="Times New Roman"/>
                <w:color w:val="auto"/>
                <w:spacing w:val="0"/>
                <w:w w:val="100"/>
                <w:kern w:val="2"/>
                <w:position w:val="0"/>
                <w:sz w:val="24"/>
                <w:szCs w:val="24"/>
                <w:highlight w:val="none"/>
                <w:lang w:val="en-US" w:eastAsia="zh-CN" w:bidi="ar-SA"/>
              </w:rPr>
              <w:t>永久占地面积：</w:t>
            </w:r>
            <w:r>
              <w:rPr>
                <w:rFonts w:hint="default" w:ascii="Times New Roman" w:hAnsi="Times New Roman" w:cs="Times New Roman"/>
                <w:color w:val="auto"/>
                <w:spacing w:val="0"/>
                <w:w w:val="100"/>
                <w:kern w:val="2"/>
                <w:position w:val="0"/>
                <w:sz w:val="24"/>
                <w:szCs w:val="24"/>
                <w:highlight w:val="none"/>
                <w:lang w:val="en-US" w:eastAsia="zh-CN" w:bidi="ar-SA"/>
              </w:rPr>
              <w:t>22.70</w:t>
            </w:r>
            <w:r>
              <w:rPr>
                <w:rFonts w:hint="default" w:ascii="Times New Roman" w:hAnsi="Times New Roman" w:eastAsia="宋体" w:cs="Times New Roman"/>
                <w:color w:val="auto"/>
                <w:spacing w:val="0"/>
                <w:kern w:val="0"/>
                <w:position w:val="0"/>
                <w:sz w:val="24"/>
                <w:szCs w:val="24"/>
                <w:highlight w:val="none"/>
                <w:lang w:val="en-US" w:eastAsia="zh-CN" w:bidi="ar"/>
              </w:rPr>
              <w:t>hm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
              </w:rPr>
              <w:t>2</w:t>
            </w:r>
          </w:p>
          <w:p w14:paraId="255DD91F">
            <w:pPr>
              <w:pStyle w:val="26"/>
              <w:keepNext w:val="0"/>
              <w:keepLines w:val="0"/>
              <w:pageBreakBefore w:val="0"/>
              <w:shd w:val="clear"/>
              <w:wordWrap/>
              <w:overflowPunct/>
              <w:topLinePunct w:val="0"/>
              <w:bidi w:val="0"/>
              <w:spacing w:line="240" w:lineRule="auto"/>
              <w:ind w:left="0" w:right="0"/>
              <w:jc w:val="center"/>
              <w:rPr>
                <w:rFonts w:hint="default" w:ascii="Times New Roman" w:hAnsi="Times New Roman" w:eastAsia="宋体" w:cs="Times New Roman"/>
                <w:color w:val="auto"/>
                <w:spacing w:val="0"/>
                <w:w w:val="100"/>
                <w:kern w:val="2"/>
                <w:position w:val="0"/>
                <w:sz w:val="24"/>
                <w:szCs w:val="24"/>
                <w:highlight w:val="none"/>
                <w:lang w:val="en-US" w:eastAsia="zh-CN" w:bidi="ar-SA"/>
              </w:rPr>
            </w:pPr>
            <w:r>
              <w:rPr>
                <w:rFonts w:hint="default" w:ascii="Times New Roman" w:hAnsi="Times New Roman" w:eastAsia="宋体" w:cs="Times New Roman"/>
                <w:color w:val="auto"/>
                <w:spacing w:val="0"/>
                <w:w w:val="100"/>
                <w:kern w:val="2"/>
                <w:position w:val="0"/>
                <w:sz w:val="24"/>
                <w:szCs w:val="24"/>
                <w:highlight w:val="none"/>
                <w:lang w:val="en-US" w:eastAsia="zh-CN" w:bidi="ar-SA"/>
              </w:rPr>
              <w:t>临时占地面积：</w:t>
            </w:r>
            <w:r>
              <w:rPr>
                <w:rFonts w:hint="default" w:ascii="Times New Roman" w:hAnsi="Times New Roman" w:cs="Times New Roman"/>
                <w:color w:val="auto"/>
                <w:spacing w:val="0"/>
                <w:w w:val="100"/>
                <w:kern w:val="2"/>
                <w:position w:val="0"/>
                <w:sz w:val="24"/>
                <w:szCs w:val="24"/>
                <w:highlight w:val="none"/>
                <w:lang w:val="en-US" w:eastAsia="zh-CN" w:bidi="ar-SA"/>
              </w:rPr>
              <w:t>46.26</w:t>
            </w:r>
            <w:r>
              <w:rPr>
                <w:rFonts w:hint="default" w:ascii="Times New Roman" w:hAnsi="Times New Roman" w:eastAsia="宋体" w:cs="Times New Roman"/>
                <w:color w:val="auto"/>
                <w:spacing w:val="0"/>
                <w:kern w:val="0"/>
                <w:position w:val="0"/>
                <w:sz w:val="24"/>
                <w:szCs w:val="24"/>
                <w:highlight w:val="none"/>
                <w:lang w:val="en-US" w:eastAsia="zh-CN" w:bidi="ar"/>
              </w:rPr>
              <w:t>hm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
              </w:rPr>
              <w:t>2</w:t>
            </w:r>
          </w:p>
          <w:p w14:paraId="143B0D0B">
            <w:pPr>
              <w:pStyle w:val="39"/>
              <w:keepNext w:val="0"/>
              <w:keepLines w:val="0"/>
              <w:pageBreakBefore w:val="0"/>
              <w:shd w:val="clear"/>
              <w:kinsoku/>
              <w:wordWrap/>
              <w:overflowPunct/>
              <w:topLinePunct w:val="0"/>
              <w:bidi w:val="0"/>
              <w:spacing w:beforeAutospacing="0" w:afterAutospacing="0" w:line="240" w:lineRule="auto"/>
              <w:ind w:left="0" w:leftChars="0" w:right="0"/>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w w:val="100"/>
                <w:kern w:val="2"/>
                <w:position w:val="0"/>
                <w:sz w:val="24"/>
                <w:szCs w:val="24"/>
                <w:highlight w:val="none"/>
                <w:lang w:val="en-US" w:eastAsia="zh-CN" w:bidi="ar-SA"/>
              </w:rPr>
              <w:t>长度</w:t>
            </w:r>
            <w:r>
              <w:rPr>
                <w:rFonts w:hint="default" w:ascii="Times New Roman" w:hAnsi="Times New Roman" w:cs="Times New Roman"/>
                <w:color w:val="auto"/>
                <w:spacing w:val="0"/>
                <w:w w:val="100"/>
                <w:kern w:val="2"/>
                <w:position w:val="0"/>
                <w:sz w:val="24"/>
                <w:szCs w:val="24"/>
                <w:highlight w:val="none"/>
                <w:lang w:val="en-US" w:eastAsia="zh-CN" w:bidi="ar-SA"/>
              </w:rPr>
              <w:t>12.98km</w:t>
            </w:r>
          </w:p>
        </w:tc>
      </w:tr>
      <w:tr w14:paraId="1442D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97" w:type="pct"/>
            <w:tcBorders>
              <w:tl2br w:val="nil"/>
              <w:tr2bl w:val="nil"/>
            </w:tcBorders>
            <w:noWrap w:val="0"/>
            <w:tcMar>
              <w:top w:w="16" w:type="dxa"/>
              <w:left w:w="16" w:type="dxa"/>
              <w:right w:w="16" w:type="dxa"/>
            </w:tcMar>
            <w:vAlign w:val="center"/>
          </w:tcPr>
          <w:p w14:paraId="6D756FE8">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建设性质</w:t>
            </w:r>
          </w:p>
        </w:tc>
        <w:tc>
          <w:tcPr>
            <w:tcW w:w="1117" w:type="pct"/>
            <w:tcBorders>
              <w:tl2br w:val="nil"/>
              <w:tr2bl w:val="nil"/>
            </w:tcBorders>
            <w:noWrap w:val="0"/>
            <w:vAlign w:val="center"/>
          </w:tcPr>
          <w:p w14:paraId="4F42E2DB">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left"/>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lang w:eastAsia="zh-CN"/>
              </w:rPr>
              <w:sym w:font="Wingdings 2" w:char="0052"/>
            </w:r>
            <w:r>
              <w:rPr>
                <w:rFonts w:hint="default" w:ascii="Times New Roman" w:hAnsi="Times New Roman" w:eastAsia="宋体" w:cs="Times New Roman"/>
                <w:color w:val="auto"/>
                <w:spacing w:val="0"/>
                <w:w w:val="100"/>
                <w:position w:val="0"/>
                <w:sz w:val="24"/>
                <w:szCs w:val="24"/>
                <w:highlight w:val="none"/>
              </w:rPr>
              <w:t>新建（迁建）</w:t>
            </w:r>
          </w:p>
          <w:p w14:paraId="568E69CC">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left"/>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lang w:eastAsia="zh-CN"/>
              </w:rPr>
              <w:sym w:font="Wingdings 2" w:char="00A3"/>
            </w:r>
            <w:r>
              <w:rPr>
                <w:rFonts w:hint="default" w:ascii="Times New Roman" w:hAnsi="Times New Roman" w:eastAsia="宋体" w:cs="Times New Roman"/>
                <w:color w:val="auto"/>
                <w:spacing w:val="0"/>
                <w:w w:val="100"/>
                <w:position w:val="0"/>
                <w:sz w:val="24"/>
                <w:szCs w:val="24"/>
                <w:highlight w:val="none"/>
              </w:rPr>
              <w:t>改建</w:t>
            </w:r>
          </w:p>
          <w:p w14:paraId="68036075">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left"/>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lang w:eastAsia="zh-CN"/>
              </w:rPr>
              <w:sym w:font="Wingdings 2" w:char="00A3"/>
            </w:r>
            <w:r>
              <w:rPr>
                <w:rFonts w:hint="default" w:ascii="Times New Roman" w:hAnsi="Times New Roman" w:eastAsia="宋体" w:cs="Times New Roman"/>
                <w:color w:val="auto"/>
                <w:spacing w:val="0"/>
                <w:w w:val="100"/>
                <w:position w:val="0"/>
                <w:sz w:val="24"/>
                <w:szCs w:val="24"/>
                <w:highlight w:val="none"/>
              </w:rPr>
              <w:t>扩建</w:t>
            </w:r>
          </w:p>
          <w:p w14:paraId="6BF0B432">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left"/>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lang w:eastAsia="zh-CN"/>
              </w:rPr>
              <w:sym w:font="Wingdings 2" w:char="00A3"/>
            </w:r>
            <w:r>
              <w:rPr>
                <w:rFonts w:hint="default" w:ascii="Times New Roman" w:hAnsi="Times New Roman" w:eastAsia="宋体" w:cs="Times New Roman"/>
                <w:color w:val="auto"/>
                <w:spacing w:val="0"/>
                <w:w w:val="100"/>
                <w:position w:val="0"/>
                <w:sz w:val="24"/>
                <w:szCs w:val="24"/>
                <w:highlight w:val="none"/>
              </w:rPr>
              <w:t>技术改造</w:t>
            </w:r>
          </w:p>
        </w:tc>
        <w:tc>
          <w:tcPr>
            <w:tcW w:w="931" w:type="pct"/>
            <w:tcBorders>
              <w:tl2br w:val="nil"/>
              <w:tr2bl w:val="nil"/>
            </w:tcBorders>
            <w:noWrap w:val="0"/>
            <w:vAlign w:val="center"/>
          </w:tcPr>
          <w:p w14:paraId="13AE574E">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建设项目</w:t>
            </w:r>
          </w:p>
          <w:p w14:paraId="15A0AB91">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申报情形</w:t>
            </w:r>
          </w:p>
        </w:tc>
        <w:tc>
          <w:tcPr>
            <w:tcW w:w="1753" w:type="pct"/>
            <w:tcBorders>
              <w:tl2br w:val="nil"/>
              <w:tr2bl w:val="nil"/>
            </w:tcBorders>
            <w:noWrap w:val="0"/>
            <w:vAlign w:val="center"/>
          </w:tcPr>
          <w:p w14:paraId="7F3442F0">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left"/>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lang w:eastAsia="zh-CN"/>
              </w:rPr>
              <w:sym w:font="Wingdings 2" w:char="0052"/>
            </w:r>
            <w:r>
              <w:rPr>
                <w:rFonts w:hint="default" w:ascii="Times New Roman" w:hAnsi="Times New Roman" w:eastAsia="宋体" w:cs="Times New Roman"/>
                <w:color w:val="auto"/>
                <w:spacing w:val="0"/>
                <w:w w:val="100"/>
                <w:position w:val="0"/>
                <w:sz w:val="24"/>
                <w:szCs w:val="24"/>
                <w:highlight w:val="none"/>
              </w:rPr>
              <w:t>首次申报项目</w:t>
            </w:r>
          </w:p>
          <w:p w14:paraId="0EE19095">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left"/>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lang w:eastAsia="zh-CN"/>
              </w:rPr>
              <w:sym w:font="Wingdings 2" w:char="00A3"/>
            </w:r>
            <w:r>
              <w:rPr>
                <w:rFonts w:hint="default" w:ascii="Times New Roman" w:hAnsi="Times New Roman" w:eastAsia="宋体" w:cs="Times New Roman"/>
                <w:color w:val="auto"/>
                <w:spacing w:val="0"/>
                <w:w w:val="100"/>
                <w:position w:val="0"/>
                <w:sz w:val="24"/>
                <w:szCs w:val="24"/>
                <w:highlight w:val="none"/>
              </w:rPr>
              <w:t>不予批准后再次申报项目</w:t>
            </w:r>
          </w:p>
          <w:p w14:paraId="1D46D696">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left"/>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lang w:eastAsia="zh-CN"/>
              </w:rPr>
              <w:sym w:font="Wingdings 2" w:char="00A3"/>
            </w:r>
            <w:r>
              <w:rPr>
                <w:rFonts w:hint="default" w:ascii="Times New Roman" w:hAnsi="Times New Roman" w:eastAsia="宋体" w:cs="Times New Roman"/>
                <w:color w:val="auto"/>
                <w:spacing w:val="0"/>
                <w:w w:val="100"/>
                <w:position w:val="0"/>
                <w:sz w:val="24"/>
                <w:szCs w:val="24"/>
                <w:highlight w:val="none"/>
              </w:rPr>
              <w:t>超五年重新审核项目</w:t>
            </w:r>
          </w:p>
          <w:p w14:paraId="4263D4B1">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lang w:eastAsia="zh-CN"/>
              </w:rPr>
              <w:sym w:font="Wingdings 2" w:char="00A3"/>
            </w:r>
            <w:r>
              <w:rPr>
                <w:rFonts w:hint="default" w:ascii="Times New Roman" w:hAnsi="Times New Roman" w:eastAsia="宋体" w:cs="Times New Roman"/>
                <w:color w:val="auto"/>
                <w:spacing w:val="0"/>
                <w:w w:val="100"/>
                <w:position w:val="0"/>
                <w:sz w:val="24"/>
                <w:szCs w:val="24"/>
                <w:highlight w:val="none"/>
              </w:rPr>
              <w:t>重大变动重新报批项目</w:t>
            </w:r>
          </w:p>
        </w:tc>
      </w:tr>
      <w:tr w14:paraId="45357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97" w:type="pct"/>
            <w:tcBorders>
              <w:tl2br w:val="nil"/>
              <w:tr2bl w:val="nil"/>
            </w:tcBorders>
            <w:noWrap w:val="0"/>
            <w:tcMar>
              <w:top w:w="16" w:type="dxa"/>
              <w:left w:w="16" w:type="dxa"/>
              <w:right w:w="16" w:type="dxa"/>
            </w:tcMar>
            <w:vAlign w:val="center"/>
          </w:tcPr>
          <w:p w14:paraId="34682FA7">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项目审批（核准/备案）部门（选填）</w:t>
            </w:r>
          </w:p>
        </w:tc>
        <w:tc>
          <w:tcPr>
            <w:tcW w:w="1117" w:type="pct"/>
            <w:tcBorders>
              <w:tl2br w:val="nil"/>
              <w:tr2bl w:val="nil"/>
            </w:tcBorders>
            <w:noWrap w:val="0"/>
            <w:vAlign w:val="center"/>
          </w:tcPr>
          <w:p w14:paraId="07259380">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szCs w:val="24"/>
                <w:highlight w:val="none"/>
                <w:lang w:val="en-US" w:eastAsia="zh-CN"/>
              </w:rPr>
              <w:t>昌吉回族自治州水利局</w:t>
            </w:r>
          </w:p>
        </w:tc>
        <w:tc>
          <w:tcPr>
            <w:tcW w:w="931" w:type="pct"/>
            <w:tcBorders>
              <w:tl2br w:val="nil"/>
              <w:tr2bl w:val="nil"/>
            </w:tcBorders>
            <w:noWrap w:val="0"/>
            <w:vAlign w:val="center"/>
          </w:tcPr>
          <w:p w14:paraId="1FE9F6A6">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szCs w:val="24"/>
                <w:highlight w:val="none"/>
                <w:lang w:val="en-US" w:eastAsia="zh-CN"/>
              </w:rPr>
              <w:t>项目审批（核准/备案）文号（选填）</w:t>
            </w:r>
          </w:p>
        </w:tc>
        <w:tc>
          <w:tcPr>
            <w:tcW w:w="1753" w:type="pct"/>
            <w:tcBorders>
              <w:tl2br w:val="nil"/>
              <w:tr2bl w:val="nil"/>
            </w:tcBorders>
            <w:noWrap w:val="0"/>
            <w:vAlign w:val="center"/>
          </w:tcPr>
          <w:p w14:paraId="39AE32FD">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szCs w:val="24"/>
                <w:highlight w:val="none"/>
                <w:lang w:val="en-US" w:eastAsia="zh-CN"/>
              </w:rPr>
              <w:t>昌州水字〔2024〕206号</w:t>
            </w:r>
          </w:p>
        </w:tc>
      </w:tr>
      <w:tr w14:paraId="532AE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3" w:hRule="exact"/>
          <w:jc w:val="center"/>
        </w:trPr>
        <w:tc>
          <w:tcPr>
            <w:tcW w:w="1197" w:type="pct"/>
            <w:tcBorders>
              <w:tl2br w:val="nil"/>
              <w:tr2bl w:val="nil"/>
            </w:tcBorders>
            <w:noWrap w:val="0"/>
            <w:tcMar>
              <w:top w:w="16" w:type="dxa"/>
              <w:left w:w="16" w:type="dxa"/>
              <w:right w:w="16" w:type="dxa"/>
            </w:tcMar>
            <w:vAlign w:val="center"/>
          </w:tcPr>
          <w:p w14:paraId="716B0ABE">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总投资（万元）</w:t>
            </w:r>
          </w:p>
        </w:tc>
        <w:tc>
          <w:tcPr>
            <w:tcW w:w="1117" w:type="pct"/>
            <w:tcBorders>
              <w:tl2br w:val="nil"/>
              <w:tr2bl w:val="nil"/>
            </w:tcBorders>
            <w:noWrap w:val="0"/>
            <w:vAlign w:val="center"/>
          </w:tcPr>
          <w:p w14:paraId="7085BACB">
            <w:pPr>
              <w:keepNext w:val="0"/>
              <w:keepLines w:val="0"/>
              <w:pageBreakBefore w:val="0"/>
              <w:widowControl/>
              <w:suppressLineNumbers w:val="0"/>
              <w:shd w:val="clear"/>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cs="Times New Roman"/>
                <w:color w:val="auto"/>
                <w:spacing w:val="0"/>
                <w:w w:val="100"/>
                <w:kern w:val="0"/>
                <w:position w:val="0"/>
                <w:sz w:val="24"/>
                <w:szCs w:val="24"/>
                <w:highlight w:val="none"/>
                <w:lang w:val="en-US" w:eastAsia="zh-CN" w:bidi="ar"/>
              </w:rPr>
              <w:t>5662</w:t>
            </w:r>
          </w:p>
        </w:tc>
        <w:tc>
          <w:tcPr>
            <w:tcW w:w="931" w:type="pct"/>
            <w:tcBorders>
              <w:tl2br w:val="nil"/>
              <w:tr2bl w:val="nil"/>
            </w:tcBorders>
            <w:noWrap w:val="0"/>
            <w:tcMar>
              <w:top w:w="16" w:type="dxa"/>
              <w:left w:w="16" w:type="dxa"/>
              <w:right w:w="16" w:type="dxa"/>
            </w:tcMar>
            <w:vAlign w:val="center"/>
          </w:tcPr>
          <w:p w14:paraId="3261EF54">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环保投资</w:t>
            </w:r>
          </w:p>
          <w:p w14:paraId="5E8C70B1">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（万元）</w:t>
            </w:r>
          </w:p>
        </w:tc>
        <w:tc>
          <w:tcPr>
            <w:tcW w:w="1753" w:type="pct"/>
            <w:tcBorders>
              <w:tl2br w:val="nil"/>
              <w:tr2bl w:val="nil"/>
            </w:tcBorders>
            <w:noWrap w:val="0"/>
            <w:vAlign w:val="center"/>
          </w:tcPr>
          <w:p w14:paraId="2449EB45">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cs="Times New Roman"/>
                <w:color w:val="auto"/>
                <w:spacing w:val="0"/>
                <w:w w:val="100"/>
                <w:position w:val="0"/>
                <w:sz w:val="24"/>
                <w:szCs w:val="24"/>
                <w:highlight w:val="none"/>
                <w:lang w:val="en-US" w:eastAsia="zh-CN"/>
              </w:rPr>
              <w:t>55</w:t>
            </w:r>
          </w:p>
        </w:tc>
      </w:tr>
      <w:tr w14:paraId="577ACC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97" w:type="pct"/>
            <w:tcBorders>
              <w:tl2br w:val="nil"/>
              <w:tr2bl w:val="nil"/>
            </w:tcBorders>
            <w:noWrap w:val="0"/>
            <w:tcMar>
              <w:top w:w="16" w:type="dxa"/>
              <w:left w:w="16" w:type="dxa"/>
              <w:right w:w="16" w:type="dxa"/>
            </w:tcMar>
            <w:vAlign w:val="center"/>
          </w:tcPr>
          <w:p w14:paraId="4280A88E">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环保投资占比（%）</w:t>
            </w:r>
          </w:p>
        </w:tc>
        <w:tc>
          <w:tcPr>
            <w:tcW w:w="1117" w:type="pct"/>
            <w:tcBorders>
              <w:tl2br w:val="nil"/>
              <w:tr2bl w:val="nil"/>
            </w:tcBorders>
            <w:noWrap w:val="0"/>
            <w:vAlign w:val="center"/>
          </w:tcPr>
          <w:p w14:paraId="6457B30E">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cs="Times New Roman"/>
                <w:color w:val="auto"/>
                <w:spacing w:val="0"/>
                <w:w w:val="100"/>
                <w:position w:val="0"/>
                <w:sz w:val="24"/>
                <w:szCs w:val="24"/>
                <w:highlight w:val="none"/>
                <w:lang w:val="en-US" w:eastAsia="zh-CN"/>
              </w:rPr>
              <w:t>0.97%</w:t>
            </w:r>
          </w:p>
        </w:tc>
        <w:tc>
          <w:tcPr>
            <w:tcW w:w="931" w:type="pct"/>
            <w:tcBorders>
              <w:tl2br w:val="nil"/>
              <w:tr2bl w:val="nil"/>
            </w:tcBorders>
            <w:noWrap w:val="0"/>
            <w:tcMar>
              <w:top w:w="16" w:type="dxa"/>
              <w:left w:w="16" w:type="dxa"/>
              <w:right w:w="16" w:type="dxa"/>
            </w:tcMar>
            <w:vAlign w:val="center"/>
          </w:tcPr>
          <w:p w14:paraId="420D62D4">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施工工期</w:t>
            </w:r>
          </w:p>
        </w:tc>
        <w:tc>
          <w:tcPr>
            <w:tcW w:w="1753" w:type="pct"/>
            <w:tcBorders>
              <w:tl2br w:val="nil"/>
              <w:tr2bl w:val="nil"/>
            </w:tcBorders>
            <w:noWrap w:val="0"/>
            <w:vAlign w:val="center"/>
          </w:tcPr>
          <w:p w14:paraId="42C14704">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szCs w:val="24"/>
                <w:highlight w:val="none"/>
                <w:lang w:val="en-US" w:eastAsia="zh-CN"/>
              </w:rPr>
              <w:t>4月</w:t>
            </w:r>
          </w:p>
        </w:tc>
      </w:tr>
      <w:tr w14:paraId="20349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1197" w:type="pct"/>
            <w:tcBorders>
              <w:tl2br w:val="nil"/>
              <w:tr2bl w:val="nil"/>
            </w:tcBorders>
            <w:noWrap w:val="0"/>
            <w:tcMar>
              <w:top w:w="16" w:type="dxa"/>
              <w:left w:w="16" w:type="dxa"/>
              <w:right w:w="16" w:type="dxa"/>
            </w:tcMar>
            <w:vAlign w:val="center"/>
          </w:tcPr>
          <w:p w14:paraId="2B4D0AD2">
            <w:pPr>
              <w:keepNext w:val="0"/>
              <w:keepLines w:val="0"/>
              <w:pageBreakBefore w:val="0"/>
              <w:shd w:val="clear"/>
              <w:kinsoku/>
              <w:wordWrap/>
              <w:overflowPunct/>
              <w:topLinePunct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是否开工建设</w:t>
            </w:r>
          </w:p>
        </w:tc>
        <w:tc>
          <w:tcPr>
            <w:tcW w:w="3802" w:type="pct"/>
            <w:gridSpan w:val="3"/>
            <w:tcBorders>
              <w:tl2br w:val="nil"/>
              <w:tr2bl w:val="nil"/>
            </w:tcBorders>
            <w:noWrap w:val="0"/>
            <w:vAlign w:val="center"/>
          </w:tcPr>
          <w:p w14:paraId="23C67424">
            <w:pPr>
              <w:keepNext w:val="0"/>
              <w:keepLines w:val="0"/>
              <w:pageBreakBefore w:val="0"/>
              <w:shd w:val="clear"/>
              <w:kinsoku/>
              <w:wordWrap/>
              <w:overflowPunct/>
              <w:topLinePunct w:val="0"/>
              <w:bidi w:val="0"/>
              <w:adjustRightInd w:val="0"/>
              <w:snapToGrid w:val="0"/>
              <w:spacing w:beforeAutospacing="0" w:afterAutospacing="0" w:line="360" w:lineRule="auto"/>
              <w:ind w:left="0" w:leftChars="0" w:right="0" w:firstLine="105"/>
              <w:jc w:val="left"/>
              <w:rPr>
                <w:rFonts w:hint="default" w:ascii="Times New Roman" w:hAnsi="Times New Roman" w:eastAsia="宋体" w:cs="Times New Roman"/>
                <w:color w:val="auto"/>
                <w:spacing w:val="0"/>
                <w:w w:val="100"/>
                <w:position w:val="0"/>
                <w:sz w:val="24"/>
                <w:szCs w:val="24"/>
                <w:highlight w:val="none"/>
              </w:rPr>
            </w:pPr>
            <w:r>
              <w:rPr>
                <w:rFonts w:hint="eastAsia" w:cs="Times New Roman"/>
                <w:color w:val="auto"/>
                <w:spacing w:val="0"/>
                <w:w w:val="100"/>
                <w:position w:val="0"/>
                <w:sz w:val="24"/>
                <w:szCs w:val="24"/>
                <w:highlight w:val="none"/>
                <w:lang w:eastAsia="zh-CN"/>
              </w:rPr>
              <w:t>☑</w:t>
            </w:r>
            <w:r>
              <w:rPr>
                <w:rFonts w:hint="default" w:ascii="Times New Roman" w:hAnsi="Times New Roman" w:eastAsia="宋体" w:cs="Times New Roman"/>
                <w:color w:val="auto"/>
                <w:spacing w:val="0"/>
                <w:w w:val="100"/>
                <w:position w:val="0"/>
                <w:sz w:val="24"/>
                <w:szCs w:val="24"/>
                <w:highlight w:val="none"/>
              </w:rPr>
              <w:t>否</w:t>
            </w:r>
          </w:p>
          <w:p w14:paraId="562AE7CA">
            <w:pPr>
              <w:keepNext w:val="0"/>
              <w:keepLines w:val="0"/>
              <w:pageBreakBefore w:val="0"/>
              <w:shd w:val="clear"/>
              <w:kinsoku/>
              <w:wordWrap/>
              <w:overflowPunct/>
              <w:topLinePunct w:val="0"/>
              <w:bidi w:val="0"/>
              <w:adjustRightInd w:val="0"/>
              <w:snapToGrid w:val="0"/>
              <w:spacing w:beforeAutospacing="0" w:afterAutospacing="0" w:line="360" w:lineRule="auto"/>
              <w:ind w:left="0" w:leftChars="0" w:right="0" w:firstLine="92"/>
              <w:jc w:val="left"/>
              <w:rPr>
                <w:rFonts w:hint="default" w:ascii="Times New Roman" w:hAnsi="Times New Roman" w:eastAsia="宋体" w:cs="Times New Roman"/>
                <w:color w:val="auto"/>
                <w:spacing w:val="0"/>
                <w:w w:val="100"/>
                <w:position w:val="0"/>
                <w:sz w:val="24"/>
                <w:szCs w:val="24"/>
                <w:highlight w:val="none"/>
                <w:lang w:val="en-US" w:eastAsia="zh-CN"/>
              </w:rPr>
            </w:pPr>
            <w:r>
              <w:rPr>
                <w:rFonts w:hint="eastAsia" w:cs="Times New Roman"/>
                <w:color w:val="auto"/>
                <w:spacing w:val="0"/>
                <w:w w:val="100"/>
                <w:position w:val="0"/>
                <w:sz w:val="24"/>
                <w:szCs w:val="24"/>
                <w:highlight w:val="none"/>
                <w:lang w:eastAsia="zh-CN"/>
              </w:rPr>
              <w:t>□</w:t>
            </w:r>
            <w:r>
              <w:rPr>
                <w:rFonts w:hint="default" w:ascii="Times New Roman" w:hAnsi="Times New Roman" w:eastAsia="宋体" w:cs="Times New Roman"/>
                <w:color w:val="auto"/>
                <w:spacing w:val="0"/>
                <w:w w:val="100"/>
                <w:position w:val="0"/>
                <w:sz w:val="24"/>
                <w:szCs w:val="24"/>
                <w:highlight w:val="none"/>
              </w:rPr>
              <w:t>是：</w:t>
            </w:r>
          </w:p>
        </w:tc>
      </w:tr>
      <w:tr w14:paraId="07605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1197" w:type="pct"/>
            <w:tcBorders>
              <w:tl2br w:val="nil"/>
              <w:tr2bl w:val="nil"/>
            </w:tcBorders>
            <w:noWrap w:val="0"/>
            <w:tcMar>
              <w:top w:w="16" w:type="dxa"/>
              <w:left w:w="16" w:type="dxa"/>
              <w:right w:w="16" w:type="dxa"/>
            </w:tcMar>
            <w:vAlign w:val="center"/>
          </w:tcPr>
          <w:p w14:paraId="6F087897">
            <w:pPr>
              <w:keepNext w:val="0"/>
              <w:keepLines w:val="0"/>
              <w:pageBreakBefore w:val="0"/>
              <w:shd w:val="clear"/>
              <w:kinsoku/>
              <w:wordWrap/>
              <w:overflowPunct/>
              <w:topLinePunct w:val="0"/>
              <w:autoSpaceDE w:val="0"/>
              <w:autoSpaceDN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kern w:val="0"/>
                <w:position w:val="0"/>
                <w:sz w:val="24"/>
                <w:szCs w:val="24"/>
                <w:highlight w:val="none"/>
              </w:rPr>
            </w:pPr>
            <w:r>
              <w:rPr>
                <w:rFonts w:hint="default" w:ascii="Times New Roman" w:hAnsi="Times New Roman" w:eastAsia="宋体" w:cs="Times New Roman"/>
                <w:color w:val="auto"/>
                <w:spacing w:val="0"/>
                <w:w w:val="100"/>
                <w:kern w:val="0"/>
                <w:position w:val="0"/>
                <w:sz w:val="24"/>
                <w:szCs w:val="24"/>
                <w:highlight w:val="none"/>
              </w:rPr>
              <w:t>专项评价设置情况</w:t>
            </w:r>
          </w:p>
        </w:tc>
        <w:tc>
          <w:tcPr>
            <w:tcW w:w="3802" w:type="pct"/>
            <w:gridSpan w:val="3"/>
            <w:tcBorders>
              <w:tl2br w:val="nil"/>
              <w:tr2bl w:val="nil"/>
            </w:tcBorders>
            <w:noWrap w:val="0"/>
            <w:tcMar>
              <w:top w:w="16" w:type="dxa"/>
              <w:left w:w="16" w:type="dxa"/>
              <w:right w:w="16" w:type="dxa"/>
            </w:tcMar>
            <w:vAlign w:val="center"/>
          </w:tcPr>
          <w:p w14:paraId="4415B68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根据《建设项目环境影响报告表编制技术指南(生态影响类)》(试行)中“专项评价设置原则表”，本项目为河湖整治类项目，项目建设内容为综合治理河长12.98km，新建护岸长10.551km(右岸10.551km)，河道清淤疏浚10.551km，新建防洪渠长2.918km，。对照表1-1</w:t>
            </w:r>
            <w:r>
              <w:rPr>
                <w:rFonts w:hint="eastAsia" w:ascii="Times New Roman" w:hAnsi="Times New Roman" w:cs="Times New Roman"/>
                <w:color w:val="auto"/>
                <w:kern w:val="0"/>
                <w:sz w:val="24"/>
                <w:szCs w:val="24"/>
                <w:lang w:val="en-US" w:eastAsia="zh-CN"/>
              </w:rPr>
              <w:t>，</w:t>
            </w:r>
            <w:r>
              <w:rPr>
                <w:rFonts w:hint="default" w:ascii="Times New Roman" w:hAnsi="Times New Roman" w:eastAsia="宋体" w:cs="Times New Roman"/>
                <w:color w:val="auto"/>
                <w:kern w:val="0"/>
                <w:sz w:val="24"/>
                <w:szCs w:val="24"/>
                <w:lang w:val="en-US" w:eastAsia="zh-CN"/>
              </w:rPr>
              <w:t>本项目</w:t>
            </w:r>
            <w:r>
              <w:rPr>
                <w:rFonts w:hint="eastAsia" w:ascii="Times New Roman" w:hAnsi="Times New Roman" w:cs="Times New Roman"/>
                <w:color w:val="auto"/>
                <w:kern w:val="0"/>
                <w:sz w:val="24"/>
                <w:szCs w:val="24"/>
                <w:lang w:val="en-US" w:eastAsia="zh-CN"/>
              </w:rPr>
              <w:t>不涉及</w:t>
            </w:r>
            <w:r>
              <w:rPr>
                <w:rFonts w:hint="default" w:ascii="Times New Roman" w:hAnsi="Times New Roman" w:eastAsia="宋体" w:cs="Times New Roman"/>
                <w:color w:val="auto"/>
                <w:kern w:val="0"/>
                <w:sz w:val="24"/>
                <w:szCs w:val="24"/>
                <w:lang w:val="en-US" w:eastAsia="zh-CN"/>
              </w:rPr>
              <w:t>专项评价。</w:t>
            </w:r>
          </w:p>
          <w:p w14:paraId="6B8DB3A4">
            <w:pPr>
              <w:pStyle w:val="39"/>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表1-1  专项评价设置原则对照一览表</w:t>
            </w:r>
          </w:p>
          <w:tbl>
            <w:tblPr>
              <w:tblStyle w:val="32"/>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408"/>
              <w:gridCol w:w="2116"/>
              <w:gridCol w:w="907"/>
            </w:tblGrid>
            <w:tr w14:paraId="257A2B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tcBorders>
                    <w:bottom w:val="single" w:color="auto" w:sz="12" w:space="0"/>
                  </w:tcBorders>
                  <w:noWrap w:val="0"/>
                  <w:vAlign w:val="center"/>
                </w:tcPr>
                <w:p w14:paraId="11708D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专项评价内容</w:t>
                  </w:r>
                </w:p>
              </w:tc>
              <w:tc>
                <w:tcPr>
                  <w:tcW w:w="1916" w:type="pct"/>
                  <w:tcBorders>
                    <w:bottom w:val="single" w:color="auto" w:sz="12" w:space="0"/>
                  </w:tcBorders>
                  <w:noWrap w:val="0"/>
                  <w:vAlign w:val="center"/>
                </w:tcPr>
                <w:p w14:paraId="0374D7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设置原则</w:t>
                  </w:r>
                </w:p>
              </w:tc>
              <w:tc>
                <w:tcPr>
                  <w:tcW w:w="1684" w:type="pct"/>
                  <w:tcBorders>
                    <w:bottom w:val="single" w:color="auto" w:sz="12" w:space="0"/>
                  </w:tcBorders>
                  <w:noWrap w:val="0"/>
                  <w:vAlign w:val="center"/>
                </w:tcPr>
                <w:p w14:paraId="4C982D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本项目</w:t>
                  </w:r>
                </w:p>
              </w:tc>
              <w:tc>
                <w:tcPr>
                  <w:tcW w:w="722" w:type="pct"/>
                  <w:tcBorders>
                    <w:bottom w:val="single" w:color="auto" w:sz="12" w:space="0"/>
                  </w:tcBorders>
                  <w:noWrap w:val="0"/>
                  <w:vAlign w:val="center"/>
                </w:tcPr>
                <w:p w14:paraId="516A25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是否设置专项评价</w:t>
                  </w:r>
                </w:p>
              </w:tc>
            </w:tr>
            <w:tr w14:paraId="7493C8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tcBorders>
                    <w:top w:val="single" w:color="auto" w:sz="12" w:space="0"/>
                    <w:tl2br w:val="nil"/>
                    <w:tr2bl w:val="nil"/>
                  </w:tcBorders>
                  <w:noWrap w:val="0"/>
                  <w:vAlign w:val="center"/>
                </w:tcPr>
                <w:p w14:paraId="69DC41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地表水</w:t>
                  </w:r>
                </w:p>
              </w:tc>
              <w:tc>
                <w:tcPr>
                  <w:tcW w:w="1916" w:type="pct"/>
                  <w:tcBorders>
                    <w:top w:val="single" w:color="auto" w:sz="12" w:space="0"/>
                    <w:tl2br w:val="nil"/>
                    <w:tr2bl w:val="nil"/>
                  </w:tcBorders>
                  <w:noWrap w:val="0"/>
                  <w:vAlign w:val="center"/>
                </w:tcPr>
                <w:p w14:paraId="7B2A15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水力发电：引水式发电、涉及调峰发电的项目；</w:t>
                  </w:r>
                </w:p>
                <w:p w14:paraId="5AA9D40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人工湖、人工湿地：全部；</w:t>
                  </w:r>
                </w:p>
                <w:p w14:paraId="76AAE7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水库：全部；</w:t>
                  </w:r>
                </w:p>
                <w:p w14:paraId="0A2A9C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引水工程：全部（配套的管线工程等除外）；</w:t>
                  </w:r>
                </w:p>
                <w:p w14:paraId="61C056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防洪除涝工程：包含水库的项目；</w:t>
                  </w:r>
                </w:p>
                <w:p w14:paraId="01ACED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河湖整治：涉及清淤且底泥存在重金属污染的项目</w:t>
                  </w:r>
                </w:p>
              </w:tc>
              <w:tc>
                <w:tcPr>
                  <w:tcW w:w="1684" w:type="pct"/>
                  <w:tcBorders>
                    <w:top w:val="single" w:color="auto" w:sz="12" w:space="0"/>
                    <w:tl2br w:val="nil"/>
                    <w:tr2bl w:val="nil"/>
                  </w:tcBorders>
                  <w:noWrap w:val="0"/>
                  <w:vAlign w:val="center"/>
                </w:tcPr>
                <w:p w14:paraId="400D3756">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240" w:lineRule="auto"/>
                    <w:ind w:right="0"/>
                    <w:jc w:val="both"/>
                    <w:textAlignment w:val="auto"/>
                    <w:rPr>
                      <w:rFonts w:hint="default" w:ascii="宋体" w:hAnsi="宋体" w:eastAsia="宋体" w:cs="宋体"/>
                      <w:color w:val="auto"/>
                      <w:sz w:val="21"/>
                      <w:szCs w:val="21"/>
                      <w:vertAlign w:val="baseline"/>
                      <w:lang w:val="en-US" w:eastAsia="zh-CN"/>
                    </w:rPr>
                  </w:pPr>
                  <w:r>
                    <w:rPr>
                      <w:rFonts w:hint="eastAsia" w:ascii="Times New Roman" w:hAnsi="Times New Roman" w:eastAsia="宋体" w:cs="Times New Roman"/>
                      <w:b w:val="0"/>
                      <w:bCs w:val="0"/>
                      <w:color w:val="0000FF"/>
                      <w:spacing w:val="0"/>
                      <w:kern w:val="0"/>
                      <w:position w:val="0"/>
                      <w:sz w:val="21"/>
                      <w:szCs w:val="21"/>
                      <w:highlight w:val="none"/>
                      <w:lang w:val="en-US" w:eastAsia="zh-CN"/>
                    </w:rPr>
                    <w:t>本项目</w:t>
                  </w:r>
                  <w:r>
                    <w:rPr>
                      <w:rFonts w:hint="eastAsia" w:ascii="宋体" w:hAnsi="宋体" w:cs="宋体"/>
                      <w:color w:val="auto"/>
                      <w:sz w:val="21"/>
                      <w:szCs w:val="21"/>
                      <w:vertAlign w:val="baseline"/>
                      <w:lang w:val="en-US" w:eastAsia="zh-CN"/>
                    </w:rPr>
                    <w:t>仅清除河道垃圾及修建护岸，不涉及</w:t>
                  </w:r>
                  <w:r>
                    <w:rPr>
                      <w:rFonts w:hint="eastAsia" w:ascii="宋体" w:hAnsi="宋体" w:eastAsia="宋体" w:cs="宋体"/>
                      <w:color w:val="auto"/>
                      <w:sz w:val="21"/>
                      <w:szCs w:val="21"/>
                      <w:vertAlign w:val="baseline"/>
                      <w:lang w:val="en-US" w:eastAsia="zh-CN"/>
                    </w:rPr>
                    <w:t>重金属污染</w:t>
                  </w:r>
                  <w:r>
                    <w:rPr>
                      <w:rFonts w:hint="eastAsia" w:ascii="宋体" w:hAnsi="宋体" w:cs="宋体"/>
                      <w:color w:val="auto"/>
                      <w:sz w:val="21"/>
                      <w:szCs w:val="21"/>
                      <w:vertAlign w:val="baseline"/>
                      <w:lang w:val="en-US" w:eastAsia="zh-CN"/>
                    </w:rPr>
                    <w:t>的土壤治理及修复。</w:t>
                  </w:r>
                </w:p>
              </w:tc>
              <w:tc>
                <w:tcPr>
                  <w:tcW w:w="722" w:type="pct"/>
                  <w:tcBorders>
                    <w:top w:val="single" w:color="auto" w:sz="12" w:space="0"/>
                    <w:tl2br w:val="nil"/>
                    <w:tr2bl w:val="nil"/>
                  </w:tcBorders>
                  <w:noWrap w:val="0"/>
                  <w:vAlign w:val="center"/>
                </w:tcPr>
                <w:p w14:paraId="5A54BF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否</w:t>
                  </w:r>
                </w:p>
              </w:tc>
            </w:tr>
            <w:tr w14:paraId="755DAC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tcBorders>
                    <w:tl2br w:val="nil"/>
                    <w:tr2bl w:val="nil"/>
                  </w:tcBorders>
                  <w:noWrap w:val="0"/>
                  <w:vAlign w:val="center"/>
                </w:tcPr>
                <w:p w14:paraId="382064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地下水</w:t>
                  </w:r>
                </w:p>
              </w:tc>
              <w:tc>
                <w:tcPr>
                  <w:tcW w:w="1916" w:type="pct"/>
                  <w:tcBorders>
                    <w:tl2br w:val="nil"/>
                    <w:tr2bl w:val="nil"/>
                  </w:tcBorders>
                  <w:noWrap w:val="0"/>
                  <w:vAlign w:val="center"/>
                </w:tcPr>
                <w:p w14:paraId="5CF47C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陆地石油和天然气开采：全部；</w:t>
                  </w:r>
                </w:p>
                <w:p w14:paraId="69CDCC3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地下水（含矿泉水）开采：全部；</w:t>
                  </w:r>
                </w:p>
                <w:p w14:paraId="381598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水利、水电、交通等：含穿越可溶岩地层隧道的项目</w:t>
                  </w:r>
                </w:p>
              </w:tc>
              <w:tc>
                <w:tcPr>
                  <w:tcW w:w="1684" w:type="pct"/>
                  <w:tcBorders>
                    <w:tl2br w:val="nil"/>
                    <w:tr2bl w:val="nil"/>
                  </w:tcBorders>
                  <w:noWrap w:val="0"/>
                  <w:vAlign w:val="center"/>
                </w:tcPr>
                <w:p w14:paraId="7F5526D1">
                  <w:pPr>
                    <w:keepNext w:val="0"/>
                    <w:keepLines w:val="0"/>
                    <w:widowControl/>
                    <w:suppressLineNumbers w:val="0"/>
                    <w:spacing w:line="240" w:lineRule="auto"/>
                    <w:jc w:val="left"/>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本项目不涉及</w:t>
                  </w:r>
                  <w:r>
                    <w:rPr>
                      <w:rFonts w:hint="eastAsia" w:ascii="宋体" w:hAnsi="宋体" w:eastAsia="宋体" w:cs="宋体"/>
                      <w:color w:val="auto"/>
                      <w:sz w:val="21"/>
                      <w:szCs w:val="21"/>
                      <w:vertAlign w:val="baseline"/>
                      <w:lang w:val="en-US" w:eastAsia="zh-CN"/>
                    </w:rPr>
                    <w:t>穿越可溶岩地层隧道</w:t>
                  </w:r>
                </w:p>
              </w:tc>
              <w:tc>
                <w:tcPr>
                  <w:tcW w:w="722" w:type="pct"/>
                  <w:tcBorders>
                    <w:tl2br w:val="nil"/>
                    <w:tr2bl w:val="nil"/>
                  </w:tcBorders>
                  <w:noWrap w:val="0"/>
                  <w:vAlign w:val="center"/>
                </w:tcPr>
                <w:p w14:paraId="5C0276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否</w:t>
                  </w:r>
                </w:p>
              </w:tc>
            </w:tr>
            <w:tr w14:paraId="249AE2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tcBorders>
                    <w:tl2br w:val="nil"/>
                    <w:tr2bl w:val="nil"/>
                  </w:tcBorders>
                  <w:noWrap w:val="0"/>
                  <w:vAlign w:val="center"/>
                </w:tcPr>
                <w:p w14:paraId="7703F4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生态</w:t>
                  </w:r>
                </w:p>
              </w:tc>
              <w:tc>
                <w:tcPr>
                  <w:tcW w:w="1916" w:type="pct"/>
                  <w:tcBorders>
                    <w:tl2br w:val="nil"/>
                    <w:tr2bl w:val="nil"/>
                  </w:tcBorders>
                  <w:noWrap w:val="0"/>
                  <w:vAlign w:val="center"/>
                </w:tcPr>
                <w:p w14:paraId="2BED91E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涉及环境敏感区（不包括饮用水水源保护区，以居住、医疗卫生、文化教育、科研、行政办公为主要功能的区域，以及文物保护单位）的项目</w:t>
                  </w:r>
                </w:p>
              </w:tc>
              <w:tc>
                <w:tcPr>
                  <w:tcW w:w="1684" w:type="pct"/>
                  <w:tcBorders>
                    <w:tl2br w:val="nil"/>
                    <w:tr2bl w:val="nil"/>
                  </w:tcBorders>
                  <w:noWrap w:val="0"/>
                  <w:vAlign w:val="center"/>
                </w:tcPr>
                <w:p w14:paraId="0CB788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本项目建设范围内不涉及</w:t>
                  </w:r>
                  <w:r>
                    <w:rPr>
                      <w:rFonts w:hint="eastAsia" w:ascii="宋体" w:hAnsi="宋体" w:eastAsia="宋体" w:cs="宋体"/>
                      <w:color w:val="auto"/>
                      <w:sz w:val="21"/>
                      <w:szCs w:val="21"/>
                      <w:vertAlign w:val="baseline"/>
                      <w:lang w:val="en-US" w:eastAsia="zh-CN"/>
                    </w:rPr>
                    <w:t>居住、医疗卫生、文化教育、科研、行政办公为主要功能的区域</w:t>
                  </w:r>
                  <w:r>
                    <w:rPr>
                      <w:rFonts w:hint="eastAsia" w:ascii="宋体" w:hAnsi="宋体" w:cs="宋体"/>
                      <w:color w:val="auto"/>
                      <w:sz w:val="21"/>
                      <w:szCs w:val="21"/>
                      <w:vertAlign w:val="baseline"/>
                      <w:lang w:val="en-US" w:eastAsia="zh-CN"/>
                    </w:rPr>
                    <w:t>。</w:t>
                  </w:r>
                </w:p>
              </w:tc>
              <w:tc>
                <w:tcPr>
                  <w:tcW w:w="722" w:type="pct"/>
                  <w:tcBorders>
                    <w:tl2br w:val="nil"/>
                    <w:tr2bl w:val="nil"/>
                  </w:tcBorders>
                  <w:noWrap w:val="0"/>
                  <w:vAlign w:val="center"/>
                </w:tcPr>
                <w:p w14:paraId="3EB4F8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否</w:t>
                  </w:r>
                </w:p>
              </w:tc>
            </w:tr>
            <w:tr w14:paraId="1180DD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tcBorders>
                    <w:tl2br w:val="nil"/>
                    <w:tr2bl w:val="nil"/>
                  </w:tcBorders>
                  <w:noWrap w:val="0"/>
                  <w:vAlign w:val="center"/>
                </w:tcPr>
                <w:p w14:paraId="0BEAF2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大气</w:t>
                  </w:r>
                </w:p>
              </w:tc>
              <w:tc>
                <w:tcPr>
                  <w:tcW w:w="1916" w:type="pct"/>
                  <w:tcBorders>
                    <w:tl2br w:val="nil"/>
                    <w:tr2bl w:val="nil"/>
                  </w:tcBorders>
                  <w:noWrap w:val="0"/>
                  <w:vAlign w:val="center"/>
                </w:tcPr>
                <w:p w14:paraId="6B7918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油气、液体化工码头：全部；</w:t>
                  </w:r>
                </w:p>
                <w:p w14:paraId="76A8E5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干散货（含煤炭、矿石）、件杂、多用途、通用码头：涉及粉尘、挥发性有机物排放的项目</w:t>
                  </w:r>
                </w:p>
              </w:tc>
              <w:tc>
                <w:tcPr>
                  <w:tcW w:w="1684" w:type="pct"/>
                  <w:tcBorders>
                    <w:tl2br w:val="nil"/>
                    <w:tr2bl w:val="nil"/>
                  </w:tcBorders>
                  <w:noWrap w:val="0"/>
                  <w:vAlign w:val="center"/>
                </w:tcPr>
                <w:p w14:paraId="7FDC96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本项目不涉及码头建设</w:t>
                  </w:r>
                </w:p>
              </w:tc>
              <w:tc>
                <w:tcPr>
                  <w:tcW w:w="722" w:type="pct"/>
                  <w:tcBorders>
                    <w:tl2br w:val="nil"/>
                    <w:tr2bl w:val="nil"/>
                  </w:tcBorders>
                  <w:noWrap w:val="0"/>
                  <w:vAlign w:val="center"/>
                </w:tcPr>
                <w:p w14:paraId="2EB242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否</w:t>
                  </w:r>
                </w:p>
              </w:tc>
            </w:tr>
            <w:tr w14:paraId="56675C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76" w:type="pct"/>
                  <w:tcBorders>
                    <w:tl2br w:val="nil"/>
                    <w:tr2bl w:val="nil"/>
                  </w:tcBorders>
                  <w:noWrap w:val="0"/>
                  <w:vAlign w:val="center"/>
                </w:tcPr>
                <w:p w14:paraId="461C25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噪声</w:t>
                  </w:r>
                </w:p>
              </w:tc>
              <w:tc>
                <w:tcPr>
                  <w:tcW w:w="1916" w:type="pct"/>
                  <w:tcBorders>
                    <w:tl2br w:val="nil"/>
                    <w:tr2bl w:val="nil"/>
                  </w:tcBorders>
                  <w:noWrap w:val="0"/>
                  <w:vAlign w:val="center"/>
                </w:tcPr>
                <w:p w14:paraId="7CE228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公路、铁路、机场等交通运输业涉及环境敏感区（以居住、医疗卫生、文化教育、科研、行政办公为主要功能的区域）的项目；</w:t>
                  </w:r>
                </w:p>
                <w:p w14:paraId="627429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城市道路（不含维护，不含支路、人行天桥、人行地道）：全部</w:t>
                  </w:r>
                </w:p>
              </w:tc>
              <w:tc>
                <w:tcPr>
                  <w:tcW w:w="1684" w:type="pct"/>
                  <w:tcBorders>
                    <w:tl2br w:val="nil"/>
                    <w:tr2bl w:val="nil"/>
                  </w:tcBorders>
                  <w:noWrap w:val="0"/>
                  <w:vAlign w:val="center"/>
                </w:tcPr>
                <w:p w14:paraId="37E2EF72">
                  <w:pPr>
                    <w:keepNext w:val="0"/>
                    <w:keepLines w:val="0"/>
                    <w:widowControl/>
                    <w:suppressLineNumbers w:val="0"/>
                    <w:spacing w:line="240" w:lineRule="auto"/>
                    <w:jc w:val="center"/>
                    <w:rPr>
                      <w:rFonts w:hint="default" w:ascii="宋体" w:hAnsi="宋体" w:eastAsia="宋体" w:cs="宋体"/>
                      <w:color w:val="auto"/>
                      <w:sz w:val="21"/>
                      <w:szCs w:val="21"/>
                      <w:vertAlign w:val="baseline"/>
                      <w:lang w:val="en-US"/>
                    </w:rPr>
                  </w:pPr>
                  <w:r>
                    <w:rPr>
                      <w:rFonts w:hint="eastAsia" w:ascii="宋体" w:hAnsi="宋体" w:cs="宋体"/>
                      <w:color w:val="auto"/>
                      <w:sz w:val="21"/>
                      <w:szCs w:val="21"/>
                      <w:vertAlign w:val="baseline"/>
                      <w:lang w:val="en-US" w:eastAsia="zh-CN"/>
                    </w:rPr>
                    <w:t>本项目不涉及</w:t>
                  </w:r>
                  <w:r>
                    <w:rPr>
                      <w:rFonts w:hint="eastAsia" w:ascii="宋体" w:hAnsi="宋体" w:eastAsia="宋体" w:cs="宋体"/>
                      <w:color w:val="auto"/>
                      <w:sz w:val="21"/>
                      <w:szCs w:val="21"/>
                      <w:vertAlign w:val="baseline"/>
                      <w:lang w:val="en-US" w:eastAsia="zh-CN"/>
                    </w:rPr>
                    <w:t>公路、铁路、机场</w:t>
                  </w:r>
                  <w:r>
                    <w:rPr>
                      <w:rFonts w:hint="eastAsia" w:ascii="宋体" w:hAnsi="宋体" w:cs="宋体"/>
                      <w:color w:val="auto"/>
                      <w:sz w:val="21"/>
                      <w:szCs w:val="21"/>
                      <w:vertAlign w:val="baseline"/>
                      <w:lang w:val="en-US" w:eastAsia="zh-CN"/>
                    </w:rPr>
                    <w:t>、城市道路等建设。</w:t>
                  </w:r>
                </w:p>
              </w:tc>
              <w:tc>
                <w:tcPr>
                  <w:tcW w:w="722" w:type="pct"/>
                  <w:tcBorders>
                    <w:tl2br w:val="nil"/>
                    <w:tr2bl w:val="nil"/>
                  </w:tcBorders>
                  <w:noWrap w:val="0"/>
                  <w:vAlign w:val="center"/>
                </w:tcPr>
                <w:p w14:paraId="6F992E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否</w:t>
                  </w:r>
                </w:p>
              </w:tc>
            </w:tr>
            <w:tr w14:paraId="172F39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tcBorders>
                    <w:tl2br w:val="nil"/>
                    <w:tr2bl w:val="nil"/>
                  </w:tcBorders>
                  <w:noWrap w:val="0"/>
                  <w:vAlign w:val="center"/>
                </w:tcPr>
                <w:p w14:paraId="46881C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环境风险</w:t>
                  </w:r>
                </w:p>
              </w:tc>
              <w:tc>
                <w:tcPr>
                  <w:tcW w:w="1916" w:type="pct"/>
                  <w:tcBorders>
                    <w:tl2br w:val="nil"/>
                    <w:tr2bl w:val="nil"/>
                  </w:tcBorders>
                  <w:noWrap w:val="0"/>
                  <w:vAlign w:val="center"/>
                </w:tcPr>
                <w:p w14:paraId="5CC5C9FB">
                  <w:pPr>
                    <w:keepNext w:val="0"/>
                    <w:keepLines w:val="0"/>
                    <w:widowControl/>
                    <w:suppressLineNumbers w:val="0"/>
                    <w:spacing w:line="240" w:lineRule="auto"/>
                    <w:jc w:val="left"/>
                    <w:rPr>
                      <w:rFonts w:hint="eastAsia" w:ascii="宋体" w:hAnsi="宋体" w:eastAsia="宋体" w:cs="宋体"/>
                      <w:color w:val="auto"/>
                      <w:sz w:val="21"/>
                      <w:szCs w:val="21"/>
                      <w:vertAlign w:val="baseline"/>
                    </w:rPr>
                  </w:pPr>
                  <w:r>
                    <w:rPr>
                      <w:rFonts w:hint="eastAsia" w:ascii="宋体" w:hAnsi="宋体" w:eastAsia="宋体" w:cs="宋体"/>
                      <w:color w:val="auto"/>
                      <w:kern w:val="0"/>
                      <w:sz w:val="21"/>
                      <w:szCs w:val="21"/>
                      <w:lang w:val="en-US" w:eastAsia="zh-CN" w:bidi="ar"/>
                    </w:rPr>
                    <w:t>石油和天然气开采：全部；油气、液体化工码头：全部；原油、成品油、天然气管线（不含城镇天然气管线、企业厂区内管线），危险化学品输送管线（不含企业厂区内管线）：全部</w:t>
                  </w:r>
                </w:p>
              </w:tc>
              <w:tc>
                <w:tcPr>
                  <w:tcW w:w="1684" w:type="pct"/>
                  <w:tcBorders>
                    <w:tl2br w:val="nil"/>
                    <w:tr2bl w:val="nil"/>
                  </w:tcBorders>
                  <w:noWrap w:val="0"/>
                  <w:vAlign w:val="center"/>
                </w:tcPr>
                <w:p w14:paraId="061B4E2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vertAlign w:val="baseline"/>
                    </w:rPr>
                  </w:pPr>
                  <w:r>
                    <w:rPr>
                      <w:rFonts w:hint="eastAsia" w:ascii="宋体" w:hAnsi="宋体" w:cs="宋体"/>
                      <w:color w:val="auto"/>
                      <w:sz w:val="21"/>
                      <w:szCs w:val="21"/>
                      <w:vertAlign w:val="baseline"/>
                      <w:lang w:val="en-US" w:eastAsia="zh-CN"/>
                    </w:rPr>
                    <w:t>本项目不涉及</w:t>
                  </w:r>
                  <w:r>
                    <w:rPr>
                      <w:rFonts w:hint="eastAsia" w:ascii="宋体" w:hAnsi="宋体" w:eastAsia="宋体" w:cs="宋体"/>
                      <w:color w:val="auto"/>
                      <w:kern w:val="0"/>
                      <w:sz w:val="21"/>
                      <w:szCs w:val="21"/>
                      <w:lang w:val="en-US" w:eastAsia="zh-CN" w:bidi="ar"/>
                    </w:rPr>
                    <w:t>石油和天然气开采</w:t>
                  </w:r>
                  <w:r>
                    <w:rPr>
                      <w:rFonts w:hint="eastAsia" w:ascii="宋体" w:hAnsi="宋体" w:cs="宋体"/>
                      <w:color w:val="auto"/>
                      <w:kern w:val="0"/>
                      <w:sz w:val="21"/>
                      <w:szCs w:val="21"/>
                      <w:lang w:val="en-US" w:eastAsia="zh-CN" w:bidi="ar"/>
                    </w:rPr>
                    <w:t>、</w:t>
                  </w:r>
                </w:p>
              </w:tc>
              <w:tc>
                <w:tcPr>
                  <w:tcW w:w="722" w:type="pct"/>
                  <w:tcBorders>
                    <w:tl2br w:val="nil"/>
                    <w:tr2bl w:val="nil"/>
                  </w:tcBorders>
                  <w:noWrap w:val="0"/>
                  <w:vAlign w:val="center"/>
                </w:tcPr>
                <w:p w14:paraId="048936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否</w:t>
                  </w:r>
                </w:p>
              </w:tc>
            </w:tr>
          </w:tbl>
          <w:p w14:paraId="29816CE8">
            <w:pPr>
              <w:keepNext w:val="0"/>
              <w:keepLines w:val="0"/>
              <w:pageBreakBefore w:val="0"/>
              <w:shd w:val="clear"/>
              <w:kinsoku/>
              <w:wordWrap/>
              <w:overflowPunct/>
              <w:topLinePunct w:val="0"/>
              <w:autoSpaceDE w:val="0"/>
              <w:autoSpaceDN w:val="0"/>
              <w:bidi w:val="0"/>
              <w:adjustRightInd w:val="0"/>
              <w:snapToGrid w:val="0"/>
              <w:spacing w:beforeAutospacing="0" w:afterAutospacing="0" w:line="240" w:lineRule="auto"/>
              <w:ind w:left="0" w:leftChars="0" w:right="0"/>
              <w:jc w:val="center"/>
              <w:rPr>
                <w:rFonts w:hint="default" w:ascii="Times New Roman" w:hAnsi="Times New Roman" w:eastAsia="宋体" w:cs="Times New Roman"/>
                <w:color w:val="auto"/>
                <w:spacing w:val="0"/>
                <w:w w:val="100"/>
                <w:kern w:val="0"/>
                <w:position w:val="0"/>
                <w:sz w:val="24"/>
                <w:szCs w:val="24"/>
                <w:highlight w:val="none"/>
                <w:lang w:eastAsia="zh-CN"/>
              </w:rPr>
            </w:pPr>
          </w:p>
        </w:tc>
      </w:tr>
      <w:tr w14:paraId="714A3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1197" w:type="pct"/>
            <w:tcBorders>
              <w:tl2br w:val="nil"/>
              <w:tr2bl w:val="nil"/>
            </w:tcBorders>
            <w:noWrap w:val="0"/>
            <w:tcMar>
              <w:top w:w="16" w:type="dxa"/>
              <w:left w:w="16" w:type="dxa"/>
              <w:right w:w="16" w:type="dxa"/>
            </w:tcMar>
            <w:vAlign w:val="center"/>
          </w:tcPr>
          <w:p w14:paraId="44C20917">
            <w:pPr>
              <w:keepNext w:val="0"/>
              <w:keepLines w:val="0"/>
              <w:pageBreakBefore w:val="0"/>
              <w:shd w:val="clear"/>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b/>
                <w:bCs/>
                <w:color w:val="auto"/>
                <w:spacing w:val="0"/>
                <w:w w:val="100"/>
                <w:kern w:val="0"/>
                <w:position w:val="0"/>
                <w:sz w:val="24"/>
                <w:szCs w:val="24"/>
                <w:highlight w:val="none"/>
              </w:rPr>
            </w:pPr>
            <w:r>
              <w:rPr>
                <w:rFonts w:hint="default" w:ascii="Times New Roman" w:hAnsi="Times New Roman" w:eastAsia="宋体" w:cs="Times New Roman"/>
                <w:b/>
                <w:bCs/>
                <w:color w:val="auto"/>
                <w:spacing w:val="0"/>
                <w:w w:val="100"/>
                <w:kern w:val="0"/>
                <w:position w:val="0"/>
                <w:sz w:val="24"/>
                <w:szCs w:val="24"/>
                <w:highlight w:val="none"/>
              </w:rPr>
              <w:t>规划情况</w:t>
            </w:r>
          </w:p>
        </w:tc>
        <w:tc>
          <w:tcPr>
            <w:tcW w:w="3802" w:type="pct"/>
            <w:gridSpan w:val="3"/>
            <w:tcBorders>
              <w:tl2br w:val="nil"/>
              <w:tr2bl w:val="nil"/>
            </w:tcBorders>
            <w:noWrap w:val="0"/>
            <w:tcMar>
              <w:top w:w="16" w:type="dxa"/>
              <w:left w:w="16" w:type="dxa"/>
              <w:right w:w="16" w:type="dxa"/>
            </w:tcMar>
            <w:vAlign w:val="center"/>
          </w:tcPr>
          <w:p w14:paraId="4767C185">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right="0"/>
              <w:jc w:val="both"/>
              <w:textAlignment w:val="auto"/>
              <w:rPr>
                <w:rFonts w:ascii="宋体" w:hAnsi="宋体" w:eastAsia="宋体" w:cs="宋体"/>
                <w:sz w:val="24"/>
                <w:szCs w:val="24"/>
              </w:rPr>
            </w:pPr>
            <w:r>
              <w:rPr>
                <w:rFonts w:hint="eastAsia" w:ascii="宋体" w:hAnsi="宋体" w:cs="宋体"/>
                <w:b/>
                <w:bCs/>
                <w:color w:val="000000"/>
                <w:kern w:val="0"/>
                <w:sz w:val="24"/>
                <w:szCs w:val="24"/>
                <w:lang w:val="en-US" w:eastAsia="zh-CN" w:bidi="ar"/>
              </w:rPr>
              <w:t>规划名称：</w:t>
            </w:r>
            <w:r>
              <w:rPr>
                <w:rFonts w:ascii="宋体" w:hAnsi="宋体" w:eastAsia="宋体" w:cs="宋体"/>
                <w:sz w:val="24"/>
                <w:szCs w:val="24"/>
              </w:rPr>
              <w:t>《昌吉回族自治州“十四五”水利发展(水安全保障)规划》</w:t>
            </w:r>
          </w:p>
          <w:p w14:paraId="26A6D7C8">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right="0"/>
              <w:jc w:val="both"/>
              <w:textAlignment w:val="auto"/>
              <w:rPr>
                <w:rFonts w:hint="default" w:ascii="Times New Roman" w:hAnsi="Times New Roman" w:eastAsia="宋体" w:cs="Times New Roman"/>
                <w:b/>
                <w:bCs/>
                <w:color w:val="auto"/>
                <w:spacing w:val="0"/>
                <w:w w:val="100"/>
                <w:kern w:val="0"/>
                <w:position w:val="0"/>
                <w:sz w:val="24"/>
                <w:szCs w:val="24"/>
                <w:highlight w:val="none"/>
                <w:lang w:val="en-US" w:eastAsia="zh-CN"/>
              </w:rPr>
            </w:pPr>
            <w:r>
              <w:rPr>
                <w:rFonts w:ascii="宋体" w:hAnsi="宋体" w:eastAsia="宋体" w:cs="宋体"/>
                <w:b/>
                <w:bCs/>
                <w:sz w:val="24"/>
                <w:szCs w:val="24"/>
              </w:rPr>
              <w:t>批复文号：</w:t>
            </w:r>
            <w:r>
              <w:rPr>
                <w:rFonts w:ascii="宋体" w:hAnsi="宋体" w:eastAsia="宋体" w:cs="宋体"/>
                <w:sz w:val="24"/>
                <w:szCs w:val="24"/>
              </w:rPr>
              <w:t>昌州政发〔2022〕5号</w:t>
            </w:r>
          </w:p>
        </w:tc>
      </w:tr>
      <w:tr w14:paraId="39359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97" w:type="pct"/>
            <w:tcBorders>
              <w:tl2br w:val="nil"/>
              <w:tr2bl w:val="nil"/>
            </w:tcBorders>
            <w:noWrap w:val="0"/>
            <w:tcMar>
              <w:top w:w="16" w:type="dxa"/>
              <w:left w:w="16" w:type="dxa"/>
              <w:right w:w="16" w:type="dxa"/>
            </w:tcMar>
            <w:vAlign w:val="center"/>
          </w:tcPr>
          <w:p w14:paraId="168734DC">
            <w:pPr>
              <w:keepNext w:val="0"/>
              <w:keepLines w:val="0"/>
              <w:pageBreakBefore w:val="0"/>
              <w:shd w:val="clear"/>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color w:val="auto"/>
                <w:spacing w:val="0"/>
                <w:w w:val="100"/>
                <w:kern w:val="0"/>
                <w:position w:val="0"/>
                <w:sz w:val="24"/>
                <w:szCs w:val="24"/>
                <w:highlight w:val="none"/>
              </w:rPr>
            </w:pPr>
            <w:r>
              <w:rPr>
                <w:rFonts w:hint="default" w:ascii="Times New Roman" w:hAnsi="Times New Roman" w:eastAsia="宋体" w:cs="Times New Roman"/>
                <w:color w:val="auto"/>
                <w:spacing w:val="0"/>
                <w:w w:val="100"/>
                <w:kern w:val="0"/>
                <w:position w:val="0"/>
                <w:sz w:val="24"/>
                <w:szCs w:val="24"/>
                <w:highlight w:val="none"/>
              </w:rPr>
              <w:t>规划环境影响评价情况</w:t>
            </w:r>
          </w:p>
        </w:tc>
        <w:tc>
          <w:tcPr>
            <w:tcW w:w="3802" w:type="pct"/>
            <w:gridSpan w:val="3"/>
            <w:tcBorders>
              <w:tl2br w:val="nil"/>
              <w:tr2bl w:val="nil"/>
            </w:tcBorders>
            <w:noWrap w:val="0"/>
            <w:tcMar>
              <w:top w:w="16" w:type="dxa"/>
              <w:left w:w="16" w:type="dxa"/>
              <w:right w:w="16" w:type="dxa"/>
            </w:tcMar>
            <w:vAlign w:val="center"/>
          </w:tcPr>
          <w:p w14:paraId="12CED6D7">
            <w:pPr>
              <w:keepNext w:val="0"/>
              <w:keepLines w:val="0"/>
              <w:pageBreakBefore w:val="0"/>
              <w:shd w:val="clear"/>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w w:val="100"/>
                <w:kern w:val="0"/>
                <w:position w:val="0"/>
                <w:sz w:val="24"/>
                <w:szCs w:val="24"/>
                <w:highlight w:val="none"/>
                <w:lang w:val="en-US" w:eastAsia="zh-CN"/>
              </w:rPr>
              <w:t>无</w:t>
            </w:r>
          </w:p>
        </w:tc>
      </w:tr>
      <w:tr w14:paraId="5D01F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97" w:type="pct"/>
            <w:tcBorders>
              <w:tl2br w:val="nil"/>
              <w:tr2bl w:val="nil"/>
            </w:tcBorders>
            <w:noWrap w:val="0"/>
            <w:tcMar>
              <w:top w:w="16" w:type="dxa"/>
              <w:left w:w="16" w:type="dxa"/>
              <w:right w:w="16" w:type="dxa"/>
            </w:tcMar>
            <w:vAlign w:val="center"/>
          </w:tcPr>
          <w:p w14:paraId="16CB040D">
            <w:pPr>
              <w:keepNext w:val="0"/>
              <w:keepLines w:val="0"/>
              <w:pageBreakBefore w:val="0"/>
              <w:shd w:val="clear"/>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color w:val="auto"/>
                <w:spacing w:val="0"/>
                <w:w w:val="100"/>
                <w:kern w:val="0"/>
                <w:position w:val="0"/>
                <w:sz w:val="24"/>
                <w:szCs w:val="24"/>
                <w:highlight w:val="none"/>
              </w:rPr>
            </w:pPr>
            <w:r>
              <w:rPr>
                <w:rFonts w:hint="default" w:ascii="Times New Roman" w:hAnsi="Times New Roman" w:eastAsia="宋体" w:cs="Times New Roman"/>
                <w:color w:val="auto"/>
                <w:spacing w:val="0"/>
                <w:w w:val="100"/>
                <w:kern w:val="0"/>
                <w:position w:val="0"/>
                <w:sz w:val="24"/>
                <w:szCs w:val="24"/>
                <w:highlight w:val="none"/>
              </w:rPr>
              <w:t>规划及规划环境影响评价符合性分析</w:t>
            </w:r>
          </w:p>
        </w:tc>
        <w:tc>
          <w:tcPr>
            <w:tcW w:w="3802" w:type="pct"/>
            <w:gridSpan w:val="3"/>
            <w:tcBorders>
              <w:tl2br w:val="nil"/>
              <w:tr2bl w:val="nil"/>
            </w:tcBorders>
            <w:noWrap w:val="0"/>
            <w:tcMar>
              <w:top w:w="16" w:type="dxa"/>
              <w:left w:w="16" w:type="dxa"/>
              <w:right w:w="16" w:type="dxa"/>
            </w:tcMar>
            <w:vAlign w:val="center"/>
          </w:tcPr>
          <w:p w14:paraId="7E44F657">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right="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与《昌吉回族自治州“十四五”水利发展（水安全保障）规划》的符合性分析</w:t>
            </w:r>
          </w:p>
          <w:p w14:paraId="57E5EBCB">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根据《昌吉回族自治州“十四五"水利发展（水安全保障）规划》中（二）防洪工程存在短板，防汛抗旱减灾体系仍不健全：昌吉州河流、山洪沟众多，治理的河段远远低于需要治理的险工险段，工程建设整体滞后，河流防洪体系不完善。塔西河、呼图壁河、水磨河、开垦河等重要河流防洪设施建设缓慢，已建防洪工程标准较低，部分河段河道不满足行洪要求，存在安全隐患；同时，20余条山洪沟中仅有昌吉市三工滩和阿苇滩等4条得到工程治理，远不能满足山洪灾害防御需求。主要河流和山洪灾害预警预报能力仍有待提升，水文测报体系尚不完善，水文应急监测能力薄弱，抗旱调度系统等有待完善。</w:t>
            </w:r>
          </w:p>
          <w:p w14:paraId="1EA95B8D">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eastAsia" w:ascii="Times New Roman" w:hAnsi="Times New Roman" w:eastAsia="宋体" w:cs="Times New Roman"/>
                <w:b w:val="0"/>
                <w:bCs w:val="0"/>
                <w:color w:val="0000FF"/>
                <w:spacing w:val="0"/>
                <w:kern w:val="0"/>
                <w:position w:val="0"/>
                <w:sz w:val="24"/>
                <w:szCs w:val="24"/>
                <w:highlight w:val="none"/>
                <w:lang w:val="en-US" w:eastAsia="zh-CN"/>
              </w:rPr>
            </w:pPr>
            <w:r>
              <w:rPr>
                <w:rFonts w:hint="eastAsia" w:ascii="Times New Roman" w:hAnsi="Times New Roman" w:eastAsia="宋体" w:cs="Times New Roman"/>
                <w:b w:val="0"/>
                <w:bCs w:val="0"/>
                <w:color w:val="0000FF"/>
                <w:spacing w:val="0"/>
                <w:kern w:val="0"/>
                <w:position w:val="0"/>
                <w:sz w:val="24"/>
                <w:szCs w:val="24"/>
                <w:highlight w:val="none"/>
                <w:lang w:val="en-US" w:eastAsia="zh-CN"/>
              </w:rPr>
              <w:t>本项目建设内容为综合治理河长12.98km，新建护岸长10.551km(右岸10.551km)，河道清淤疏浚10.551km</w:t>
            </w:r>
            <w:r>
              <w:rPr>
                <w:rFonts w:hint="eastAsia" w:cs="Times New Roman"/>
                <w:b w:val="0"/>
                <w:bCs w:val="0"/>
                <w:color w:val="0000FF"/>
                <w:spacing w:val="0"/>
                <w:kern w:val="0"/>
                <w:position w:val="0"/>
                <w:sz w:val="24"/>
                <w:szCs w:val="24"/>
                <w:highlight w:val="none"/>
                <w:lang w:val="en-US" w:eastAsia="zh-CN"/>
              </w:rPr>
              <w:t>，</w:t>
            </w:r>
            <w:r>
              <w:rPr>
                <w:rFonts w:hint="eastAsia" w:ascii="Times New Roman" w:hAnsi="Times New Roman" w:eastAsia="宋体" w:cs="Times New Roman"/>
                <w:b w:val="0"/>
                <w:bCs w:val="0"/>
                <w:color w:val="0000FF"/>
                <w:spacing w:val="0"/>
                <w:kern w:val="0"/>
                <w:position w:val="0"/>
                <w:sz w:val="24"/>
                <w:szCs w:val="24"/>
                <w:highlight w:val="none"/>
                <w:lang w:val="en-US" w:eastAsia="zh-CN"/>
              </w:rPr>
              <w:t>新建防洪渠长2.918km.</w:t>
            </w:r>
          </w:p>
          <w:p w14:paraId="55BC71AC">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eastAsia" w:ascii="Times New Roman" w:hAnsi="Times New Roman" w:eastAsia="宋体" w:cs="Times New Roman"/>
                <w:b w:val="0"/>
                <w:bCs w:val="0"/>
                <w:color w:val="0000FF"/>
                <w:spacing w:val="0"/>
                <w:kern w:val="0"/>
                <w:position w:val="0"/>
                <w:sz w:val="24"/>
                <w:szCs w:val="24"/>
                <w:highlight w:val="none"/>
                <w:lang w:val="en-US" w:eastAsia="zh-CN"/>
              </w:rPr>
            </w:pPr>
            <w:r>
              <w:rPr>
                <w:rFonts w:hint="eastAsia" w:ascii="Times New Roman" w:hAnsi="Times New Roman" w:eastAsia="宋体" w:cs="Times New Roman"/>
                <w:b w:val="0"/>
                <w:bCs w:val="0"/>
                <w:color w:val="0000FF"/>
                <w:spacing w:val="0"/>
                <w:kern w:val="0"/>
                <w:position w:val="0"/>
                <w:sz w:val="24"/>
                <w:szCs w:val="24"/>
                <w:highlight w:val="none"/>
                <w:lang w:val="en-US" w:eastAsia="zh-CN"/>
              </w:rPr>
              <w:t>本次防洪工程任务是保障行洪通道的畅通和保障河道正常行洪能力，保护河道两岸的耕地1.42万亩，居民0.15万人安全，使河道的洪水设防标准由现状的不足5年一遇提高到10年一遇，以满足10年一遇的行洪要求。</w:t>
            </w:r>
          </w:p>
          <w:p w14:paraId="3408A364">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default" w:ascii="Times New Roman" w:hAnsi="Times New Roman" w:eastAsia="宋体" w:cs="Times New Roman"/>
                <w:b w:val="0"/>
                <w:bCs w:val="0"/>
                <w:color w:val="0000FF"/>
                <w:spacing w:val="0"/>
                <w:kern w:val="0"/>
                <w:position w:val="0"/>
                <w:sz w:val="24"/>
                <w:szCs w:val="24"/>
                <w:highlight w:val="none"/>
                <w:lang w:val="en-US" w:eastAsia="zh-CN"/>
              </w:rPr>
            </w:pPr>
            <w:r>
              <w:rPr>
                <w:rFonts w:hint="eastAsia" w:ascii="Times New Roman" w:hAnsi="Times New Roman" w:eastAsia="宋体" w:cs="Times New Roman"/>
                <w:b w:val="0"/>
                <w:bCs w:val="0"/>
                <w:color w:val="0000FF"/>
                <w:spacing w:val="0"/>
                <w:kern w:val="0"/>
                <w:position w:val="0"/>
                <w:sz w:val="24"/>
                <w:szCs w:val="24"/>
                <w:highlight w:val="none"/>
                <w:lang w:val="en-US" w:eastAsia="zh-CN"/>
              </w:rPr>
              <w:t>综上，本项目的建设在</w:t>
            </w:r>
            <w:r>
              <w:rPr>
                <w:rFonts w:hint="eastAsia" w:ascii="宋体" w:hAnsi="宋体" w:eastAsia="宋体" w:cs="宋体"/>
                <w:sz w:val="24"/>
                <w:szCs w:val="24"/>
              </w:rPr>
              <w:t>《昌吉回族自治州“十四五"水利发展（水安全保障）规划》</w:t>
            </w:r>
            <w:r>
              <w:rPr>
                <w:rFonts w:hint="eastAsia" w:ascii="Times New Roman" w:hAnsi="Times New Roman" w:eastAsia="宋体" w:cs="Times New Roman"/>
                <w:b w:val="0"/>
                <w:bCs w:val="0"/>
                <w:color w:val="0000FF"/>
                <w:spacing w:val="0"/>
                <w:kern w:val="0"/>
                <w:position w:val="0"/>
                <w:sz w:val="24"/>
                <w:szCs w:val="24"/>
                <w:highlight w:val="none"/>
                <w:lang w:val="en-US" w:eastAsia="zh-CN"/>
              </w:rPr>
              <w:t>范围内，且项目建设完成后能够</w:t>
            </w:r>
            <w:r>
              <w:rPr>
                <w:rFonts w:hint="eastAsia" w:cs="Times New Roman"/>
                <w:b w:val="0"/>
                <w:bCs w:val="0"/>
                <w:color w:val="0000FF"/>
                <w:spacing w:val="0"/>
                <w:kern w:val="0"/>
                <w:position w:val="0"/>
                <w:sz w:val="24"/>
                <w:szCs w:val="24"/>
                <w:highlight w:val="none"/>
                <w:lang w:val="en-US" w:eastAsia="zh-CN"/>
              </w:rPr>
              <w:t>促进</w:t>
            </w:r>
            <w:r>
              <w:rPr>
                <w:rFonts w:hint="eastAsia" w:ascii="Times New Roman" w:hAnsi="Times New Roman" w:eastAsia="宋体" w:cs="Times New Roman"/>
                <w:b w:val="0"/>
                <w:bCs w:val="0"/>
                <w:color w:val="0000FF"/>
                <w:spacing w:val="0"/>
                <w:kern w:val="0"/>
                <w:position w:val="0"/>
                <w:sz w:val="24"/>
                <w:szCs w:val="24"/>
                <w:highlight w:val="none"/>
                <w:lang w:val="en-US" w:eastAsia="zh-CN"/>
              </w:rPr>
              <w:t>农业灌溉设施、河口生态环境、减少流域水污染、水土流失、洪涝灾害等，促进流域生态环境向良性循环发展。</w:t>
            </w:r>
            <w:r>
              <w:rPr>
                <w:rFonts w:hint="eastAsia" w:cs="Times New Roman"/>
                <w:b w:val="0"/>
                <w:bCs w:val="0"/>
                <w:color w:val="0000FF"/>
                <w:spacing w:val="0"/>
                <w:kern w:val="0"/>
                <w:position w:val="0"/>
                <w:sz w:val="24"/>
                <w:szCs w:val="24"/>
                <w:highlight w:val="none"/>
                <w:lang w:val="en-US" w:eastAsia="zh-CN"/>
              </w:rPr>
              <w:t>因此，本项目的建设与</w:t>
            </w:r>
            <w:r>
              <w:rPr>
                <w:rFonts w:hint="eastAsia" w:ascii="宋体" w:hAnsi="宋体" w:eastAsia="宋体" w:cs="宋体"/>
                <w:sz w:val="24"/>
                <w:szCs w:val="24"/>
              </w:rPr>
              <w:t>《昌吉回族自治州“十四五"水利发展（水安全保障）规划》</w:t>
            </w:r>
            <w:r>
              <w:rPr>
                <w:rFonts w:hint="eastAsia" w:cs="Times New Roman"/>
                <w:b w:val="0"/>
                <w:bCs w:val="0"/>
                <w:color w:val="0000FF"/>
                <w:spacing w:val="0"/>
                <w:kern w:val="0"/>
                <w:position w:val="0"/>
                <w:sz w:val="24"/>
                <w:szCs w:val="24"/>
                <w:highlight w:val="none"/>
                <w:lang w:val="en-US" w:eastAsia="zh-CN"/>
              </w:rPr>
              <w:t>相符。</w:t>
            </w:r>
          </w:p>
        </w:tc>
      </w:tr>
      <w:tr w14:paraId="23D8AD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97" w:type="pct"/>
            <w:tcBorders>
              <w:tl2br w:val="nil"/>
              <w:tr2bl w:val="nil"/>
            </w:tcBorders>
            <w:noWrap w:val="0"/>
            <w:tcMar>
              <w:top w:w="16" w:type="dxa"/>
              <w:left w:w="16" w:type="dxa"/>
              <w:right w:w="16" w:type="dxa"/>
            </w:tcMar>
            <w:vAlign w:val="center"/>
          </w:tcPr>
          <w:p w14:paraId="315ED44A">
            <w:pPr>
              <w:keepNext w:val="0"/>
              <w:keepLines w:val="0"/>
              <w:pageBreakBefore w:val="0"/>
              <w:shd w:val="clear"/>
              <w:kinsoku/>
              <w:wordWrap/>
              <w:overflowPunct/>
              <w:topLinePunct w:val="0"/>
              <w:autoSpaceDE w:val="0"/>
              <w:autoSpaceDN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kern w:val="0"/>
                <w:position w:val="0"/>
                <w:sz w:val="24"/>
                <w:szCs w:val="24"/>
                <w:highlight w:val="none"/>
              </w:rPr>
            </w:pPr>
            <w:bookmarkStart w:id="2" w:name="_Hlk56690880"/>
            <w:r>
              <w:rPr>
                <w:rFonts w:hint="default" w:ascii="Times New Roman" w:hAnsi="Times New Roman" w:eastAsia="宋体" w:cs="Times New Roman"/>
                <w:color w:val="auto"/>
                <w:spacing w:val="0"/>
                <w:w w:val="100"/>
                <w:kern w:val="0"/>
                <w:position w:val="0"/>
                <w:sz w:val="24"/>
                <w:szCs w:val="24"/>
                <w:highlight w:val="none"/>
              </w:rPr>
              <w:t>其他符合性分析</w:t>
            </w:r>
            <w:bookmarkEnd w:id="2"/>
          </w:p>
        </w:tc>
        <w:tc>
          <w:tcPr>
            <w:tcW w:w="3802" w:type="pct"/>
            <w:gridSpan w:val="3"/>
            <w:tcBorders>
              <w:tl2br w:val="nil"/>
              <w:tr2bl w:val="nil"/>
            </w:tcBorders>
            <w:noWrap w:val="0"/>
            <w:tcMar>
              <w:top w:w="16" w:type="dxa"/>
              <w:left w:w="16" w:type="dxa"/>
              <w:right w:w="16" w:type="dxa"/>
            </w:tcMar>
            <w:vAlign w:val="center"/>
          </w:tcPr>
          <w:p w14:paraId="17E64504">
            <w:pPr>
              <w:keepNext w:val="0"/>
              <w:keepLines w:val="0"/>
              <w:pageBreakBefore w:val="0"/>
              <w:shd w:val="clear"/>
              <w:kinsoku/>
              <w:wordWrap/>
              <w:overflowPunct/>
              <w:topLinePunct w:val="0"/>
              <w:autoSpaceDE w:val="0"/>
              <w:autoSpaceDN w:val="0"/>
              <w:bidi w:val="0"/>
              <w:adjustRightInd w:val="0"/>
              <w:snapToGrid w:val="0"/>
              <w:spacing w:beforeAutospacing="0" w:afterAutospacing="0" w:line="360" w:lineRule="auto"/>
              <w:ind w:left="0" w:leftChars="0" w:right="0"/>
              <w:rPr>
                <w:rFonts w:hint="default" w:ascii="Times New Roman" w:hAnsi="Times New Roman" w:eastAsia="宋体" w:cs="Times New Roman"/>
                <w:b/>
                <w:color w:val="auto"/>
                <w:spacing w:val="0"/>
                <w:w w:val="100"/>
                <w:kern w:val="0"/>
                <w:position w:val="0"/>
                <w:sz w:val="24"/>
                <w:szCs w:val="24"/>
                <w:highlight w:val="none"/>
              </w:rPr>
            </w:pPr>
            <w:r>
              <w:rPr>
                <w:rFonts w:hint="default" w:ascii="Times New Roman" w:hAnsi="Times New Roman" w:eastAsia="宋体" w:cs="Times New Roman"/>
                <w:b/>
                <w:color w:val="auto"/>
                <w:spacing w:val="0"/>
                <w:w w:val="100"/>
                <w:kern w:val="0"/>
                <w:position w:val="0"/>
                <w:sz w:val="24"/>
                <w:szCs w:val="24"/>
                <w:highlight w:val="none"/>
                <w:lang w:val="en-US" w:eastAsia="zh-CN"/>
              </w:rPr>
              <w:t>1.产业政策的符合性分析</w:t>
            </w:r>
          </w:p>
          <w:p w14:paraId="45398429">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default" w:ascii="Times New Roman" w:hAnsi="Times New Roman" w:eastAsia="宋体" w:cs="Times New Roman"/>
                <w:b w:val="0"/>
                <w:bCs w:val="0"/>
                <w:color w:val="auto"/>
                <w:spacing w:val="0"/>
                <w:kern w:val="0"/>
                <w:position w:val="0"/>
                <w:sz w:val="24"/>
                <w:szCs w:val="24"/>
                <w:highlight w:val="none"/>
                <w:lang w:val="en-US" w:eastAsia="zh-CN"/>
              </w:rPr>
            </w:pPr>
            <w:r>
              <w:rPr>
                <w:rFonts w:hint="default" w:ascii="Times New Roman" w:hAnsi="Times New Roman" w:eastAsia="宋体" w:cs="Times New Roman"/>
                <w:b w:val="0"/>
                <w:bCs w:val="0"/>
                <w:color w:val="auto"/>
                <w:spacing w:val="0"/>
                <w:kern w:val="0"/>
                <w:position w:val="0"/>
                <w:sz w:val="24"/>
                <w:szCs w:val="24"/>
                <w:highlight w:val="none"/>
                <w:lang w:val="en-US" w:eastAsia="zh-CN"/>
              </w:rPr>
              <w:t>本项目</w:t>
            </w:r>
            <w:r>
              <w:rPr>
                <w:rFonts w:hint="default" w:ascii="Times New Roman" w:hAnsi="Times New Roman" w:eastAsia="宋体" w:cs="Times New Roman"/>
                <w:color w:val="auto"/>
                <w:spacing w:val="0"/>
                <w:w w:val="100"/>
                <w:position w:val="0"/>
                <w:sz w:val="24"/>
                <w:szCs w:val="24"/>
                <w:highlight w:val="none"/>
                <w:lang w:eastAsia="zh-CN"/>
              </w:rPr>
              <w:t>河湖整治</w:t>
            </w:r>
            <w:r>
              <w:rPr>
                <w:rFonts w:hint="default" w:ascii="Times New Roman" w:hAnsi="Times New Roman" w:eastAsia="宋体" w:cs="Times New Roman"/>
                <w:color w:val="auto"/>
                <w:spacing w:val="0"/>
                <w:w w:val="100"/>
                <w:position w:val="0"/>
                <w:sz w:val="24"/>
                <w:szCs w:val="24"/>
                <w:highlight w:val="none"/>
              </w:rPr>
              <w:t>工程</w:t>
            </w:r>
            <w:r>
              <w:rPr>
                <w:rFonts w:hint="default" w:ascii="Times New Roman" w:hAnsi="Times New Roman" w:eastAsia="宋体" w:cs="Times New Roman"/>
                <w:b w:val="0"/>
                <w:bCs w:val="0"/>
                <w:color w:val="auto"/>
                <w:spacing w:val="0"/>
                <w:kern w:val="0"/>
                <w:position w:val="0"/>
                <w:sz w:val="24"/>
                <w:szCs w:val="24"/>
                <w:highlight w:val="none"/>
                <w:lang w:val="en-US" w:eastAsia="zh-CN"/>
              </w:rPr>
              <w:t>，对照《产业结构调整指导目录（202</w:t>
            </w:r>
            <w:r>
              <w:rPr>
                <w:rFonts w:hint="default" w:ascii="Times New Roman" w:hAnsi="Times New Roman" w:cs="Times New Roman"/>
                <w:b w:val="0"/>
                <w:bCs w:val="0"/>
                <w:color w:val="auto"/>
                <w:spacing w:val="0"/>
                <w:kern w:val="0"/>
                <w:position w:val="0"/>
                <w:sz w:val="24"/>
                <w:szCs w:val="24"/>
                <w:highlight w:val="none"/>
                <w:lang w:val="en-US" w:eastAsia="zh-CN"/>
              </w:rPr>
              <w:t>4</w:t>
            </w:r>
            <w:r>
              <w:rPr>
                <w:rFonts w:hint="default" w:ascii="Times New Roman" w:hAnsi="Times New Roman" w:eastAsia="宋体" w:cs="Times New Roman"/>
                <w:b w:val="0"/>
                <w:bCs w:val="0"/>
                <w:color w:val="auto"/>
                <w:spacing w:val="0"/>
                <w:kern w:val="0"/>
                <w:position w:val="0"/>
                <w:sz w:val="24"/>
                <w:szCs w:val="24"/>
                <w:highlight w:val="none"/>
                <w:lang w:val="en-US" w:eastAsia="zh-CN"/>
              </w:rPr>
              <w:t>年本）》，本项目属于鼓励类中二“水利”中第</w:t>
            </w:r>
            <w:r>
              <w:rPr>
                <w:rFonts w:hint="default" w:ascii="Times New Roman" w:hAnsi="Times New Roman" w:cs="Times New Roman"/>
                <w:b w:val="0"/>
                <w:bCs w:val="0"/>
                <w:color w:val="auto"/>
                <w:spacing w:val="0"/>
                <w:kern w:val="0"/>
                <w:position w:val="0"/>
                <w:sz w:val="24"/>
                <w:szCs w:val="24"/>
                <w:highlight w:val="none"/>
                <w:lang w:val="en-US" w:eastAsia="zh-CN"/>
              </w:rPr>
              <w:t>3</w:t>
            </w:r>
            <w:r>
              <w:rPr>
                <w:rFonts w:hint="default" w:ascii="Times New Roman" w:hAnsi="Times New Roman" w:eastAsia="宋体" w:cs="Times New Roman"/>
                <w:b w:val="0"/>
                <w:bCs w:val="0"/>
                <w:color w:val="auto"/>
                <w:spacing w:val="0"/>
                <w:kern w:val="0"/>
                <w:position w:val="0"/>
                <w:sz w:val="24"/>
                <w:szCs w:val="24"/>
                <w:highlight w:val="none"/>
                <w:lang w:val="en-US" w:eastAsia="zh-CN"/>
              </w:rPr>
              <w:t>条“3．防洪提升工程：病险水库、水闸除险加固工程，城市积涝预警和防洪工程，水利工程用土工合成材料及新型材料开发制造，水利工程用高性能混凝土复合管道的开发与制造，山洪地质灾害防治工程（山洪地质灾害防治区监测预报预警体系建设及山洪沟、泥石流沟和滑坡治理等），江河湖海堤防建设及河道治理工程，蓄滞洪区建设，江河湖库清淤疏浚工程，堤防隐患排查与修复，出海口门整治工程”，因此，该项目建设符合国家现行的产业政策。</w:t>
            </w:r>
          </w:p>
          <w:p w14:paraId="53E8CAA8">
            <w:pPr>
              <w:keepNext w:val="0"/>
              <w:keepLines w:val="0"/>
              <w:pageBreakBefore w:val="0"/>
              <w:widowControl/>
              <w:suppressLineNumbers w:val="0"/>
              <w:shd w:val="clear"/>
              <w:wordWrap/>
              <w:overflowPunct/>
              <w:topLinePunct w:val="0"/>
              <w:bidi w:val="0"/>
              <w:spacing w:line="360" w:lineRule="auto"/>
              <w:ind w:left="0" w:right="0"/>
              <w:jc w:val="left"/>
              <w:rPr>
                <w:rFonts w:hint="default" w:ascii="Times New Roman" w:hAnsi="Times New Roman" w:eastAsia="宋体" w:cs="Times New Roman"/>
                <w:b/>
                <w:bCs/>
                <w:color w:val="auto"/>
                <w:spacing w:val="0"/>
                <w:w w:val="100"/>
                <w:kern w:val="0"/>
                <w:position w:val="0"/>
                <w:sz w:val="24"/>
                <w:szCs w:val="24"/>
                <w:highlight w:val="none"/>
                <w:lang w:val="en-US" w:eastAsia="zh-CN"/>
              </w:rPr>
            </w:pPr>
            <w:r>
              <w:rPr>
                <w:rFonts w:hint="default" w:ascii="Times New Roman" w:hAnsi="Times New Roman" w:eastAsia="宋体" w:cs="Times New Roman"/>
                <w:b/>
                <w:bCs/>
                <w:color w:val="auto"/>
                <w:spacing w:val="0"/>
                <w:w w:val="100"/>
                <w:kern w:val="0"/>
                <w:position w:val="0"/>
                <w:sz w:val="24"/>
                <w:szCs w:val="24"/>
                <w:highlight w:val="none"/>
                <w:lang w:val="en-US" w:eastAsia="zh-CN"/>
              </w:rPr>
              <w:t>2.项目与</w:t>
            </w:r>
            <w:r>
              <w:rPr>
                <w:rFonts w:hint="default" w:ascii="Times New Roman" w:hAnsi="Times New Roman" w:eastAsia="宋体" w:cs="Times New Roman"/>
                <w:b/>
                <w:bCs/>
                <w:color w:val="auto"/>
                <w:spacing w:val="0"/>
                <w:w w:val="100"/>
                <w:kern w:val="0"/>
                <w:position w:val="0"/>
                <w:sz w:val="24"/>
                <w:szCs w:val="24"/>
                <w:highlight w:val="none"/>
              </w:rPr>
              <w:t>《新疆维吾尔自治区“三线一单”生态环境分区管控方案》</w:t>
            </w:r>
            <w:r>
              <w:rPr>
                <w:rFonts w:hint="default" w:ascii="Times New Roman" w:hAnsi="Times New Roman" w:eastAsia="宋体" w:cs="Times New Roman"/>
                <w:b/>
                <w:bCs/>
                <w:color w:val="auto"/>
                <w:spacing w:val="0"/>
                <w:kern w:val="0"/>
                <w:position w:val="0"/>
                <w:sz w:val="24"/>
                <w:szCs w:val="24"/>
                <w:highlight w:val="none"/>
                <w:lang w:val="en-US" w:eastAsia="zh-CN" w:bidi="ar"/>
              </w:rPr>
              <w:t>（新政发〔2021〕18号）</w:t>
            </w:r>
            <w:r>
              <w:rPr>
                <w:rFonts w:hint="default" w:ascii="Times New Roman" w:hAnsi="Times New Roman" w:eastAsia="宋体" w:cs="Times New Roman"/>
                <w:b/>
                <w:bCs/>
                <w:color w:val="auto"/>
                <w:spacing w:val="0"/>
                <w:w w:val="100"/>
                <w:kern w:val="0"/>
                <w:position w:val="0"/>
                <w:sz w:val="24"/>
                <w:szCs w:val="24"/>
                <w:highlight w:val="none"/>
                <w:lang w:val="en-US" w:eastAsia="zh-CN"/>
              </w:rPr>
              <w:t>的符合性分析：</w:t>
            </w:r>
          </w:p>
          <w:p w14:paraId="178A7766">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right="0"/>
              <w:jc w:val="both"/>
              <w:textAlignment w:val="auto"/>
              <w:rPr>
                <w:rFonts w:hint="default" w:ascii="Times New Roman" w:hAnsi="Times New Roman" w:eastAsia="宋体" w:cs="Times New Roman"/>
                <w:b w:val="0"/>
                <w:bCs w:val="0"/>
                <w:color w:val="auto"/>
                <w:spacing w:val="0"/>
                <w:kern w:val="0"/>
                <w:position w:val="0"/>
                <w:sz w:val="24"/>
                <w:szCs w:val="24"/>
                <w:highlight w:val="none"/>
                <w:lang w:val="en-US" w:eastAsia="zh-CN"/>
              </w:rPr>
            </w:pPr>
            <w:r>
              <w:rPr>
                <w:rFonts w:hint="default" w:ascii="Times New Roman" w:hAnsi="Times New Roman" w:eastAsia="宋体" w:cs="Times New Roman"/>
                <w:b/>
                <w:bCs/>
                <w:color w:val="auto"/>
                <w:spacing w:val="0"/>
                <w:kern w:val="0"/>
                <w:position w:val="0"/>
                <w:sz w:val="24"/>
                <w:szCs w:val="24"/>
                <w:highlight w:val="none"/>
                <w:lang w:val="en-US" w:eastAsia="zh-CN"/>
              </w:rPr>
              <w:t>2.1生态保护红线</w:t>
            </w:r>
          </w:p>
          <w:p w14:paraId="2885C7A9">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default" w:ascii="Times New Roman" w:hAnsi="Times New Roman" w:eastAsia="宋体" w:cs="Times New Roman"/>
                <w:b w:val="0"/>
                <w:bCs w:val="0"/>
                <w:color w:val="auto"/>
                <w:spacing w:val="0"/>
                <w:kern w:val="0"/>
                <w:position w:val="0"/>
                <w:sz w:val="24"/>
                <w:szCs w:val="24"/>
                <w:highlight w:val="none"/>
                <w:lang w:val="en-US" w:eastAsia="zh-CN"/>
              </w:rPr>
            </w:pPr>
            <w:r>
              <w:rPr>
                <w:rFonts w:hint="default" w:ascii="Times New Roman" w:hAnsi="Times New Roman" w:eastAsia="宋体" w:cs="Times New Roman"/>
                <w:bCs/>
                <w:color w:val="auto"/>
                <w:spacing w:val="0"/>
                <w:position w:val="0"/>
                <w:sz w:val="24"/>
                <w:szCs w:val="24"/>
                <w:highlight w:val="none"/>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14:paraId="655F81E5">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default" w:ascii="Times New Roman" w:hAnsi="Times New Roman" w:eastAsia="宋体" w:cs="Times New Roman"/>
                <w:b w:val="0"/>
                <w:bCs w:val="0"/>
                <w:color w:val="auto"/>
                <w:spacing w:val="0"/>
                <w:kern w:val="0"/>
                <w:position w:val="0"/>
                <w:sz w:val="24"/>
                <w:szCs w:val="24"/>
                <w:highlight w:val="none"/>
                <w:lang w:val="en-US" w:eastAsia="zh-CN"/>
              </w:rPr>
            </w:pPr>
            <w:r>
              <w:rPr>
                <w:rFonts w:hint="default" w:ascii="Times New Roman" w:hAnsi="Times New Roman" w:eastAsia="宋体" w:cs="Times New Roman"/>
                <w:bCs/>
                <w:color w:val="auto"/>
                <w:spacing w:val="0"/>
                <w:position w:val="0"/>
                <w:sz w:val="24"/>
                <w:szCs w:val="24"/>
                <w:highlight w:val="none"/>
              </w:rPr>
              <w:t>本项目</w:t>
            </w:r>
            <w:r>
              <w:rPr>
                <w:rFonts w:hint="default" w:ascii="Times New Roman" w:hAnsi="Times New Roman" w:eastAsia="宋体" w:cs="Times New Roman"/>
                <w:bCs/>
                <w:color w:val="auto"/>
                <w:spacing w:val="0"/>
                <w:position w:val="0"/>
                <w:sz w:val="24"/>
                <w:szCs w:val="24"/>
                <w:highlight w:val="none"/>
                <w:lang w:eastAsia="zh-CN"/>
              </w:rPr>
              <w:t>位于</w:t>
            </w:r>
            <w:r>
              <w:rPr>
                <w:rFonts w:hint="default" w:ascii="Times New Roman" w:hAnsi="Times New Roman" w:eastAsia="宋体" w:cs="Times New Roman"/>
                <w:bCs/>
                <w:color w:val="auto"/>
                <w:spacing w:val="0"/>
                <w:position w:val="0"/>
                <w:sz w:val="24"/>
                <w:szCs w:val="24"/>
                <w:highlight w:val="none"/>
              </w:rPr>
              <w:t>新疆维吾尔自治区</w:t>
            </w:r>
            <w:r>
              <w:rPr>
                <w:rFonts w:hint="default" w:ascii="Times New Roman" w:hAnsi="Times New Roman" w:eastAsia="宋体" w:cs="Times New Roman"/>
                <w:bCs/>
                <w:color w:val="auto"/>
                <w:spacing w:val="0"/>
                <w:position w:val="0"/>
                <w:sz w:val="24"/>
                <w:szCs w:val="24"/>
                <w:highlight w:val="none"/>
                <w:lang w:eastAsia="zh-CN"/>
              </w:rPr>
              <w:t>昌吉回族自治州昌吉市</w:t>
            </w:r>
            <w:r>
              <w:rPr>
                <w:rFonts w:hint="default" w:ascii="Times New Roman" w:hAnsi="Times New Roman" w:cs="Times New Roman"/>
                <w:bCs/>
                <w:color w:val="auto"/>
                <w:spacing w:val="0"/>
                <w:position w:val="0"/>
                <w:sz w:val="24"/>
                <w:szCs w:val="24"/>
                <w:highlight w:val="none"/>
                <w:lang w:eastAsia="zh-CN"/>
              </w:rPr>
              <w:t>库尔阿根河</w:t>
            </w:r>
            <w:r>
              <w:rPr>
                <w:rFonts w:hint="default" w:ascii="Times New Roman" w:hAnsi="Times New Roman" w:eastAsia="宋体" w:cs="Times New Roman"/>
                <w:bCs/>
                <w:color w:val="auto"/>
                <w:spacing w:val="0"/>
                <w:position w:val="0"/>
                <w:sz w:val="24"/>
                <w:szCs w:val="24"/>
                <w:highlight w:val="none"/>
                <w:lang w:eastAsia="zh-CN"/>
              </w:rPr>
              <w:t>流域</w:t>
            </w:r>
            <w:r>
              <w:rPr>
                <w:rFonts w:hint="default" w:ascii="Times New Roman" w:hAnsi="Times New Roman" w:eastAsia="宋体" w:cs="Times New Roman"/>
                <w:bCs/>
                <w:color w:val="auto"/>
                <w:spacing w:val="0"/>
                <w:position w:val="0"/>
                <w:sz w:val="24"/>
                <w:szCs w:val="24"/>
                <w:highlight w:val="none"/>
              </w:rPr>
              <w:t>。本</w:t>
            </w:r>
            <w:r>
              <w:rPr>
                <w:rFonts w:hint="default" w:ascii="Times New Roman" w:hAnsi="Times New Roman" w:eastAsia="宋体" w:cs="Times New Roman"/>
                <w:bCs/>
                <w:color w:val="auto"/>
                <w:spacing w:val="0"/>
                <w:position w:val="0"/>
                <w:sz w:val="24"/>
                <w:szCs w:val="24"/>
                <w:highlight w:val="none"/>
                <w:lang w:eastAsia="zh-CN"/>
              </w:rPr>
              <w:t>项目区</w:t>
            </w:r>
            <w:r>
              <w:rPr>
                <w:rFonts w:hint="default" w:ascii="Times New Roman" w:hAnsi="Times New Roman" w:eastAsia="宋体" w:cs="Times New Roman"/>
                <w:bCs/>
                <w:color w:val="auto"/>
                <w:spacing w:val="0"/>
                <w:position w:val="0"/>
                <w:sz w:val="24"/>
                <w:szCs w:val="24"/>
                <w:highlight w:val="none"/>
              </w:rPr>
              <w:t>范围不涉及自然保护区、风景名胜区、基本农田保护区等生态保护目标，不涉及新疆维吾尔自治区生态保护红线，不占用生态保护红线空间。</w:t>
            </w:r>
          </w:p>
          <w:p w14:paraId="0A4E81E6">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right="0"/>
              <w:jc w:val="both"/>
              <w:textAlignment w:val="auto"/>
              <w:rPr>
                <w:rFonts w:hint="default" w:ascii="Times New Roman" w:hAnsi="Times New Roman" w:eastAsia="宋体" w:cs="Times New Roman"/>
                <w:b/>
                <w:bCs/>
                <w:color w:val="auto"/>
                <w:spacing w:val="0"/>
                <w:kern w:val="0"/>
                <w:position w:val="0"/>
                <w:sz w:val="24"/>
                <w:szCs w:val="24"/>
                <w:highlight w:val="none"/>
                <w:lang w:val="en-US" w:eastAsia="zh-CN"/>
              </w:rPr>
            </w:pPr>
            <w:r>
              <w:rPr>
                <w:rFonts w:hint="default" w:ascii="Times New Roman" w:hAnsi="Times New Roman" w:eastAsia="宋体" w:cs="Times New Roman"/>
                <w:b/>
                <w:bCs/>
                <w:color w:val="auto"/>
                <w:spacing w:val="0"/>
                <w:kern w:val="0"/>
                <w:position w:val="0"/>
                <w:sz w:val="24"/>
                <w:szCs w:val="24"/>
                <w:highlight w:val="none"/>
                <w:lang w:val="en-US" w:eastAsia="zh-CN"/>
              </w:rPr>
              <w:t>2.2环境质量底线</w:t>
            </w:r>
          </w:p>
          <w:p w14:paraId="1920E6C4">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default" w:ascii="Times New Roman" w:hAnsi="Times New Roman" w:eastAsia="宋体" w:cs="Times New Roman"/>
                <w:bCs/>
                <w:color w:val="auto"/>
                <w:spacing w:val="0"/>
                <w:position w:val="0"/>
                <w:sz w:val="24"/>
                <w:szCs w:val="24"/>
                <w:highlight w:val="none"/>
                <w:lang w:val="en-US" w:eastAsia="zh-CN"/>
              </w:rPr>
            </w:pPr>
            <w:r>
              <w:rPr>
                <w:rFonts w:hint="default" w:ascii="Times New Roman" w:hAnsi="Times New Roman" w:eastAsia="宋体" w:cs="Times New Roman"/>
                <w:bCs/>
                <w:color w:val="auto"/>
                <w:spacing w:val="0"/>
                <w:position w:val="0"/>
                <w:sz w:val="24"/>
                <w:szCs w:val="24"/>
                <w:highlight w:val="none"/>
              </w:rPr>
              <w:t>环境质量底线是国家和地方设置的大气、水和土壤环境质量目标，也是改善环境质量的基准线。项目环评应对照区域环境质量目标，深入分析预测项目建设对环境质量的影响，强化污染防治措施和污染物排放控制要求。</w:t>
            </w:r>
          </w:p>
          <w:p w14:paraId="4A51D118">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default" w:ascii="Times New Roman" w:hAnsi="Times New Roman" w:eastAsia="宋体" w:cs="Times New Roman"/>
                <w:b w:val="0"/>
                <w:bCs w:val="0"/>
                <w:color w:val="auto"/>
                <w:spacing w:val="0"/>
                <w:kern w:val="0"/>
                <w:position w:val="0"/>
                <w:sz w:val="24"/>
                <w:szCs w:val="24"/>
                <w:highlight w:val="none"/>
                <w:lang w:val="en-US" w:eastAsia="zh-CN"/>
              </w:rPr>
            </w:pPr>
            <w:r>
              <w:rPr>
                <w:rFonts w:hint="default" w:ascii="Times New Roman" w:hAnsi="Times New Roman" w:eastAsia="宋体" w:cs="Times New Roman"/>
                <w:bCs/>
                <w:color w:val="auto"/>
                <w:spacing w:val="0"/>
                <w:position w:val="0"/>
                <w:sz w:val="24"/>
                <w:szCs w:val="24"/>
                <w:highlight w:val="none"/>
              </w:rPr>
              <w:t>本项目所在区域为不达标区。</w:t>
            </w:r>
            <w:r>
              <w:rPr>
                <w:rFonts w:hint="default" w:ascii="Times New Roman" w:hAnsi="Times New Roman" w:eastAsia="宋体" w:cs="Times New Roman"/>
                <w:bCs/>
                <w:color w:val="auto"/>
                <w:spacing w:val="0"/>
                <w:position w:val="0"/>
                <w:sz w:val="24"/>
                <w:szCs w:val="24"/>
                <w:highlight w:val="none"/>
                <w:lang w:eastAsia="zh-CN"/>
              </w:rPr>
              <w:t>PM</w:t>
            </w:r>
            <w:r>
              <w:rPr>
                <w:rFonts w:hint="default" w:ascii="Times New Roman" w:hAnsi="Times New Roman" w:eastAsia="宋体" w:cs="Times New Roman"/>
                <w:bCs/>
                <w:color w:val="auto"/>
                <w:spacing w:val="0"/>
                <w:position w:val="0"/>
                <w:sz w:val="24"/>
                <w:szCs w:val="24"/>
                <w:highlight w:val="none"/>
                <w:vertAlign w:val="subscript"/>
              </w:rPr>
              <w:t>10</w:t>
            </w:r>
            <w:r>
              <w:rPr>
                <w:rFonts w:hint="default" w:ascii="Times New Roman" w:hAnsi="Times New Roman" w:eastAsia="宋体" w:cs="Times New Roman"/>
                <w:bCs/>
                <w:color w:val="auto"/>
                <w:spacing w:val="0"/>
                <w:position w:val="0"/>
                <w:sz w:val="24"/>
                <w:szCs w:val="24"/>
                <w:highlight w:val="none"/>
              </w:rPr>
              <w:t>、</w:t>
            </w:r>
            <w:r>
              <w:rPr>
                <w:rFonts w:hint="default" w:ascii="Times New Roman" w:hAnsi="Times New Roman" w:eastAsia="宋体" w:cs="Times New Roman"/>
                <w:bCs/>
                <w:color w:val="auto"/>
                <w:spacing w:val="0"/>
                <w:position w:val="0"/>
                <w:sz w:val="24"/>
                <w:szCs w:val="24"/>
                <w:highlight w:val="none"/>
                <w:lang w:val="en-US" w:eastAsia="zh-CN"/>
              </w:rPr>
              <w:t>PM</w:t>
            </w:r>
            <w:r>
              <w:rPr>
                <w:rFonts w:hint="default" w:ascii="Times New Roman" w:hAnsi="Times New Roman" w:eastAsia="宋体" w:cs="Times New Roman"/>
                <w:bCs/>
                <w:color w:val="auto"/>
                <w:spacing w:val="0"/>
                <w:position w:val="0"/>
                <w:sz w:val="24"/>
                <w:szCs w:val="24"/>
                <w:highlight w:val="none"/>
                <w:vertAlign w:val="subscript"/>
                <w:lang w:val="en-US" w:eastAsia="zh-CN"/>
              </w:rPr>
              <w:t>2.5</w:t>
            </w:r>
            <w:r>
              <w:rPr>
                <w:rFonts w:hint="default" w:ascii="Times New Roman" w:hAnsi="Times New Roman" w:eastAsia="宋体" w:cs="Times New Roman"/>
                <w:bCs/>
                <w:color w:val="auto"/>
                <w:spacing w:val="0"/>
                <w:position w:val="0"/>
                <w:sz w:val="24"/>
                <w:szCs w:val="24"/>
                <w:highlight w:val="none"/>
              </w:rPr>
              <w:t>超标主要是与当地气候条件和地理位置有关，评价区大气由于受到当地干旱气候的影响，空气中</w:t>
            </w:r>
            <w:r>
              <w:rPr>
                <w:rFonts w:hint="default" w:ascii="Times New Roman" w:hAnsi="Times New Roman" w:eastAsia="宋体" w:cs="Times New Roman"/>
                <w:bCs/>
                <w:color w:val="auto"/>
                <w:spacing w:val="0"/>
                <w:position w:val="0"/>
                <w:sz w:val="24"/>
                <w:szCs w:val="24"/>
                <w:highlight w:val="none"/>
                <w:lang w:val="en-US" w:eastAsia="zh-CN"/>
              </w:rPr>
              <w:t>PM</w:t>
            </w:r>
            <w:r>
              <w:rPr>
                <w:rFonts w:hint="default" w:ascii="Times New Roman" w:hAnsi="Times New Roman" w:eastAsia="宋体" w:cs="Times New Roman"/>
                <w:bCs/>
                <w:color w:val="auto"/>
                <w:spacing w:val="0"/>
                <w:position w:val="0"/>
                <w:sz w:val="24"/>
                <w:szCs w:val="24"/>
                <w:highlight w:val="none"/>
                <w:vertAlign w:val="subscript"/>
                <w:lang w:val="en-US" w:eastAsia="zh-CN"/>
              </w:rPr>
              <w:t>2.5</w:t>
            </w:r>
            <w:r>
              <w:rPr>
                <w:rFonts w:hint="default" w:ascii="Times New Roman" w:hAnsi="Times New Roman" w:eastAsia="宋体" w:cs="Times New Roman"/>
                <w:bCs/>
                <w:color w:val="auto"/>
                <w:spacing w:val="0"/>
                <w:position w:val="0"/>
                <w:sz w:val="24"/>
                <w:szCs w:val="24"/>
                <w:highlight w:val="none"/>
              </w:rPr>
              <w:t>、</w:t>
            </w:r>
            <w:r>
              <w:rPr>
                <w:rFonts w:hint="default" w:ascii="Times New Roman" w:hAnsi="Times New Roman" w:eastAsia="宋体" w:cs="Times New Roman"/>
                <w:bCs/>
                <w:color w:val="auto"/>
                <w:spacing w:val="0"/>
                <w:position w:val="0"/>
                <w:sz w:val="24"/>
                <w:szCs w:val="24"/>
                <w:highlight w:val="none"/>
                <w:lang w:eastAsia="zh-CN"/>
              </w:rPr>
              <w:t>PM</w:t>
            </w:r>
            <w:r>
              <w:rPr>
                <w:rFonts w:hint="default" w:ascii="Times New Roman" w:hAnsi="Times New Roman" w:eastAsia="宋体" w:cs="Times New Roman"/>
                <w:bCs/>
                <w:color w:val="auto"/>
                <w:spacing w:val="0"/>
                <w:position w:val="0"/>
                <w:sz w:val="24"/>
                <w:szCs w:val="24"/>
                <w:highlight w:val="none"/>
                <w:vertAlign w:val="subscript"/>
              </w:rPr>
              <w:t>10</w:t>
            </w:r>
            <w:r>
              <w:rPr>
                <w:rFonts w:hint="default" w:ascii="Times New Roman" w:hAnsi="Times New Roman" w:eastAsia="宋体" w:cs="Times New Roman"/>
                <w:bCs/>
                <w:color w:val="auto"/>
                <w:spacing w:val="0"/>
                <w:position w:val="0"/>
                <w:sz w:val="24"/>
                <w:szCs w:val="24"/>
                <w:highlight w:val="none"/>
              </w:rPr>
              <w:t>的本底值偏高，尤其在沙尘暴和浮尘天气，会出现严重超标。运营期</w:t>
            </w:r>
            <w:r>
              <w:rPr>
                <w:rFonts w:hint="default" w:ascii="Times New Roman" w:hAnsi="Times New Roman" w:eastAsia="宋体" w:cs="Times New Roman"/>
                <w:color w:val="auto"/>
                <w:spacing w:val="0"/>
                <w:position w:val="0"/>
                <w:sz w:val="24"/>
                <w:szCs w:val="24"/>
                <w:highlight w:val="none"/>
              </w:rPr>
              <w:t>无废气、废水、噪声和固废等污染物产生，项目建成后不会突破所在地环境质量底线，因此，项目建设符合环境质量底线要求。</w:t>
            </w:r>
          </w:p>
          <w:p w14:paraId="5091A3F8">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right="0"/>
              <w:jc w:val="both"/>
              <w:textAlignment w:val="auto"/>
              <w:rPr>
                <w:rFonts w:hint="default" w:ascii="Times New Roman" w:hAnsi="Times New Roman" w:eastAsia="宋体" w:cs="Times New Roman"/>
                <w:b w:val="0"/>
                <w:bCs w:val="0"/>
                <w:color w:val="auto"/>
                <w:spacing w:val="0"/>
                <w:kern w:val="0"/>
                <w:position w:val="0"/>
                <w:sz w:val="24"/>
                <w:szCs w:val="24"/>
                <w:highlight w:val="none"/>
                <w:lang w:val="en-US" w:eastAsia="zh-CN"/>
              </w:rPr>
            </w:pPr>
            <w:r>
              <w:rPr>
                <w:rFonts w:hint="default" w:ascii="Times New Roman" w:hAnsi="Times New Roman" w:eastAsia="宋体" w:cs="Times New Roman"/>
                <w:b/>
                <w:bCs/>
                <w:color w:val="auto"/>
                <w:spacing w:val="0"/>
                <w:kern w:val="0"/>
                <w:position w:val="0"/>
                <w:sz w:val="24"/>
                <w:szCs w:val="24"/>
                <w:highlight w:val="none"/>
                <w:lang w:val="en-US" w:eastAsia="zh-CN"/>
              </w:rPr>
              <w:t>2.3资源利用上线</w:t>
            </w:r>
          </w:p>
          <w:p w14:paraId="54D554D1">
            <w:pPr>
              <w:pStyle w:val="64"/>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default" w:ascii="Times New Roman" w:hAnsi="Times New Roman" w:eastAsia="宋体" w:cs="Times New Roman"/>
                <w:color w:val="auto"/>
                <w:spacing w:val="0"/>
                <w:kern w:val="2"/>
                <w:position w:val="0"/>
                <w:sz w:val="24"/>
                <w:szCs w:val="24"/>
                <w:highlight w:val="none"/>
                <w:lang w:val="en-US" w:eastAsia="zh-CN" w:bidi="ar-SA"/>
              </w:rPr>
            </w:pPr>
            <w:r>
              <w:rPr>
                <w:rFonts w:hint="default" w:ascii="Times New Roman" w:hAnsi="Times New Roman" w:eastAsia="宋体" w:cs="Times New Roman"/>
                <w:color w:val="auto"/>
                <w:spacing w:val="0"/>
                <w:kern w:val="2"/>
                <w:position w:val="0"/>
                <w:sz w:val="24"/>
                <w:szCs w:val="24"/>
                <w:highlight w:val="none"/>
                <w:lang w:val="en-US" w:eastAsia="zh-CN" w:bidi="ar-SA"/>
              </w:rPr>
              <w:t>强化节约集约利用，持续提升资源能源利用效率，水资源、土地资源、能源消耗等达到国家、自治区下达的总量和强度控制目标，加快区域低碳发展，积极推动</w:t>
            </w:r>
            <w:r>
              <w:rPr>
                <w:rFonts w:hint="default" w:ascii="Times New Roman" w:hAnsi="Times New Roman" w:eastAsia="宋体" w:cs="Times New Roman"/>
                <w:color w:val="auto"/>
                <w:spacing w:val="0"/>
                <w:highlight w:val="none"/>
                <w:lang w:val="en-US" w:eastAsia="zh-CN"/>
              </w:rPr>
              <w:t>乌鲁木齐市</w:t>
            </w:r>
            <w:r>
              <w:rPr>
                <w:rFonts w:hint="default" w:ascii="Times New Roman" w:hAnsi="Times New Roman" w:eastAsia="宋体" w:cs="Times New Roman"/>
                <w:color w:val="auto"/>
                <w:spacing w:val="0"/>
                <w:kern w:val="2"/>
                <w:position w:val="0"/>
                <w:sz w:val="24"/>
                <w:szCs w:val="24"/>
                <w:highlight w:val="none"/>
                <w:lang w:val="en-US" w:eastAsia="zh-CN" w:bidi="ar-SA"/>
              </w:rPr>
              <w:t>、昌吉市、伊宁市、和田市等4个国家级低碳试点城市发挥低碳试点示范和引领作用。资源是环境的载体，资源利用上线是各区能源、水、土地等资源消耗不得突破的“天花板”。</w:t>
            </w:r>
          </w:p>
          <w:p w14:paraId="295D2D9D">
            <w:pPr>
              <w:pStyle w:val="64"/>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default" w:ascii="Times New Roman" w:hAnsi="Times New Roman" w:eastAsia="宋体" w:cs="Times New Roman"/>
                <w:color w:val="auto"/>
                <w:spacing w:val="0"/>
                <w:kern w:val="2"/>
                <w:position w:val="0"/>
                <w:sz w:val="24"/>
                <w:szCs w:val="24"/>
                <w:highlight w:val="none"/>
                <w:lang w:val="en-US" w:eastAsia="zh-CN" w:bidi="ar-SA"/>
              </w:rPr>
            </w:pPr>
            <w:r>
              <w:rPr>
                <w:rFonts w:hint="default" w:ascii="Times New Roman" w:hAnsi="Times New Roman" w:eastAsia="宋体" w:cs="Times New Roman"/>
                <w:color w:val="auto"/>
                <w:spacing w:val="0"/>
                <w:kern w:val="2"/>
                <w:position w:val="0"/>
                <w:sz w:val="24"/>
                <w:szCs w:val="24"/>
                <w:highlight w:val="none"/>
                <w:lang w:val="en-US" w:eastAsia="zh-CN" w:bidi="ar-SA"/>
              </w:rPr>
              <w:t>本项目属于生态类项目，工程运行期本身并不消耗资源和能源，不产生和排放污染物，不会对项目区环境质量产生影响，区域内用水量相对较少；施工用电自备发电设备，项目的建设不突破资源利用上限要求。符合资源利用上线要求。</w:t>
            </w:r>
          </w:p>
          <w:p w14:paraId="1962E3C8">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right="0"/>
              <w:jc w:val="both"/>
              <w:textAlignment w:val="auto"/>
              <w:rPr>
                <w:rFonts w:hint="default" w:ascii="Times New Roman" w:hAnsi="Times New Roman" w:eastAsia="宋体" w:cs="Times New Roman"/>
                <w:b w:val="0"/>
                <w:bCs w:val="0"/>
                <w:color w:val="auto"/>
                <w:spacing w:val="0"/>
                <w:kern w:val="0"/>
                <w:position w:val="0"/>
                <w:sz w:val="24"/>
                <w:szCs w:val="24"/>
                <w:highlight w:val="none"/>
                <w:lang w:val="en-US" w:eastAsia="zh-CN"/>
              </w:rPr>
            </w:pPr>
            <w:r>
              <w:rPr>
                <w:rFonts w:hint="default" w:ascii="Times New Roman" w:hAnsi="Times New Roman" w:eastAsia="宋体" w:cs="Times New Roman"/>
                <w:b/>
                <w:bCs/>
                <w:color w:val="auto"/>
                <w:spacing w:val="0"/>
                <w:kern w:val="0"/>
                <w:position w:val="0"/>
                <w:sz w:val="24"/>
                <w:szCs w:val="24"/>
                <w:highlight w:val="none"/>
                <w:lang w:val="en-US" w:eastAsia="zh-CN"/>
              </w:rPr>
              <w:t>2.4生态环境准入清单</w:t>
            </w:r>
          </w:p>
          <w:p w14:paraId="6046C549">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default" w:ascii="Times New Roman" w:hAnsi="Times New Roman" w:eastAsia="宋体" w:cs="Times New Roman"/>
                <w:b w:val="0"/>
                <w:bCs w:val="0"/>
                <w:color w:val="auto"/>
                <w:spacing w:val="0"/>
                <w:kern w:val="0"/>
                <w:position w:val="0"/>
                <w:sz w:val="24"/>
                <w:szCs w:val="24"/>
                <w:highlight w:val="none"/>
                <w:lang w:val="en-US" w:eastAsia="zh-CN"/>
              </w:rPr>
            </w:pPr>
            <w:r>
              <w:rPr>
                <w:rFonts w:hint="default" w:ascii="Times New Roman" w:hAnsi="Times New Roman" w:eastAsia="宋体" w:cs="Times New Roman"/>
                <w:bCs/>
                <w:color w:val="auto"/>
                <w:spacing w:val="0"/>
                <w:position w:val="0"/>
                <w:sz w:val="24"/>
                <w:szCs w:val="24"/>
                <w:highlight w:val="none"/>
              </w:rPr>
              <w:t>生态环境准入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14:paraId="5E4970B1">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default" w:ascii="Times New Roman" w:hAnsi="Times New Roman" w:eastAsia="宋体" w:cs="Times New Roman"/>
                <w:bCs/>
                <w:color w:val="auto"/>
                <w:spacing w:val="0"/>
                <w:position w:val="0"/>
                <w:sz w:val="24"/>
                <w:szCs w:val="24"/>
                <w:highlight w:val="none"/>
              </w:rPr>
            </w:pPr>
            <w:r>
              <w:rPr>
                <w:rFonts w:hint="default" w:ascii="Times New Roman" w:hAnsi="Times New Roman" w:eastAsia="宋体" w:cs="Times New Roman"/>
                <w:bCs/>
                <w:color w:val="auto"/>
                <w:spacing w:val="0"/>
                <w:position w:val="0"/>
                <w:sz w:val="24"/>
                <w:szCs w:val="24"/>
                <w:highlight w:val="none"/>
              </w:rPr>
              <w:t>本项目位于新疆维吾尔自治区</w:t>
            </w:r>
            <w:r>
              <w:rPr>
                <w:rFonts w:hint="default" w:ascii="Times New Roman" w:hAnsi="Times New Roman" w:eastAsia="宋体" w:cs="Times New Roman"/>
                <w:bCs/>
                <w:color w:val="auto"/>
                <w:spacing w:val="0"/>
                <w:position w:val="0"/>
                <w:sz w:val="24"/>
                <w:szCs w:val="24"/>
                <w:highlight w:val="none"/>
                <w:lang w:eastAsia="zh-CN"/>
              </w:rPr>
              <w:t>昌吉回族自治州昌吉市</w:t>
            </w:r>
            <w:r>
              <w:rPr>
                <w:rFonts w:hint="default" w:ascii="Times New Roman" w:hAnsi="Times New Roman" w:cs="Times New Roman"/>
                <w:bCs/>
                <w:color w:val="auto"/>
                <w:spacing w:val="0"/>
                <w:position w:val="0"/>
                <w:sz w:val="24"/>
                <w:szCs w:val="24"/>
                <w:highlight w:val="none"/>
                <w:lang w:eastAsia="zh-CN"/>
              </w:rPr>
              <w:t>库尔阿根河</w:t>
            </w:r>
            <w:r>
              <w:rPr>
                <w:rFonts w:hint="default" w:ascii="Times New Roman" w:hAnsi="Times New Roman" w:eastAsia="宋体" w:cs="Times New Roman"/>
                <w:bCs/>
                <w:color w:val="auto"/>
                <w:spacing w:val="0"/>
                <w:position w:val="0"/>
                <w:sz w:val="24"/>
                <w:szCs w:val="24"/>
                <w:highlight w:val="none"/>
                <w:lang w:eastAsia="zh-CN"/>
              </w:rPr>
              <w:t>流域</w:t>
            </w:r>
            <w:r>
              <w:rPr>
                <w:rFonts w:hint="default" w:ascii="Times New Roman" w:hAnsi="Times New Roman" w:eastAsia="宋体" w:cs="Times New Roman"/>
                <w:bCs/>
                <w:color w:val="auto"/>
                <w:spacing w:val="0"/>
                <w:position w:val="0"/>
                <w:sz w:val="24"/>
                <w:szCs w:val="24"/>
                <w:highlight w:val="none"/>
              </w:rPr>
              <w:t>。项目不在《新疆维吾尔自治区28个国家重点生态功能区县（市）产业准入负面清单（试行）》</w:t>
            </w:r>
            <w:r>
              <w:rPr>
                <w:rFonts w:hint="default" w:ascii="Times New Roman" w:hAnsi="Times New Roman" w:eastAsia="宋体" w:cs="Times New Roman"/>
                <w:bCs/>
                <w:color w:val="auto"/>
                <w:spacing w:val="0"/>
                <w:position w:val="0"/>
                <w:sz w:val="24"/>
                <w:szCs w:val="24"/>
                <w:highlight w:val="none"/>
                <w:lang w:eastAsia="zh-CN"/>
              </w:rPr>
              <w:t>和《新疆维吾尔自治区17个新增纳入国家重点生态功能区县（市）产业准入负面清单（试行）》</w:t>
            </w:r>
            <w:r>
              <w:rPr>
                <w:rFonts w:hint="default" w:ascii="Times New Roman" w:hAnsi="Times New Roman" w:eastAsia="宋体" w:cs="Times New Roman"/>
                <w:bCs/>
                <w:color w:val="auto"/>
                <w:spacing w:val="0"/>
                <w:position w:val="0"/>
                <w:sz w:val="24"/>
                <w:szCs w:val="24"/>
                <w:highlight w:val="none"/>
              </w:rPr>
              <w:t>名单内。</w:t>
            </w:r>
          </w:p>
          <w:p w14:paraId="230E9244">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default" w:ascii="Times New Roman" w:hAnsi="Times New Roman" w:eastAsia="宋体" w:cs="Times New Roman"/>
                <w:b w:val="0"/>
                <w:bCs w:val="0"/>
                <w:color w:val="auto"/>
                <w:spacing w:val="0"/>
                <w:kern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rPr>
              <w:t>综上所述，本项目符合《新疆维吾尔自治区“三线一单”生态环境分区管控方案》相关要求。</w:t>
            </w:r>
          </w:p>
          <w:p w14:paraId="0DF68227">
            <w:pPr>
              <w:pStyle w:val="39"/>
              <w:keepNext w:val="0"/>
              <w:keepLines w:val="0"/>
              <w:pageBreakBefore w:val="0"/>
              <w:widowControl w:val="0"/>
              <w:numPr>
                <w:ilvl w:val="0"/>
                <w:numId w:val="0"/>
              </w:numPr>
              <w:shd w:val="clear"/>
              <w:kinsoku/>
              <w:wordWrap/>
              <w:overflowPunct/>
              <w:topLinePunct w:val="0"/>
              <w:autoSpaceDE w:val="0"/>
              <w:autoSpaceDN w:val="0"/>
              <w:bidi w:val="0"/>
              <w:adjustRightInd w:val="0"/>
              <w:spacing w:beforeAutospacing="0" w:afterAutospacing="0" w:line="360" w:lineRule="auto"/>
              <w:ind w:left="0" w:leftChars="0" w:right="0"/>
              <w:jc w:val="left"/>
              <w:rPr>
                <w:rFonts w:hint="default" w:ascii="Times New Roman" w:hAnsi="Times New Roman" w:eastAsia="宋体" w:cs="Times New Roman"/>
                <w:b/>
                <w:bCs/>
                <w:color w:val="auto"/>
                <w:spacing w:val="0"/>
                <w:kern w:val="0"/>
                <w:position w:val="0"/>
                <w:sz w:val="24"/>
                <w:szCs w:val="24"/>
                <w:highlight w:val="none"/>
                <w:lang w:val="en-US" w:eastAsia="zh-CN"/>
              </w:rPr>
            </w:pPr>
            <w:r>
              <w:rPr>
                <w:rFonts w:hint="default" w:ascii="Times New Roman" w:hAnsi="Times New Roman" w:eastAsia="宋体" w:cs="Times New Roman"/>
                <w:b/>
                <w:bCs/>
                <w:color w:val="auto"/>
                <w:spacing w:val="0"/>
                <w:w w:val="100"/>
                <w:kern w:val="0"/>
                <w:position w:val="0"/>
                <w:sz w:val="24"/>
                <w:szCs w:val="24"/>
                <w:highlight w:val="none"/>
                <w:lang w:val="en-US" w:eastAsia="zh-CN"/>
              </w:rPr>
              <w:t>3.</w:t>
            </w:r>
            <w:r>
              <w:rPr>
                <w:rFonts w:hint="default" w:ascii="Times New Roman" w:hAnsi="Times New Roman" w:eastAsia="宋体" w:cs="Times New Roman"/>
                <w:b/>
                <w:bCs/>
                <w:color w:val="auto"/>
                <w:spacing w:val="0"/>
                <w:kern w:val="0"/>
                <w:position w:val="0"/>
                <w:sz w:val="24"/>
                <w:szCs w:val="24"/>
                <w:highlight w:val="none"/>
                <w:lang w:val="en-US" w:eastAsia="zh-CN"/>
              </w:rPr>
              <w:t>与《新疆维吾尔自治区七大片区“三线一单”生态环境分区管控要求》（新环环评发〔2021〕162号）的符合性分析</w:t>
            </w:r>
          </w:p>
          <w:p w14:paraId="5EFD7EBF">
            <w:pPr>
              <w:keepNext w:val="0"/>
              <w:keepLines w:val="0"/>
              <w:pageBreakBefore w:val="0"/>
              <w:widowControl/>
              <w:suppressLineNumbers w:val="0"/>
              <w:shd w:val="clear"/>
              <w:wordWrap/>
              <w:overflowPunct/>
              <w:topLinePunct w:val="0"/>
              <w:bidi w:val="0"/>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kern w:val="0"/>
                <w:position w:val="0"/>
                <w:sz w:val="21"/>
                <w:szCs w:val="21"/>
                <w:highlight w:val="none"/>
                <w:lang w:val="en-US" w:eastAsia="zh-CN" w:bidi="ar"/>
              </w:rPr>
              <w:t>表1-1   新疆维吾尔自治区七大片区“三线一单”符合性分析一览表</w:t>
            </w:r>
          </w:p>
          <w:tbl>
            <w:tblPr>
              <w:tblStyle w:val="91"/>
              <w:tblW w:w="484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32"/>
              <w:gridCol w:w="2770"/>
              <w:gridCol w:w="2092"/>
              <w:gridCol w:w="602"/>
            </w:tblGrid>
            <w:tr w14:paraId="5EF8FE2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789" w:type="pct"/>
                  <w:gridSpan w:val="2"/>
                  <w:tcBorders>
                    <w:bottom w:val="single" w:color="000000" w:sz="12" w:space="0"/>
                  </w:tcBorders>
                  <w:vAlign w:val="center"/>
                </w:tcPr>
                <w:p w14:paraId="2CF46746">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内容</w:t>
                  </w:r>
                </w:p>
              </w:tc>
              <w:tc>
                <w:tcPr>
                  <w:tcW w:w="1716" w:type="pct"/>
                  <w:tcBorders>
                    <w:bottom w:val="single" w:color="000000" w:sz="12" w:space="0"/>
                  </w:tcBorders>
                  <w:vAlign w:val="center"/>
                </w:tcPr>
                <w:p w14:paraId="0BEF2A33">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本项目工程概况</w:t>
                  </w:r>
                </w:p>
              </w:tc>
              <w:tc>
                <w:tcPr>
                  <w:tcW w:w="493" w:type="pct"/>
                  <w:tcBorders>
                    <w:bottom w:val="single" w:color="000000" w:sz="12" w:space="0"/>
                  </w:tcBorders>
                  <w:vAlign w:val="center"/>
                </w:tcPr>
                <w:p w14:paraId="7D4E6CB5">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bCs/>
                      <w:color w:val="auto"/>
                      <w:spacing w:val="0"/>
                      <w:position w:val="0"/>
                      <w:sz w:val="21"/>
                      <w:szCs w:val="21"/>
                      <w:highlight w:val="none"/>
                      <w:lang w:val="en-US" w:eastAsia="zh-CN"/>
                    </w:rPr>
                  </w:pPr>
                  <w:r>
                    <w:rPr>
                      <w:rFonts w:hint="default" w:ascii="Times New Roman" w:hAnsi="Times New Roman" w:eastAsia="宋体" w:cs="Times New Roman"/>
                      <w:b/>
                      <w:bCs/>
                      <w:color w:val="auto"/>
                      <w:spacing w:val="0"/>
                      <w:position w:val="0"/>
                      <w:sz w:val="21"/>
                      <w:szCs w:val="21"/>
                      <w:highlight w:val="none"/>
                    </w:rPr>
                    <w:t>符合</w:t>
                  </w:r>
                  <w:r>
                    <w:rPr>
                      <w:rFonts w:hint="default" w:ascii="Times New Roman" w:hAnsi="Times New Roman" w:eastAsia="宋体" w:cs="Times New Roman"/>
                      <w:b/>
                      <w:bCs/>
                      <w:color w:val="auto"/>
                      <w:spacing w:val="0"/>
                      <w:position w:val="0"/>
                      <w:sz w:val="21"/>
                      <w:szCs w:val="21"/>
                      <w:highlight w:val="none"/>
                      <w:lang w:val="en-US" w:eastAsia="zh-CN"/>
                    </w:rPr>
                    <w:t>性</w:t>
                  </w:r>
                </w:p>
              </w:tc>
            </w:tr>
            <w:tr w14:paraId="08C5293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8" w:type="pct"/>
                  <w:tcBorders>
                    <w:top w:val="single" w:color="000000" w:sz="12" w:space="0"/>
                    <w:tl2br w:val="nil"/>
                    <w:tr2bl w:val="nil"/>
                  </w:tcBorders>
                  <w:vAlign w:val="center"/>
                </w:tcPr>
                <w:p w14:paraId="189F67CA">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空间布局约束</w:t>
                  </w:r>
                </w:p>
              </w:tc>
              <w:tc>
                <w:tcPr>
                  <w:tcW w:w="2271" w:type="pct"/>
                  <w:tcBorders>
                    <w:top w:val="single" w:color="000000" w:sz="12" w:space="0"/>
                    <w:tl2br w:val="nil"/>
                    <w:tr2bl w:val="nil"/>
                  </w:tcBorders>
                  <w:vAlign w:val="center"/>
                </w:tcPr>
                <w:p w14:paraId="54F05321">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严格执行国家、自治区产业政策和环境准入要求，严禁“三高”项目进新疆，坚决遏制“两高”项目盲目发展，不得在水源涵养区、饮用水水源保护区内和河流、湖泊、水库周围建设重化工、涉重金属等工业污染项目。</w:t>
                  </w:r>
                </w:p>
              </w:tc>
              <w:tc>
                <w:tcPr>
                  <w:tcW w:w="1716" w:type="pct"/>
                  <w:tcBorders>
                    <w:top w:val="single" w:color="000000" w:sz="12" w:space="0"/>
                    <w:tl2br w:val="nil"/>
                    <w:tr2bl w:val="nil"/>
                  </w:tcBorders>
                  <w:vAlign w:val="center"/>
                </w:tcPr>
                <w:p w14:paraId="2462B77B">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本项目不涉及高污染、高环境风险产品，不占用耕地，且项目区不涉及水源涵养区、地下水源、饮用水源、各类自然保护区、自然生态良好区、风景名胜区及人口密集区等敏感区域，满足生态保护红线要求。</w:t>
                  </w:r>
                </w:p>
              </w:tc>
              <w:tc>
                <w:tcPr>
                  <w:tcW w:w="493" w:type="pct"/>
                  <w:tcBorders>
                    <w:top w:val="single" w:color="000000" w:sz="12" w:space="0"/>
                    <w:tl2br w:val="nil"/>
                    <w:tr2bl w:val="nil"/>
                  </w:tcBorders>
                  <w:vAlign w:val="center"/>
                </w:tcPr>
                <w:p w14:paraId="4CB8DC7C">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符合</w:t>
                  </w:r>
                </w:p>
              </w:tc>
            </w:tr>
            <w:tr w14:paraId="2D17366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8" w:type="pct"/>
                  <w:tcBorders>
                    <w:tl2br w:val="nil"/>
                    <w:tr2bl w:val="nil"/>
                  </w:tcBorders>
                  <w:vAlign w:val="center"/>
                </w:tcPr>
                <w:p w14:paraId="5EC861FC">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污染物排放管控</w:t>
                  </w:r>
                </w:p>
              </w:tc>
              <w:tc>
                <w:tcPr>
                  <w:tcW w:w="2271" w:type="pct"/>
                  <w:tcBorders>
                    <w:tl2br w:val="nil"/>
                    <w:tr2bl w:val="nil"/>
                  </w:tcBorders>
                  <w:vAlign w:val="center"/>
                </w:tcPr>
                <w:p w14:paraId="32327397">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mc:AlternateContent>
                      <mc:Choice Requires="wps">
                        <w:drawing>
                          <wp:anchor distT="0" distB="0" distL="114300" distR="114300" simplePos="0" relativeHeight="251660288" behindDoc="0" locked="0" layoutInCell="1" allowOverlap="1">
                            <wp:simplePos x="0" y="0"/>
                            <wp:positionH relativeFrom="rightMargin">
                              <wp:posOffset>-897890</wp:posOffset>
                            </wp:positionH>
                            <wp:positionV relativeFrom="topMargin">
                              <wp:posOffset>1217295</wp:posOffset>
                            </wp:positionV>
                            <wp:extent cx="152400" cy="1828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2400" cy="182880"/>
                                    </a:xfrm>
                                    <a:prstGeom prst="rect">
                                      <a:avLst/>
                                    </a:prstGeom>
                                    <a:noFill/>
                                    <a:ln>
                                      <a:noFill/>
                                    </a:ln>
                                  </wps:spPr>
                                  <wps:txbx>
                                    <w:txbxContent>
                                      <w:p w14:paraId="5202C5F9">
                                        <w:pPr>
                                          <w:spacing w:before="20" w:line="228" w:lineRule="auto"/>
                                          <w:ind w:left="20"/>
                                          <w:rPr>
                                            <w:rFonts w:hint="eastAsia" w:ascii="宋体" w:hAnsi="宋体" w:eastAsia="宋体" w:cs="宋体"/>
                                            <w:sz w:val="20"/>
                                            <w:szCs w:val="20"/>
                                            <w:lang w:eastAsia="zh-CN"/>
                                          </w:rPr>
                                        </w:pPr>
                                        <w:r>
                                          <w:rPr>
                                            <w:rFonts w:ascii="宋体" w:hAnsi="宋体" w:eastAsia="宋体" w:cs="宋体"/>
                                            <w:sz w:val="20"/>
                                            <w:szCs w:val="20"/>
                                          </w:rPr>
                                          <w:t>率</w:t>
                                        </w:r>
                                      </w:p>
                                    </w:txbxContent>
                                  </wps:txbx>
                                  <wps:bodyPr lIns="0" tIns="0" rIns="0" bIns="0" upright="1"/>
                                </wps:wsp>
                              </a:graphicData>
                            </a:graphic>
                          </wp:anchor>
                        </w:drawing>
                      </mc:Choice>
                      <mc:Fallback>
                        <w:pict>
                          <v:shape id="_x0000_s1026" o:spid="_x0000_s1026" o:spt="202" type="#_x0000_t202" style="position:absolute;left:0pt;margin-left:67.55pt;margin-top:96.35pt;height:14.4pt;width:12pt;mso-position-horizontal-relative:page;mso-position-vertical-relative:page;z-index:251660288;mso-width-relative:page;mso-height-relative:page;" filled="f" stroked="f" coordsize="21600,21600" o:gfxdata="UEsDBAoAAAAAAIdO4kAAAAAAAAAAAAAAAAAEAAAAZHJzL1BLAwQUAAAACACHTuJAX6CpONsAAAAN&#10;AQAADwAAAGRycy9kb3ducmV2LnhtbE2Py07DMBBF90j8gzVI7FLbUWlpiFMhBCskRBoWLJ3YTazG&#10;4xC7D/6eYQXLmXt050y5vfiRnewcXUAFciGAWeyCcdgr+GhesntgMWk0egxoFXzbCNvq+qrUhQln&#10;rO1pl3pGJRgLrWBIaSo4j91gvY6LMFmkbB9mrxONc8/NrM9U7keeC7HiXjukC4Oe7NNgu8Pu6BU8&#10;fmL97L7e2vd6X7um2Qh8XR2Uur2R4gFYspf0B8OvPqlDRU5tOKKJbFSQyaVcEkvJRq6BEZJJuaZV&#10;qyDPxR3wquT/v6h+AFBLAwQUAAAACACHTuJA/m2Kl7kBAABxAwAADgAAAGRycy9lMm9Eb2MueG1s&#10;rVPBjtMwEL0j8Q+W79RpF1AVNV0JVYuQECAtfIDrOI0l22ON3Sb9AfgDTly48139DsZu04Xlsgcu&#10;znhm/PzeG2d1OzrLDhqjAd/w+aziTHsFrfG7hn/5fPdiyVlM0rfSgtcNP+rIb9fPn62GUOsF9GBb&#10;jYxAfKyH0PA+pVALEVWvnYwzCNpTsQN0MtEWd6JFORC6s2JRVa/FANgGBKVjpOzmXOQXRHwKIHSd&#10;UXoDau+0T2dU1FYmkhR7EyJfF7Zdp1X62HVRJ2YbTkpTWekSird5FeuVrHcoQ2/UhYJ8CoVHmpw0&#10;ni69Qm1kkmyP5h8oZxRChC7NFDhxFlIcIRXz6pE3970Mumghq2O4mh7/H6z6cPiEzLQNv+HMS0cD&#10;P33/dvrx6/TzK7vJ9gwh1tR1H6gvjW9gpEcz5SMls+qxQ5e/pIdRncw9Xs3VY2IqH3q1eFlRRVFp&#10;vlwsl8V88XA4YExvNTiWg4Yjza5YKg/vYyIi1Dq15Ls83Blry/ys/ytBjTkjMvMzwxylcTte5Gyh&#10;PZIa+86Tk/lVTAFOwXYK9gHNric6RXOBpEkUMpdXk0f9575c/PCn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6CpONsAAAANAQAADwAAAAAAAAABACAAAAAiAAAAZHJzL2Rvd25yZXYueG1sUEsB&#10;AhQAFAAAAAgAh07iQP5tipe5AQAAcQMAAA4AAAAAAAAAAQAgAAAAKgEAAGRycy9lMm9Eb2MueG1s&#10;UEsFBgAAAAAGAAYAWQEAAFUFAAAAAA==&#10;">
                            <v:fill on="f" focussize="0,0"/>
                            <v:stroke on="f"/>
                            <v:imagedata o:title=""/>
                            <o:lock v:ext="edit" aspectratio="f"/>
                            <v:textbox inset="0mm,0mm,0mm,0mm">
                              <w:txbxContent>
                                <w:p w14:paraId="5202C5F9">
                                  <w:pPr>
                                    <w:spacing w:before="20" w:line="228" w:lineRule="auto"/>
                                    <w:ind w:left="20"/>
                                    <w:rPr>
                                      <w:rFonts w:hint="eastAsia" w:ascii="宋体" w:hAnsi="宋体" w:eastAsia="宋体" w:cs="宋体"/>
                                      <w:sz w:val="20"/>
                                      <w:szCs w:val="20"/>
                                      <w:lang w:eastAsia="zh-CN"/>
                                    </w:rPr>
                                  </w:pPr>
                                  <w:r>
                                    <w:rPr>
                                      <w:rFonts w:ascii="宋体" w:hAnsi="宋体" w:eastAsia="宋体" w:cs="宋体"/>
                                      <w:sz w:val="20"/>
                                      <w:szCs w:val="20"/>
                                    </w:rPr>
                                    <w:t>率</w:t>
                                  </w:r>
                                </w:p>
                              </w:txbxContent>
                            </v:textbox>
                          </v:shape>
                        </w:pict>
                      </mc:Fallback>
                    </mc:AlternateContent>
                  </w:r>
                  <w:r>
                    <w:rPr>
                      <w:rFonts w:hint="default" w:ascii="Times New Roman" w:hAnsi="Times New Roman" w:eastAsia="宋体" w:cs="Times New Roman"/>
                      <w:color w:val="auto"/>
                      <w:spacing w:val="0"/>
                      <w:position w:val="0"/>
                      <w:sz w:val="21"/>
                      <w:szCs w:val="21"/>
                      <w:highlight w:val="none"/>
                    </w:rPr>
                    <w:t>深入开展燃煤锅炉污染综合整治，深化工业炉窑综合治理，加强“散乱污”企业综合整治，减少水污染物排放，持续改善水环境质量，不断提高工业用水重复利用。</w:t>
                  </w:r>
                </w:p>
              </w:tc>
              <w:tc>
                <w:tcPr>
                  <w:tcW w:w="1716" w:type="pct"/>
                  <w:tcBorders>
                    <w:tl2br w:val="nil"/>
                    <w:tr2bl w:val="nil"/>
                  </w:tcBorders>
                  <w:vAlign w:val="center"/>
                </w:tcPr>
                <w:p w14:paraId="22D1F4C7">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项目所在地区环境空气质量为达标区域，项目仅为施工期对环境影响较大，但施工期短，随着施工期结束，环境污染也将结束。</w:t>
                  </w:r>
                </w:p>
              </w:tc>
              <w:tc>
                <w:tcPr>
                  <w:tcW w:w="493" w:type="pct"/>
                  <w:tcBorders>
                    <w:tl2br w:val="nil"/>
                    <w:tr2bl w:val="nil"/>
                  </w:tcBorders>
                  <w:vAlign w:val="center"/>
                </w:tcPr>
                <w:p w14:paraId="18B98D24">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符合</w:t>
                  </w:r>
                </w:p>
              </w:tc>
            </w:tr>
            <w:tr w14:paraId="692797E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8" w:type="pct"/>
                  <w:tcBorders>
                    <w:tl2br w:val="nil"/>
                    <w:tr2bl w:val="nil"/>
                  </w:tcBorders>
                  <w:vAlign w:val="center"/>
                </w:tcPr>
                <w:p w14:paraId="3E3C496A">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环境风险防控</w:t>
                  </w:r>
                </w:p>
              </w:tc>
              <w:tc>
                <w:tcPr>
                  <w:tcW w:w="2271" w:type="pct"/>
                  <w:tcBorders>
                    <w:tl2br w:val="nil"/>
                    <w:tr2bl w:val="nil"/>
                  </w:tcBorders>
                  <w:vAlign w:val="center"/>
                </w:tcPr>
                <w:p w14:paraId="75836378">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禁止在化工园区外新建、扩建危险化学品生产项目，严格落实危险废物处置相关要求，加强重点流域水环境风险管控，保障水环境安全。</w:t>
                  </w:r>
                </w:p>
              </w:tc>
              <w:tc>
                <w:tcPr>
                  <w:tcW w:w="1716" w:type="pct"/>
                  <w:tcBorders>
                    <w:tl2br w:val="nil"/>
                    <w:tr2bl w:val="nil"/>
                  </w:tcBorders>
                  <w:vAlign w:val="center"/>
                </w:tcPr>
                <w:p w14:paraId="222BC941">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项目不涉及重金属、不排放其他有毒有害物质含量超标的污水、污泥。</w:t>
                  </w:r>
                </w:p>
              </w:tc>
              <w:tc>
                <w:tcPr>
                  <w:tcW w:w="493" w:type="pct"/>
                  <w:tcBorders>
                    <w:tl2br w:val="nil"/>
                    <w:tr2bl w:val="nil"/>
                  </w:tcBorders>
                  <w:vAlign w:val="center"/>
                </w:tcPr>
                <w:p w14:paraId="3C356D41">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符合</w:t>
                  </w:r>
                </w:p>
              </w:tc>
            </w:tr>
            <w:tr w14:paraId="0F8FBDC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8" w:type="pct"/>
                  <w:tcBorders>
                    <w:tl2br w:val="nil"/>
                    <w:tr2bl w:val="nil"/>
                  </w:tcBorders>
                  <w:vAlign w:val="center"/>
                </w:tcPr>
                <w:p w14:paraId="28D21D1B">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资源利用效率要求</w:t>
                  </w:r>
                </w:p>
              </w:tc>
              <w:tc>
                <w:tcPr>
                  <w:tcW w:w="2271" w:type="pct"/>
                  <w:tcBorders>
                    <w:tl2br w:val="nil"/>
                    <w:tr2bl w:val="nil"/>
                  </w:tcBorders>
                  <w:vAlign w:val="center"/>
                </w:tcPr>
                <w:p w14:paraId="2B7EDB28">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mc:AlternateContent>
                      <mc:Choice Requires="wps">
                        <w:drawing>
                          <wp:anchor distT="0" distB="0" distL="114300" distR="114300" simplePos="0" relativeHeight="251660288" behindDoc="0" locked="0" layoutInCell="1" allowOverlap="1">
                            <wp:simplePos x="0" y="0"/>
                            <wp:positionH relativeFrom="rightMargin">
                              <wp:posOffset>-899160</wp:posOffset>
                            </wp:positionH>
                            <wp:positionV relativeFrom="topMargin">
                              <wp:posOffset>1390650</wp:posOffset>
                            </wp:positionV>
                            <wp:extent cx="153670" cy="1822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3670" cy="182245"/>
                                    </a:xfrm>
                                    <a:prstGeom prst="rect">
                                      <a:avLst/>
                                    </a:prstGeom>
                                    <a:noFill/>
                                    <a:ln>
                                      <a:noFill/>
                                    </a:ln>
                                  </wps:spPr>
                                  <wps:txbx>
                                    <w:txbxContent>
                                      <w:p w14:paraId="779331A0">
                                        <w:pPr>
                                          <w:spacing w:before="19" w:line="228" w:lineRule="auto"/>
                                          <w:ind w:left="20"/>
                                          <w:rPr>
                                            <w:rFonts w:hint="eastAsia" w:ascii="宋体" w:hAnsi="宋体" w:eastAsia="宋体" w:cs="宋体"/>
                                            <w:sz w:val="20"/>
                                            <w:szCs w:val="20"/>
                                            <w:lang w:eastAsia="zh-CN"/>
                                          </w:rPr>
                                        </w:pPr>
                                        <w:r>
                                          <w:rPr>
                                            <w:rFonts w:ascii="宋体" w:hAnsi="宋体" w:eastAsia="宋体" w:cs="宋体"/>
                                            <w:spacing w:val="1"/>
                                            <w:sz w:val="20"/>
                                            <w:szCs w:val="20"/>
                                          </w:rPr>
                                          <w:t>采</w:t>
                                        </w:r>
                                      </w:p>
                                    </w:txbxContent>
                                  </wps:txbx>
                                  <wps:bodyPr lIns="0" tIns="0" rIns="0" bIns="0" upright="1"/>
                                </wps:wsp>
                              </a:graphicData>
                            </a:graphic>
                          </wp:anchor>
                        </w:drawing>
                      </mc:Choice>
                      <mc:Fallback>
                        <w:pict>
                          <v:shape id="_x0000_s1026" o:spid="_x0000_s1026" o:spt="202" type="#_x0000_t202" style="position:absolute;left:0pt;margin-left:67.45pt;margin-top:110pt;height:14.35pt;width:12.1pt;mso-position-horizontal-relative:page;mso-position-vertical-relative:page;z-index:251660288;mso-width-relative:page;mso-height-relative:page;" filled="f" stroked="f" coordsize="21600,21600" o:gfxdata="UEsDBAoAAAAAAIdO4kAAAAAAAAAAAAAAAAAEAAAAZHJzL1BLAwQUAAAACACHTuJAy48vH9sAAAAN&#10;AQAADwAAAGRycy9kb3ducmV2LnhtbE2PTU+EMBCG7yb+h2ZMvLFtNwRcpGyM0ZOJkcWDx0K7QJZO&#10;kXY//PeOJ/c4M0/eed5ye3ETO9kljB4VyJUAZrHzZsRewWfzmjwAC1Gj0ZNHq+DHBthWtzelLow/&#10;Y21Pu9gzCsFQaAVDjHPBeegG63RY+dki3fZ+cTrSuPTcLPpM4W7iayEy7vSI9GHQs30ebHfYHZ2C&#10;py+sX8bv9/aj3tdj02wEvmUHpe7vpHgEFu0l/sPwp0/qUJFT649oApsUJDKVGbEK1nJDrQhJpMxT&#10;YC2t0jwHXpX8ukX1C1BLAwQUAAAACACHTuJA+S5ApLkBAABxAwAADgAAAGRycy9lMm9Eb2MueG1s&#10;rVNLjhMxEN0jzR0s7ydOGmYYtdIZCUWDkBAgDRzAcdtpS/6p7KQ7F4AbsGLDnnPlHJTd6cyHzSzY&#10;uMtV5Vf1XlUvbwdryF5C1N41dDGbUyKd8K1224Z++3p3eUNJTNy13HgnG3qQkd6uLl4t+1DLynfe&#10;tBIIgrhY96GhXUqhZiyKTloeZz5Ih0HlwfKEV9iyFniP6Nawaj6/Zr2HNoAXMkb0rscgPSHCSwC9&#10;UlrItRc7K10aUUEanpBS7HSIdFW6VUqK9FmpKBMxDUWmqZxYBO1NPtlqyest8NBpcWqBv6SFZ5ws&#10;1w6LnqHWPHGyA/0PlNUCfPQqzYS3bCRSFEEWi/kzbe47HmThglLHcBY9/j9Y8Wn/BYhuG1pR4rjF&#10;gR9//jj++nP8/Z1UWZ4+xBqz7gPmpeGdH3BpJn9EZ2Y9KLD5i3wIxlHcw1lcOSQi8qOr19dvMSIw&#10;tLipqjdXGYU9PA4Q03vpLclGQwFnVyTl+48xjalTSq7l/J02pszPuCcOxMweljsfO8xWGjbDic7G&#10;twdkYz44VDJvxWTAZGwmYxdAbztsp3AukDiJ0vdpa/KoH99L4Yc/Zf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48vH9sAAAANAQAADwAAAAAAAAABACAAAAAiAAAAZHJzL2Rvd25yZXYueG1sUEsB&#10;AhQAFAAAAAgAh07iQPkuQKS5AQAAcQMAAA4AAAAAAAAAAQAgAAAAKgEAAGRycy9lMm9Eb2MueG1s&#10;UEsFBgAAAAAGAAYAWQEAAFUFAAAAAA==&#10;">
                            <v:fill on="f" focussize="0,0"/>
                            <v:stroke on="f"/>
                            <v:imagedata o:title=""/>
                            <o:lock v:ext="edit" aspectratio="f"/>
                            <v:textbox inset="0mm,0mm,0mm,0mm">
                              <w:txbxContent>
                                <w:p w14:paraId="779331A0">
                                  <w:pPr>
                                    <w:spacing w:before="19" w:line="228" w:lineRule="auto"/>
                                    <w:ind w:left="20"/>
                                    <w:rPr>
                                      <w:rFonts w:hint="eastAsia" w:ascii="宋体" w:hAnsi="宋体" w:eastAsia="宋体" w:cs="宋体"/>
                                      <w:sz w:val="20"/>
                                      <w:szCs w:val="20"/>
                                      <w:lang w:eastAsia="zh-CN"/>
                                    </w:rPr>
                                  </w:pPr>
                                  <w:r>
                                    <w:rPr>
                                      <w:rFonts w:ascii="宋体" w:hAnsi="宋体" w:eastAsia="宋体" w:cs="宋体"/>
                                      <w:spacing w:val="1"/>
                                      <w:sz w:val="20"/>
                                      <w:szCs w:val="20"/>
                                    </w:rPr>
                                    <w:t>采</w:t>
                                  </w:r>
                                </w:p>
                              </w:txbxContent>
                            </v:textbox>
                          </v:shape>
                        </w:pict>
                      </mc:Fallback>
                    </mc:AlternateContent>
                  </w:r>
                  <w:r>
                    <w:rPr>
                      <w:rFonts w:hint="default" w:ascii="Times New Roman" w:hAnsi="Times New Roman" w:eastAsia="宋体" w:cs="Times New Roman"/>
                      <w:color w:val="auto"/>
                      <w:spacing w:val="0"/>
                      <w:position w:val="0"/>
                      <w:sz w:val="21"/>
                      <w:szCs w:val="21"/>
                      <w:highlight w:val="none"/>
                    </w:rPr>
                    <w:t>优化能源结构，控制煤炭等化石能源使用量，鼓励使用清洁能源，协同推进减污降碳，全面实施节水工程，合理开发利用水资源，提升水资源利用效率，保障生态用水，严防地下水超</w:t>
                  </w:r>
                  <w:r>
                    <w:rPr>
                      <w:rFonts w:hint="default" w:ascii="Times New Roman" w:hAnsi="Times New Roman" w:eastAsia="宋体" w:cs="Times New Roman"/>
                      <w:color w:val="auto"/>
                      <w:spacing w:val="0"/>
                      <w:position w:val="0"/>
                      <w:sz w:val="21"/>
                      <w:szCs w:val="21"/>
                      <w:highlight w:val="none"/>
                      <w:lang w:val="en-US" w:eastAsia="zh-CN"/>
                    </w:rPr>
                    <w:t>采</w:t>
                  </w:r>
                  <w:r>
                    <w:rPr>
                      <w:rFonts w:hint="default" w:ascii="Times New Roman" w:hAnsi="Times New Roman" w:eastAsia="宋体" w:cs="Times New Roman"/>
                      <w:color w:val="auto"/>
                      <w:spacing w:val="0"/>
                      <w:position w:val="0"/>
                      <w:sz w:val="21"/>
                      <w:szCs w:val="21"/>
                      <w:highlight w:val="none"/>
                    </w:rPr>
                    <w:t>。</w:t>
                  </w:r>
                </w:p>
              </w:tc>
              <w:tc>
                <w:tcPr>
                  <w:tcW w:w="1716" w:type="pct"/>
                  <w:tcBorders>
                    <w:tl2br w:val="nil"/>
                    <w:tr2bl w:val="nil"/>
                  </w:tcBorders>
                  <w:vAlign w:val="center"/>
                </w:tcPr>
                <w:p w14:paraId="3D69DBDA">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工程运行期本身并不消耗资源和能源，不产生和排放污染物，不会对项目区环境质量产生影响，在严格落实相关规划的基础下，项目的建设对能源、水、土地等资源影响不大。</w:t>
                  </w:r>
                </w:p>
              </w:tc>
              <w:tc>
                <w:tcPr>
                  <w:tcW w:w="493" w:type="pct"/>
                  <w:tcBorders>
                    <w:tl2br w:val="nil"/>
                    <w:tr2bl w:val="nil"/>
                  </w:tcBorders>
                  <w:vAlign w:val="center"/>
                </w:tcPr>
                <w:p w14:paraId="510CEE47">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符合</w:t>
                  </w:r>
                </w:p>
              </w:tc>
            </w:tr>
            <w:tr w14:paraId="4DAD8D2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8" w:type="pct"/>
                  <w:tcBorders>
                    <w:tl2br w:val="nil"/>
                    <w:tr2bl w:val="nil"/>
                  </w:tcBorders>
                  <w:vAlign w:val="center"/>
                </w:tcPr>
                <w:p w14:paraId="215C6F72">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乌昌石片区管控要求</w:t>
                  </w:r>
                </w:p>
              </w:tc>
              <w:tc>
                <w:tcPr>
                  <w:tcW w:w="2271" w:type="pct"/>
                  <w:tcBorders>
                    <w:tl2br w:val="nil"/>
                    <w:tr2bl w:val="nil"/>
                  </w:tcBorders>
                  <w:vAlign w:val="center"/>
                </w:tcPr>
                <w:p w14:paraId="0B401DAC">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坚持属地负责与区域大气污染联防联控相结合，以明显降低细颗粒物浓度为重点，协同推进“乌</w:t>
                  </w: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昌</w:t>
                  </w: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石”同防同治区域大气环境治理，强化与生产建设兵团第六师、第八师、第十一师、第十二师的同防同治，所有新建、改建、扩建工业项目执行最严格的大气污染物排放标准，强化氮氧化物深度治理，确保区域环境空气质量持续改善。</w:t>
                  </w:r>
                </w:p>
              </w:tc>
              <w:tc>
                <w:tcPr>
                  <w:tcW w:w="1716" w:type="pct"/>
                  <w:tcBorders>
                    <w:tl2br w:val="nil"/>
                    <w:tr2bl w:val="nil"/>
                  </w:tcBorders>
                  <w:vAlign w:val="center"/>
                </w:tcPr>
                <w:p w14:paraId="33F0D1C3">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本项目位于</w:t>
                  </w:r>
                  <w:r>
                    <w:rPr>
                      <w:rFonts w:hint="default" w:ascii="Times New Roman" w:hAnsi="Times New Roman" w:eastAsia="宋体" w:cs="Times New Roman"/>
                      <w:color w:val="auto"/>
                      <w:spacing w:val="0"/>
                      <w:position w:val="0"/>
                      <w:sz w:val="21"/>
                      <w:szCs w:val="21"/>
                      <w:highlight w:val="none"/>
                      <w:lang w:val="en-US" w:eastAsia="zh-CN"/>
                    </w:rPr>
                    <w:t>昌吉市</w:t>
                  </w:r>
                  <w:r>
                    <w:rPr>
                      <w:rFonts w:hint="default" w:ascii="Times New Roman" w:hAnsi="Times New Roman" w:cs="Times New Roman"/>
                      <w:color w:val="auto"/>
                      <w:spacing w:val="0"/>
                      <w:position w:val="0"/>
                      <w:sz w:val="21"/>
                      <w:szCs w:val="21"/>
                      <w:highlight w:val="none"/>
                      <w:lang w:val="en-US" w:eastAsia="zh-CN"/>
                    </w:rPr>
                    <w:t>库尔阿根河</w:t>
                  </w:r>
                  <w:r>
                    <w:rPr>
                      <w:rFonts w:hint="default" w:ascii="Times New Roman" w:hAnsi="Times New Roman" w:eastAsia="宋体" w:cs="Times New Roman"/>
                      <w:color w:val="auto"/>
                      <w:spacing w:val="0"/>
                      <w:position w:val="0"/>
                      <w:sz w:val="21"/>
                      <w:szCs w:val="21"/>
                      <w:highlight w:val="none"/>
                      <w:lang w:val="en-US" w:eastAsia="zh-CN"/>
                    </w:rPr>
                    <w:t>流域</w:t>
                  </w:r>
                  <w:r>
                    <w:rPr>
                      <w:rFonts w:hint="default" w:ascii="Times New Roman" w:hAnsi="Times New Roman" w:eastAsia="宋体" w:cs="Times New Roman"/>
                      <w:color w:val="auto"/>
                      <w:spacing w:val="0"/>
                      <w:position w:val="0"/>
                      <w:sz w:val="21"/>
                      <w:szCs w:val="21"/>
                      <w:highlight w:val="none"/>
                    </w:rPr>
                    <w:t>，距</w:t>
                  </w:r>
                  <w:r>
                    <w:rPr>
                      <w:rFonts w:hint="default" w:ascii="Times New Roman" w:hAnsi="Times New Roman" w:cs="Times New Roman"/>
                      <w:color w:val="auto"/>
                      <w:spacing w:val="0"/>
                      <w:position w:val="0"/>
                      <w:sz w:val="21"/>
                      <w:szCs w:val="21"/>
                      <w:highlight w:val="none"/>
                      <w:lang w:eastAsia="zh-CN"/>
                    </w:rPr>
                    <w:t>昌吉市区</w:t>
                  </w:r>
                  <w:r>
                    <w:rPr>
                      <w:rFonts w:hint="default" w:ascii="Times New Roman" w:hAnsi="Times New Roman" w:eastAsia="宋体" w:cs="Times New Roman"/>
                      <w:color w:val="auto"/>
                      <w:spacing w:val="0"/>
                      <w:position w:val="0"/>
                      <w:sz w:val="21"/>
                      <w:szCs w:val="21"/>
                      <w:highlight w:val="none"/>
                    </w:rPr>
                    <w:t>仅</w:t>
                  </w:r>
                  <w:r>
                    <w:rPr>
                      <w:rFonts w:hint="default" w:ascii="Times New Roman" w:hAnsi="Times New Roman" w:cs="Times New Roman"/>
                      <w:color w:val="auto"/>
                      <w:spacing w:val="0"/>
                      <w:position w:val="0"/>
                      <w:sz w:val="21"/>
                      <w:szCs w:val="21"/>
                      <w:highlight w:val="none"/>
                      <w:lang w:eastAsia="zh-CN"/>
                    </w:rPr>
                    <w:t>25km</w:t>
                  </w:r>
                  <w:r>
                    <w:rPr>
                      <w:rFonts w:hint="default" w:ascii="Times New Roman" w:hAnsi="Times New Roman" w:eastAsia="宋体" w:cs="Times New Roman"/>
                      <w:color w:val="auto"/>
                      <w:spacing w:val="0"/>
                      <w:position w:val="0"/>
                      <w:sz w:val="21"/>
                      <w:szCs w:val="21"/>
                      <w:highlight w:val="none"/>
                    </w:rPr>
                    <w:t>，工程运行期本身并不消耗资源和能源，不产生和排放污染物，不会对项目区环境质量产生影响。</w:t>
                  </w:r>
                </w:p>
              </w:tc>
              <w:tc>
                <w:tcPr>
                  <w:tcW w:w="493" w:type="pct"/>
                  <w:tcBorders>
                    <w:tl2br w:val="nil"/>
                    <w:tr2bl w:val="nil"/>
                  </w:tcBorders>
                  <w:vAlign w:val="center"/>
                </w:tcPr>
                <w:p w14:paraId="5316BADB">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符合</w:t>
                  </w:r>
                </w:p>
              </w:tc>
            </w:tr>
          </w:tbl>
          <w:p w14:paraId="7090CE62">
            <w:pPr>
              <w:keepNext w:val="0"/>
              <w:keepLines w:val="0"/>
              <w:pageBreakBefore w:val="0"/>
              <w:widowControl w:val="0"/>
              <w:shd w:val="clear"/>
              <w:kinsoku/>
              <w:wordWrap/>
              <w:overflowPunct/>
              <w:topLinePunct w:val="0"/>
              <w:bidi w:val="0"/>
              <w:spacing w:line="360" w:lineRule="auto"/>
              <w:ind w:left="0" w:right="0"/>
              <w:textAlignment w:val="auto"/>
              <w:rPr>
                <w:rFonts w:hint="default" w:ascii="Times New Roman" w:hAnsi="Times New Roman" w:eastAsia="宋体" w:cs="Times New Roman"/>
                <w:b/>
                <w:bCs/>
                <w:color w:val="0000FF"/>
                <w:spacing w:val="0"/>
                <w:kern w:val="0"/>
                <w:position w:val="0"/>
                <w:sz w:val="24"/>
                <w:szCs w:val="24"/>
                <w:highlight w:val="none"/>
                <w:lang w:val="en-US" w:eastAsia="zh-CN" w:bidi="ar"/>
              </w:rPr>
            </w:pPr>
            <w:r>
              <w:rPr>
                <w:rFonts w:hint="default" w:ascii="Times New Roman" w:hAnsi="Times New Roman" w:eastAsia="宋体" w:cs="Times New Roman"/>
                <w:b/>
                <w:bCs/>
                <w:color w:val="0000FF"/>
                <w:spacing w:val="0"/>
                <w:kern w:val="0"/>
                <w:position w:val="0"/>
                <w:sz w:val="24"/>
                <w:szCs w:val="24"/>
                <w:highlight w:val="none"/>
                <w:lang w:val="en-US" w:eastAsia="zh-CN" w:bidi="ar"/>
              </w:rPr>
              <w:t>4.本项目建设与《昌吉回族自治州“三线一单”生态环境分区管控方案及生态环境准入清单》符合性分析</w:t>
            </w:r>
          </w:p>
          <w:p w14:paraId="6569FC86">
            <w:pPr>
              <w:keepNext w:val="0"/>
              <w:keepLines w:val="0"/>
              <w:pageBreakBefore w:val="0"/>
              <w:widowControl w:val="0"/>
              <w:shd w:val="clear"/>
              <w:kinsoku/>
              <w:wordWrap/>
              <w:overflowPunct/>
              <w:topLinePunct w:val="0"/>
              <w:bidi w:val="0"/>
              <w:spacing w:line="360" w:lineRule="auto"/>
              <w:ind w:left="0" w:right="0" w:firstLine="480" w:firstLineChars="200"/>
              <w:textAlignment w:val="auto"/>
              <w:rPr>
                <w:rFonts w:hint="default" w:ascii="Times New Roman" w:hAnsi="Times New Roman" w:eastAsia="宋体" w:cs="Times New Roman"/>
                <w:color w:val="0000FF"/>
                <w:spacing w:val="0"/>
                <w:position w:val="0"/>
                <w:sz w:val="24"/>
                <w:szCs w:val="24"/>
                <w:highlight w:val="none"/>
              </w:rPr>
            </w:pPr>
            <w:r>
              <w:rPr>
                <w:rFonts w:hint="default" w:ascii="Times New Roman" w:hAnsi="Times New Roman" w:eastAsia="宋体" w:cs="Times New Roman"/>
                <w:color w:val="0000FF"/>
                <w:spacing w:val="0"/>
                <w:position w:val="0"/>
                <w:sz w:val="24"/>
                <w:szCs w:val="24"/>
                <w:highlight w:val="none"/>
              </w:rPr>
              <w:t>本项目位于</w:t>
            </w:r>
            <w:r>
              <w:rPr>
                <w:rFonts w:hint="default" w:ascii="Times New Roman" w:hAnsi="Times New Roman" w:eastAsia="宋体" w:cs="Times New Roman"/>
                <w:color w:val="0000FF"/>
                <w:spacing w:val="0"/>
                <w:position w:val="0"/>
                <w:sz w:val="24"/>
                <w:szCs w:val="24"/>
                <w:highlight w:val="none"/>
                <w:lang w:val="en-US" w:eastAsia="zh-CN"/>
              </w:rPr>
              <w:t>昌吉市</w:t>
            </w:r>
            <w:r>
              <w:rPr>
                <w:rFonts w:hint="default" w:ascii="Times New Roman" w:hAnsi="Times New Roman" w:cs="Times New Roman"/>
                <w:color w:val="0000FF"/>
                <w:spacing w:val="0"/>
                <w:position w:val="0"/>
                <w:sz w:val="24"/>
                <w:szCs w:val="24"/>
                <w:highlight w:val="none"/>
                <w:lang w:val="en-US" w:eastAsia="zh-CN"/>
              </w:rPr>
              <w:t>库尔阿根河</w:t>
            </w:r>
            <w:r>
              <w:rPr>
                <w:rFonts w:hint="default" w:ascii="Times New Roman" w:hAnsi="Times New Roman" w:eastAsia="宋体" w:cs="Times New Roman"/>
                <w:color w:val="0000FF"/>
                <w:spacing w:val="0"/>
                <w:position w:val="0"/>
                <w:sz w:val="24"/>
                <w:szCs w:val="24"/>
                <w:highlight w:val="none"/>
                <w:lang w:val="en-US" w:eastAsia="zh-CN"/>
              </w:rPr>
              <w:t>流域</w:t>
            </w:r>
            <w:r>
              <w:rPr>
                <w:rFonts w:hint="default" w:ascii="Times New Roman" w:hAnsi="Times New Roman" w:eastAsia="宋体" w:cs="Times New Roman"/>
                <w:color w:val="0000FF"/>
                <w:spacing w:val="0"/>
                <w:position w:val="0"/>
                <w:sz w:val="24"/>
                <w:szCs w:val="24"/>
                <w:highlight w:val="none"/>
              </w:rPr>
              <w:t>，距</w:t>
            </w:r>
            <w:r>
              <w:rPr>
                <w:rFonts w:hint="default" w:ascii="Times New Roman" w:hAnsi="Times New Roman" w:eastAsia="宋体" w:cs="Times New Roman"/>
                <w:color w:val="0000FF"/>
                <w:spacing w:val="0"/>
                <w:position w:val="0"/>
                <w:sz w:val="24"/>
                <w:szCs w:val="24"/>
                <w:highlight w:val="none"/>
                <w:lang w:val="en-US" w:eastAsia="zh-CN"/>
              </w:rPr>
              <w:t>昌吉市</w:t>
            </w:r>
            <w:r>
              <w:rPr>
                <w:rFonts w:hint="default" w:ascii="Times New Roman" w:hAnsi="Times New Roman" w:eastAsia="宋体" w:cs="Times New Roman"/>
                <w:color w:val="0000FF"/>
                <w:spacing w:val="0"/>
                <w:position w:val="0"/>
                <w:sz w:val="24"/>
                <w:szCs w:val="24"/>
                <w:highlight w:val="none"/>
              </w:rPr>
              <w:t>城仅</w:t>
            </w:r>
            <w:r>
              <w:rPr>
                <w:rFonts w:hint="default" w:ascii="Times New Roman" w:hAnsi="Times New Roman" w:cs="Times New Roman"/>
                <w:color w:val="0000FF"/>
                <w:spacing w:val="0"/>
                <w:position w:val="0"/>
                <w:sz w:val="24"/>
                <w:szCs w:val="24"/>
                <w:highlight w:val="none"/>
                <w:lang w:eastAsia="zh-CN"/>
              </w:rPr>
              <w:t>25km</w:t>
            </w:r>
            <w:r>
              <w:rPr>
                <w:rFonts w:hint="default" w:ascii="Times New Roman" w:hAnsi="Times New Roman" w:eastAsia="宋体" w:cs="Times New Roman"/>
                <w:color w:val="0000FF"/>
                <w:spacing w:val="0"/>
                <w:position w:val="0"/>
                <w:sz w:val="24"/>
                <w:szCs w:val="24"/>
                <w:highlight w:val="none"/>
              </w:rPr>
              <w:t>，根据《昌吉回族自治州“三线一单”生态环境分区管控方案及</w:t>
            </w:r>
            <w:r>
              <w:rPr>
                <w:rFonts w:hint="default" w:ascii="Times New Roman" w:hAnsi="Times New Roman" w:eastAsia="宋体" w:cs="Times New Roman"/>
                <w:color w:val="0000FF"/>
                <w:spacing w:val="0"/>
                <w:position w:val="0"/>
                <w:sz w:val="24"/>
                <w:szCs w:val="24"/>
                <w:highlight w:val="none"/>
                <w:lang w:eastAsia="zh-CN"/>
              </w:rPr>
              <w:t>昌吉市</w:t>
            </w:r>
            <w:r>
              <w:rPr>
                <w:rFonts w:hint="default" w:ascii="Times New Roman" w:hAnsi="Times New Roman" w:eastAsia="宋体" w:cs="Times New Roman"/>
                <w:color w:val="0000FF"/>
                <w:spacing w:val="0"/>
                <w:position w:val="0"/>
                <w:sz w:val="24"/>
                <w:szCs w:val="24"/>
                <w:highlight w:val="none"/>
              </w:rPr>
              <w:t>环境管控单元生态环境准入清单》</w:t>
            </w:r>
          </w:p>
          <w:p w14:paraId="2BC28AA6">
            <w:pPr>
              <w:keepNext w:val="0"/>
              <w:keepLines w:val="0"/>
              <w:pageBreakBefore w:val="0"/>
              <w:widowControl w:val="0"/>
              <w:shd w:val="clear"/>
              <w:kinsoku/>
              <w:wordWrap/>
              <w:overflowPunct/>
              <w:topLinePunct w:val="0"/>
              <w:autoSpaceDE w:val="0"/>
              <w:autoSpaceDN w:val="0"/>
              <w:bidi w:val="0"/>
              <w:adjustRightInd w:val="0"/>
              <w:snapToGrid w:val="0"/>
              <w:spacing w:beforeAutospacing="0" w:afterAutospacing="0" w:line="360" w:lineRule="auto"/>
              <w:ind w:left="0" w:leftChars="0" w:right="0" w:firstLine="480" w:firstLineChars="200"/>
              <w:textAlignment w:val="auto"/>
              <w:rPr>
                <w:rFonts w:hint="default" w:ascii="Times New Roman" w:hAnsi="Times New Roman" w:eastAsia="宋体" w:cs="Times New Roman"/>
                <w:color w:val="0000FF"/>
                <w:spacing w:val="0"/>
                <w:position w:val="0"/>
                <w:sz w:val="24"/>
                <w:szCs w:val="24"/>
                <w:highlight w:val="none"/>
              </w:rPr>
            </w:pPr>
            <w:r>
              <w:rPr>
                <w:rFonts w:hint="default" w:ascii="Times New Roman" w:hAnsi="Times New Roman" w:eastAsia="宋体" w:cs="Times New Roman"/>
                <w:color w:val="0000FF"/>
                <w:spacing w:val="0"/>
                <w:position w:val="0"/>
                <w:sz w:val="24"/>
                <w:szCs w:val="24"/>
                <w:highlight w:val="none"/>
              </w:rPr>
              <w:t>本项目所</w:t>
            </w:r>
            <w:r>
              <w:rPr>
                <w:rFonts w:hint="default" w:ascii="Times New Roman" w:hAnsi="Times New Roman" w:eastAsia="宋体" w:cs="Times New Roman"/>
                <w:color w:val="0000FF"/>
                <w:spacing w:val="0"/>
                <w:position w:val="0"/>
                <w:sz w:val="24"/>
                <w:szCs w:val="24"/>
                <w:highlight w:val="none"/>
                <w:lang w:eastAsia="zh-CN"/>
              </w:rPr>
              <w:t>属为文件</w:t>
            </w:r>
            <w:r>
              <w:rPr>
                <w:rFonts w:hint="default" w:ascii="Times New Roman" w:hAnsi="Times New Roman" w:eastAsia="宋体" w:cs="Times New Roman"/>
                <w:color w:val="0000FF"/>
                <w:spacing w:val="0"/>
                <w:position w:val="0"/>
                <w:sz w:val="24"/>
                <w:szCs w:val="24"/>
                <w:highlight w:val="none"/>
                <w:lang w:val="en-US" w:eastAsia="zh-CN"/>
              </w:rPr>
              <w:t>中“</w:t>
            </w:r>
            <w:r>
              <w:rPr>
                <w:rFonts w:hint="eastAsia" w:cs="Times New Roman"/>
                <w:color w:val="0000FF"/>
                <w:spacing w:val="0"/>
                <w:position w:val="0"/>
                <w:sz w:val="24"/>
                <w:szCs w:val="24"/>
                <w:highlight w:val="none"/>
                <w:lang w:val="en-US" w:eastAsia="zh-CN"/>
              </w:rPr>
              <w:t>昌吉州西部限采区</w:t>
            </w:r>
            <w:r>
              <w:rPr>
                <w:rFonts w:hint="default" w:ascii="Times New Roman" w:hAnsi="Times New Roman" w:eastAsia="宋体" w:cs="Times New Roman"/>
                <w:color w:val="0000FF"/>
                <w:spacing w:val="0"/>
                <w:position w:val="0"/>
                <w:sz w:val="24"/>
                <w:szCs w:val="24"/>
                <w:highlight w:val="none"/>
                <w:lang w:val="en-US" w:eastAsia="zh-CN"/>
              </w:rPr>
              <w:t>”，环境管控单元编码：</w:t>
            </w:r>
            <w:r>
              <w:rPr>
                <w:rFonts w:hint="default" w:ascii="Times New Roman" w:hAnsi="Times New Roman" w:cs="Times New Roman"/>
                <w:i w:val="0"/>
                <w:iCs w:val="0"/>
                <w:color w:val="0000FF"/>
                <w:spacing w:val="0"/>
                <w:kern w:val="0"/>
                <w:sz w:val="21"/>
                <w:szCs w:val="21"/>
                <w:highlight w:val="none"/>
                <w:u w:val="none"/>
                <w:lang w:val="en-US" w:eastAsia="zh-CN" w:bidi="ar"/>
              </w:rPr>
              <w:t>ZH65230120008</w:t>
            </w:r>
            <w:r>
              <w:rPr>
                <w:rFonts w:hint="default" w:ascii="Times New Roman" w:hAnsi="Times New Roman" w:eastAsia="宋体" w:cs="Times New Roman"/>
                <w:color w:val="0000FF"/>
                <w:spacing w:val="0"/>
                <w:position w:val="0"/>
                <w:sz w:val="24"/>
                <w:szCs w:val="24"/>
                <w:highlight w:val="none"/>
                <w:lang w:val="en-US" w:eastAsia="zh-CN"/>
              </w:rPr>
              <w:t>，本项目</w:t>
            </w:r>
            <w:r>
              <w:rPr>
                <w:rFonts w:hint="default" w:ascii="Times New Roman" w:hAnsi="Times New Roman" w:eastAsia="宋体" w:cs="Times New Roman"/>
                <w:color w:val="0000FF"/>
                <w:spacing w:val="0"/>
                <w:position w:val="0"/>
                <w:sz w:val="24"/>
                <w:szCs w:val="24"/>
                <w:highlight w:val="none"/>
              </w:rPr>
              <w:t>与其符合情况见下表1-3，环境管控单元分类图见附图</w:t>
            </w:r>
            <w:r>
              <w:rPr>
                <w:rFonts w:hint="default" w:ascii="Times New Roman" w:hAnsi="Times New Roman" w:eastAsia="宋体" w:cs="Times New Roman"/>
                <w:color w:val="0000FF"/>
                <w:spacing w:val="0"/>
                <w:position w:val="0"/>
                <w:sz w:val="24"/>
                <w:szCs w:val="24"/>
                <w:highlight w:val="none"/>
                <w:lang w:val="en-US" w:eastAsia="zh-CN"/>
              </w:rPr>
              <w:t>2</w:t>
            </w:r>
            <w:r>
              <w:rPr>
                <w:rFonts w:hint="default" w:ascii="Times New Roman" w:hAnsi="Times New Roman" w:eastAsia="宋体" w:cs="Times New Roman"/>
                <w:color w:val="0000FF"/>
                <w:spacing w:val="0"/>
                <w:position w:val="0"/>
                <w:sz w:val="24"/>
                <w:szCs w:val="24"/>
                <w:highlight w:val="none"/>
              </w:rPr>
              <w:t>。</w:t>
            </w:r>
          </w:p>
          <w:p w14:paraId="298F8446">
            <w:pPr>
              <w:pStyle w:val="8"/>
              <w:keepNext w:val="0"/>
              <w:keepLines w:val="0"/>
              <w:pageBreakBefore w:val="0"/>
              <w:widowControl w:val="0"/>
              <w:shd w:val="clear"/>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0000FF"/>
                <w:spacing w:val="0"/>
                <w:position w:val="0"/>
                <w:sz w:val="21"/>
                <w:szCs w:val="21"/>
                <w:highlight w:val="none"/>
                <w:lang w:val="en-US" w:eastAsia="zh-CN"/>
              </w:rPr>
            </w:pPr>
            <w:r>
              <w:rPr>
                <w:rFonts w:hint="default" w:ascii="Times New Roman" w:hAnsi="Times New Roman" w:eastAsia="宋体" w:cs="Times New Roman"/>
                <w:b/>
                <w:bCs/>
                <w:color w:val="0000FF"/>
                <w:spacing w:val="0"/>
                <w:kern w:val="0"/>
                <w:position w:val="0"/>
                <w:sz w:val="21"/>
                <w:szCs w:val="21"/>
                <w:highlight w:val="none"/>
                <w:lang w:val="en-US" w:eastAsia="zh-CN" w:bidi="ar"/>
              </w:rPr>
              <w:t>表1-2   项目与《昌吉回族自治州“三线一单”生态环境分区管控方案及生态环境准入清单》符合性分析一览表</w:t>
            </w:r>
          </w:p>
          <w:tbl>
            <w:tblPr>
              <w:tblStyle w:val="31"/>
              <w:tblW w:w="4949"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81"/>
              <w:gridCol w:w="650"/>
              <w:gridCol w:w="691"/>
              <w:gridCol w:w="484"/>
              <w:gridCol w:w="1823"/>
              <w:gridCol w:w="1431"/>
              <w:gridCol w:w="463"/>
            </w:tblGrid>
            <w:tr w14:paraId="7214FA8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7" w:type="pct"/>
                  <w:tcBorders>
                    <w:tl2br w:val="nil"/>
                    <w:tr2bl w:val="nil"/>
                  </w:tcBorders>
                  <w:shd w:val="clear" w:color="auto" w:fill="auto"/>
                  <w:vAlign w:val="center"/>
                </w:tcPr>
                <w:p w14:paraId="6FE6CE2F">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bCs/>
                      <w:color w:val="0000FF"/>
                      <w:spacing w:val="0"/>
                      <w:position w:val="0"/>
                      <w:sz w:val="21"/>
                      <w:szCs w:val="21"/>
                      <w:highlight w:val="none"/>
                      <w:lang w:val="en-US" w:eastAsia="zh-CN"/>
                    </w:rPr>
                  </w:pPr>
                  <w:r>
                    <w:rPr>
                      <w:rFonts w:hint="default" w:ascii="Times New Roman" w:hAnsi="Times New Roman" w:eastAsia="宋体" w:cs="Times New Roman"/>
                      <w:b/>
                      <w:bCs/>
                      <w:color w:val="0000FF"/>
                      <w:spacing w:val="0"/>
                      <w:position w:val="0"/>
                      <w:sz w:val="21"/>
                      <w:szCs w:val="21"/>
                      <w:highlight w:val="none"/>
                      <w:lang w:val="en-US" w:eastAsia="zh-CN"/>
                    </w:rPr>
                    <w:t>环境管控单元编码</w:t>
                  </w:r>
                </w:p>
              </w:tc>
              <w:tc>
                <w:tcPr>
                  <w:tcW w:w="522" w:type="pct"/>
                  <w:tcBorders>
                    <w:tl2br w:val="nil"/>
                    <w:tr2bl w:val="nil"/>
                  </w:tcBorders>
                  <w:shd w:val="clear" w:color="auto" w:fill="auto"/>
                  <w:vAlign w:val="center"/>
                </w:tcPr>
                <w:p w14:paraId="70E7810B">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bCs/>
                      <w:color w:val="0000FF"/>
                      <w:spacing w:val="0"/>
                      <w:position w:val="0"/>
                      <w:sz w:val="21"/>
                      <w:szCs w:val="21"/>
                      <w:highlight w:val="none"/>
                      <w:lang w:val="en-US" w:eastAsia="zh-CN"/>
                    </w:rPr>
                  </w:pPr>
                  <w:r>
                    <w:rPr>
                      <w:rFonts w:hint="default" w:ascii="Times New Roman" w:hAnsi="Times New Roman" w:eastAsia="宋体" w:cs="Times New Roman"/>
                      <w:b/>
                      <w:bCs/>
                      <w:color w:val="0000FF"/>
                      <w:spacing w:val="0"/>
                      <w:position w:val="0"/>
                      <w:sz w:val="21"/>
                      <w:szCs w:val="21"/>
                      <w:highlight w:val="none"/>
                      <w:lang w:val="en-US" w:eastAsia="zh-CN"/>
                    </w:rPr>
                    <w:t>环境管控单元名称</w:t>
                  </w:r>
                </w:p>
              </w:tc>
              <w:tc>
                <w:tcPr>
                  <w:tcW w:w="555" w:type="pct"/>
                  <w:tcBorders>
                    <w:tl2br w:val="nil"/>
                    <w:tr2bl w:val="nil"/>
                  </w:tcBorders>
                  <w:shd w:val="clear" w:color="auto" w:fill="auto"/>
                  <w:vAlign w:val="center"/>
                </w:tcPr>
                <w:p w14:paraId="0B561A98">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bCs/>
                      <w:color w:val="0000FF"/>
                      <w:spacing w:val="0"/>
                      <w:position w:val="0"/>
                      <w:sz w:val="21"/>
                      <w:szCs w:val="21"/>
                      <w:highlight w:val="none"/>
                      <w:lang w:val="en-US" w:eastAsia="zh-CN"/>
                    </w:rPr>
                  </w:pPr>
                  <w:r>
                    <w:rPr>
                      <w:rFonts w:hint="default" w:ascii="Times New Roman" w:hAnsi="Times New Roman" w:eastAsia="宋体" w:cs="Times New Roman"/>
                      <w:b/>
                      <w:bCs/>
                      <w:color w:val="0000FF"/>
                      <w:spacing w:val="0"/>
                      <w:position w:val="0"/>
                      <w:sz w:val="21"/>
                      <w:szCs w:val="21"/>
                      <w:highlight w:val="none"/>
                      <w:lang w:val="en-US" w:eastAsia="zh-CN"/>
                    </w:rPr>
                    <w:t>环境管控单元分类</w:t>
                  </w:r>
                </w:p>
              </w:tc>
              <w:tc>
                <w:tcPr>
                  <w:tcW w:w="1853" w:type="pct"/>
                  <w:gridSpan w:val="2"/>
                  <w:tcBorders>
                    <w:tl2br w:val="nil"/>
                    <w:tr2bl w:val="nil"/>
                  </w:tcBorders>
                  <w:shd w:val="clear" w:color="auto" w:fill="auto"/>
                  <w:vAlign w:val="center"/>
                </w:tcPr>
                <w:p w14:paraId="40D8F980">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bCs/>
                      <w:color w:val="0000FF"/>
                      <w:spacing w:val="0"/>
                      <w:position w:val="0"/>
                      <w:sz w:val="21"/>
                      <w:szCs w:val="21"/>
                      <w:highlight w:val="none"/>
                      <w:lang w:val="en-US" w:eastAsia="zh-CN"/>
                    </w:rPr>
                  </w:pPr>
                  <w:r>
                    <w:rPr>
                      <w:rFonts w:hint="default" w:ascii="Times New Roman" w:hAnsi="Times New Roman" w:eastAsia="宋体" w:cs="Times New Roman"/>
                      <w:b/>
                      <w:bCs/>
                      <w:color w:val="0000FF"/>
                      <w:spacing w:val="0"/>
                      <w:position w:val="0"/>
                      <w:sz w:val="21"/>
                      <w:szCs w:val="21"/>
                      <w:highlight w:val="none"/>
                      <w:lang w:val="en-US" w:eastAsia="zh-CN"/>
                    </w:rPr>
                    <w:t>管控要求</w:t>
                  </w:r>
                </w:p>
              </w:tc>
              <w:tc>
                <w:tcPr>
                  <w:tcW w:w="1149" w:type="pct"/>
                  <w:tcBorders>
                    <w:tl2br w:val="nil"/>
                    <w:tr2bl w:val="nil"/>
                  </w:tcBorders>
                  <w:shd w:val="clear" w:color="auto" w:fill="auto"/>
                  <w:vAlign w:val="center"/>
                </w:tcPr>
                <w:p w14:paraId="041C51FB">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bCs/>
                      <w:color w:val="0000FF"/>
                      <w:spacing w:val="0"/>
                      <w:position w:val="0"/>
                      <w:sz w:val="21"/>
                      <w:szCs w:val="21"/>
                      <w:highlight w:val="none"/>
                      <w:lang w:val="en-US" w:eastAsia="zh-CN"/>
                    </w:rPr>
                  </w:pPr>
                  <w:r>
                    <w:rPr>
                      <w:rFonts w:hint="default" w:ascii="Times New Roman" w:hAnsi="Times New Roman" w:eastAsia="宋体" w:cs="Times New Roman"/>
                      <w:b/>
                      <w:bCs/>
                      <w:color w:val="0000FF"/>
                      <w:spacing w:val="0"/>
                      <w:position w:val="0"/>
                      <w:sz w:val="21"/>
                      <w:szCs w:val="21"/>
                      <w:highlight w:val="none"/>
                      <w:lang w:val="en-US" w:eastAsia="zh-CN"/>
                    </w:rPr>
                    <w:t>项目情况</w:t>
                  </w:r>
                </w:p>
              </w:tc>
              <w:tc>
                <w:tcPr>
                  <w:tcW w:w="372" w:type="pct"/>
                  <w:tcBorders>
                    <w:tl2br w:val="nil"/>
                    <w:tr2bl w:val="nil"/>
                  </w:tcBorders>
                  <w:shd w:val="clear" w:color="auto" w:fill="auto"/>
                  <w:vAlign w:val="center"/>
                </w:tcPr>
                <w:p w14:paraId="0D1239CE">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bCs/>
                      <w:color w:val="0000FF"/>
                      <w:spacing w:val="0"/>
                      <w:position w:val="0"/>
                      <w:sz w:val="21"/>
                      <w:szCs w:val="21"/>
                      <w:highlight w:val="none"/>
                      <w:lang w:val="en-US" w:eastAsia="zh-CN"/>
                    </w:rPr>
                  </w:pPr>
                  <w:r>
                    <w:rPr>
                      <w:rFonts w:hint="default" w:ascii="Times New Roman" w:hAnsi="Times New Roman" w:eastAsia="宋体" w:cs="Times New Roman"/>
                      <w:b/>
                      <w:bCs/>
                      <w:color w:val="0000FF"/>
                      <w:spacing w:val="0"/>
                      <w:position w:val="0"/>
                      <w:sz w:val="21"/>
                      <w:szCs w:val="21"/>
                      <w:highlight w:val="none"/>
                      <w:lang w:val="en-US" w:eastAsia="zh-CN"/>
                    </w:rPr>
                    <w:t>符合性分析</w:t>
                  </w:r>
                </w:p>
              </w:tc>
            </w:tr>
            <w:tr w14:paraId="3474956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7" w:type="pct"/>
                  <w:vMerge w:val="restart"/>
                  <w:tcBorders>
                    <w:tl2br w:val="nil"/>
                    <w:tr2bl w:val="nil"/>
                  </w:tcBorders>
                  <w:shd w:val="clear" w:color="auto" w:fill="auto"/>
                  <w:vAlign w:val="center"/>
                </w:tcPr>
                <w:p w14:paraId="6D83E23E">
                  <w:pPr>
                    <w:keepNext w:val="0"/>
                    <w:keepLines w:val="0"/>
                    <w:pageBreakBefore w:val="0"/>
                    <w:widowControl/>
                    <w:suppressLineNumbers w:val="0"/>
                    <w:shd w:val="clear"/>
                    <w:wordWrap/>
                    <w:overflowPunct/>
                    <w:topLinePunct w:val="0"/>
                    <w:bidi w:val="0"/>
                    <w:ind w:left="0" w:right="0"/>
                    <w:jc w:val="center"/>
                    <w:textAlignment w:val="center"/>
                    <w:rPr>
                      <w:rFonts w:hint="default" w:ascii="Times New Roman" w:hAnsi="Times New Roman" w:eastAsia="宋体" w:cs="Times New Roman"/>
                      <w:b w:val="0"/>
                      <w:bCs w:val="0"/>
                      <w:color w:val="0000FF"/>
                      <w:spacing w:val="0"/>
                      <w:position w:val="0"/>
                      <w:sz w:val="21"/>
                      <w:szCs w:val="21"/>
                      <w:highlight w:val="none"/>
                      <w:lang w:val="en-US" w:eastAsia="zh-CN"/>
                    </w:rPr>
                  </w:pPr>
                  <w:r>
                    <w:rPr>
                      <w:rFonts w:hint="default" w:ascii="Times New Roman" w:hAnsi="Times New Roman" w:cs="Times New Roman"/>
                      <w:i w:val="0"/>
                      <w:iCs w:val="0"/>
                      <w:color w:val="0000FF"/>
                      <w:spacing w:val="0"/>
                      <w:kern w:val="0"/>
                      <w:sz w:val="21"/>
                      <w:szCs w:val="21"/>
                      <w:highlight w:val="none"/>
                      <w:u w:val="none"/>
                      <w:lang w:val="en-US" w:eastAsia="zh-CN" w:bidi="ar"/>
                    </w:rPr>
                    <w:t>ZH65230120008</w:t>
                  </w:r>
                </w:p>
              </w:tc>
              <w:tc>
                <w:tcPr>
                  <w:tcW w:w="522" w:type="pct"/>
                  <w:vMerge w:val="restart"/>
                  <w:tcBorders>
                    <w:tl2br w:val="nil"/>
                    <w:tr2bl w:val="nil"/>
                  </w:tcBorders>
                  <w:shd w:val="clear" w:color="auto" w:fill="auto"/>
                  <w:vAlign w:val="center"/>
                </w:tcPr>
                <w:p w14:paraId="66252997">
                  <w:pPr>
                    <w:keepNext w:val="0"/>
                    <w:keepLines w:val="0"/>
                    <w:pageBreakBefore w:val="0"/>
                    <w:widowControl/>
                    <w:suppressLineNumbers w:val="0"/>
                    <w:shd w:val="clear"/>
                    <w:wordWrap/>
                    <w:overflowPunct/>
                    <w:topLinePunct w:val="0"/>
                    <w:bidi w:val="0"/>
                    <w:ind w:left="0" w:right="0"/>
                    <w:jc w:val="center"/>
                    <w:textAlignment w:val="center"/>
                    <w:rPr>
                      <w:rFonts w:hint="default" w:ascii="Times New Roman" w:hAnsi="Times New Roman" w:eastAsia="宋体" w:cs="Times New Roman"/>
                      <w:b w:val="0"/>
                      <w:bCs w:val="0"/>
                      <w:color w:val="0000FF"/>
                      <w:spacing w:val="0"/>
                      <w:position w:val="0"/>
                      <w:sz w:val="21"/>
                      <w:szCs w:val="21"/>
                      <w:highlight w:val="none"/>
                      <w:lang w:val="en-US" w:eastAsia="zh-CN"/>
                    </w:rPr>
                  </w:pPr>
                  <w:r>
                    <w:rPr>
                      <w:rFonts w:hint="default" w:ascii="Times New Roman" w:hAnsi="Times New Roman" w:cs="Times New Roman"/>
                      <w:i w:val="0"/>
                      <w:iCs w:val="0"/>
                      <w:color w:val="0000FF"/>
                      <w:spacing w:val="0"/>
                      <w:kern w:val="0"/>
                      <w:sz w:val="21"/>
                      <w:szCs w:val="21"/>
                      <w:highlight w:val="none"/>
                      <w:u w:val="none"/>
                      <w:lang w:val="en-US" w:eastAsia="zh-CN" w:bidi="ar"/>
                    </w:rPr>
                    <w:t>昌吉州西部限采区</w:t>
                  </w:r>
                </w:p>
              </w:tc>
              <w:tc>
                <w:tcPr>
                  <w:tcW w:w="555" w:type="pct"/>
                  <w:vMerge w:val="restart"/>
                  <w:tcBorders>
                    <w:tl2br w:val="nil"/>
                    <w:tr2bl w:val="nil"/>
                  </w:tcBorders>
                  <w:shd w:val="clear" w:color="auto" w:fill="auto"/>
                  <w:vAlign w:val="center"/>
                </w:tcPr>
                <w:p w14:paraId="109B8D77">
                  <w:pPr>
                    <w:keepNext w:val="0"/>
                    <w:keepLines w:val="0"/>
                    <w:pageBreakBefore w:val="0"/>
                    <w:widowControl/>
                    <w:suppressLineNumbers w:val="0"/>
                    <w:shd w:val="clear"/>
                    <w:wordWrap/>
                    <w:overflowPunct/>
                    <w:topLinePunct w:val="0"/>
                    <w:bidi w:val="0"/>
                    <w:ind w:left="0" w:right="0"/>
                    <w:jc w:val="center"/>
                    <w:textAlignment w:val="center"/>
                    <w:rPr>
                      <w:rFonts w:hint="default" w:ascii="Times New Roman" w:hAnsi="Times New Roman" w:eastAsia="宋体" w:cs="Times New Roman"/>
                      <w:b w:val="0"/>
                      <w:bCs w:val="0"/>
                      <w:color w:val="0000FF"/>
                      <w:spacing w:val="0"/>
                      <w:position w:val="0"/>
                      <w:sz w:val="21"/>
                      <w:szCs w:val="21"/>
                      <w:highlight w:val="none"/>
                      <w:lang w:val="en-US" w:eastAsia="zh-CN"/>
                    </w:rPr>
                  </w:pPr>
                  <w:r>
                    <w:rPr>
                      <w:rFonts w:hint="default" w:ascii="Times New Roman" w:hAnsi="Times New Roman" w:eastAsia="宋体" w:cs="Times New Roman"/>
                      <w:i w:val="0"/>
                      <w:iCs w:val="0"/>
                      <w:color w:val="0000FF"/>
                      <w:spacing w:val="0"/>
                      <w:kern w:val="0"/>
                      <w:sz w:val="21"/>
                      <w:szCs w:val="21"/>
                      <w:highlight w:val="none"/>
                      <w:u w:val="none"/>
                      <w:lang w:val="en-US" w:eastAsia="zh-CN" w:bidi="ar"/>
                    </w:rPr>
                    <w:t>重点管控单元</w:t>
                  </w:r>
                </w:p>
              </w:tc>
              <w:tc>
                <w:tcPr>
                  <w:tcW w:w="388" w:type="pct"/>
                  <w:tcBorders>
                    <w:tl2br w:val="nil"/>
                    <w:tr2bl w:val="nil"/>
                  </w:tcBorders>
                  <w:shd w:val="clear" w:color="auto" w:fill="auto"/>
                  <w:vAlign w:val="center"/>
                </w:tcPr>
                <w:p w14:paraId="1C01C590">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val="0"/>
                      <w:bCs w:val="0"/>
                      <w:color w:val="0000FF"/>
                      <w:spacing w:val="0"/>
                      <w:position w:val="0"/>
                      <w:sz w:val="21"/>
                      <w:szCs w:val="21"/>
                      <w:highlight w:val="none"/>
                      <w:lang w:val="en-US" w:eastAsia="zh-CN"/>
                    </w:rPr>
                  </w:pPr>
                  <w:r>
                    <w:rPr>
                      <w:rFonts w:hint="default" w:ascii="Times New Roman" w:hAnsi="Times New Roman" w:eastAsia="宋体" w:cs="Times New Roman"/>
                      <w:b w:val="0"/>
                      <w:bCs w:val="0"/>
                      <w:color w:val="0000FF"/>
                      <w:spacing w:val="0"/>
                      <w:position w:val="0"/>
                      <w:sz w:val="21"/>
                      <w:szCs w:val="21"/>
                      <w:highlight w:val="none"/>
                      <w:lang w:val="en-US" w:eastAsia="zh-CN"/>
                    </w:rPr>
                    <w:t>空间布局约束</w:t>
                  </w:r>
                </w:p>
              </w:tc>
              <w:tc>
                <w:tcPr>
                  <w:tcW w:w="1464" w:type="pct"/>
                  <w:tcBorders>
                    <w:tl2br w:val="nil"/>
                    <w:tr2bl w:val="nil"/>
                  </w:tcBorders>
                  <w:shd w:val="clear" w:color="auto" w:fill="auto"/>
                  <w:vAlign w:val="center"/>
                </w:tcPr>
                <w:p w14:paraId="73DF6844">
                  <w:pPr>
                    <w:keepNext w:val="0"/>
                    <w:keepLines w:val="0"/>
                    <w:pageBreakBefore w:val="0"/>
                    <w:widowControl/>
                    <w:suppressLineNumbers w:val="0"/>
                    <w:shd w:val="clear"/>
                    <w:wordWrap/>
                    <w:overflowPunct/>
                    <w:topLinePunct w:val="0"/>
                    <w:bidi w:val="0"/>
                    <w:ind w:left="0" w:right="0"/>
                    <w:jc w:val="center"/>
                    <w:textAlignment w:val="center"/>
                    <w:rPr>
                      <w:rFonts w:hint="default" w:ascii="Times New Roman" w:hAnsi="Times New Roman" w:eastAsia="宋体" w:cs="Times New Roman"/>
                      <w:b w:val="0"/>
                      <w:bCs w:val="0"/>
                      <w:color w:val="0000FF"/>
                      <w:spacing w:val="0"/>
                      <w:position w:val="0"/>
                      <w:sz w:val="21"/>
                      <w:szCs w:val="21"/>
                      <w:highlight w:val="none"/>
                      <w:lang w:val="en-US" w:eastAsia="zh-CN"/>
                    </w:rPr>
                  </w:pPr>
                  <w:r>
                    <w:rPr>
                      <w:rFonts w:hint="default" w:ascii="Times New Roman" w:hAnsi="Times New Roman" w:eastAsia="宋体" w:cs="Times New Roman"/>
                      <w:b w:val="0"/>
                      <w:bCs w:val="0"/>
                      <w:color w:val="0000FF"/>
                      <w:spacing w:val="0"/>
                      <w:position w:val="0"/>
                      <w:sz w:val="21"/>
                      <w:szCs w:val="21"/>
                      <w:highlight w:val="none"/>
                      <w:lang w:val="en-US" w:eastAsia="zh-CN"/>
                    </w:rPr>
                    <w:t>1、严格控制缺水地区、水污染严重区域和敏感区域高耗水、高污染行业发展。</w:t>
                  </w:r>
                </w:p>
              </w:tc>
              <w:tc>
                <w:tcPr>
                  <w:tcW w:w="1149" w:type="pct"/>
                  <w:tcBorders>
                    <w:tl2br w:val="nil"/>
                    <w:tr2bl w:val="nil"/>
                  </w:tcBorders>
                  <w:shd w:val="clear" w:color="auto" w:fill="auto"/>
                  <w:vAlign w:val="center"/>
                </w:tcPr>
                <w:p w14:paraId="52EF70BA">
                  <w:pPr>
                    <w:keepNext w:val="0"/>
                    <w:keepLines w:val="0"/>
                    <w:pageBreakBefore w:val="0"/>
                    <w:widowControl/>
                    <w:suppressLineNumbers w:val="0"/>
                    <w:shd w:val="clear"/>
                    <w:wordWrap/>
                    <w:overflowPunct/>
                    <w:topLinePunct w:val="0"/>
                    <w:bidi w:val="0"/>
                    <w:ind w:left="0" w:right="0"/>
                    <w:jc w:val="center"/>
                    <w:textAlignment w:val="center"/>
                    <w:rPr>
                      <w:rFonts w:hint="default" w:ascii="Times New Roman" w:hAnsi="Times New Roman" w:eastAsia="宋体" w:cs="Times New Roman"/>
                      <w:b w:val="0"/>
                      <w:bCs w:val="0"/>
                      <w:color w:val="0000FF"/>
                      <w:spacing w:val="0"/>
                      <w:position w:val="0"/>
                      <w:sz w:val="21"/>
                      <w:szCs w:val="21"/>
                      <w:highlight w:val="none"/>
                      <w:lang w:val="en-US" w:eastAsia="zh-CN"/>
                    </w:rPr>
                  </w:pPr>
                  <w:r>
                    <w:rPr>
                      <w:rFonts w:hint="default" w:ascii="Times New Roman" w:hAnsi="Times New Roman" w:eastAsia="宋体" w:cs="Times New Roman"/>
                      <w:b w:val="0"/>
                      <w:bCs w:val="0"/>
                      <w:color w:val="0000FF"/>
                      <w:spacing w:val="0"/>
                      <w:position w:val="0"/>
                      <w:sz w:val="21"/>
                      <w:szCs w:val="21"/>
                      <w:highlight w:val="none"/>
                      <w:lang w:val="en-US" w:eastAsia="zh-CN"/>
                    </w:rPr>
                    <w:t>1.本项目为河湖整治项目，项目运营期不产生废水，无用水工艺</w:t>
                  </w:r>
                  <w:r>
                    <w:rPr>
                      <w:rFonts w:hint="eastAsia" w:cs="Times New Roman"/>
                      <w:b w:val="0"/>
                      <w:bCs w:val="0"/>
                      <w:color w:val="0000FF"/>
                      <w:spacing w:val="0"/>
                      <w:position w:val="0"/>
                      <w:sz w:val="21"/>
                      <w:szCs w:val="21"/>
                      <w:highlight w:val="none"/>
                      <w:lang w:val="en-US" w:eastAsia="zh-CN"/>
                    </w:rPr>
                    <w:t>，不属于</w:t>
                  </w:r>
                  <w:r>
                    <w:rPr>
                      <w:rFonts w:hint="default" w:ascii="Times New Roman" w:hAnsi="Times New Roman" w:eastAsia="宋体" w:cs="Times New Roman"/>
                      <w:b w:val="0"/>
                      <w:bCs w:val="0"/>
                      <w:color w:val="0000FF"/>
                      <w:spacing w:val="0"/>
                      <w:position w:val="0"/>
                      <w:sz w:val="21"/>
                      <w:szCs w:val="21"/>
                      <w:highlight w:val="none"/>
                      <w:lang w:val="en-US" w:eastAsia="zh-CN"/>
                    </w:rPr>
                    <w:t>高耗水、高污染行业</w:t>
                  </w:r>
                  <w:r>
                    <w:rPr>
                      <w:rFonts w:hint="default" w:ascii="Times New Roman" w:hAnsi="Times New Roman" w:cs="Times New Roman"/>
                      <w:b w:val="0"/>
                      <w:bCs w:val="0"/>
                      <w:color w:val="0000FF"/>
                      <w:spacing w:val="0"/>
                      <w:position w:val="0"/>
                      <w:sz w:val="21"/>
                      <w:szCs w:val="21"/>
                      <w:highlight w:val="none"/>
                      <w:lang w:val="en-US" w:eastAsia="zh-CN"/>
                    </w:rPr>
                    <w:t>。</w:t>
                  </w:r>
                </w:p>
              </w:tc>
              <w:tc>
                <w:tcPr>
                  <w:tcW w:w="372" w:type="pct"/>
                  <w:tcBorders>
                    <w:tl2br w:val="nil"/>
                    <w:tr2bl w:val="nil"/>
                  </w:tcBorders>
                  <w:shd w:val="clear" w:color="auto" w:fill="auto"/>
                  <w:vAlign w:val="center"/>
                </w:tcPr>
                <w:p w14:paraId="43D12B4E">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val="0"/>
                      <w:bCs w:val="0"/>
                      <w:color w:val="0000FF"/>
                      <w:spacing w:val="0"/>
                      <w:position w:val="0"/>
                      <w:sz w:val="21"/>
                      <w:szCs w:val="21"/>
                      <w:highlight w:val="none"/>
                      <w:lang w:val="en-US" w:eastAsia="zh-CN"/>
                    </w:rPr>
                  </w:pPr>
                  <w:r>
                    <w:rPr>
                      <w:rFonts w:hint="default" w:ascii="Times New Roman" w:hAnsi="Times New Roman" w:eastAsia="宋体" w:cs="Times New Roman"/>
                      <w:b w:val="0"/>
                      <w:bCs w:val="0"/>
                      <w:color w:val="0000FF"/>
                      <w:spacing w:val="0"/>
                      <w:position w:val="0"/>
                      <w:sz w:val="21"/>
                      <w:szCs w:val="21"/>
                      <w:highlight w:val="none"/>
                      <w:lang w:val="en-US" w:eastAsia="zh-CN"/>
                    </w:rPr>
                    <w:t>符合</w:t>
                  </w:r>
                </w:p>
              </w:tc>
            </w:tr>
            <w:tr w14:paraId="4E20C1C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7" w:type="pct"/>
                  <w:vMerge w:val="continue"/>
                  <w:tcBorders>
                    <w:tl2br w:val="nil"/>
                    <w:tr2bl w:val="nil"/>
                  </w:tcBorders>
                  <w:shd w:val="clear" w:color="auto" w:fill="auto"/>
                  <w:vAlign w:val="center"/>
                </w:tcPr>
                <w:p w14:paraId="29D02C4D">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val="0"/>
                      <w:bCs w:val="0"/>
                      <w:color w:val="0000FF"/>
                      <w:spacing w:val="0"/>
                      <w:position w:val="0"/>
                      <w:sz w:val="21"/>
                      <w:szCs w:val="21"/>
                      <w:highlight w:val="none"/>
                      <w:lang w:val="en-US" w:eastAsia="zh-CN"/>
                    </w:rPr>
                  </w:pPr>
                </w:p>
              </w:tc>
              <w:tc>
                <w:tcPr>
                  <w:tcW w:w="522" w:type="pct"/>
                  <w:vMerge w:val="continue"/>
                  <w:tcBorders>
                    <w:tl2br w:val="nil"/>
                    <w:tr2bl w:val="nil"/>
                  </w:tcBorders>
                  <w:shd w:val="clear" w:color="auto" w:fill="auto"/>
                  <w:vAlign w:val="center"/>
                </w:tcPr>
                <w:p w14:paraId="51FCCF52">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val="0"/>
                      <w:bCs w:val="0"/>
                      <w:color w:val="0000FF"/>
                      <w:spacing w:val="0"/>
                      <w:position w:val="0"/>
                      <w:sz w:val="21"/>
                      <w:szCs w:val="21"/>
                      <w:highlight w:val="none"/>
                      <w:lang w:val="en-US" w:eastAsia="zh-CN"/>
                    </w:rPr>
                  </w:pPr>
                </w:p>
              </w:tc>
              <w:tc>
                <w:tcPr>
                  <w:tcW w:w="555" w:type="pct"/>
                  <w:vMerge w:val="continue"/>
                  <w:tcBorders>
                    <w:tl2br w:val="nil"/>
                    <w:tr2bl w:val="nil"/>
                  </w:tcBorders>
                  <w:shd w:val="clear" w:color="auto" w:fill="auto"/>
                  <w:vAlign w:val="center"/>
                </w:tcPr>
                <w:p w14:paraId="3BD68A93">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val="0"/>
                      <w:bCs w:val="0"/>
                      <w:color w:val="0000FF"/>
                      <w:spacing w:val="0"/>
                      <w:position w:val="0"/>
                      <w:sz w:val="21"/>
                      <w:szCs w:val="21"/>
                      <w:highlight w:val="none"/>
                      <w:lang w:val="en-US" w:eastAsia="zh-CN"/>
                    </w:rPr>
                  </w:pPr>
                </w:p>
              </w:tc>
              <w:tc>
                <w:tcPr>
                  <w:tcW w:w="388" w:type="pct"/>
                  <w:tcBorders>
                    <w:tl2br w:val="nil"/>
                    <w:tr2bl w:val="nil"/>
                  </w:tcBorders>
                  <w:shd w:val="clear" w:color="auto" w:fill="auto"/>
                  <w:vAlign w:val="center"/>
                </w:tcPr>
                <w:p w14:paraId="04FE23A2">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val="0"/>
                      <w:bCs w:val="0"/>
                      <w:color w:val="0000FF"/>
                      <w:spacing w:val="0"/>
                      <w:position w:val="0"/>
                      <w:sz w:val="21"/>
                      <w:szCs w:val="21"/>
                      <w:highlight w:val="none"/>
                      <w:lang w:val="en-US" w:eastAsia="zh-CN"/>
                    </w:rPr>
                  </w:pPr>
                  <w:r>
                    <w:rPr>
                      <w:rFonts w:hint="default" w:ascii="Times New Roman" w:hAnsi="Times New Roman" w:eastAsia="宋体" w:cs="Times New Roman"/>
                      <w:b w:val="0"/>
                      <w:bCs w:val="0"/>
                      <w:color w:val="0000FF"/>
                      <w:spacing w:val="0"/>
                      <w:position w:val="0"/>
                      <w:sz w:val="21"/>
                      <w:szCs w:val="21"/>
                      <w:highlight w:val="none"/>
                      <w:lang w:val="en-US" w:eastAsia="zh-CN"/>
                    </w:rPr>
                    <w:t>污染物排放管控</w:t>
                  </w:r>
                </w:p>
              </w:tc>
              <w:tc>
                <w:tcPr>
                  <w:tcW w:w="1464" w:type="pct"/>
                  <w:tcBorders>
                    <w:tl2br w:val="nil"/>
                    <w:tr2bl w:val="nil"/>
                  </w:tcBorders>
                  <w:shd w:val="clear" w:color="auto" w:fill="auto"/>
                  <w:vAlign w:val="center"/>
                </w:tcPr>
                <w:p w14:paraId="6047D110">
                  <w:pPr>
                    <w:keepNext w:val="0"/>
                    <w:keepLines w:val="0"/>
                    <w:pageBreakBefore w:val="0"/>
                    <w:widowControl/>
                    <w:suppressLineNumbers w:val="0"/>
                    <w:shd w:val="clear"/>
                    <w:wordWrap/>
                    <w:overflowPunct/>
                    <w:topLinePunct w:val="0"/>
                    <w:bidi w:val="0"/>
                    <w:ind w:left="0" w:right="0"/>
                    <w:jc w:val="center"/>
                    <w:textAlignment w:val="center"/>
                    <w:rPr>
                      <w:rFonts w:hint="default" w:ascii="Times New Roman" w:hAnsi="Times New Roman" w:eastAsia="宋体" w:cs="Times New Roman"/>
                      <w:b w:val="0"/>
                      <w:bCs w:val="0"/>
                      <w:color w:val="0000FF"/>
                      <w:spacing w:val="0"/>
                      <w:position w:val="0"/>
                      <w:sz w:val="21"/>
                      <w:szCs w:val="21"/>
                      <w:highlight w:val="none"/>
                      <w:lang w:val="en-US" w:eastAsia="zh-CN"/>
                    </w:rPr>
                  </w:pPr>
                  <w:r>
                    <w:rPr>
                      <w:rFonts w:hint="default" w:ascii="Times New Roman" w:hAnsi="Times New Roman" w:eastAsia="宋体" w:cs="Times New Roman"/>
                      <w:b w:val="0"/>
                      <w:bCs w:val="0"/>
                      <w:color w:val="0000FF"/>
                      <w:spacing w:val="0"/>
                      <w:position w:val="0"/>
                      <w:sz w:val="21"/>
                      <w:szCs w:val="21"/>
                      <w:highlight w:val="none"/>
                      <w:lang w:val="en-US" w:eastAsia="zh-CN"/>
                    </w:rPr>
                    <w:t>1、推进地表水与地下水协同防治。以傍河型地下水饮用水水源为重点，防范受污染河段侧渗和垂直补给对地下水污染。加强化学品生产企业、工业聚集区、矿山开采区等污染源的地表、地下协同防治与环境风险管控。加强工业污染防治。推动重点行业、重点企业绿色发展，严格落实水污染物排放标准和排污许可制度。支持企业积极实施节水技术改造，加强工业园区污水集中处理设施运行管理，加快再生水回用设施建设，提升园区水资源循环利用水平。</w:t>
                  </w:r>
                </w:p>
              </w:tc>
              <w:tc>
                <w:tcPr>
                  <w:tcW w:w="1149" w:type="pct"/>
                  <w:tcBorders>
                    <w:tl2br w:val="nil"/>
                    <w:tr2bl w:val="nil"/>
                  </w:tcBorders>
                  <w:shd w:val="clear" w:color="auto" w:fill="auto"/>
                  <w:vAlign w:val="center"/>
                </w:tcPr>
                <w:p w14:paraId="4F536AA1">
                  <w:pPr>
                    <w:keepNext w:val="0"/>
                    <w:keepLines w:val="0"/>
                    <w:pageBreakBefore w:val="0"/>
                    <w:widowControl/>
                    <w:suppressLineNumbers w:val="0"/>
                    <w:shd w:val="clear"/>
                    <w:wordWrap/>
                    <w:overflowPunct/>
                    <w:topLinePunct w:val="0"/>
                    <w:bidi w:val="0"/>
                    <w:ind w:left="0" w:right="0"/>
                    <w:jc w:val="center"/>
                    <w:textAlignment w:val="center"/>
                    <w:rPr>
                      <w:rFonts w:hint="eastAsia" w:cs="Times New Roman"/>
                      <w:b w:val="0"/>
                      <w:bCs w:val="0"/>
                      <w:color w:val="0000FF"/>
                      <w:spacing w:val="0"/>
                      <w:position w:val="0"/>
                      <w:sz w:val="21"/>
                      <w:szCs w:val="21"/>
                      <w:highlight w:val="none"/>
                      <w:lang w:val="en-US" w:eastAsia="zh-CN"/>
                    </w:rPr>
                  </w:pPr>
                  <w:r>
                    <w:rPr>
                      <w:rFonts w:hint="default" w:ascii="Times New Roman" w:hAnsi="Times New Roman" w:eastAsia="宋体" w:cs="Times New Roman"/>
                      <w:b w:val="0"/>
                      <w:bCs w:val="0"/>
                      <w:color w:val="0000FF"/>
                      <w:spacing w:val="0"/>
                      <w:position w:val="0"/>
                      <w:sz w:val="21"/>
                      <w:szCs w:val="21"/>
                      <w:highlight w:val="none"/>
                      <w:lang w:val="en-US" w:eastAsia="zh-CN"/>
                    </w:rPr>
                    <w:t>本项目位于新疆维吾尔自治区昌吉回族自治州昌吉市库尔阿根河流域。</w:t>
                  </w:r>
                  <w:r>
                    <w:rPr>
                      <w:rFonts w:hint="eastAsia" w:cs="Times New Roman"/>
                      <w:b w:val="0"/>
                      <w:bCs w:val="0"/>
                      <w:color w:val="0000FF"/>
                      <w:spacing w:val="0"/>
                      <w:position w:val="0"/>
                      <w:sz w:val="21"/>
                      <w:szCs w:val="21"/>
                      <w:highlight w:val="none"/>
                      <w:lang w:val="en-US" w:eastAsia="zh-CN"/>
                    </w:rPr>
                    <w:t>项目不在饮用水水源保护区范围内，</w:t>
                  </w:r>
                </w:p>
                <w:p w14:paraId="13D6B40F">
                  <w:pPr>
                    <w:keepNext w:val="0"/>
                    <w:keepLines w:val="0"/>
                    <w:pageBreakBefore w:val="0"/>
                    <w:widowControl/>
                    <w:suppressLineNumbers w:val="0"/>
                    <w:shd w:val="clear"/>
                    <w:wordWrap/>
                    <w:overflowPunct/>
                    <w:topLinePunct w:val="0"/>
                    <w:bidi w:val="0"/>
                    <w:ind w:left="0" w:right="0"/>
                    <w:jc w:val="center"/>
                    <w:textAlignment w:val="center"/>
                    <w:rPr>
                      <w:rFonts w:hint="eastAsia" w:cs="Times New Roman"/>
                      <w:b w:val="0"/>
                      <w:bCs w:val="0"/>
                      <w:color w:val="0000FF"/>
                      <w:spacing w:val="0"/>
                      <w:position w:val="0"/>
                      <w:sz w:val="21"/>
                      <w:szCs w:val="21"/>
                      <w:highlight w:val="none"/>
                      <w:lang w:val="en-US" w:eastAsia="zh-CN"/>
                    </w:rPr>
                  </w:pPr>
                  <w:r>
                    <w:rPr>
                      <w:rFonts w:hint="eastAsia" w:cs="Times New Roman"/>
                      <w:b w:val="0"/>
                      <w:bCs w:val="0"/>
                      <w:color w:val="0000FF"/>
                      <w:spacing w:val="0"/>
                      <w:position w:val="0"/>
                      <w:sz w:val="21"/>
                      <w:szCs w:val="21"/>
                      <w:highlight w:val="none"/>
                      <w:lang w:val="en-US" w:eastAsia="zh-CN"/>
                    </w:rPr>
                    <w:t>2.本项目不属于</w:t>
                  </w:r>
                  <w:r>
                    <w:rPr>
                      <w:rFonts w:hint="default" w:ascii="Times New Roman" w:hAnsi="Times New Roman" w:eastAsia="宋体" w:cs="Times New Roman"/>
                      <w:b w:val="0"/>
                      <w:bCs w:val="0"/>
                      <w:color w:val="0000FF"/>
                      <w:spacing w:val="0"/>
                      <w:position w:val="0"/>
                      <w:sz w:val="21"/>
                      <w:szCs w:val="21"/>
                      <w:highlight w:val="none"/>
                      <w:lang w:val="en-US" w:eastAsia="zh-CN"/>
                    </w:rPr>
                    <w:t>化学品生产企业、工业聚集区、矿山开采区等污染源的地表、地下</w:t>
                  </w:r>
                  <w:r>
                    <w:rPr>
                      <w:rFonts w:hint="eastAsia" w:cs="Times New Roman"/>
                      <w:b w:val="0"/>
                      <w:bCs w:val="0"/>
                      <w:color w:val="0000FF"/>
                      <w:spacing w:val="0"/>
                      <w:position w:val="0"/>
                      <w:sz w:val="21"/>
                      <w:szCs w:val="21"/>
                      <w:highlight w:val="none"/>
                      <w:lang w:val="en-US" w:eastAsia="zh-CN"/>
                    </w:rPr>
                    <w:t>的建设项目。</w:t>
                  </w:r>
                </w:p>
                <w:p w14:paraId="0221D9B4">
                  <w:pPr>
                    <w:keepNext w:val="0"/>
                    <w:keepLines w:val="0"/>
                    <w:pageBreakBefore w:val="0"/>
                    <w:widowControl/>
                    <w:suppressLineNumbers w:val="0"/>
                    <w:shd w:val="clear"/>
                    <w:wordWrap/>
                    <w:overflowPunct/>
                    <w:topLinePunct w:val="0"/>
                    <w:bidi w:val="0"/>
                    <w:ind w:left="0" w:right="0"/>
                    <w:jc w:val="center"/>
                    <w:textAlignment w:val="center"/>
                    <w:rPr>
                      <w:rFonts w:hint="default" w:ascii="Times New Roman" w:hAnsi="Times New Roman" w:cs="Times New Roman"/>
                      <w:color w:val="0000FF"/>
                      <w:lang w:val="en-US" w:eastAsia="zh-CN"/>
                    </w:rPr>
                  </w:pPr>
                  <w:r>
                    <w:rPr>
                      <w:rFonts w:hint="eastAsia" w:cs="Times New Roman"/>
                      <w:b w:val="0"/>
                      <w:bCs w:val="0"/>
                      <w:color w:val="0000FF"/>
                      <w:spacing w:val="0"/>
                      <w:position w:val="0"/>
                      <w:sz w:val="21"/>
                      <w:szCs w:val="21"/>
                      <w:highlight w:val="none"/>
                      <w:lang w:val="en-US" w:eastAsia="zh-CN"/>
                    </w:rPr>
                    <w:t>3.本项目的建设有利于河流的治理与改造，项目建设完成后能够对冰雪融水进行利用。</w:t>
                  </w:r>
                </w:p>
              </w:tc>
              <w:tc>
                <w:tcPr>
                  <w:tcW w:w="372" w:type="pct"/>
                  <w:tcBorders>
                    <w:tl2br w:val="nil"/>
                    <w:tr2bl w:val="nil"/>
                  </w:tcBorders>
                  <w:shd w:val="clear" w:color="auto" w:fill="auto"/>
                  <w:vAlign w:val="center"/>
                </w:tcPr>
                <w:p w14:paraId="376B0E13">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val="0"/>
                      <w:bCs w:val="0"/>
                      <w:color w:val="0000FF"/>
                      <w:spacing w:val="0"/>
                      <w:position w:val="0"/>
                      <w:sz w:val="21"/>
                      <w:szCs w:val="21"/>
                      <w:highlight w:val="none"/>
                      <w:lang w:val="en-US" w:eastAsia="zh-CN"/>
                    </w:rPr>
                  </w:pPr>
                  <w:r>
                    <w:rPr>
                      <w:rFonts w:hint="default" w:ascii="Times New Roman" w:hAnsi="Times New Roman" w:eastAsia="宋体" w:cs="Times New Roman"/>
                      <w:b w:val="0"/>
                      <w:bCs w:val="0"/>
                      <w:color w:val="0000FF"/>
                      <w:spacing w:val="0"/>
                      <w:position w:val="0"/>
                      <w:sz w:val="21"/>
                      <w:szCs w:val="21"/>
                      <w:highlight w:val="none"/>
                      <w:lang w:val="en-US" w:eastAsia="zh-CN"/>
                    </w:rPr>
                    <w:t>符合</w:t>
                  </w:r>
                </w:p>
              </w:tc>
            </w:tr>
            <w:tr w14:paraId="6298F5C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547" w:type="pct"/>
                  <w:vMerge w:val="continue"/>
                  <w:tcBorders>
                    <w:tl2br w:val="nil"/>
                    <w:tr2bl w:val="nil"/>
                  </w:tcBorders>
                  <w:shd w:val="clear" w:color="auto" w:fill="auto"/>
                  <w:vAlign w:val="center"/>
                </w:tcPr>
                <w:p w14:paraId="29BECD3A">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val="0"/>
                      <w:bCs w:val="0"/>
                      <w:color w:val="0000FF"/>
                      <w:spacing w:val="0"/>
                      <w:position w:val="0"/>
                      <w:sz w:val="21"/>
                      <w:szCs w:val="21"/>
                      <w:highlight w:val="none"/>
                      <w:lang w:val="en-US" w:eastAsia="zh-CN"/>
                    </w:rPr>
                  </w:pPr>
                </w:p>
              </w:tc>
              <w:tc>
                <w:tcPr>
                  <w:tcW w:w="522" w:type="pct"/>
                  <w:vMerge w:val="continue"/>
                  <w:tcBorders>
                    <w:tl2br w:val="nil"/>
                    <w:tr2bl w:val="nil"/>
                  </w:tcBorders>
                  <w:shd w:val="clear" w:color="auto" w:fill="auto"/>
                  <w:vAlign w:val="center"/>
                </w:tcPr>
                <w:p w14:paraId="27D32E7C">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val="0"/>
                      <w:bCs w:val="0"/>
                      <w:color w:val="0000FF"/>
                      <w:spacing w:val="0"/>
                      <w:position w:val="0"/>
                      <w:sz w:val="21"/>
                      <w:szCs w:val="21"/>
                      <w:highlight w:val="none"/>
                      <w:lang w:val="en-US" w:eastAsia="zh-CN"/>
                    </w:rPr>
                  </w:pPr>
                </w:p>
              </w:tc>
              <w:tc>
                <w:tcPr>
                  <w:tcW w:w="555" w:type="pct"/>
                  <w:vMerge w:val="continue"/>
                  <w:tcBorders>
                    <w:tl2br w:val="nil"/>
                    <w:tr2bl w:val="nil"/>
                  </w:tcBorders>
                  <w:shd w:val="clear" w:color="auto" w:fill="auto"/>
                  <w:vAlign w:val="center"/>
                </w:tcPr>
                <w:p w14:paraId="6ADF7C25">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val="0"/>
                      <w:bCs w:val="0"/>
                      <w:color w:val="0000FF"/>
                      <w:spacing w:val="0"/>
                      <w:position w:val="0"/>
                      <w:sz w:val="21"/>
                      <w:szCs w:val="21"/>
                      <w:highlight w:val="none"/>
                      <w:lang w:val="en-US" w:eastAsia="zh-CN"/>
                    </w:rPr>
                  </w:pPr>
                </w:p>
              </w:tc>
              <w:tc>
                <w:tcPr>
                  <w:tcW w:w="388" w:type="pct"/>
                  <w:tcBorders>
                    <w:tl2br w:val="nil"/>
                    <w:tr2bl w:val="nil"/>
                  </w:tcBorders>
                  <w:shd w:val="clear" w:color="auto" w:fill="auto"/>
                  <w:vAlign w:val="center"/>
                </w:tcPr>
                <w:p w14:paraId="41009DFD">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val="0"/>
                      <w:bCs w:val="0"/>
                      <w:color w:val="0000FF"/>
                      <w:spacing w:val="0"/>
                      <w:position w:val="0"/>
                      <w:sz w:val="21"/>
                      <w:szCs w:val="21"/>
                      <w:highlight w:val="none"/>
                      <w:lang w:val="en-US" w:eastAsia="zh-CN"/>
                    </w:rPr>
                  </w:pPr>
                  <w:r>
                    <w:rPr>
                      <w:rFonts w:hint="default" w:ascii="Times New Roman" w:hAnsi="Times New Roman" w:eastAsia="宋体" w:cs="Times New Roman"/>
                      <w:b w:val="0"/>
                      <w:bCs w:val="0"/>
                      <w:color w:val="0000FF"/>
                      <w:spacing w:val="0"/>
                      <w:position w:val="0"/>
                      <w:sz w:val="21"/>
                      <w:szCs w:val="21"/>
                      <w:highlight w:val="none"/>
                      <w:lang w:val="en-US" w:eastAsia="zh-CN"/>
                    </w:rPr>
                    <w:t>环境风险防控</w:t>
                  </w:r>
                </w:p>
              </w:tc>
              <w:tc>
                <w:tcPr>
                  <w:tcW w:w="1464" w:type="pct"/>
                  <w:tcBorders>
                    <w:tl2br w:val="nil"/>
                    <w:tr2bl w:val="nil"/>
                  </w:tcBorders>
                  <w:shd w:val="clear" w:color="auto" w:fill="auto"/>
                  <w:vAlign w:val="center"/>
                </w:tcPr>
                <w:p w14:paraId="6D2BA6CB">
                  <w:pPr>
                    <w:keepNext w:val="0"/>
                    <w:keepLines w:val="0"/>
                    <w:pageBreakBefore w:val="0"/>
                    <w:widowControl/>
                    <w:suppressLineNumbers w:val="0"/>
                    <w:shd w:val="clear"/>
                    <w:wordWrap/>
                    <w:overflowPunct/>
                    <w:topLinePunct w:val="0"/>
                    <w:bidi w:val="0"/>
                    <w:ind w:left="0" w:right="0"/>
                    <w:jc w:val="center"/>
                    <w:textAlignment w:val="center"/>
                    <w:rPr>
                      <w:rFonts w:hint="default" w:ascii="Times New Roman" w:hAnsi="Times New Roman" w:eastAsia="宋体" w:cs="Times New Roman"/>
                      <w:b w:val="0"/>
                      <w:bCs w:val="0"/>
                      <w:color w:val="0000FF"/>
                      <w:spacing w:val="0"/>
                      <w:position w:val="0"/>
                      <w:sz w:val="21"/>
                      <w:szCs w:val="21"/>
                      <w:highlight w:val="none"/>
                      <w:lang w:val="en-US" w:eastAsia="zh-CN"/>
                    </w:rPr>
                  </w:pPr>
                  <w:r>
                    <w:rPr>
                      <w:rFonts w:hint="default" w:ascii="Times New Roman" w:hAnsi="Times New Roman" w:eastAsia="宋体" w:cs="Times New Roman"/>
                      <w:b w:val="0"/>
                      <w:bCs w:val="0"/>
                      <w:color w:val="0000FF"/>
                      <w:spacing w:val="0"/>
                      <w:position w:val="0"/>
                      <w:sz w:val="21"/>
                      <w:szCs w:val="21"/>
                      <w:highlight w:val="none"/>
                      <w:lang w:val="en-US" w:eastAsia="zh-CN"/>
                    </w:rPr>
                    <w:t>1、强化重点区域地下水环境风险管控。对化学品生产企业、工业集聚区、尾矿库、矿山开采区、危险废物处置场、垃圾填埋场等地下水污染源及周边区域，逐步开展地下水环境状况调查评估，加强风险管控。</w:t>
                  </w:r>
                </w:p>
              </w:tc>
              <w:tc>
                <w:tcPr>
                  <w:tcW w:w="1149" w:type="pct"/>
                  <w:tcBorders>
                    <w:tl2br w:val="nil"/>
                    <w:tr2bl w:val="nil"/>
                  </w:tcBorders>
                  <w:shd w:val="clear" w:color="auto" w:fill="auto"/>
                  <w:vAlign w:val="center"/>
                </w:tcPr>
                <w:p w14:paraId="729602B8">
                  <w:pPr>
                    <w:keepNext w:val="0"/>
                    <w:keepLines w:val="0"/>
                    <w:pageBreakBefore w:val="0"/>
                    <w:widowControl/>
                    <w:suppressLineNumbers w:val="0"/>
                    <w:shd w:val="clear"/>
                    <w:wordWrap/>
                    <w:overflowPunct/>
                    <w:topLinePunct w:val="0"/>
                    <w:bidi w:val="0"/>
                    <w:ind w:left="0" w:right="0"/>
                    <w:jc w:val="center"/>
                    <w:textAlignment w:val="center"/>
                    <w:rPr>
                      <w:rFonts w:hint="default" w:ascii="Times New Roman" w:hAnsi="Times New Roman" w:eastAsia="宋体" w:cs="Times New Roman"/>
                      <w:b w:val="0"/>
                      <w:bCs w:val="0"/>
                      <w:color w:val="0000FF"/>
                      <w:spacing w:val="0"/>
                      <w:position w:val="0"/>
                      <w:sz w:val="21"/>
                      <w:szCs w:val="21"/>
                      <w:highlight w:val="none"/>
                      <w:lang w:val="en-US" w:eastAsia="zh-CN"/>
                    </w:rPr>
                  </w:pPr>
                  <w:r>
                    <w:rPr>
                      <w:rFonts w:hint="eastAsia" w:cs="Times New Roman"/>
                      <w:b w:val="0"/>
                      <w:bCs w:val="0"/>
                      <w:color w:val="0000FF"/>
                      <w:spacing w:val="0"/>
                      <w:position w:val="0"/>
                      <w:sz w:val="21"/>
                      <w:szCs w:val="21"/>
                      <w:highlight w:val="none"/>
                      <w:lang w:val="en-US" w:eastAsia="zh-CN"/>
                    </w:rPr>
                    <w:t>1.</w:t>
                  </w:r>
                  <w:r>
                    <w:rPr>
                      <w:rFonts w:hint="default" w:ascii="Times New Roman" w:hAnsi="Times New Roman" w:eastAsia="宋体" w:cs="Times New Roman"/>
                      <w:b w:val="0"/>
                      <w:bCs w:val="0"/>
                      <w:color w:val="0000FF"/>
                      <w:spacing w:val="0"/>
                      <w:position w:val="0"/>
                      <w:sz w:val="21"/>
                      <w:szCs w:val="21"/>
                      <w:highlight w:val="none"/>
                      <w:lang w:val="en-US" w:eastAsia="zh-CN"/>
                    </w:rPr>
                    <w:t>本项目为河湖整治项目，</w:t>
                  </w:r>
                  <w:r>
                    <w:rPr>
                      <w:rFonts w:hint="eastAsia" w:cs="Times New Roman"/>
                      <w:b w:val="0"/>
                      <w:bCs w:val="0"/>
                      <w:color w:val="0000FF"/>
                      <w:spacing w:val="0"/>
                      <w:position w:val="0"/>
                      <w:sz w:val="21"/>
                      <w:szCs w:val="21"/>
                      <w:highlight w:val="none"/>
                      <w:lang w:val="en-US" w:eastAsia="zh-CN"/>
                    </w:rPr>
                    <w:t>不属于</w:t>
                  </w:r>
                  <w:r>
                    <w:rPr>
                      <w:rFonts w:hint="default" w:ascii="Times New Roman" w:hAnsi="Times New Roman" w:eastAsia="宋体" w:cs="Times New Roman"/>
                      <w:b w:val="0"/>
                      <w:bCs w:val="0"/>
                      <w:color w:val="0000FF"/>
                      <w:spacing w:val="0"/>
                      <w:position w:val="0"/>
                      <w:sz w:val="21"/>
                      <w:szCs w:val="21"/>
                      <w:highlight w:val="none"/>
                      <w:lang w:val="en-US" w:eastAsia="zh-CN"/>
                    </w:rPr>
                    <w:t>化学品生产企业、工业聚集区、矿山开采区等污染源的地表、地下</w:t>
                  </w:r>
                  <w:r>
                    <w:rPr>
                      <w:rFonts w:hint="eastAsia" w:cs="Times New Roman"/>
                      <w:b w:val="0"/>
                      <w:bCs w:val="0"/>
                      <w:color w:val="0000FF"/>
                      <w:spacing w:val="0"/>
                      <w:position w:val="0"/>
                      <w:sz w:val="21"/>
                      <w:szCs w:val="21"/>
                      <w:highlight w:val="none"/>
                      <w:lang w:val="en-US" w:eastAsia="zh-CN"/>
                    </w:rPr>
                    <w:t>的建设项目。项目运营期产生的生活垃圾定期送至垃圾填埋场，项目施工期不使用危险废物，无危险废物排放，因此，本项目的建设不会对地下水环境造成影响。</w:t>
                  </w:r>
                </w:p>
              </w:tc>
              <w:tc>
                <w:tcPr>
                  <w:tcW w:w="372" w:type="pct"/>
                  <w:tcBorders>
                    <w:tl2br w:val="nil"/>
                    <w:tr2bl w:val="nil"/>
                  </w:tcBorders>
                  <w:shd w:val="clear" w:color="auto" w:fill="auto"/>
                  <w:vAlign w:val="center"/>
                </w:tcPr>
                <w:p w14:paraId="053D5A00">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val="0"/>
                      <w:bCs w:val="0"/>
                      <w:color w:val="0000FF"/>
                      <w:spacing w:val="0"/>
                      <w:position w:val="0"/>
                      <w:sz w:val="21"/>
                      <w:szCs w:val="21"/>
                      <w:highlight w:val="none"/>
                      <w:lang w:val="en-US" w:eastAsia="zh-CN"/>
                    </w:rPr>
                  </w:pPr>
                  <w:r>
                    <w:rPr>
                      <w:rFonts w:hint="default" w:ascii="Times New Roman" w:hAnsi="Times New Roman" w:eastAsia="宋体" w:cs="Times New Roman"/>
                      <w:b w:val="0"/>
                      <w:bCs w:val="0"/>
                      <w:color w:val="0000FF"/>
                      <w:spacing w:val="0"/>
                      <w:position w:val="0"/>
                      <w:sz w:val="21"/>
                      <w:szCs w:val="21"/>
                      <w:highlight w:val="none"/>
                      <w:lang w:val="en-US" w:eastAsia="zh-CN"/>
                    </w:rPr>
                    <w:t>符合</w:t>
                  </w:r>
                </w:p>
              </w:tc>
            </w:tr>
            <w:tr w14:paraId="6CD7C15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7" w:type="pct"/>
                  <w:vMerge w:val="continue"/>
                  <w:tcBorders>
                    <w:tl2br w:val="nil"/>
                    <w:tr2bl w:val="nil"/>
                  </w:tcBorders>
                  <w:shd w:val="clear" w:color="auto" w:fill="auto"/>
                  <w:vAlign w:val="center"/>
                </w:tcPr>
                <w:p w14:paraId="0FEF49CF">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val="0"/>
                      <w:bCs w:val="0"/>
                      <w:color w:val="0000FF"/>
                      <w:spacing w:val="0"/>
                      <w:position w:val="0"/>
                      <w:sz w:val="21"/>
                      <w:szCs w:val="21"/>
                      <w:highlight w:val="none"/>
                      <w:lang w:val="en-US" w:eastAsia="zh-CN"/>
                    </w:rPr>
                  </w:pPr>
                </w:p>
              </w:tc>
              <w:tc>
                <w:tcPr>
                  <w:tcW w:w="522" w:type="pct"/>
                  <w:vMerge w:val="continue"/>
                  <w:tcBorders>
                    <w:tl2br w:val="nil"/>
                    <w:tr2bl w:val="nil"/>
                  </w:tcBorders>
                  <w:shd w:val="clear" w:color="auto" w:fill="auto"/>
                  <w:vAlign w:val="center"/>
                </w:tcPr>
                <w:p w14:paraId="0D934903">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val="0"/>
                      <w:bCs w:val="0"/>
                      <w:color w:val="0000FF"/>
                      <w:spacing w:val="0"/>
                      <w:position w:val="0"/>
                      <w:sz w:val="21"/>
                      <w:szCs w:val="21"/>
                      <w:highlight w:val="none"/>
                      <w:lang w:val="en-US" w:eastAsia="zh-CN"/>
                    </w:rPr>
                  </w:pPr>
                </w:p>
              </w:tc>
              <w:tc>
                <w:tcPr>
                  <w:tcW w:w="555" w:type="pct"/>
                  <w:vMerge w:val="continue"/>
                  <w:tcBorders>
                    <w:tl2br w:val="nil"/>
                    <w:tr2bl w:val="nil"/>
                  </w:tcBorders>
                  <w:shd w:val="clear" w:color="auto" w:fill="auto"/>
                  <w:vAlign w:val="center"/>
                </w:tcPr>
                <w:p w14:paraId="53773DB9">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val="0"/>
                      <w:bCs w:val="0"/>
                      <w:color w:val="0000FF"/>
                      <w:spacing w:val="0"/>
                      <w:position w:val="0"/>
                      <w:sz w:val="21"/>
                      <w:szCs w:val="21"/>
                      <w:highlight w:val="none"/>
                      <w:lang w:val="en-US" w:eastAsia="zh-CN"/>
                    </w:rPr>
                  </w:pPr>
                </w:p>
              </w:tc>
              <w:tc>
                <w:tcPr>
                  <w:tcW w:w="388" w:type="pct"/>
                  <w:tcBorders>
                    <w:tl2br w:val="nil"/>
                    <w:tr2bl w:val="nil"/>
                  </w:tcBorders>
                  <w:shd w:val="clear" w:color="auto" w:fill="auto"/>
                  <w:vAlign w:val="center"/>
                </w:tcPr>
                <w:p w14:paraId="1B4252D8">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val="0"/>
                      <w:bCs w:val="0"/>
                      <w:color w:val="0000FF"/>
                      <w:spacing w:val="0"/>
                      <w:position w:val="0"/>
                      <w:sz w:val="21"/>
                      <w:szCs w:val="21"/>
                      <w:highlight w:val="none"/>
                      <w:lang w:val="en-US" w:eastAsia="zh-CN"/>
                    </w:rPr>
                  </w:pPr>
                  <w:r>
                    <w:rPr>
                      <w:rFonts w:hint="default" w:ascii="Times New Roman" w:hAnsi="Times New Roman" w:eastAsia="宋体" w:cs="Times New Roman"/>
                      <w:b w:val="0"/>
                      <w:bCs w:val="0"/>
                      <w:color w:val="0000FF"/>
                      <w:spacing w:val="0"/>
                      <w:position w:val="0"/>
                      <w:sz w:val="21"/>
                      <w:szCs w:val="21"/>
                      <w:highlight w:val="none"/>
                      <w:lang w:val="en-US" w:eastAsia="zh-CN"/>
                    </w:rPr>
                    <w:t>资源利用效率要求</w:t>
                  </w:r>
                </w:p>
              </w:tc>
              <w:tc>
                <w:tcPr>
                  <w:tcW w:w="1464" w:type="pct"/>
                  <w:tcBorders>
                    <w:tl2br w:val="nil"/>
                    <w:tr2bl w:val="nil"/>
                  </w:tcBorders>
                  <w:shd w:val="clear" w:color="auto" w:fill="auto"/>
                  <w:vAlign w:val="center"/>
                </w:tcPr>
                <w:p w14:paraId="03B57A5F">
                  <w:pPr>
                    <w:keepNext w:val="0"/>
                    <w:keepLines w:val="0"/>
                    <w:pageBreakBefore w:val="0"/>
                    <w:widowControl/>
                    <w:numPr>
                      <w:ilvl w:val="0"/>
                      <w:numId w:val="0"/>
                    </w:numPr>
                    <w:suppressLineNumbers w:val="0"/>
                    <w:shd w:val="clear"/>
                    <w:wordWrap/>
                    <w:overflowPunct/>
                    <w:topLinePunct w:val="0"/>
                    <w:bidi w:val="0"/>
                    <w:ind w:left="0" w:right="0"/>
                    <w:jc w:val="both"/>
                    <w:textAlignment w:val="center"/>
                    <w:rPr>
                      <w:rFonts w:hint="default" w:ascii="Times New Roman" w:hAnsi="Times New Roman" w:eastAsia="宋体" w:cs="Times New Roman"/>
                      <w:bCs/>
                      <w:color w:val="0000FF"/>
                      <w:spacing w:val="0"/>
                      <w:kern w:val="2"/>
                      <w:sz w:val="21"/>
                      <w:szCs w:val="21"/>
                      <w:highlight w:val="none"/>
                      <w:lang w:val="en-US" w:eastAsia="zh-CN"/>
                    </w:rPr>
                  </w:pPr>
                  <w:r>
                    <w:rPr>
                      <w:rFonts w:hint="default" w:ascii="Times New Roman" w:hAnsi="Times New Roman" w:eastAsia="宋体" w:cs="Times New Roman"/>
                      <w:bCs/>
                      <w:color w:val="0000FF"/>
                      <w:spacing w:val="0"/>
                      <w:kern w:val="2"/>
                      <w:sz w:val="21"/>
                      <w:szCs w:val="21"/>
                      <w:highlight w:val="none"/>
                      <w:lang w:val="en-US" w:eastAsia="zh-CN"/>
                    </w:rPr>
                    <w:t>1、县级以上人民政府水行政主管部门应当合理配置地表水、地下水，从严控制地下水取水总量。</w:t>
                  </w:r>
                </w:p>
                <w:p w14:paraId="05EFCC2D">
                  <w:pPr>
                    <w:keepNext w:val="0"/>
                    <w:keepLines w:val="0"/>
                    <w:pageBreakBefore w:val="0"/>
                    <w:widowControl/>
                    <w:numPr>
                      <w:ilvl w:val="0"/>
                      <w:numId w:val="0"/>
                    </w:numPr>
                    <w:suppressLineNumbers w:val="0"/>
                    <w:shd w:val="clear"/>
                    <w:wordWrap/>
                    <w:overflowPunct/>
                    <w:topLinePunct w:val="0"/>
                    <w:bidi w:val="0"/>
                    <w:ind w:left="0" w:right="0"/>
                    <w:jc w:val="both"/>
                    <w:textAlignment w:val="center"/>
                    <w:rPr>
                      <w:rFonts w:hint="default" w:ascii="Times New Roman" w:hAnsi="Times New Roman" w:eastAsia="宋体" w:cs="Times New Roman"/>
                      <w:bCs/>
                      <w:color w:val="0000FF"/>
                      <w:spacing w:val="0"/>
                      <w:kern w:val="2"/>
                      <w:sz w:val="21"/>
                      <w:szCs w:val="21"/>
                      <w:highlight w:val="none"/>
                      <w:lang w:val="en-US" w:eastAsia="zh-CN"/>
                    </w:rPr>
                  </w:pPr>
                  <w:r>
                    <w:rPr>
                      <w:rFonts w:hint="default" w:ascii="Times New Roman" w:hAnsi="Times New Roman" w:eastAsia="宋体" w:cs="Times New Roman"/>
                      <w:bCs/>
                      <w:color w:val="0000FF"/>
                      <w:spacing w:val="0"/>
                      <w:kern w:val="2"/>
                      <w:sz w:val="21"/>
                      <w:szCs w:val="21"/>
                      <w:highlight w:val="none"/>
                      <w:lang w:val="en-US" w:eastAsia="zh-CN"/>
                    </w:rPr>
                    <w:t>2、严守水资源开发利用控制、用水效率控制和水功能区限制纳污“三条红线”，严格实行区域用水总量和强度控制，强化用水定额管理。推进地下水超采综合治理。</w:t>
                  </w:r>
                </w:p>
              </w:tc>
              <w:tc>
                <w:tcPr>
                  <w:tcW w:w="1149" w:type="pct"/>
                  <w:tcBorders>
                    <w:tl2br w:val="nil"/>
                    <w:tr2bl w:val="nil"/>
                  </w:tcBorders>
                  <w:shd w:val="clear" w:color="auto" w:fill="auto"/>
                  <w:vAlign w:val="center"/>
                </w:tcPr>
                <w:p w14:paraId="3174F83F">
                  <w:pPr>
                    <w:keepNext w:val="0"/>
                    <w:keepLines w:val="0"/>
                    <w:pageBreakBefore w:val="0"/>
                    <w:widowControl w:val="0"/>
                    <w:shd w:val="clear"/>
                    <w:kinsoku/>
                    <w:wordWrap/>
                    <w:overflowPunct/>
                    <w:topLinePunct w:val="0"/>
                    <w:bidi w:val="0"/>
                    <w:spacing w:line="240" w:lineRule="auto"/>
                    <w:ind w:left="0" w:right="0"/>
                    <w:jc w:val="center"/>
                    <w:textAlignment w:val="auto"/>
                    <w:rPr>
                      <w:rFonts w:hint="eastAsia" w:cs="Times New Roman"/>
                      <w:bCs/>
                      <w:color w:val="0000FF"/>
                      <w:spacing w:val="0"/>
                      <w:kern w:val="2"/>
                      <w:sz w:val="21"/>
                      <w:szCs w:val="21"/>
                      <w:highlight w:val="none"/>
                      <w:lang w:val="en-US" w:eastAsia="zh-CN"/>
                    </w:rPr>
                  </w:pPr>
                  <w:r>
                    <w:rPr>
                      <w:rFonts w:hint="eastAsia" w:cs="Times New Roman"/>
                      <w:b w:val="0"/>
                      <w:bCs w:val="0"/>
                      <w:color w:val="0000FF"/>
                      <w:spacing w:val="0"/>
                      <w:position w:val="0"/>
                      <w:sz w:val="21"/>
                      <w:szCs w:val="21"/>
                      <w:highlight w:val="none"/>
                      <w:lang w:val="en-US" w:eastAsia="zh-CN"/>
                    </w:rPr>
                    <w:t>1.本项目不涉及</w:t>
                  </w:r>
                  <w:r>
                    <w:rPr>
                      <w:rFonts w:hint="default" w:ascii="Times New Roman" w:hAnsi="Times New Roman" w:eastAsia="宋体" w:cs="Times New Roman"/>
                      <w:bCs/>
                      <w:color w:val="0000FF"/>
                      <w:spacing w:val="0"/>
                      <w:kern w:val="2"/>
                      <w:sz w:val="21"/>
                      <w:szCs w:val="21"/>
                      <w:highlight w:val="none"/>
                      <w:lang w:val="en-US" w:eastAsia="zh-CN"/>
                    </w:rPr>
                    <w:t>地表水</w:t>
                  </w:r>
                  <w:r>
                    <w:rPr>
                      <w:rFonts w:hint="eastAsia" w:cs="Times New Roman"/>
                      <w:bCs/>
                      <w:color w:val="0000FF"/>
                      <w:spacing w:val="0"/>
                      <w:kern w:val="2"/>
                      <w:sz w:val="21"/>
                      <w:szCs w:val="21"/>
                      <w:highlight w:val="none"/>
                      <w:lang w:val="en-US" w:eastAsia="zh-CN"/>
                    </w:rPr>
                    <w:t>的引用及</w:t>
                  </w:r>
                  <w:r>
                    <w:rPr>
                      <w:rFonts w:hint="default" w:ascii="Times New Roman" w:hAnsi="Times New Roman" w:eastAsia="宋体" w:cs="Times New Roman"/>
                      <w:bCs/>
                      <w:color w:val="0000FF"/>
                      <w:spacing w:val="0"/>
                      <w:kern w:val="2"/>
                      <w:sz w:val="21"/>
                      <w:szCs w:val="21"/>
                      <w:highlight w:val="none"/>
                      <w:lang w:val="en-US" w:eastAsia="zh-CN"/>
                    </w:rPr>
                    <w:t>地下水</w:t>
                  </w:r>
                  <w:r>
                    <w:rPr>
                      <w:rFonts w:hint="eastAsia" w:cs="Times New Roman"/>
                      <w:bCs/>
                      <w:color w:val="0000FF"/>
                      <w:spacing w:val="0"/>
                      <w:kern w:val="2"/>
                      <w:sz w:val="21"/>
                      <w:szCs w:val="21"/>
                      <w:highlight w:val="none"/>
                      <w:lang w:val="en-US" w:eastAsia="zh-CN"/>
                    </w:rPr>
                    <w:t>的开采，因此不涉及取水总量</w:t>
                  </w:r>
                </w:p>
                <w:p w14:paraId="43577565">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cs="Times New Roman"/>
                      <w:bCs/>
                      <w:color w:val="0000FF"/>
                      <w:spacing w:val="0"/>
                      <w:kern w:val="2"/>
                      <w:sz w:val="21"/>
                      <w:szCs w:val="21"/>
                      <w:highlight w:val="none"/>
                      <w:lang w:val="en-US" w:eastAsia="zh-CN"/>
                    </w:rPr>
                  </w:pPr>
                  <w:r>
                    <w:rPr>
                      <w:rFonts w:hint="eastAsia" w:cs="Times New Roman"/>
                      <w:bCs/>
                      <w:color w:val="0000FF"/>
                      <w:spacing w:val="0"/>
                      <w:kern w:val="2"/>
                      <w:sz w:val="21"/>
                      <w:szCs w:val="21"/>
                      <w:highlight w:val="none"/>
                      <w:lang w:val="en-US" w:eastAsia="zh-CN"/>
                    </w:rPr>
                    <w:t>2.本项目</w:t>
                  </w:r>
                  <w:r>
                    <w:rPr>
                      <w:rFonts w:hint="default" w:ascii="Times New Roman" w:hAnsi="Times New Roman" w:eastAsia="宋体" w:cs="Times New Roman"/>
                      <w:b w:val="0"/>
                      <w:bCs w:val="0"/>
                      <w:color w:val="0000FF"/>
                      <w:spacing w:val="0"/>
                      <w:position w:val="0"/>
                      <w:sz w:val="21"/>
                      <w:szCs w:val="21"/>
                      <w:highlight w:val="none"/>
                      <w:lang w:val="en-US" w:eastAsia="zh-CN"/>
                    </w:rPr>
                    <w:t>为河湖整治项目，</w:t>
                  </w:r>
                  <w:r>
                    <w:rPr>
                      <w:rFonts w:hint="eastAsia" w:cs="Times New Roman"/>
                      <w:b w:val="0"/>
                      <w:bCs w:val="0"/>
                      <w:color w:val="0000FF"/>
                      <w:spacing w:val="0"/>
                      <w:position w:val="0"/>
                      <w:sz w:val="21"/>
                      <w:szCs w:val="21"/>
                      <w:highlight w:val="none"/>
                      <w:lang w:val="en-US" w:eastAsia="zh-CN"/>
                    </w:rPr>
                    <w:t>项目施工期及运营期不涉及生产用水，仅产生生活用水，不涉及地下水开采</w:t>
                  </w:r>
                </w:p>
              </w:tc>
              <w:tc>
                <w:tcPr>
                  <w:tcW w:w="372" w:type="pct"/>
                  <w:tcBorders>
                    <w:tl2br w:val="nil"/>
                    <w:tr2bl w:val="nil"/>
                  </w:tcBorders>
                  <w:shd w:val="clear" w:color="auto" w:fill="auto"/>
                  <w:vAlign w:val="center"/>
                </w:tcPr>
                <w:p w14:paraId="24B85687">
                  <w:pPr>
                    <w:keepNext w:val="0"/>
                    <w:keepLines w:val="0"/>
                    <w:pageBreakBefore w:val="0"/>
                    <w:widowControl w:val="0"/>
                    <w:shd w:val="clear"/>
                    <w:kinsoku/>
                    <w:wordWrap/>
                    <w:overflowPunct/>
                    <w:topLinePunct w:val="0"/>
                    <w:bidi w:val="0"/>
                    <w:spacing w:line="240" w:lineRule="auto"/>
                    <w:ind w:left="0" w:right="0"/>
                    <w:jc w:val="center"/>
                    <w:textAlignment w:val="auto"/>
                    <w:rPr>
                      <w:rFonts w:hint="default" w:ascii="Times New Roman" w:hAnsi="Times New Roman" w:eastAsia="宋体" w:cs="Times New Roman"/>
                      <w:b w:val="0"/>
                      <w:bCs w:val="0"/>
                      <w:color w:val="0000FF"/>
                      <w:spacing w:val="0"/>
                      <w:position w:val="0"/>
                      <w:sz w:val="21"/>
                      <w:szCs w:val="21"/>
                      <w:highlight w:val="none"/>
                      <w:lang w:val="en-US" w:eastAsia="zh-CN"/>
                    </w:rPr>
                  </w:pPr>
                  <w:r>
                    <w:rPr>
                      <w:rFonts w:hint="default" w:ascii="Times New Roman" w:hAnsi="Times New Roman" w:eastAsia="宋体" w:cs="Times New Roman"/>
                      <w:b w:val="0"/>
                      <w:bCs w:val="0"/>
                      <w:color w:val="0000FF"/>
                      <w:spacing w:val="0"/>
                      <w:position w:val="0"/>
                      <w:sz w:val="21"/>
                      <w:szCs w:val="21"/>
                      <w:highlight w:val="none"/>
                      <w:lang w:val="en-US" w:eastAsia="zh-CN"/>
                    </w:rPr>
                    <w:t>符合</w:t>
                  </w:r>
                </w:p>
              </w:tc>
            </w:tr>
          </w:tbl>
          <w:p w14:paraId="18707417">
            <w:pPr>
              <w:keepNext w:val="0"/>
              <w:keepLines w:val="0"/>
              <w:pageBreakBefore w:val="0"/>
              <w:widowControl w:val="0"/>
              <w:shd w:val="clear"/>
              <w:kinsoku/>
              <w:wordWrap/>
              <w:overflowPunct/>
              <w:topLinePunct w:val="0"/>
              <w:bidi w:val="0"/>
              <w:spacing w:line="360" w:lineRule="auto"/>
              <w:ind w:left="0" w:right="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position w:val="0"/>
                <w:sz w:val="24"/>
                <w:szCs w:val="24"/>
                <w:highlight w:val="none"/>
                <w:lang w:val="en-US" w:eastAsia="zh-CN"/>
              </w:rPr>
              <w:t>5.与《新疆生态环境保护“十四五”规划》的符合性分析</w:t>
            </w:r>
          </w:p>
          <w:p w14:paraId="7D4F0AF6">
            <w:pPr>
              <w:keepNext w:val="0"/>
              <w:keepLines w:val="0"/>
              <w:pageBreakBefore w:val="0"/>
              <w:widowControl w:val="0"/>
              <w:shd w:val="clear"/>
              <w:kinsoku/>
              <w:wordWrap/>
              <w:overflowPunct/>
              <w:topLinePunct w:val="0"/>
              <w:bidi w:val="0"/>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根据《新疆生态环境保护“十四五”规划》中加强水资源、水生态、水环境系统管理，强化水资源刚性约束，深入推进最严格水资源管理制度，严格实行区域用水总量和强度控制，强化节水约束性指标管理，严格河湖生态流量管理，增加生态用水保障，促进水生态恢复。</w:t>
            </w:r>
          </w:p>
          <w:p w14:paraId="1EED260A">
            <w:pPr>
              <w:keepNext w:val="0"/>
              <w:keepLines w:val="0"/>
              <w:pageBreakBefore w:val="0"/>
              <w:widowControl w:val="0"/>
              <w:shd w:val="clear"/>
              <w:kinsoku/>
              <w:wordWrap/>
              <w:overflowPunct/>
              <w:topLinePunct w:val="0"/>
              <w:bidi w:val="0"/>
              <w:spacing w:line="360" w:lineRule="auto"/>
              <w:ind w:left="0" w:right="0" w:firstLine="480" w:firstLineChars="20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rPr>
              <w:t>本项目为河道治理工程，项目的建设</w:t>
            </w:r>
            <w:r>
              <w:rPr>
                <w:rFonts w:hint="default" w:ascii="Times New Roman" w:hAnsi="Times New Roman" w:eastAsia="宋体" w:cs="Times New Roman"/>
                <w:color w:val="auto"/>
                <w:spacing w:val="0"/>
                <w:position w:val="0"/>
                <w:sz w:val="24"/>
                <w:szCs w:val="24"/>
                <w:highlight w:val="none"/>
                <w:lang w:val="en-US" w:eastAsia="zh-CN"/>
              </w:rPr>
              <w:t>可</w:t>
            </w:r>
            <w:r>
              <w:rPr>
                <w:rFonts w:hint="default" w:ascii="Times New Roman" w:hAnsi="Times New Roman" w:eastAsia="宋体" w:cs="Times New Roman"/>
                <w:color w:val="auto"/>
                <w:spacing w:val="0"/>
                <w:position w:val="0"/>
                <w:sz w:val="24"/>
                <w:szCs w:val="24"/>
                <w:highlight w:val="none"/>
              </w:rPr>
              <w:t>确保河道下游和两岸耕地、灌溉渠道、村级交通道路、供电、通信等基础设施的安全，因此与《新疆生态环境保护“十四五”规划》是相符的。</w:t>
            </w:r>
          </w:p>
          <w:p w14:paraId="083E2BE6">
            <w:pPr>
              <w:keepNext w:val="0"/>
              <w:keepLines w:val="0"/>
              <w:pageBreakBefore w:val="0"/>
              <w:widowControl w:val="0"/>
              <w:shd w:val="clear"/>
              <w:kinsoku/>
              <w:wordWrap/>
              <w:overflowPunct/>
              <w:topLinePunct w:val="0"/>
              <w:bidi w:val="0"/>
              <w:spacing w:line="360" w:lineRule="auto"/>
              <w:ind w:left="0" w:right="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sz w:val="24"/>
                <w:szCs w:val="24"/>
                <w:highlight w:val="none"/>
                <w:lang w:val="en-US" w:eastAsia="zh-CN"/>
              </w:rPr>
              <w:t>6</w:t>
            </w:r>
            <w:r>
              <w:rPr>
                <w:rFonts w:hint="default" w:ascii="Times New Roman" w:hAnsi="Times New Roman" w:eastAsia="宋体" w:cs="Times New Roman"/>
                <w:b/>
                <w:bCs/>
                <w:color w:val="auto"/>
                <w:spacing w:val="0"/>
                <w:position w:val="0"/>
                <w:sz w:val="24"/>
                <w:szCs w:val="24"/>
                <w:highlight w:val="none"/>
                <w:lang w:val="en-US" w:eastAsia="zh-CN"/>
              </w:rPr>
              <w:t>.与《新疆维吾尔自治区水土保持规划》（2018-2030）符合性分析</w:t>
            </w:r>
          </w:p>
          <w:p w14:paraId="5020F567">
            <w:pPr>
              <w:keepNext w:val="0"/>
              <w:keepLines w:val="0"/>
              <w:pageBreakBefore w:val="0"/>
              <w:widowControl w:val="0"/>
              <w:shd w:val="clear"/>
              <w:kinsoku/>
              <w:wordWrap/>
              <w:overflowPunct/>
              <w:topLinePunct w:val="0"/>
              <w:bidi w:val="0"/>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《新疆维吾尔自治区水土保持规划</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2018</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2030年</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》中“开展好植树造林、防沙治沙、退耕还林还草、高标准农田建设、基本农田保护与管理、山地灾害防治、土地整治等相关工作，形成全疆水土保持工作齐抓共管齐抓共促的良好工作局面。”</w:t>
            </w:r>
          </w:p>
          <w:p w14:paraId="2E82741D">
            <w:pPr>
              <w:keepNext w:val="0"/>
              <w:keepLines w:val="0"/>
              <w:pageBreakBefore w:val="0"/>
              <w:widowControl w:val="0"/>
              <w:shd w:val="clear"/>
              <w:kinsoku/>
              <w:wordWrap/>
              <w:overflowPunct/>
              <w:topLinePunct w:val="0"/>
              <w:bidi w:val="0"/>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项目的主要建设任务是通过农业基础设施改造工程、河道治理工程、污染物防控工程和生态景观建设工程等的建设，项目区水土流失得到治理，生态环境得到改善，减少入河泥沙；生态修复及河流整治，涵养水源，控制面源污染，维护饮水生态安全；改善当地的生态环境和人居、生产、生活环境，促进新农村建设及当地社会经济的持续发展。</w:t>
            </w:r>
            <w:r>
              <w:rPr>
                <w:rFonts w:hint="default" w:ascii="Times New Roman" w:hAnsi="Times New Roman" w:eastAsia="宋体" w:cs="Times New Roman"/>
                <w:color w:val="auto"/>
                <w:spacing w:val="0"/>
                <w:position w:val="0"/>
                <w:sz w:val="24"/>
                <w:szCs w:val="24"/>
                <w:highlight w:val="none"/>
                <w:lang w:val="en-US" w:eastAsia="zh-CN"/>
              </w:rPr>
              <w:t>因此，</w:t>
            </w:r>
            <w:r>
              <w:rPr>
                <w:rFonts w:hint="default" w:ascii="Times New Roman" w:hAnsi="Times New Roman" w:eastAsia="宋体" w:cs="Times New Roman"/>
                <w:color w:val="auto"/>
                <w:spacing w:val="0"/>
                <w:position w:val="0"/>
                <w:sz w:val="24"/>
                <w:szCs w:val="24"/>
                <w:highlight w:val="none"/>
              </w:rPr>
              <w:t>本项目的建设符合《新疆维吾尔自治区水土保持规划》</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2018-2030</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w:t>
            </w:r>
          </w:p>
          <w:p w14:paraId="634152BA">
            <w:pPr>
              <w:keepNext w:val="0"/>
              <w:keepLines w:val="0"/>
              <w:pageBreakBefore w:val="0"/>
              <w:widowControl w:val="0"/>
              <w:shd w:val="clear"/>
              <w:kinsoku/>
              <w:wordWrap/>
              <w:overflowPunct/>
              <w:topLinePunct w:val="0"/>
              <w:bidi w:val="0"/>
              <w:spacing w:line="360" w:lineRule="auto"/>
              <w:ind w:left="0" w:right="0"/>
              <w:textAlignment w:val="auto"/>
              <w:rPr>
                <w:rFonts w:hint="default" w:ascii="Times New Roman" w:hAnsi="Times New Roman" w:eastAsia="宋体" w:cs="Times New Roman"/>
                <w:b/>
                <w:bCs/>
                <w:color w:val="0000FF"/>
                <w:spacing w:val="0"/>
                <w:position w:val="0"/>
                <w:sz w:val="24"/>
                <w:szCs w:val="24"/>
                <w:highlight w:val="none"/>
              </w:rPr>
            </w:pPr>
            <w:r>
              <w:rPr>
                <w:rFonts w:hint="default" w:ascii="Times New Roman" w:hAnsi="Times New Roman" w:eastAsia="宋体" w:cs="Times New Roman"/>
                <w:b/>
                <w:bCs/>
                <w:color w:val="0000FF"/>
                <w:spacing w:val="0"/>
                <w:position w:val="0"/>
                <w:sz w:val="24"/>
                <w:szCs w:val="24"/>
                <w:highlight w:val="none"/>
                <w:lang w:val="en-US" w:eastAsia="zh-CN"/>
              </w:rPr>
              <w:t>7.与《水利建设项目（河湖整治与防洪除涝工程）环境影响评价文件审批原则》的符合性分析</w:t>
            </w:r>
          </w:p>
          <w:p w14:paraId="4903C1DF">
            <w:pPr>
              <w:keepNext w:val="0"/>
              <w:keepLines w:val="0"/>
              <w:pageBreakBefore w:val="0"/>
              <w:widowControl w:val="0"/>
              <w:shd w:val="clear"/>
              <w:kinsoku/>
              <w:wordWrap/>
              <w:overflowPunct/>
              <w:topLinePunct w:val="0"/>
              <w:bidi w:val="0"/>
              <w:spacing w:line="360" w:lineRule="auto"/>
              <w:ind w:left="0" w:right="0" w:firstLine="480" w:firstLineChars="200"/>
              <w:textAlignment w:val="auto"/>
              <w:rPr>
                <w:rFonts w:hint="default" w:ascii="Times New Roman" w:hAnsi="Times New Roman" w:eastAsia="宋体" w:cs="Times New Roman"/>
                <w:color w:val="0000FF"/>
                <w:spacing w:val="0"/>
                <w:position w:val="0"/>
                <w:sz w:val="24"/>
                <w:szCs w:val="24"/>
                <w:highlight w:val="none"/>
                <w:lang w:val="en-US" w:eastAsia="zh-CN"/>
              </w:rPr>
            </w:pPr>
            <w:r>
              <w:rPr>
                <w:rFonts w:hint="default" w:ascii="Times New Roman" w:hAnsi="Times New Roman" w:eastAsia="宋体" w:cs="Times New Roman"/>
                <w:color w:val="0000FF"/>
                <w:spacing w:val="0"/>
                <w:position w:val="0"/>
                <w:sz w:val="24"/>
                <w:szCs w:val="24"/>
                <w:highlight w:val="none"/>
                <w:lang w:val="en-US" w:eastAsia="zh-CN"/>
              </w:rPr>
              <w:t>根据《水利建设项目（河湖整治与防洪除涝工程）环境影响评价文件审批原则》的相关要求</w:t>
            </w:r>
            <w:r>
              <w:rPr>
                <w:rFonts w:hint="eastAsia" w:cs="Times New Roman"/>
                <w:color w:val="0000FF"/>
                <w:spacing w:val="0"/>
                <w:position w:val="0"/>
                <w:sz w:val="24"/>
                <w:szCs w:val="24"/>
                <w:highlight w:val="none"/>
                <w:lang w:val="en-US" w:eastAsia="zh-CN"/>
              </w:rPr>
              <w:t>：</w:t>
            </w:r>
          </w:p>
          <w:p w14:paraId="76D3CA99">
            <w:pPr>
              <w:keepNext w:val="0"/>
              <w:keepLines w:val="0"/>
              <w:pageBreakBefore w:val="0"/>
              <w:widowControl w:val="0"/>
              <w:shd w:val="clear"/>
              <w:kinsoku/>
              <w:wordWrap/>
              <w:overflowPunct/>
              <w:topLinePunct w:val="0"/>
              <w:bidi w:val="0"/>
              <w:spacing w:line="360" w:lineRule="auto"/>
              <w:ind w:left="0" w:right="0" w:firstLine="480" w:firstLineChars="200"/>
              <w:textAlignment w:val="auto"/>
              <w:rPr>
                <w:rFonts w:hint="default" w:ascii="Times New Roman" w:hAnsi="Times New Roman" w:eastAsia="宋体" w:cs="Times New Roman"/>
                <w:color w:val="0000FF"/>
                <w:spacing w:val="0"/>
                <w:position w:val="0"/>
                <w:sz w:val="24"/>
                <w:szCs w:val="24"/>
                <w:highlight w:val="none"/>
                <w:lang w:val="en-US" w:eastAsia="zh-CN"/>
              </w:rPr>
            </w:pPr>
            <w:r>
              <w:rPr>
                <w:rFonts w:ascii="宋体" w:hAnsi="宋体" w:eastAsia="宋体" w:cs="宋体"/>
                <w:color w:val="0000FF"/>
                <w:sz w:val="24"/>
                <w:szCs w:val="24"/>
              </w:rPr>
              <w:t>第二条</w:t>
            </w:r>
            <w:r>
              <w:rPr>
                <w:rFonts w:hint="eastAsia" w:ascii="宋体" w:hAnsi="宋体" w:eastAsia="宋体" w:cs="宋体"/>
                <w:color w:val="0000FF"/>
                <w:sz w:val="24"/>
                <w:szCs w:val="24"/>
                <w:lang w:val="en-US" w:eastAsia="zh-CN"/>
              </w:rPr>
              <w:t xml:space="preserve"> </w:t>
            </w:r>
            <w:r>
              <w:rPr>
                <w:rFonts w:ascii="宋体" w:hAnsi="宋体" w:eastAsia="宋体" w:cs="宋体"/>
                <w:color w:val="0000FF"/>
                <w:sz w:val="24"/>
                <w:szCs w:val="24"/>
              </w:rPr>
              <w:t>项目符合环境保护相关法律法规和政策要求，与主体功能区规划、生态功能区划、水环境功能区划、水功能区划、生态环境保护规划、流域综合规划、防洪规划等相协调，满足相关规划环评要求。工程涉及岸线调整（治导线变化）、裁弯取直、围垦水面和占用河湖滩地等建设内容的，充分论证了方案环境可行性，最大程度保持了河湖自然形态，最大限度维护了河湖健康、生态系统功能和生物多样性。</w:t>
            </w:r>
          </w:p>
          <w:p w14:paraId="732E51A4">
            <w:pPr>
              <w:keepNext w:val="0"/>
              <w:keepLines w:val="0"/>
              <w:pageBreakBefore w:val="0"/>
              <w:widowControl w:val="0"/>
              <w:shd w:val="clear"/>
              <w:kinsoku/>
              <w:wordWrap/>
              <w:overflowPunct/>
              <w:topLinePunct w:val="0"/>
              <w:bidi w:val="0"/>
              <w:spacing w:line="360" w:lineRule="auto"/>
              <w:ind w:left="0" w:right="0" w:firstLine="480" w:firstLineChars="200"/>
              <w:textAlignment w:val="auto"/>
              <w:rPr>
                <w:rFonts w:ascii="宋体" w:hAnsi="宋体" w:eastAsia="宋体" w:cs="宋体"/>
                <w:color w:val="0000FF"/>
                <w:sz w:val="24"/>
                <w:szCs w:val="24"/>
              </w:rPr>
            </w:pPr>
            <w:r>
              <w:rPr>
                <w:rFonts w:hint="default" w:ascii="Times New Roman" w:hAnsi="Times New Roman" w:eastAsia="宋体" w:cs="Times New Roman"/>
                <w:color w:val="0000FF"/>
                <w:spacing w:val="0"/>
                <w:position w:val="0"/>
                <w:sz w:val="24"/>
                <w:szCs w:val="24"/>
                <w:highlight w:val="none"/>
                <w:lang w:val="en-US" w:eastAsia="zh-CN"/>
              </w:rPr>
              <w:t>本项目为</w:t>
            </w:r>
            <w:r>
              <w:rPr>
                <w:rFonts w:hint="default" w:ascii="Times New Roman" w:hAnsi="Times New Roman" w:eastAsia="宋体" w:cs="Times New Roman"/>
                <w:color w:val="0000FF"/>
                <w:spacing w:val="0"/>
                <w:w w:val="100"/>
                <w:position w:val="0"/>
                <w:sz w:val="24"/>
                <w:szCs w:val="24"/>
                <w:highlight w:val="none"/>
                <w:lang w:eastAsia="zh-CN"/>
              </w:rPr>
              <w:t>河湖整治</w:t>
            </w:r>
            <w:r>
              <w:rPr>
                <w:rFonts w:hint="default" w:ascii="Times New Roman" w:hAnsi="Times New Roman" w:eastAsia="宋体" w:cs="Times New Roman"/>
                <w:color w:val="0000FF"/>
                <w:spacing w:val="0"/>
                <w:position w:val="0"/>
                <w:sz w:val="24"/>
                <w:szCs w:val="24"/>
                <w:highlight w:val="none"/>
                <w:lang w:val="en-US" w:eastAsia="zh-CN"/>
              </w:rPr>
              <w:t>项目，建设项目符合环境保护相关法律法规和政策要求，</w:t>
            </w:r>
            <w:r>
              <w:rPr>
                <w:rFonts w:hint="eastAsia" w:cs="Times New Roman"/>
                <w:color w:val="0000FF"/>
                <w:spacing w:val="0"/>
                <w:position w:val="0"/>
                <w:sz w:val="24"/>
                <w:szCs w:val="24"/>
                <w:highlight w:val="none"/>
                <w:lang w:val="en-US" w:eastAsia="zh-CN"/>
              </w:rPr>
              <w:t>项目选址符合</w:t>
            </w:r>
            <w:r>
              <w:rPr>
                <w:rFonts w:hint="default" w:ascii="Times New Roman" w:hAnsi="Times New Roman" w:eastAsia="宋体" w:cs="Times New Roman"/>
                <w:color w:val="0000FF"/>
                <w:spacing w:val="0"/>
                <w:position w:val="0"/>
                <w:sz w:val="24"/>
                <w:szCs w:val="24"/>
                <w:highlight w:val="none"/>
                <w:lang w:val="en-US" w:eastAsia="zh-CN"/>
              </w:rPr>
              <w:t>主体功能区规划、生态功能区划、水环境功能区划、水功能区划、生态环境保护规划、流域综合规划、防洪规划等相协调，满足相关规划环评要求。</w:t>
            </w:r>
          </w:p>
          <w:p w14:paraId="3A8E597D">
            <w:pPr>
              <w:keepNext w:val="0"/>
              <w:keepLines w:val="0"/>
              <w:pageBreakBefore w:val="0"/>
              <w:widowControl w:val="0"/>
              <w:shd w:val="clear"/>
              <w:kinsoku/>
              <w:wordWrap/>
              <w:overflowPunct/>
              <w:topLinePunct w:val="0"/>
              <w:bidi w:val="0"/>
              <w:spacing w:line="360" w:lineRule="auto"/>
              <w:ind w:left="0" w:right="0" w:firstLine="480" w:firstLineChars="200"/>
              <w:textAlignment w:val="auto"/>
              <w:rPr>
                <w:rFonts w:hint="default" w:ascii="Times New Roman" w:hAnsi="Times New Roman" w:eastAsia="宋体" w:cs="Times New Roman"/>
                <w:color w:val="0000FF"/>
                <w:spacing w:val="0"/>
                <w:position w:val="0"/>
                <w:sz w:val="24"/>
                <w:szCs w:val="24"/>
                <w:highlight w:val="none"/>
                <w:lang w:val="en-US" w:eastAsia="zh-CN"/>
              </w:rPr>
            </w:pPr>
            <w:r>
              <w:rPr>
                <w:rFonts w:ascii="宋体" w:hAnsi="宋体" w:eastAsia="宋体" w:cs="宋体"/>
                <w:color w:val="0000FF"/>
                <w:sz w:val="24"/>
                <w:szCs w:val="24"/>
              </w:rPr>
              <w:t>第三条</w:t>
            </w:r>
            <w:r>
              <w:rPr>
                <w:rFonts w:hint="eastAsia" w:ascii="宋体" w:hAnsi="宋体" w:eastAsia="宋体" w:cs="宋体"/>
                <w:color w:val="0000FF"/>
                <w:sz w:val="24"/>
                <w:szCs w:val="24"/>
                <w:lang w:val="en-US" w:eastAsia="zh-CN"/>
              </w:rPr>
              <w:t xml:space="preserve"> </w:t>
            </w:r>
            <w:r>
              <w:rPr>
                <w:rFonts w:ascii="宋体" w:hAnsi="宋体" w:eastAsia="宋体" w:cs="宋体"/>
                <w:color w:val="0000FF"/>
                <w:sz w:val="24"/>
                <w:szCs w:val="24"/>
              </w:rPr>
              <w:t>工程选址选线、施工布置原则上不占用自然保护区、风景名胜区、世界文化和自然遗产地以及其他生态保护红线等环境敏感区中法律法规禁止占用的区域，并与饮用水水源保护区的保护要求相协调。法律法规、政策另有规定的从其规定。</w:t>
            </w:r>
          </w:p>
          <w:p w14:paraId="44DF2CA7">
            <w:pPr>
              <w:keepNext w:val="0"/>
              <w:keepLines w:val="0"/>
              <w:pageBreakBefore w:val="0"/>
              <w:widowControl w:val="0"/>
              <w:shd w:val="clear"/>
              <w:kinsoku/>
              <w:wordWrap/>
              <w:overflowPunct/>
              <w:topLinePunct w:val="0"/>
              <w:bidi w:val="0"/>
              <w:spacing w:line="360" w:lineRule="auto"/>
              <w:ind w:left="0" w:right="0" w:firstLine="480" w:firstLineChars="200"/>
              <w:textAlignment w:val="auto"/>
              <w:rPr>
                <w:rFonts w:ascii="宋体" w:hAnsi="宋体" w:eastAsia="宋体" w:cs="宋体"/>
                <w:color w:val="0000FF"/>
                <w:sz w:val="24"/>
                <w:szCs w:val="24"/>
              </w:rPr>
            </w:pPr>
            <w:r>
              <w:rPr>
                <w:rFonts w:hint="eastAsia" w:cs="Times New Roman"/>
                <w:color w:val="0000FF"/>
                <w:spacing w:val="0"/>
                <w:position w:val="0"/>
                <w:sz w:val="24"/>
                <w:szCs w:val="24"/>
                <w:highlight w:val="none"/>
                <w:lang w:val="en-US" w:eastAsia="zh-CN"/>
              </w:rPr>
              <w:t>本项目</w:t>
            </w:r>
            <w:r>
              <w:rPr>
                <w:rFonts w:hint="default" w:ascii="Times New Roman" w:hAnsi="Times New Roman" w:eastAsia="宋体" w:cs="Times New Roman"/>
                <w:color w:val="0000FF"/>
                <w:spacing w:val="0"/>
                <w:position w:val="0"/>
                <w:sz w:val="24"/>
                <w:szCs w:val="24"/>
                <w:highlight w:val="none"/>
                <w:lang w:val="en-US" w:eastAsia="zh-CN"/>
              </w:rPr>
              <w:t>工程选址选线、施工布置不占用自然保护区、风景名胜区、世界文化和自然遗产地以及其他生态保护红线等环境敏感区中法律法规禁止占用的区域，不涉及饮用水水源保护区，且不实涉及水生生物洄游通道及“三场”等重要生境。</w:t>
            </w:r>
          </w:p>
          <w:p w14:paraId="7C94F842">
            <w:pPr>
              <w:keepNext w:val="0"/>
              <w:keepLines w:val="0"/>
              <w:pageBreakBefore w:val="0"/>
              <w:widowControl w:val="0"/>
              <w:shd w:val="clear"/>
              <w:kinsoku/>
              <w:wordWrap/>
              <w:overflowPunct/>
              <w:topLinePunct w:val="0"/>
              <w:bidi w:val="0"/>
              <w:spacing w:line="360" w:lineRule="auto"/>
              <w:ind w:left="0" w:right="0" w:firstLine="480" w:firstLineChars="200"/>
              <w:textAlignment w:val="auto"/>
              <w:rPr>
                <w:rFonts w:ascii="宋体" w:hAnsi="宋体" w:eastAsia="宋体" w:cs="宋体"/>
                <w:color w:val="0000FF"/>
                <w:sz w:val="24"/>
                <w:szCs w:val="24"/>
              </w:rPr>
            </w:pPr>
            <w:r>
              <w:rPr>
                <w:rFonts w:ascii="宋体" w:hAnsi="宋体" w:eastAsia="宋体" w:cs="宋体"/>
                <w:color w:val="0000FF"/>
                <w:sz w:val="24"/>
                <w:szCs w:val="24"/>
              </w:rPr>
              <w:t>第七条</w:t>
            </w:r>
            <w:r>
              <w:rPr>
                <w:rFonts w:hint="eastAsia" w:ascii="宋体" w:hAnsi="宋体" w:eastAsia="宋体" w:cs="宋体"/>
                <w:color w:val="0000FF"/>
                <w:sz w:val="24"/>
                <w:szCs w:val="24"/>
                <w:lang w:val="en-US" w:eastAsia="zh-CN"/>
              </w:rPr>
              <w:t xml:space="preserve"> </w:t>
            </w:r>
            <w:r>
              <w:rPr>
                <w:rFonts w:ascii="宋体" w:hAnsi="宋体" w:eastAsia="宋体" w:cs="宋体"/>
                <w:color w:val="0000FF"/>
                <w:sz w:val="24"/>
                <w:szCs w:val="24"/>
              </w:rPr>
              <w:t>项目施工组织方案具有环境合理性，对料场、弃土（渣）场等施工场地提出了水土流失防治和生态修复等措施。根据环境保护相关标准和要求，对施工期各类废（污）水、扬尘、废气、噪声、固体废物等提出了防治或处置措施。其中，涉水施工涉及饮用水水源保护区或取水口并可能对水质造成不利影响的，提出了避让、施工方案优化、污染物控制等措施；涉水施工对鱼类等水生生物及其重要生境造成不利影响的，提出了避让、施工方案优化、控制施工噪声等措施；针对清淤、疏浚等产生的淤泥，提出了符合相关规定的处置或综合利用方案。在采取上述措施后，施工期的不利环境影响能够得到缓解和控制，不会对周围环境和敏感保护目标造成重大不利影响</w:t>
            </w:r>
          </w:p>
          <w:p w14:paraId="58B96618">
            <w:pPr>
              <w:keepNext w:val="0"/>
              <w:keepLines w:val="0"/>
              <w:pageBreakBefore w:val="0"/>
              <w:widowControl w:val="0"/>
              <w:shd w:val="clear"/>
              <w:kinsoku/>
              <w:wordWrap/>
              <w:overflowPunct/>
              <w:topLinePunct w:val="0"/>
              <w:bidi w:val="0"/>
              <w:spacing w:line="360" w:lineRule="auto"/>
              <w:ind w:left="0" w:right="0" w:firstLine="480" w:firstLineChars="200"/>
              <w:textAlignment w:val="auto"/>
              <w:rPr>
                <w:rFonts w:hint="default" w:ascii="宋体" w:hAnsi="宋体" w:eastAsia="宋体" w:cs="宋体"/>
                <w:sz w:val="24"/>
                <w:szCs w:val="24"/>
                <w:lang w:val="en-US" w:eastAsia="zh-CN"/>
              </w:rPr>
            </w:pPr>
            <w:r>
              <w:rPr>
                <w:rFonts w:ascii="宋体" w:hAnsi="宋体" w:eastAsia="宋体" w:cs="宋体"/>
                <w:sz w:val="24"/>
                <w:szCs w:val="24"/>
              </w:rPr>
              <w:t>本项目施工过程中使用商品混凝土，不进行现场搅拌，施工期间会产生少量冲洗废水、养护废水等建筑施工废水，这些废水产生量较少，经简易沉淀处理后可全部回用，不外排。</w:t>
            </w:r>
            <w:r>
              <w:rPr>
                <w:rFonts w:hint="eastAsia" w:ascii="宋体" w:hAnsi="宋体" w:eastAsia="宋体" w:cs="宋体"/>
                <w:sz w:val="24"/>
                <w:szCs w:val="24"/>
                <w:lang w:val="en-US" w:eastAsia="zh-CN"/>
              </w:rPr>
              <w:t>且本项目占地不涉及</w:t>
            </w:r>
            <w:r>
              <w:rPr>
                <w:rFonts w:ascii="宋体" w:hAnsi="宋体" w:eastAsia="宋体" w:cs="宋体"/>
                <w:color w:val="0000FF"/>
                <w:sz w:val="24"/>
                <w:szCs w:val="24"/>
              </w:rPr>
              <w:t>饮用水水源保护区或取水口</w:t>
            </w:r>
            <w:r>
              <w:rPr>
                <w:rFonts w:hint="eastAsia" w:ascii="宋体" w:hAnsi="宋体" w:cs="宋体"/>
                <w:color w:val="0000FF"/>
                <w:sz w:val="24"/>
                <w:szCs w:val="24"/>
                <w:lang w:val="en-US" w:eastAsia="zh-CN"/>
              </w:rPr>
              <w:t>的建设</w:t>
            </w:r>
          </w:p>
          <w:p w14:paraId="4D5B0459">
            <w:pPr>
              <w:keepNext w:val="0"/>
              <w:keepLines w:val="0"/>
              <w:pageBreakBefore w:val="0"/>
              <w:widowControl w:val="0"/>
              <w:shd w:val="clear"/>
              <w:kinsoku/>
              <w:wordWrap/>
              <w:overflowPunct/>
              <w:topLinePunct w:val="0"/>
              <w:bidi w:val="0"/>
              <w:spacing w:line="360" w:lineRule="auto"/>
              <w:ind w:left="0" w:right="0" w:firstLine="480" w:firstLineChars="200"/>
              <w:textAlignment w:val="auto"/>
              <w:rPr>
                <w:rFonts w:hint="default" w:ascii="Times New Roman" w:hAnsi="Times New Roman" w:eastAsia="宋体" w:cs="Times New Roman"/>
                <w:color w:val="0000FF"/>
                <w:spacing w:val="0"/>
                <w:position w:val="0"/>
                <w:sz w:val="24"/>
                <w:szCs w:val="24"/>
                <w:highlight w:val="none"/>
                <w:lang w:val="en-US" w:eastAsia="zh-CN"/>
              </w:rPr>
            </w:pPr>
            <w:r>
              <w:rPr>
                <w:rFonts w:ascii="宋体" w:hAnsi="宋体" w:eastAsia="宋体" w:cs="宋体"/>
                <w:sz w:val="24"/>
                <w:szCs w:val="24"/>
              </w:rPr>
              <w:t>施工过程中严格把控固体废物、废水等处置，严禁将施工垃圾、生活垃圾、施工废水等倒入河道或挖坑掩埋。本项目施工人员来源于周边乡镇或者租用就近居民现有生活设施，因此</w:t>
            </w:r>
            <w:r>
              <w:rPr>
                <w:rFonts w:ascii="宋体" w:hAnsi="宋体" w:eastAsia="宋体" w:cs="宋体"/>
                <w:color w:val="0000FF"/>
                <w:sz w:val="24"/>
                <w:szCs w:val="24"/>
              </w:rPr>
              <w:t>会对周围环境和敏感保护目标造成重大不利影响</w:t>
            </w:r>
            <w:r>
              <w:rPr>
                <w:rFonts w:ascii="宋体" w:hAnsi="宋体" w:eastAsia="宋体" w:cs="宋体"/>
                <w:sz w:val="24"/>
                <w:szCs w:val="24"/>
              </w:rPr>
              <w:t>。</w:t>
            </w:r>
          </w:p>
          <w:p w14:paraId="7AA101C9">
            <w:pPr>
              <w:keepNext w:val="0"/>
              <w:keepLines w:val="0"/>
              <w:pageBreakBefore w:val="0"/>
              <w:widowControl w:val="0"/>
              <w:shd w:val="clear"/>
              <w:kinsoku/>
              <w:wordWrap/>
              <w:overflowPunct/>
              <w:topLinePunct w:val="0"/>
              <w:bidi w:val="0"/>
              <w:spacing w:line="360" w:lineRule="auto"/>
              <w:ind w:left="0" w:right="0" w:firstLine="480" w:firstLineChars="200"/>
              <w:textAlignment w:val="auto"/>
              <w:rPr>
                <w:rFonts w:hint="default" w:ascii="Times New Roman" w:hAnsi="Times New Roman" w:eastAsia="宋体" w:cs="Times New Roman"/>
                <w:color w:val="0000FF"/>
                <w:spacing w:val="0"/>
                <w:position w:val="0"/>
                <w:sz w:val="24"/>
                <w:szCs w:val="24"/>
                <w:highlight w:val="none"/>
                <w:lang w:val="en-US" w:eastAsia="zh-CN"/>
              </w:rPr>
            </w:pPr>
            <w:r>
              <w:rPr>
                <w:rFonts w:hint="eastAsia" w:cs="Times New Roman"/>
                <w:color w:val="0000FF"/>
                <w:spacing w:val="0"/>
                <w:position w:val="0"/>
                <w:sz w:val="24"/>
                <w:szCs w:val="24"/>
                <w:highlight w:val="none"/>
                <w:lang w:val="en-US" w:eastAsia="zh-CN"/>
              </w:rPr>
              <w:t>本项目</w:t>
            </w:r>
            <w:r>
              <w:rPr>
                <w:rFonts w:hint="default" w:ascii="Times New Roman" w:hAnsi="Times New Roman" w:eastAsia="宋体" w:cs="Times New Roman"/>
                <w:color w:val="0000FF"/>
                <w:spacing w:val="0"/>
                <w:position w:val="0"/>
                <w:sz w:val="24"/>
                <w:szCs w:val="24"/>
                <w:highlight w:val="none"/>
                <w:lang w:val="en-US" w:eastAsia="zh-CN"/>
              </w:rPr>
              <w:t>通过防洪坝建设，确保河道下游和两岸耕地、灌溉渠道、村级交通道路、供电、通信等基础设施的安全。因此，本项目建设符合《水利建设项目（河湖整治与防洪除涝工程）环境影响评价文件审批原则》要求。</w:t>
            </w:r>
          </w:p>
          <w:p w14:paraId="0F3E26DF">
            <w:pPr>
              <w:pStyle w:val="11"/>
              <w:keepNext w:val="0"/>
              <w:keepLines w:val="0"/>
              <w:pageBreakBefore w:val="0"/>
              <w:numPr>
                <w:ilvl w:val="0"/>
                <w:numId w:val="0"/>
              </w:numPr>
              <w:shd w:val="clear"/>
              <w:wordWrap/>
              <w:overflowPunct/>
              <w:topLinePunct w:val="0"/>
              <w:bidi w:val="0"/>
              <w:spacing w:before="0" w:after="0" w:line="360" w:lineRule="auto"/>
              <w:ind w:left="0" w:leftChars="0" w:right="0" w:rightChars="0"/>
              <w:rPr>
                <w:rFonts w:hint="default" w:ascii="Times New Roman" w:hAnsi="Times New Roman" w:cs="Times New Roman"/>
                <w:b/>
                <w:bCs/>
                <w:color w:val="auto"/>
                <w:spacing w:val="0"/>
                <w:kern w:val="2"/>
                <w:position w:val="0"/>
                <w:sz w:val="24"/>
                <w:szCs w:val="24"/>
                <w:highlight w:val="none"/>
                <w:lang w:val="en-US" w:eastAsia="zh-CN" w:bidi="ar-SA"/>
              </w:rPr>
            </w:pPr>
            <w:r>
              <w:rPr>
                <w:rFonts w:hint="default" w:ascii="Times New Roman" w:hAnsi="Times New Roman" w:eastAsia="宋体" w:cs="Times New Roman"/>
                <w:b/>
                <w:bCs/>
                <w:color w:val="auto"/>
                <w:spacing w:val="0"/>
                <w:kern w:val="2"/>
                <w:position w:val="0"/>
                <w:sz w:val="24"/>
                <w:szCs w:val="24"/>
                <w:highlight w:val="none"/>
                <w:lang w:val="en-US" w:eastAsia="zh-CN" w:bidi="ar-SA"/>
              </w:rPr>
              <w:t>8.项目与《国务院关于印发&lt;空气质量持续改善行动计划&gt;的通知》（国发〔2023〕24号）和深入打好污染防治攻坚战实施方案</w:t>
            </w:r>
            <w:r>
              <w:rPr>
                <w:rFonts w:hint="default" w:ascii="Times New Roman" w:hAnsi="Times New Roman" w:cs="Times New Roman"/>
                <w:b/>
                <w:bCs/>
                <w:color w:val="auto"/>
                <w:spacing w:val="0"/>
                <w:kern w:val="2"/>
                <w:position w:val="0"/>
                <w:sz w:val="24"/>
                <w:szCs w:val="24"/>
                <w:highlight w:val="none"/>
                <w:lang w:val="en-US" w:eastAsia="zh-CN" w:bidi="ar-SA"/>
              </w:rPr>
              <w:t>的符合性分析</w:t>
            </w:r>
          </w:p>
          <w:p w14:paraId="3EEEC45B">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spacing w:before="30" w:beforeAutospacing="0" w:after="30" w:afterAutospacing="0" w:line="360" w:lineRule="auto"/>
              <w:ind w:left="0" w:right="0" w:firstLine="420"/>
              <w:rPr>
                <w:rFonts w:hint="default" w:ascii="Times New Roman" w:hAnsi="Times New Roman" w:eastAsia="宋体" w:cs="Times New Roman"/>
                <w:color w:val="auto"/>
                <w:spacing w:val="0"/>
                <w:kern w:val="2"/>
                <w:position w:val="0"/>
                <w:sz w:val="24"/>
                <w:szCs w:val="24"/>
                <w:highlight w:val="none"/>
                <w:lang w:val="en-US" w:eastAsia="zh-CN" w:bidi="ar-SA"/>
              </w:rPr>
            </w:pPr>
            <w:r>
              <w:rPr>
                <w:rFonts w:hint="default" w:ascii="Times New Roman" w:hAnsi="Times New Roman" w:eastAsia="宋体" w:cs="Times New Roman"/>
                <w:color w:val="auto"/>
                <w:spacing w:val="0"/>
                <w:kern w:val="2"/>
                <w:position w:val="0"/>
                <w:sz w:val="24"/>
                <w:szCs w:val="24"/>
                <w:highlight w:val="none"/>
                <w:lang w:val="en-US" w:eastAsia="zh-CN" w:bidi="ar-SA"/>
              </w:rPr>
              <w:t>《国务院关于印发&lt;空气质量持续改善行动计划&gt;的通知》（国发〔2023〕24号）提出：（十八）深化扬尘污染综合治理。鼓励经济发达地区5000平方米及以上建筑工地安装视频监控并接入当地监管平台；重点区域道路、水务等长距离线性工程实行分段施工。将防治扬尘污染费用纳入工程造价。到2025年，装配式建筑占新建建筑面积比例达30%；地级及以上城市建成区道路机械化清扫率达80%左右，县城达70%左右。对城市公共裸地进行排查建档并采取防尘措施。城市大型煤炭、矿石等干散货码头物料堆场基本完成抑尘设施建设和物料输送系统封闭改造。</w:t>
            </w:r>
          </w:p>
          <w:p w14:paraId="0DD78B0F">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spacing w:before="30" w:beforeAutospacing="0" w:after="30" w:afterAutospacing="0" w:line="360" w:lineRule="auto"/>
              <w:ind w:left="0" w:right="0" w:firstLine="420"/>
              <w:rPr>
                <w:rFonts w:hint="default" w:ascii="Times New Roman" w:hAnsi="Times New Roman" w:cs="Times New Roman"/>
                <w:color w:val="auto"/>
                <w:spacing w:val="0"/>
                <w:kern w:val="2"/>
                <w:position w:val="0"/>
                <w:sz w:val="24"/>
                <w:szCs w:val="24"/>
                <w:highlight w:val="none"/>
                <w:lang w:val="en-US" w:eastAsia="zh-CN" w:bidi="ar-SA"/>
              </w:rPr>
            </w:pPr>
            <w:r>
              <w:rPr>
                <w:rFonts w:hint="default" w:ascii="Times New Roman" w:hAnsi="Times New Roman" w:eastAsia="宋体" w:cs="Times New Roman"/>
                <w:color w:val="auto"/>
                <w:spacing w:val="0"/>
                <w:kern w:val="2"/>
                <w:position w:val="0"/>
                <w:sz w:val="24"/>
                <w:szCs w:val="24"/>
                <w:highlight w:val="none"/>
                <w:lang w:val="en-US" w:eastAsia="zh-CN" w:bidi="ar-SA"/>
              </w:rPr>
              <w:t>本项目施工期不在现场设置混凝土搅拌、采用商品混凝土进行浇筑，现场不设置砂石料堆场，无堆场扬尘产生，能够将扬尘降至最低，因此，项目施工期符合《国务院关于印发&lt;空气质量持续改善行动计划&gt;的通知》</w:t>
            </w:r>
            <w:r>
              <w:rPr>
                <w:rFonts w:hint="default" w:ascii="Times New Roman" w:hAnsi="Times New Roman" w:cs="Times New Roman"/>
                <w:color w:val="auto"/>
                <w:spacing w:val="0"/>
                <w:kern w:val="2"/>
                <w:position w:val="0"/>
                <w:sz w:val="24"/>
                <w:szCs w:val="24"/>
                <w:highlight w:val="none"/>
                <w:lang w:val="en-US" w:eastAsia="zh-CN" w:bidi="ar-SA"/>
              </w:rPr>
              <w:t>的相关要求。</w:t>
            </w:r>
          </w:p>
          <w:p w14:paraId="1E12E495">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spacing w:before="30" w:beforeAutospacing="0" w:after="30" w:afterAutospacing="0" w:line="360" w:lineRule="auto"/>
              <w:ind w:right="0"/>
              <w:rPr>
                <w:rFonts w:hint="default" w:ascii="Times New Roman" w:hAnsi="Times New Roman" w:cs="Times New Roman"/>
                <w:color w:val="auto"/>
                <w:spacing w:val="0"/>
                <w:kern w:val="2"/>
                <w:position w:val="0"/>
                <w:sz w:val="24"/>
                <w:szCs w:val="24"/>
                <w:highlight w:val="none"/>
                <w:lang w:val="en-US" w:eastAsia="zh-CN" w:bidi="ar-SA"/>
              </w:rPr>
            </w:pPr>
            <w:r>
              <w:rPr>
                <w:rFonts w:hint="default" w:ascii="Times New Roman" w:hAnsi="Times New Roman" w:cs="Times New Roman"/>
                <w:b/>
                <w:bCs/>
                <w:color w:val="auto"/>
                <w:spacing w:val="0"/>
                <w:kern w:val="0"/>
                <w:sz w:val="24"/>
                <w:szCs w:val="24"/>
                <w:highlight w:val="none"/>
                <w:lang w:val="en-US" w:eastAsia="zh-CN" w:bidi="ar"/>
              </w:rPr>
              <w:t>9.</w:t>
            </w:r>
            <w:r>
              <w:rPr>
                <w:rFonts w:hint="default" w:ascii="Times New Roman" w:hAnsi="Times New Roman" w:eastAsia="宋体" w:cs="Times New Roman"/>
                <w:b/>
                <w:bCs/>
                <w:color w:val="auto"/>
                <w:spacing w:val="0"/>
                <w:kern w:val="0"/>
                <w:sz w:val="24"/>
                <w:szCs w:val="24"/>
                <w:highlight w:val="none"/>
                <w:lang w:val="en-US" w:eastAsia="zh-CN" w:bidi="ar"/>
              </w:rPr>
              <w:t>项目建设与《中华人民共和国河道管理条例（2018年修正）》的符合性分析</w:t>
            </w:r>
          </w:p>
          <w:p w14:paraId="6CEB8FB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spacing w:val="0"/>
                <w:kern w:val="2"/>
                <w:position w:val="0"/>
                <w:sz w:val="24"/>
                <w:szCs w:val="24"/>
                <w:highlight w:val="none"/>
                <w:lang w:val="en-US" w:eastAsia="zh-CN" w:bidi="ar-SA"/>
              </w:rPr>
            </w:pPr>
            <w:r>
              <w:rPr>
                <w:rFonts w:hint="default" w:ascii="Times New Roman" w:hAnsi="Times New Roman" w:eastAsia="宋体" w:cs="Times New Roman"/>
                <w:color w:val="auto"/>
                <w:spacing w:val="0"/>
                <w:kern w:val="2"/>
                <w:position w:val="0"/>
                <w:sz w:val="24"/>
                <w:szCs w:val="24"/>
                <w:highlight w:val="none"/>
                <w:lang w:val="en-US" w:eastAsia="zh-CN" w:bidi="ar-SA"/>
              </w:rPr>
              <w:t>《中华人民共和国河道管理条例（2018年修正）》提出：第二十四条 在河道管理范围内，禁止修建围堤、阻水渠道、阻水道路；种植高秆农作物、芦苇、杞柳、荻柴和树木（堤防防护林除外）；设置拦河渔具；弃置矿渣、石渣、煤灰、泥土、垃圾等。在堤防和护堤地，禁止建房、放牧、开渠、打井、挖窖、葬坟、晒粮、存放物料、开采地下资源、进行考古发掘以及开展集市贸易活动。</w:t>
            </w:r>
          </w:p>
          <w:p w14:paraId="1E5FE984">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spacing w:before="30" w:beforeAutospacing="0" w:after="30" w:afterAutospacing="0" w:line="360" w:lineRule="auto"/>
              <w:ind w:left="0" w:right="0" w:firstLine="420"/>
              <w:rPr>
                <w:rFonts w:hint="default" w:ascii="Times New Roman" w:hAnsi="Times New Roman" w:eastAsia="宋体" w:cs="Times New Roman"/>
                <w:color w:val="auto"/>
                <w:spacing w:val="0"/>
                <w:sz w:val="24"/>
                <w:szCs w:val="24"/>
                <w:highlight w:val="none"/>
              </w:rPr>
            </w:pPr>
            <w:r>
              <w:rPr>
                <w:rFonts w:hint="default" w:ascii="Times New Roman" w:hAnsi="Times New Roman" w:eastAsia="宋体" w:cs="Times New Roman"/>
                <w:color w:val="auto"/>
                <w:spacing w:val="0"/>
                <w:sz w:val="24"/>
                <w:szCs w:val="24"/>
                <w:highlight w:val="none"/>
              </w:rPr>
              <w:t>本项目建设内容主要是对</w:t>
            </w:r>
            <w:r>
              <w:rPr>
                <w:rFonts w:hint="default" w:ascii="Times New Roman" w:hAnsi="Times New Roman" w:cs="Times New Roman"/>
                <w:color w:val="auto"/>
                <w:spacing w:val="0"/>
                <w:sz w:val="24"/>
                <w:szCs w:val="24"/>
                <w:highlight w:val="none"/>
                <w:lang w:eastAsia="zh-CN"/>
              </w:rPr>
              <w:t>库尔阿根河</w:t>
            </w:r>
            <w:r>
              <w:rPr>
                <w:rFonts w:hint="default" w:ascii="Times New Roman" w:hAnsi="Times New Roman" w:eastAsia="宋体" w:cs="Times New Roman"/>
                <w:color w:val="auto"/>
                <w:spacing w:val="0"/>
                <w:w w:val="100"/>
                <w:kern w:val="0"/>
                <w:position w:val="0"/>
                <w:sz w:val="24"/>
                <w:szCs w:val="24"/>
                <w:highlight w:val="none"/>
                <w:lang w:val="en-US" w:eastAsia="zh-CN" w:bidi="ar-SA"/>
              </w:rPr>
              <w:t>保护河道右岸昌吉市榆树沟镇榆树沟村、勇进村和牧业村村民生命财产、河道两岸农业用地及河道整治段。综合治理河段总长12.98km（其中：上段10.1km，对应桩号36+690.5-47+701.9；下段2.88km，对应桩号66+770-69+654.1）</w:t>
            </w:r>
            <w:r>
              <w:rPr>
                <w:rFonts w:hint="default" w:ascii="Times New Roman" w:hAnsi="Times New Roman" w:eastAsia="宋体" w:cs="Times New Roman"/>
                <w:color w:val="auto"/>
                <w:spacing w:val="0"/>
                <w:sz w:val="24"/>
                <w:szCs w:val="24"/>
                <w:highlight w:val="none"/>
              </w:rPr>
              <w:t>。</w:t>
            </w:r>
          </w:p>
          <w:p w14:paraId="0D92BE85">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spacing w:before="30" w:beforeAutospacing="0" w:after="30" w:afterAutospacing="0" w:line="360" w:lineRule="auto"/>
              <w:ind w:left="0" w:right="0" w:firstLine="420"/>
              <w:rPr>
                <w:rFonts w:hint="default" w:ascii="Times New Roman" w:hAnsi="Times New Roman" w:eastAsia="宋体" w:cs="Times New Roman"/>
                <w:color w:val="auto"/>
                <w:spacing w:val="0"/>
                <w:kern w:val="2"/>
                <w:position w:val="0"/>
                <w:sz w:val="24"/>
                <w:szCs w:val="24"/>
                <w:highlight w:val="none"/>
                <w:lang w:val="en-US" w:eastAsia="zh-CN" w:bidi="ar-SA"/>
              </w:rPr>
            </w:pPr>
            <w:r>
              <w:rPr>
                <w:rFonts w:hint="default" w:ascii="Times New Roman" w:hAnsi="Times New Roman" w:cs="Times New Roman"/>
                <w:b w:val="0"/>
                <w:bCs w:val="0"/>
                <w:color w:val="auto"/>
                <w:spacing w:val="0"/>
                <w:sz w:val="24"/>
                <w:szCs w:val="24"/>
                <w:highlight w:val="none"/>
                <w:lang w:val="en-US" w:eastAsia="zh-CN"/>
              </w:rPr>
              <w:t>因此，本项目的建设符合</w:t>
            </w:r>
            <w:r>
              <w:rPr>
                <w:rFonts w:hint="default" w:ascii="Times New Roman" w:hAnsi="Times New Roman" w:eastAsia="宋体" w:cs="Times New Roman"/>
                <w:b w:val="0"/>
                <w:bCs w:val="0"/>
                <w:color w:val="auto"/>
                <w:spacing w:val="0"/>
                <w:kern w:val="0"/>
                <w:sz w:val="24"/>
                <w:szCs w:val="24"/>
                <w:highlight w:val="none"/>
                <w:lang w:val="en-US" w:eastAsia="zh-CN" w:bidi="ar"/>
              </w:rPr>
              <w:t>中华人民共和国河道管理条例（2018年修正）》</w:t>
            </w:r>
            <w:r>
              <w:rPr>
                <w:rFonts w:hint="default" w:ascii="Times New Roman" w:hAnsi="Times New Roman" w:cs="Times New Roman"/>
                <w:b w:val="0"/>
                <w:bCs w:val="0"/>
                <w:color w:val="auto"/>
                <w:spacing w:val="0"/>
                <w:kern w:val="0"/>
                <w:sz w:val="24"/>
                <w:szCs w:val="24"/>
                <w:highlight w:val="none"/>
                <w:lang w:val="en-US" w:eastAsia="zh-CN" w:bidi="ar"/>
              </w:rPr>
              <w:t>的相关要求。</w:t>
            </w:r>
          </w:p>
          <w:p w14:paraId="65A93AF3">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spacing w:before="30" w:beforeAutospacing="0" w:after="30" w:afterAutospacing="0" w:line="360" w:lineRule="auto"/>
              <w:ind w:left="0" w:right="0" w:firstLine="420"/>
              <w:rPr>
                <w:rFonts w:hint="default" w:ascii="Times New Roman" w:hAnsi="Times New Roman" w:cs="Times New Roman"/>
                <w:color w:val="auto"/>
                <w:spacing w:val="0"/>
                <w:kern w:val="2"/>
                <w:position w:val="0"/>
                <w:sz w:val="24"/>
                <w:szCs w:val="24"/>
                <w:highlight w:val="none"/>
                <w:lang w:val="en-US" w:eastAsia="zh-CN" w:bidi="ar-SA"/>
              </w:rPr>
            </w:pPr>
          </w:p>
          <w:p w14:paraId="463F2F6C">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spacing w:before="30" w:beforeAutospacing="0" w:after="30" w:afterAutospacing="0" w:line="360" w:lineRule="auto"/>
              <w:ind w:left="0" w:right="0" w:firstLine="420"/>
              <w:rPr>
                <w:rFonts w:hint="default" w:ascii="Times New Roman" w:hAnsi="Times New Roman" w:cs="Times New Roman"/>
                <w:color w:val="auto"/>
                <w:spacing w:val="0"/>
                <w:kern w:val="2"/>
                <w:position w:val="0"/>
                <w:sz w:val="24"/>
                <w:szCs w:val="24"/>
                <w:highlight w:val="none"/>
                <w:lang w:val="en-US" w:eastAsia="zh-CN" w:bidi="ar-SA"/>
              </w:rPr>
            </w:pPr>
          </w:p>
          <w:p w14:paraId="3ED7F7F4">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spacing w:before="30" w:beforeAutospacing="0" w:after="30" w:afterAutospacing="0" w:line="360" w:lineRule="auto"/>
              <w:ind w:left="0" w:right="0" w:firstLine="420"/>
              <w:rPr>
                <w:rFonts w:hint="default" w:ascii="Times New Roman" w:hAnsi="Times New Roman" w:cs="Times New Roman"/>
                <w:color w:val="auto"/>
                <w:spacing w:val="0"/>
                <w:kern w:val="2"/>
                <w:position w:val="0"/>
                <w:sz w:val="24"/>
                <w:szCs w:val="24"/>
                <w:highlight w:val="none"/>
                <w:lang w:val="en-US" w:eastAsia="zh-CN" w:bidi="ar-SA"/>
              </w:rPr>
            </w:pPr>
          </w:p>
          <w:p w14:paraId="1832E36D">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spacing w:before="30" w:beforeAutospacing="0" w:after="30" w:afterAutospacing="0" w:line="360" w:lineRule="auto"/>
              <w:ind w:left="0" w:right="0" w:firstLine="420"/>
              <w:rPr>
                <w:rFonts w:hint="default" w:ascii="Times New Roman" w:hAnsi="Times New Roman" w:cs="Times New Roman"/>
                <w:color w:val="auto"/>
                <w:spacing w:val="0"/>
                <w:kern w:val="2"/>
                <w:position w:val="0"/>
                <w:sz w:val="24"/>
                <w:szCs w:val="24"/>
                <w:highlight w:val="none"/>
                <w:lang w:val="en-US" w:eastAsia="zh-CN" w:bidi="ar-SA"/>
              </w:rPr>
            </w:pPr>
          </w:p>
          <w:p w14:paraId="1A0D9379">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spacing w:before="30" w:beforeAutospacing="0" w:after="30" w:afterAutospacing="0" w:line="360" w:lineRule="auto"/>
              <w:ind w:left="0" w:right="0" w:firstLine="420"/>
              <w:rPr>
                <w:rFonts w:hint="default" w:ascii="Times New Roman" w:hAnsi="Times New Roman" w:cs="Times New Roman"/>
                <w:color w:val="auto"/>
                <w:spacing w:val="0"/>
                <w:kern w:val="2"/>
                <w:position w:val="0"/>
                <w:sz w:val="24"/>
                <w:szCs w:val="24"/>
                <w:highlight w:val="none"/>
                <w:lang w:val="en-US" w:eastAsia="zh-CN" w:bidi="ar-SA"/>
              </w:rPr>
            </w:pPr>
          </w:p>
          <w:p w14:paraId="174F50CE">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spacing w:before="30" w:beforeAutospacing="0" w:after="30" w:afterAutospacing="0" w:line="360" w:lineRule="auto"/>
              <w:ind w:left="0" w:right="0" w:firstLine="420"/>
              <w:rPr>
                <w:rFonts w:hint="default" w:ascii="Times New Roman" w:hAnsi="Times New Roman" w:cs="Times New Roman"/>
                <w:color w:val="auto"/>
                <w:spacing w:val="0"/>
                <w:kern w:val="2"/>
                <w:position w:val="0"/>
                <w:sz w:val="24"/>
                <w:szCs w:val="24"/>
                <w:highlight w:val="none"/>
                <w:lang w:val="en-US" w:eastAsia="zh-CN" w:bidi="ar-SA"/>
              </w:rPr>
            </w:pPr>
          </w:p>
          <w:p w14:paraId="79514A7C">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spacing w:before="30" w:beforeAutospacing="0" w:after="30" w:afterAutospacing="0" w:line="360" w:lineRule="auto"/>
              <w:ind w:left="0" w:right="0" w:firstLine="420"/>
              <w:rPr>
                <w:rFonts w:hint="default" w:ascii="Times New Roman" w:hAnsi="Times New Roman" w:cs="Times New Roman"/>
                <w:color w:val="auto"/>
                <w:spacing w:val="0"/>
                <w:kern w:val="2"/>
                <w:position w:val="0"/>
                <w:sz w:val="24"/>
                <w:szCs w:val="24"/>
                <w:highlight w:val="none"/>
                <w:lang w:val="en-US" w:eastAsia="zh-CN" w:bidi="ar-SA"/>
              </w:rPr>
            </w:pPr>
          </w:p>
          <w:p w14:paraId="5C5A1500">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spacing w:before="30" w:beforeAutospacing="0" w:after="30" w:afterAutospacing="0" w:line="360" w:lineRule="auto"/>
              <w:ind w:left="0" w:right="0" w:firstLine="420"/>
              <w:rPr>
                <w:rFonts w:hint="default" w:ascii="Times New Roman" w:hAnsi="Times New Roman" w:cs="Times New Roman"/>
                <w:color w:val="auto"/>
                <w:spacing w:val="0"/>
                <w:kern w:val="2"/>
                <w:position w:val="0"/>
                <w:sz w:val="24"/>
                <w:szCs w:val="24"/>
                <w:highlight w:val="none"/>
                <w:lang w:val="en-US" w:eastAsia="zh-CN" w:bidi="ar-SA"/>
              </w:rPr>
            </w:pPr>
          </w:p>
          <w:p w14:paraId="5FC852C8">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spacing w:before="30" w:beforeAutospacing="0" w:after="30" w:afterAutospacing="0" w:line="360" w:lineRule="auto"/>
              <w:ind w:left="0" w:right="0" w:firstLine="420"/>
              <w:rPr>
                <w:rFonts w:hint="default" w:ascii="Times New Roman" w:hAnsi="Times New Roman" w:cs="Times New Roman"/>
                <w:color w:val="auto"/>
                <w:spacing w:val="0"/>
                <w:kern w:val="2"/>
                <w:position w:val="0"/>
                <w:sz w:val="24"/>
                <w:szCs w:val="24"/>
                <w:highlight w:val="none"/>
                <w:lang w:val="en-US" w:eastAsia="zh-CN" w:bidi="ar-SA"/>
              </w:rPr>
            </w:pPr>
          </w:p>
          <w:p w14:paraId="7F734809">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spacing w:before="30" w:beforeAutospacing="0" w:after="30" w:afterAutospacing="0" w:line="360" w:lineRule="auto"/>
              <w:ind w:left="0" w:right="0" w:firstLine="420"/>
              <w:rPr>
                <w:rFonts w:hint="default" w:ascii="Times New Roman" w:hAnsi="Times New Roman" w:cs="Times New Roman"/>
                <w:color w:val="auto"/>
                <w:spacing w:val="0"/>
                <w:kern w:val="2"/>
                <w:position w:val="0"/>
                <w:sz w:val="24"/>
                <w:szCs w:val="24"/>
                <w:highlight w:val="none"/>
                <w:lang w:val="en-US" w:eastAsia="zh-CN" w:bidi="ar-SA"/>
              </w:rPr>
            </w:pPr>
          </w:p>
          <w:p w14:paraId="5DB583CD">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spacing w:before="30" w:beforeAutospacing="0" w:after="30" w:afterAutospacing="0" w:line="360" w:lineRule="auto"/>
              <w:ind w:left="0" w:right="0" w:firstLine="420"/>
              <w:rPr>
                <w:rFonts w:hint="default" w:ascii="Times New Roman" w:hAnsi="Times New Roman" w:cs="Times New Roman"/>
                <w:color w:val="auto"/>
                <w:spacing w:val="0"/>
                <w:kern w:val="2"/>
                <w:position w:val="0"/>
                <w:sz w:val="24"/>
                <w:szCs w:val="24"/>
                <w:highlight w:val="none"/>
                <w:lang w:val="en-US" w:eastAsia="zh-CN" w:bidi="ar-SA"/>
              </w:rPr>
            </w:pPr>
          </w:p>
          <w:p w14:paraId="4642D55F">
            <w:pPr>
              <w:shd w:val="clear"/>
              <w:rPr>
                <w:rFonts w:hint="default" w:ascii="Times New Roman" w:hAnsi="Times New Roman" w:eastAsia="宋体" w:cs="Times New Roman"/>
                <w:color w:val="auto"/>
                <w:spacing w:val="0"/>
                <w:w w:val="100"/>
                <w:position w:val="0"/>
                <w:sz w:val="24"/>
                <w:szCs w:val="24"/>
                <w:highlight w:val="none"/>
                <w:lang w:val="en-US" w:eastAsia="zh-CN"/>
              </w:rPr>
            </w:pPr>
          </w:p>
          <w:p w14:paraId="4F47B735">
            <w:pPr>
              <w:pStyle w:val="38"/>
              <w:shd w:val="clear"/>
              <w:rPr>
                <w:rFonts w:hint="default" w:ascii="Times New Roman" w:hAnsi="Times New Roman" w:eastAsia="宋体" w:cs="Times New Roman"/>
                <w:color w:val="auto"/>
                <w:spacing w:val="0"/>
                <w:w w:val="100"/>
                <w:position w:val="0"/>
                <w:sz w:val="24"/>
                <w:szCs w:val="24"/>
                <w:highlight w:val="none"/>
                <w:lang w:val="en-US" w:eastAsia="zh-CN"/>
              </w:rPr>
            </w:pPr>
          </w:p>
          <w:p w14:paraId="2CA95F37">
            <w:pPr>
              <w:shd w:val="clear"/>
              <w:rPr>
                <w:rFonts w:hint="default" w:ascii="Times New Roman" w:hAnsi="Times New Roman" w:cs="Times New Roman"/>
                <w:lang w:val="en-US" w:eastAsia="zh-CN"/>
              </w:rPr>
            </w:pPr>
          </w:p>
        </w:tc>
      </w:tr>
    </w:tbl>
    <w:p w14:paraId="5BA36019">
      <w:pPr>
        <w:keepNext w:val="0"/>
        <w:keepLines w:val="0"/>
        <w:pageBreakBefore w:val="0"/>
        <w:shd w:val="clear"/>
        <w:kinsoku/>
        <w:overflowPunct/>
        <w:topLinePunct w:val="0"/>
        <w:bidi w:val="0"/>
        <w:spacing w:beforeAutospacing="0" w:afterAutospacing="0" w:line="360" w:lineRule="auto"/>
        <w:ind w:left="0" w:leftChars="0" w:right="0"/>
        <w:outlineLvl w:val="0"/>
        <w:rPr>
          <w:rFonts w:hint="default" w:ascii="Times New Roman" w:hAnsi="Times New Roman" w:eastAsia="宋体" w:cs="Times New Roman"/>
          <w:color w:val="auto"/>
          <w:spacing w:val="0"/>
          <w:w w:val="100"/>
          <w:position w:val="0"/>
          <w:sz w:val="30"/>
          <w:highlight w:val="none"/>
        </w:rPr>
        <w:sectPr>
          <w:footerReference r:id="rId4" w:type="default"/>
          <w:pgSz w:w="11906" w:h="16838"/>
          <w:pgMar w:top="1440" w:right="1800" w:bottom="1440" w:left="1800"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7F6BAB42">
      <w:pPr>
        <w:pStyle w:val="28"/>
        <w:keepNext w:val="0"/>
        <w:keepLines w:val="0"/>
        <w:pageBreakBefore w:val="0"/>
        <w:shd w:val="clear"/>
        <w:kinsoku/>
        <w:overflowPunct/>
        <w:topLinePunct w:val="0"/>
        <w:bidi w:val="0"/>
        <w:spacing w:before="0" w:beforeAutospacing="0" w:after="0" w:afterAutospacing="0" w:line="360" w:lineRule="auto"/>
        <w:ind w:left="0" w:leftChars="0" w:right="0"/>
        <w:jc w:val="center"/>
        <w:outlineLvl w:val="0"/>
        <w:rPr>
          <w:rFonts w:hint="default" w:ascii="Times New Roman" w:hAnsi="Times New Roman" w:eastAsia="黑体" w:cs="Times New Roman"/>
          <w:snapToGrid w:val="0"/>
          <w:color w:val="auto"/>
          <w:spacing w:val="0"/>
          <w:w w:val="100"/>
          <w:position w:val="0"/>
          <w:sz w:val="30"/>
          <w:szCs w:val="30"/>
          <w:highlight w:val="none"/>
        </w:rPr>
      </w:pPr>
      <w:r>
        <w:rPr>
          <w:rFonts w:hint="default" w:ascii="Times New Roman" w:hAnsi="Times New Roman" w:eastAsia="黑体" w:cs="Times New Roman"/>
          <w:snapToGrid w:val="0"/>
          <w:color w:val="auto"/>
          <w:spacing w:val="0"/>
          <w:w w:val="100"/>
          <w:position w:val="0"/>
          <w:sz w:val="30"/>
          <w:szCs w:val="30"/>
          <w:highlight w:val="none"/>
        </w:rPr>
        <w:t>二、建设内容</w:t>
      </w:r>
    </w:p>
    <w:tbl>
      <w:tblPr>
        <w:tblStyle w:val="31"/>
        <w:tblW w:w="486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618"/>
      </w:tblGrid>
      <w:tr w14:paraId="754728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5" w:type="pct"/>
            <w:tcBorders>
              <w:tl2br w:val="nil"/>
              <w:tr2bl w:val="nil"/>
            </w:tcBorders>
            <w:noWrap w:val="0"/>
            <w:vAlign w:val="center"/>
          </w:tcPr>
          <w:p w14:paraId="532AE98E">
            <w:pPr>
              <w:keepNext w:val="0"/>
              <w:keepLines w:val="0"/>
              <w:pageBreakBefore w:val="0"/>
              <w:shd w:val="clear"/>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kern w:val="0"/>
                <w:position w:val="0"/>
                <w:szCs w:val="21"/>
                <w:highlight w:val="none"/>
              </w:rPr>
            </w:pPr>
            <w:r>
              <w:rPr>
                <w:rFonts w:hint="default" w:ascii="Times New Roman" w:hAnsi="Times New Roman" w:eastAsia="宋体" w:cs="Times New Roman"/>
                <w:color w:val="auto"/>
                <w:spacing w:val="0"/>
                <w:w w:val="100"/>
                <w:kern w:val="0"/>
                <w:position w:val="0"/>
                <w:sz w:val="24"/>
                <w:szCs w:val="24"/>
                <w:highlight w:val="none"/>
              </w:rPr>
              <w:t>地理位置</w:t>
            </w:r>
          </w:p>
        </w:tc>
        <w:tc>
          <w:tcPr>
            <w:tcW w:w="4594" w:type="pct"/>
            <w:tcBorders>
              <w:tl2br w:val="nil"/>
              <w:tr2bl w:val="nil"/>
            </w:tcBorders>
            <w:noWrap w:val="0"/>
            <w:vAlign w:val="center"/>
          </w:tcPr>
          <w:p w14:paraId="249AE664">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color w:val="0000FF"/>
                <w:spacing w:val="0"/>
                <w:w w:val="100"/>
                <w:kern w:val="0"/>
                <w:position w:val="0"/>
                <w:sz w:val="24"/>
                <w:szCs w:val="24"/>
                <w:highlight w:val="none"/>
                <w:lang w:val="en-US" w:eastAsia="zh-CN" w:bidi="ar-SA"/>
              </w:rPr>
            </w:pPr>
            <w:r>
              <w:rPr>
                <w:rFonts w:hint="default" w:ascii="Times New Roman" w:hAnsi="Times New Roman" w:eastAsia="宋体" w:cs="Times New Roman"/>
                <w:color w:val="0000FF"/>
                <w:spacing w:val="0"/>
                <w:w w:val="100"/>
                <w:kern w:val="0"/>
                <w:position w:val="0"/>
                <w:sz w:val="24"/>
                <w:szCs w:val="24"/>
                <w:highlight w:val="none"/>
                <w:lang w:val="en-US" w:eastAsia="zh-CN" w:bidi="ar-SA"/>
              </w:rPr>
              <w:t>项目区位于榆树沟镇西侧</w:t>
            </w:r>
            <w:r>
              <w:rPr>
                <w:rFonts w:hint="default" w:ascii="Times New Roman" w:hAnsi="Times New Roman" w:cs="Times New Roman"/>
                <w:color w:val="0000FF"/>
                <w:spacing w:val="0"/>
                <w:w w:val="100"/>
                <w:kern w:val="0"/>
                <w:position w:val="0"/>
                <w:sz w:val="24"/>
                <w:szCs w:val="24"/>
                <w:highlight w:val="none"/>
                <w:lang w:val="en-US" w:eastAsia="zh-CN" w:bidi="ar-SA"/>
              </w:rPr>
              <w:t>25km</w:t>
            </w:r>
            <w:r>
              <w:rPr>
                <w:rFonts w:hint="default" w:ascii="Times New Roman" w:hAnsi="Times New Roman" w:eastAsia="宋体" w:cs="Times New Roman"/>
                <w:color w:val="0000FF"/>
                <w:spacing w:val="0"/>
                <w:w w:val="100"/>
                <w:kern w:val="0"/>
                <w:position w:val="0"/>
                <w:sz w:val="24"/>
                <w:szCs w:val="24"/>
                <w:highlight w:val="none"/>
                <w:lang w:val="en-US" w:eastAsia="zh-CN" w:bidi="ar-SA"/>
              </w:rPr>
              <w:t>处，南起榆树沟镇勇进村，北至榆树沟镇牧业村。库尔阿根河发源于天山北坡前山岳陵带，由几余条无名干沟汇合而成，具有明显的干旱区洪水水文特征，河流水量主要来源于融雪水和降水，春季融雪洪水和夏季暴雨洪水是导致该沟发生洪水的主要因素。库尔阿根河为季节性冲洪沟，其源头没有永久冰川，主要靠春季融雪期和春夏暴雨期间有洪水产生。</w:t>
            </w:r>
          </w:p>
          <w:p w14:paraId="1F5C1D3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color w:val="0000FF"/>
                <w:spacing w:val="0"/>
                <w:w w:val="100"/>
                <w:kern w:val="0"/>
                <w:position w:val="0"/>
                <w:sz w:val="24"/>
                <w:szCs w:val="24"/>
                <w:highlight w:val="none"/>
                <w:lang w:val="en-US" w:eastAsia="zh-CN" w:bidi="ar-SA"/>
              </w:rPr>
            </w:pPr>
            <w:r>
              <w:rPr>
                <w:rFonts w:hint="eastAsia" w:cs="Times New Roman"/>
                <w:color w:val="0000FF"/>
                <w:spacing w:val="0"/>
                <w:w w:val="100"/>
                <w:kern w:val="0"/>
                <w:position w:val="0"/>
                <w:sz w:val="24"/>
                <w:szCs w:val="24"/>
                <w:highlight w:val="none"/>
                <w:lang w:val="en-US" w:eastAsia="zh-CN" w:bidi="ar-SA"/>
              </w:rPr>
              <w:t>本项目</w:t>
            </w:r>
            <w:r>
              <w:rPr>
                <w:rFonts w:hint="default" w:ascii="Times New Roman" w:hAnsi="Times New Roman" w:eastAsia="宋体" w:cs="Times New Roman"/>
                <w:color w:val="0000FF"/>
                <w:spacing w:val="0"/>
                <w:w w:val="100"/>
                <w:kern w:val="0"/>
                <w:position w:val="0"/>
                <w:sz w:val="24"/>
                <w:szCs w:val="24"/>
                <w:highlight w:val="none"/>
                <w:lang w:val="en-US" w:eastAsia="zh-CN" w:bidi="ar-SA"/>
              </w:rPr>
              <w:t>综合治理河段总长12.98km（其中：上段10.1km，对应桩号36+690.5-47+701.9；下段2.88km，对应桩号66+770-69+654.1），使其防洪标准达到10年一遇，确保居民、耕地及交通枢纽设施的防洪安全，缓解该区域洪水危害。</w:t>
            </w:r>
          </w:p>
          <w:p w14:paraId="0AD4D291">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SA"/>
              </w:rPr>
            </w:pPr>
            <w:r>
              <w:rPr>
                <w:rFonts w:hint="default" w:ascii="Times New Roman" w:hAnsi="Times New Roman" w:eastAsia="宋体" w:cs="Times New Roman"/>
                <w:color w:val="0000FF"/>
                <w:kern w:val="0"/>
                <w:sz w:val="24"/>
                <w:szCs w:val="24"/>
                <w:lang w:val="en-US" w:eastAsia="zh-CN" w:bidi="ar"/>
              </w:rPr>
              <w:t>本项目区位于库尔阿根河的中下游2段河段，第1段起点位于库尔阿根河北疆铁路桥下游，终点位于G312国道大桥下游200m处，第2段位于牧业村段，综合治理河长12.98km，新建护岸长10.551km(右岸10.551km)，河道清淤疏浚10.551km,新建防洪渠长2.918km.本次防洪工程任务是保障行洪通道的畅通和保障河道正常行洪能力，保护河道两岸的耕地1.42万亩，居民0.15万人安全，使河道的洪水设防标准由现状的不足5年一遇提高到10年一遇，以满足10年一遇的行洪要求</w:t>
            </w:r>
            <w:r>
              <w:rPr>
                <w:rFonts w:hint="eastAsia" w:cs="Times New Roman"/>
                <w:color w:val="0000FF"/>
                <w:kern w:val="0"/>
                <w:sz w:val="24"/>
                <w:szCs w:val="24"/>
                <w:lang w:val="en-US" w:eastAsia="zh-CN" w:bidi="ar"/>
              </w:rPr>
              <w:t>，</w:t>
            </w:r>
            <w:r>
              <w:rPr>
                <w:rFonts w:hint="default" w:ascii="Times New Roman" w:hAnsi="Times New Roman" w:eastAsia="宋体" w:cs="Times New Roman"/>
                <w:color w:val="auto"/>
                <w:spacing w:val="0"/>
                <w:w w:val="100"/>
                <w:kern w:val="0"/>
                <w:position w:val="0"/>
                <w:sz w:val="24"/>
                <w:szCs w:val="24"/>
                <w:highlight w:val="none"/>
                <w:lang w:val="en-US" w:eastAsia="zh-CN" w:bidi="ar-SA"/>
              </w:rPr>
              <w:t>项目地理位置图详见附图1。</w:t>
            </w:r>
          </w:p>
        </w:tc>
      </w:tr>
      <w:tr w14:paraId="52D8A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5" w:type="pct"/>
            <w:tcBorders>
              <w:tl2br w:val="nil"/>
              <w:tr2bl w:val="nil"/>
            </w:tcBorders>
            <w:noWrap w:val="0"/>
            <w:vAlign w:val="center"/>
          </w:tcPr>
          <w:p w14:paraId="367EEB04">
            <w:pPr>
              <w:keepNext w:val="0"/>
              <w:keepLines w:val="0"/>
              <w:pageBreakBefore w:val="0"/>
              <w:shd w:val="clear"/>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kern w:val="0"/>
                <w:position w:val="0"/>
                <w:szCs w:val="21"/>
                <w:highlight w:val="none"/>
              </w:rPr>
            </w:pPr>
            <w:r>
              <w:rPr>
                <w:rFonts w:hint="default" w:ascii="Times New Roman" w:hAnsi="Times New Roman" w:eastAsia="宋体" w:cs="Times New Roman"/>
                <w:color w:val="auto"/>
                <w:spacing w:val="0"/>
                <w:w w:val="100"/>
                <w:kern w:val="0"/>
                <w:position w:val="0"/>
                <w:sz w:val="24"/>
                <w:szCs w:val="24"/>
                <w:highlight w:val="none"/>
              </w:rPr>
              <w:t>项目组成及规模</w:t>
            </w:r>
          </w:p>
        </w:tc>
        <w:tc>
          <w:tcPr>
            <w:tcW w:w="4594" w:type="pct"/>
            <w:tcBorders>
              <w:tl2br w:val="nil"/>
              <w:tr2bl w:val="nil"/>
            </w:tcBorders>
            <w:noWrap w:val="0"/>
            <w:vAlign w:val="center"/>
          </w:tcPr>
          <w:p w14:paraId="22B2BD1A">
            <w:pPr>
              <w:pStyle w:val="11"/>
              <w:keepNext w:val="0"/>
              <w:keepLines w:val="0"/>
              <w:pageBreakBefore w:val="0"/>
              <w:widowControl/>
              <w:shd w:val="clear"/>
              <w:kinsoku/>
              <w:wordWrap/>
              <w:overflowPunct/>
              <w:topLinePunct w:val="0"/>
              <w:autoSpaceDE/>
              <w:autoSpaceDN/>
              <w:bidi w:val="0"/>
              <w:adjustRightInd/>
              <w:spacing w:before="0" w:after="0" w:line="360" w:lineRule="auto"/>
              <w:ind w:right="0"/>
              <w:jc w:val="both"/>
              <w:textAlignment w:val="auto"/>
              <w:rPr>
                <w:rFonts w:hint="default" w:ascii="Times New Roman" w:hAnsi="Times New Roman" w:eastAsia="宋体" w:cs="Times New Roman"/>
                <w:b/>
                <w:bCs/>
                <w:color w:val="auto"/>
                <w:spacing w:val="0"/>
                <w:w w:val="100"/>
                <w:kern w:val="0"/>
                <w:position w:val="0"/>
                <w:sz w:val="24"/>
                <w:szCs w:val="24"/>
                <w:highlight w:val="none"/>
                <w:lang w:val="en-US" w:eastAsia="zh-CN" w:bidi="ar-SA"/>
              </w:rPr>
            </w:pPr>
            <w:r>
              <w:rPr>
                <w:rFonts w:hint="default" w:ascii="Times New Roman" w:hAnsi="Times New Roman" w:eastAsia="宋体" w:cs="Times New Roman"/>
                <w:b/>
                <w:bCs/>
                <w:color w:val="auto"/>
                <w:spacing w:val="0"/>
                <w:w w:val="100"/>
                <w:kern w:val="0"/>
                <w:position w:val="0"/>
                <w:sz w:val="24"/>
                <w:szCs w:val="24"/>
                <w:highlight w:val="none"/>
                <w:lang w:val="en-US" w:eastAsia="zh-CN" w:bidi="ar-SA"/>
              </w:rPr>
              <w:t>1.建设内容及建设规模</w:t>
            </w:r>
          </w:p>
          <w:p w14:paraId="54F9292E">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本次防洪工程任务是保障行洪通道的畅通和保障河道正常行洪能力，保护河道两岸的耕地1.42万亩，居民0.15万人安全，使河道的洪水设防标准由现状的不足5年一遇提高到10年一遇，以满足10年一遇的行洪要求。</w:t>
            </w:r>
          </w:p>
          <w:p w14:paraId="3BA04987">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本次拟建护岸及防洪渠设计防洪标准为10年一遇，相应洪峰流量为41.3m</w:t>
            </w:r>
            <w:r>
              <w:rPr>
                <w:rFonts w:hint="default" w:ascii="Times New Roman" w:hAnsi="Times New Roman" w:eastAsia="宋体"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/s，拟建护岸工程级别为5级。</w:t>
            </w:r>
          </w:p>
          <w:p w14:paraId="31645D56">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eastAsia" w:cs="Times New Roman"/>
                <w:color w:val="0000FF"/>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本项目主要建设内容：</w:t>
            </w:r>
            <w:r>
              <w:rPr>
                <w:rFonts w:hint="default" w:ascii="Times New Roman" w:hAnsi="Times New Roman" w:eastAsia="宋体" w:cs="Times New Roman"/>
                <w:color w:val="0000FF"/>
                <w:kern w:val="0"/>
                <w:sz w:val="24"/>
                <w:szCs w:val="24"/>
                <w:lang w:val="en-US" w:eastAsia="zh-CN" w:bidi="ar"/>
              </w:rPr>
              <w:t>库尔阿根河的中下游2段河段，第1段起点位于库尔阿根河北疆铁路桥下游，终点位于G312国道大桥下游200m处，第2段位于牧业村段，综合治理河长12.98km，新建护岸长10.551km(右岸10.551km)，河道清淤疏浚10.551km,新建防洪渠长2.918km</w:t>
            </w:r>
            <w:r>
              <w:rPr>
                <w:rFonts w:hint="eastAsia" w:cs="Times New Roman"/>
                <w:color w:val="0000FF"/>
                <w:kern w:val="0"/>
                <w:sz w:val="24"/>
                <w:szCs w:val="24"/>
                <w:lang w:val="en-US" w:eastAsia="zh-CN" w:bidi="ar"/>
              </w:rPr>
              <w:t>。</w:t>
            </w:r>
          </w:p>
          <w:p w14:paraId="219B0861">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w w:val="100"/>
                <w:kern w:val="21"/>
                <w:position w:val="0"/>
                <w:sz w:val="24"/>
                <w:szCs w:val="24"/>
                <w:highlight w:val="none"/>
                <w:lang w:val="en-US" w:eastAsia="zh-CN" w:bidi="ar-SA"/>
              </w:rPr>
            </w:pPr>
            <w:r>
              <w:rPr>
                <w:rFonts w:hint="default" w:ascii="Times New Roman" w:hAnsi="Times New Roman" w:eastAsia="宋体" w:cs="Times New Roman"/>
                <w:color w:val="0000FF"/>
                <w:kern w:val="0"/>
                <w:sz w:val="24"/>
                <w:szCs w:val="24"/>
                <w:lang w:val="en-US" w:eastAsia="zh-CN" w:bidi="ar"/>
              </w:rPr>
              <w:t>本次防洪工程任务是保障行洪通道的畅通和保障河道正常行洪能力，保护河道两岸的耕地1.42万亩，居民0.15万人安全，使河道的洪水设防标准由现状的不足5年一遇提高到10年一遇，以满足10年一遇的行洪要求</w:t>
            </w:r>
            <w:r>
              <w:rPr>
                <w:rFonts w:hint="eastAsia" w:cs="Times New Roman"/>
                <w:color w:val="0000FF"/>
                <w:kern w:val="0"/>
                <w:sz w:val="24"/>
                <w:szCs w:val="24"/>
                <w:lang w:val="en-US" w:eastAsia="zh-CN" w:bidi="ar"/>
              </w:rPr>
              <w:t>，</w:t>
            </w:r>
            <w:r>
              <w:rPr>
                <w:rFonts w:hint="default" w:ascii="Times New Roman" w:hAnsi="Times New Roman" w:eastAsia="宋体" w:cs="Times New Roman"/>
                <w:color w:val="auto"/>
                <w:spacing w:val="0"/>
                <w:w w:val="100"/>
                <w:kern w:val="21"/>
                <w:position w:val="0"/>
                <w:sz w:val="24"/>
                <w:szCs w:val="24"/>
                <w:highlight w:val="none"/>
                <w:lang w:val="en-US" w:eastAsia="zh-CN" w:bidi="ar-SA"/>
              </w:rPr>
              <w:t>工程任务见表2-1。</w:t>
            </w:r>
          </w:p>
          <w:p w14:paraId="211C7B49">
            <w:pPr>
              <w:pStyle w:val="62"/>
              <w:keepNext w:val="0"/>
              <w:keepLines w:val="0"/>
              <w:pageBreakBefore w:val="0"/>
              <w:shd w:val="clear"/>
              <w:kinsoku/>
              <w:overflowPunct/>
              <w:topLinePunct w:val="0"/>
              <w:bidi w:val="0"/>
              <w:spacing w:beforeAutospacing="0" w:afterAutospacing="0"/>
              <w:ind w:left="0" w:leftChars="0" w:right="0"/>
              <w:rPr>
                <w:rFonts w:hint="default" w:ascii="Times New Roman" w:hAnsi="Times New Roman" w:eastAsia="宋体" w:cs="Times New Roman"/>
                <w:color w:val="auto"/>
                <w:spacing w:val="0"/>
                <w:w w:val="100"/>
                <w:position w:val="0"/>
                <w:highlight w:val="none"/>
                <w:lang w:val="en-US" w:eastAsia="zh-CN"/>
              </w:rPr>
            </w:pPr>
            <w:r>
              <w:rPr>
                <w:rFonts w:hint="default" w:ascii="Times New Roman" w:hAnsi="Times New Roman" w:eastAsia="宋体" w:cs="Times New Roman"/>
                <w:color w:val="auto"/>
                <w:spacing w:val="0"/>
                <w:w w:val="100"/>
                <w:position w:val="0"/>
                <w:highlight w:val="none"/>
                <w:lang w:val="en-US" w:eastAsia="zh-CN"/>
              </w:rPr>
              <w:t>表2-1   项目工程组成一览表</w:t>
            </w:r>
          </w:p>
          <w:tbl>
            <w:tblPr>
              <w:tblStyle w:val="31"/>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32"/>
              <w:gridCol w:w="924"/>
              <w:gridCol w:w="5295"/>
              <w:gridCol w:w="747"/>
            </w:tblGrid>
            <w:tr w14:paraId="7DC1F3C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91" w:type="pct"/>
                  <w:tcBorders>
                    <w:bottom w:val="single" w:color="000000" w:sz="12" w:space="0"/>
                  </w:tcBorders>
                  <w:noWrap w:val="0"/>
                  <w:vAlign w:val="center"/>
                </w:tcPr>
                <w:p w14:paraId="06208FA6">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工程类别</w:t>
                  </w:r>
                </w:p>
              </w:tc>
              <w:tc>
                <w:tcPr>
                  <w:tcW w:w="624" w:type="pct"/>
                  <w:tcBorders>
                    <w:bottom w:val="single" w:color="000000" w:sz="12" w:space="0"/>
                  </w:tcBorders>
                  <w:noWrap w:val="0"/>
                  <w:vAlign w:val="center"/>
                </w:tcPr>
                <w:p w14:paraId="0F8FD4EB">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工程名称</w:t>
                  </w:r>
                </w:p>
              </w:tc>
              <w:tc>
                <w:tcPr>
                  <w:tcW w:w="3578" w:type="pct"/>
                  <w:tcBorders>
                    <w:bottom w:val="single" w:color="000000" w:sz="12" w:space="0"/>
                  </w:tcBorders>
                  <w:noWrap w:val="0"/>
                  <w:vAlign w:val="center"/>
                </w:tcPr>
                <w:p w14:paraId="0853E1C6">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工程规模与内容</w:t>
                  </w:r>
                </w:p>
              </w:tc>
              <w:tc>
                <w:tcPr>
                  <w:tcW w:w="504" w:type="pct"/>
                  <w:tcBorders>
                    <w:bottom w:val="single" w:color="000000" w:sz="12" w:space="0"/>
                  </w:tcBorders>
                  <w:noWrap w:val="0"/>
                  <w:vAlign w:val="center"/>
                </w:tcPr>
                <w:p w14:paraId="5097AF41">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lang w:val="en-US" w:eastAsia="zh-CN"/>
                    </w:rPr>
                  </w:pPr>
                  <w:r>
                    <w:rPr>
                      <w:rFonts w:hint="default" w:ascii="Times New Roman" w:hAnsi="Times New Roman" w:eastAsia="宋体" w:cs="Times New Roman"/>
                      <w:b/>
                      <w:bCs/>
                      <w:color w:val="auto"/>
                      <w:spacing w:val="0"/>
                      <w:w w:val="100"/>
                      <w:kern w:val="21"/>
                      <w:position w:val="0"/>
                      <w:sz w:val="21"/>
                      <w:szCs w:val="21"/>
                      <w:highlight w:val="none"/>
                      <w:lang w:val="en-US" w:eastAsia="zh-CN"/>
                    </w:rPr>
                    <w:t>备注</w:t>
                  </w:r>
                </w:p>
              </w:tc>
            </w:tr>
            <w:tr w14:paraId="659D71A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91" w:type="pct"/>
                  <w:vMerge w:val="restart"/>
                  <w:tcBorders>
                    <w:top w:val="single" w:color="000000" w:sz="12" w:space="0"/>
                    <w:bottom w:val="single" w:color="000000" w:sz="4" w:space="0"/>
                  </w:tcBorders>
                  <w:noWrap w:val="0"/>
                  <w:vAlign w:val="center"/>
                </w:tcPr>
                <w:p w14:paraId="7B967A07">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rPr>
                  </w:pPr>
                  <w:r>
                    <w:rPr>
                      <w:rFonts w:hint="default" w:ascii="Times New Roman" w:hAnsi="Times New Roman" w:eastAsia="宋体" w:cs="Times New Roman"/>
                      <w:color w:val="auto"/>
                      <w:spacing w:val="0"/>
                      <w:w w:val="100"/>
                      <w:kern w:val="21"/>
                      <w:position w:val="0"/>
                      <w:sz w:val="21"/>
                      <w:szCs w:val="21"/>
                      <w:highlight w:val="none"/>
                      <w:lang w:val="en-US" w:eastAsia="zh-CN"/>
                    </w:rPr>
                    <w:t>主体工程</w:t>
                  </w:r>
                </w:p>
              </w:tc>
              <w:tc>
                <w:tcPr>
                  <w:tcW w:w="624" w:type="pct"/>
                  <w:tcBorders>
                    <w:top w:val="single" w:color="000000" w:sz="12" w:space="0"/>
                    <w:bottom w:val="single" w:color="000000" w:sz="4" w:space="0"/>
                  </w:tcBorders>
                  <w:noWrap w:val="0"/>
                  <w:vAlign w:val="center"/>
                </w:tcPr>
                <w:p w14:paraId="6005654F">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000000"/>
                      <w:kern w:val="0"/>
                      <w:sz w:val="21"/>
                      <w:szCs w:val="21"/>
                      <w:lang w:val="en-US" w:eastAsia="zh-CN" w:bidi="ar"/>
                    </w:rPr>
                    <w:t>勇进村段</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FF"/>
                      <w:kern w:val="0"/>
                      <w:sz w:val="21"/>
                      <w:szCs w:val="21"/>
                      <w:lang w:val="en-US" w:eastAsia="zh-CN" w:bidi="ar"/>
                    </w:rPr>
                    <w:t>第1段</w:t>
                  </w:r>
                  <w:r>
                    <w:rPr>
                      <w:rFonts w:hint="default" w:ascii="Times New Roman" w:hAnsi="Times New Roman" w:cs="Times New Roman"/>
                      <w:color w:val="000000"/>
                      <w:kern w:val="0"/>
                      <w:sz w:val="21"/>
                      <w:szCs w:val="21"/>
                      <w:lang w:val="en-US" w:eastAsia="zh-CN" w:bidi="ar"/>
                    </w:rPr>
                    <w:t>）</w:t>
                  </w:r>
                </w:p>
              </w:tc>
              <w:tc>
                <w:tcPr>
                  <w:tcW w:w="3578" w:type="pct"/>
                  <w:tcBorders>
                    <w:top w:val="single" w:color="000000" w:sz="12" w:space="0"/>
                    <w:bottom w:val="single" w:color="000000" w:sz="4" w:space="0"/>
                  </w:tcBorders>
                  <w:noWrap w:val="0"/>
                  <w:vAlign w:val="center"/>
                </w:tcPr>
                <w:p w14:paraId="3090E88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spacing w:val="0"/>
                      <w:w w:val="100"/>
                      <w:kern w:val="21"/>
                      <w:position w:val="0"/>
                      <w:sz w:val="21"/>
                      <w:szCs w:val="21"/>
                      <w:highlight w:val="none"/>
                      <w:lang w:val="en-US" w:eastAsia="zh-CN" w:bidi="zh-CN"/>
                    </w:rPr>
                  </w:pPr>
                  <w:r>
                    <w:rPr>
                      <w:rFonts w:hint="default" w:ascii="Times New Roman" w:hAnsi="Times New Roman" w:eastAsia="宋体" w:cs="Times New Roman"/>
                      <w:color w:val="000000"/>
                      <w:kern w:val="0"/>
                      <w:sz w:val="21"/>
                      <w:szCs w:val="21"/>
                      <w:lang w:val="en-US" w:eastAsia="zh-CN" w:bidi="ar"/>
                    </w:rPr>
                    <w:t>综合治理河流长度10.1km，对应河道桩号</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36+690.5</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46+790.5</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w:t>
                  </w:r>
                  <w:bookmarkStart w:id="11" w:name="_GoBack"/>
                  <w:bookmarkEnd w:id="11"/>
                  <w:r>
                    <w:rPr>
                      <w:rFonts w:hint="default" w:ascii="Times New Roman" w:hAnsi="Times New Roman" w:eastAsia="宋体" w:cs="Times New Roman"/>
                      <w:color w:val="000000"/>
                      <w:kern w:val="0"/>
                      <w:sz w:val="21"/>
                      <w:szCs w:val="21"/>
                      <w:lang w:val="en-US" w:eastAsia="zh-CN" w:bidi="ar"/>
                    </w:rPr>
                    <w:t>新建护岸勇进村段右岸6.712km</w:t>
                  </w:r>
                </w:p>
              </w:tc>
              <w:tc>
                <w:tcPr>
                  <w:tcW w:w="504" w:type="pct"/>
                  <w:tcBorders>
                    <w:top w:val="single" w:color="000000" w:sz="12" w:space="0"/>
                    <w:bottom w:val="single" w:color="000000" w:sz="4" w:space="0"/>
                  </w:tcBorders>
                  <w:noWrap w:val="0"/>
                  <w:vAlign w:val="center"/>
                </w:tcPr>
                <w:p w14:paraId="0640F02E">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b w:val="0"/>
                      <w:bCs w:val="0"/>
                      <w:color w:val="auto"/>
                      <w:spacing w:val="0"/>
                      <w:w w:val="100"/>
                      <w:kern w:val="21"/>
                      <w:position w:val="0"/>
                      <w:sz w:val="21"/>
                      <w:szCs w:val="21"/>
                      <w:highlight w:val="none"/>
                      <w:lang w:val="en-US" w:eastAsia="zh-CN"/>
                    </w:rPr>
                  </w:pPr>
                  <w:r>
                    <w:rPr>
                      <w:rFonts w:hint="default" w:ascii="Times New Roman" w:hAnsi="Times New Roman" w:cs="Times New Roman"/>
                      <w:b w:val="0"/>
                      <w:bCs w:val="0"/>
                      <w:color w:val="auto"/>
                      <w:spacing w:val="0"/>
                      <w:w w:val="100"/>
                      <w:kern w:val="21"/>
                      <w:position w:val="0"/>
                      <w:sz w:val="21"/>
                      <w:szCs w:val="21"/>
                      <w:highlight w:val="none"/>
                      <w:lang w:val="en-US" w:eastAsia="zh-CN"/>
                    </w:rPr>
                    <w:t>新建</w:t>
                  </w:r>
                </w:p>
              </w:tc>
            </w:tr>
            <w:tr w14:paraId="55758EB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91" w:type="pct"/>
                  <w:vMerge w:val="continue"/>
                  <w:tcBorders>
                    <w:top w:val="single" w:color="000000" w:sz="4" w:space="0"/>
                    <w:bottom w:val="single" w:color="000000" w:sz="4" w:space="0"/>
                  </w:tcBorders>
                  <w:noWrap w:val="0"/>
                  <w:vAlign w:val="center"/>
                </w:tcPr>
                <w:p w14:paraId="076BBB6D">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p>
              </w:tc>
              <w:tc>
                <w:tcPr>
                  <w:tcW w:w="624" w:type="pct"/>
                  <w:tcBorders>
                    <w:top w:val="single" w:color="000000" w:sz="4" w:space="0"/>
                    <w:bottom w:val="single" w:color="000000" w:sz="4" w:space="0"/>
                  </w:tcBorders>
                  <w:noWrap w:val="0"/>
                  <w:vAlign w:val="center"/>
                </w:tcPr>
                <w:p w14:paraId="34D7227E">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000000"/>
                      <w:kern w:val="0"/>
                      <w:sz w:val="21"/>
                      <w:szCs w:val="21"/>
                      <w:lang w:val="en-US" w:eastAsia="zh-CN" w:bidi="ar"/>
                    </w:rPr>
                    <w:t>牧业村段</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FF"/>
                      <w:kern w:val="0"/>
                      <w:sz w:val="21"/>
                      <w:szCs w:val="21"/>
                      <w:lang w:val="en-US" w:eastAsia="zh-CN" w:bidi="ar"/>
                    </w:rPr>
                    <w:t>第</w:t>
                  </w:r>
                  <w:r>
                    <w:rPr>
                      <w:rFonts w:hint="eastAsia" w:cs="Times New Roman"/>
                      <w:color w:val="0000FF"/>
                      <w:kern w:val="0"/>
                      <w:sz w:val="21"/>
                      <w:szCs w:val="21"/>
                      <w:lang w:val="en-US" w:eastAsia="zh-CN" w:bidi="ar"/>
                    </w:rPr>
                    <w:t>2</w:t>
                  </w:r>
                  <w:r>
                    <w:rPr>
                      <w:rFonts w:hint="default" w:ascii="Times New Roman" w:hAnsi="Times New Roman" w:eastAsia="宋体" w:cs="Times New Roman"/>
                      <w:color w:val="0000FF"/>
                      <w:kern w:val="0"/>
                      <w:sz w:val="21"/>
                      <w:szCs w:val="21"/>
                      <w:lang w:val="en-US" w:eastAsia="zh-CN" w:bidi="ar"/>
                    </w:rPr>
                    <w:t>段</w:t>
                  </w:r>
                  <w:r>
                    <w:rPr>
                      <w:rFonts w:hint="default" w:ascii="Times New Roman" w:hAnsi="Times New Roman" w:cs="Times New Roman"/>
                      <w:color w:val="000000"/>
                      <w:kern w:val="0"/>
                      <w:sz w:val="21"/>
                      <w:szCs w:val="21"/>
                      <w:lang w:val="en-US" w:eastAsia="zh-CN" w:bidi="ar"/>
                    </w:rPr>
                    <w:t>）</w:t>
                  </w:r>
                </w:p>
              </w:tc>
              <w:tc>
                <w:tcPr>
                  <w:tcW w:w="3578" w:type="pct"/>
                  <w:tcBorders>
                    <w:top w:val="single" w:color="000000" w:sz="4" w:space="0"/>
                    <w:bottom w:val="single" w:color="000000" w:sz="4" w:space="0"/>
                  </w:tcBorders>
                  <w:noWrap w:val="0"/>
                  <w:vAlign w:val="center"/>
                </w:tcPr>
                <w:p w14:paraId="3D1AE99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000000"/>
                      <w:kern w:val="0"/>
                      <w:sz w:val="21"/>
                      <w:szCs w:val="21"/>
                      <w:lang w:val="en-US" w:eastAsia="zh-CN" w:bidi="ar"/>
                    </w:rPr>
                    <w:t>综合治理河流长度2.88km，对应桩号</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67+770-69+650），新建护岸牧业村段2.666km</w:t>
                  </w:r>
                </w:p>
              </w:tc>
              <w:tc>
                <w:tcPr>
                  <w:tcW w:w="504" w:type="pct"/>
                  <w:tcBorders>
                    <w:top w:val="single" w:color="000000" w:sz="4" w:space="0"/>
                    <w:bottom w:val="single" w:color="000000" w:sz="4" w:space="0"/>
                  </w:tcBorders>
                  <w:noWrap w:val="0"/>
                  <w:vAlign w:val="center"/>
                </w:tcPr>
                <w:p w14:paraId="7822A33A">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b w:val="0"/>
                      <w:bCs w:val="0"/>
                      <w:color w:val="auto"/>
                      <w:spacing w:val="0"/>
                      <w:w w:val="100"/>
                      <w:kern w:val="21"/>
                      <w:position w:val="0"/>
                      <w:sz w:val="21"/>
                      <w:szCs w:val="21"/>
                      <w:highlight w:val="none"/>
                      <w:lang w:val="en-US" w:eastAsia="zh-CN"/>
                    </w:rPr>
                  </w:pPr>
                  <w:r>
                    <w:rPr>
                      <w:rFonts w:hint="default" w:ascii="Times New Roman" w:hAnsi="Times New Roman" w:cs="Times New Roman"/>
                      <w:b w:val="0"/>
                      <w:bCs w:val="0"/>
                      <w:color w:val="auto"/>
                      <w:spacing w:val="0"/>
                      <w:w w:val="100"/>
                      <w:kern w:val="21"/>
                      <w:position w:val="0"/>
                      <w:sz w:val="21"/>
                      <w:szCs w:val="21"/>
                      <w:highlight w:val="none"/>
                      <w:lang w:val="en-US" w:eastAsia="zh-CN"/>
                    </w:rPr>
                    <w:t>新建</w:t>
                  </w:r>
                </w:p>
              </w:tc>
            </w:tr>
            <w:tr w14:paraId="734C64F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91" w:type="pct"/>
                  <w:vMerge w:val="continue"/>
                  <w:tcBorders>
                    <w:top w:val="single" w:color="000000" w:sz="4" w:space="0"/>
                    <w:bottom w:val="single" w:color="000000" w:sz="12" w:space="0"/>
                  </w:tcBorders>
                  <w:noWrap w:val="0"/>
                  <w:vAlign w:val="center"/>
                </w:tcPr>
                <w:p w14:paraId="3D4B206A">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p>
              </w:tc>
              <w:tc>
                <w:tcPr>
                  <w:tcW w:w="624" w:type="pct"/>
                  <w:tcBorders>
                    <w:top w:val="single" w:color="000000" w:sz="4" w:space="0"/>
                    <w:bottom w:val="single" w:color="000000" w:sz="12" w:space="0"/>
                  </w:tcBorders>
                  <w:noWrap w:val="0"/>
                  <w:vAlign w:val="center"/>
                </w:tcPr>
                <w:p w14:paraId="0DB0D80F">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000000"/>
                      <w:kern w:val="0"/>
                      <w:sz w:val="21"/>
                      <w:szCs w:val="21"/>
                      <w:lang w:val="en-US" w:eastAsia="zh-CN" w:bidi="ar"/>
                    </w:rPr>
                    <w:t>河道清淤、疏浚</w:t>
                  </w:r>
                </w:p>
              </w:tc>
              <w:tc>
                <w:tcPr>
                  <w:tcW w:w="3578" w:type="pct"/>
                  <w:tcBorders>
                    <w:top w:val="single" w:color="000000" w:sz="4" w:space="0"/>
                    <w:bottom w:val="single" w:color="000000" w:sz="12" w:space="0"/>
                  </w:tcBorders>
                  <w:noWrap w:val="0"/>
                  <w:vAlign w:val="center"/>
                </w:tcPr>
                <w:p w14:paraId="4037926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河道清淤、疏浚12.98km</w:t>
                  </w:r>
                </w:p>
                <w:p w14:paraId="0AB8E01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其中勇进村段10.1km，牧业村段2.88km</w:t>
                  </w:r>
                  <w:r>
                    <w:rPr>
                      <w:rFonts w:hint="default" w:ascii="Times New Roman" w:hAnsi="Times New Roman" w:cs="Times New Roman"/>
                      <w:color w:val="000000"/>
                      <w:kern w:val="0"/>
                      <w:sz w:val="21"/>
                      <w:szCs w:val="21"/>
                      <w:lang w:val="en-US" w:eastAsia="zh-CN" w:bidi="ar"/>
                    </w:rPr>
                    <w:t>）</w:t>
                  </w:r>
                </w:p>
              </w:tc>
              <w:tc>
                <w:tcPr>
                  <w:tcW w:w="504" w:type="pct"/>
                  <w:tcBorders>
                    <w:top w:val="single" w:color="000000" w:sz="4" w:space="0"/>
                    <w:bottom w:val="single" w:color="000000" w:sz="12" w:space="0"/>
                  </w:tcBorders>
                  <w:noWrap w:val="0"/>
                  <w:vAlign w:val="center"/>
                </w:tcPr>
                <w:p w14:paraId="550AC12D">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b w:val="0"/>
                      <w:bCs w:val="0"/>
                      <w:color w:val="auto"/>
                      <w:spacing w:val="0"/>
                      <w:w w:val="100"/>
                      <w:kern w:val="21"/>
                      <w:position w:val="0"/>
                      <w:sz w:val="21"/>
                      <w:szCs w:val="21"/>
                      <w:highlight w:val="none"/>
                      <w:lang w:val="en-US" w:eastAsia="zh-CN"/>
                    </w:rPr>
                  </w:pPr>
                  <w:r>
                    <w:rPr>
                      <w:rFonts w:hint="default" w:ascii="Times New Roman" w:hAnsi="Times New Roman" w:cs="Times New Roman"/>
                      <w:b w:val="0"/>
                      <w:bCs w:val="0"/>
                      <w:color w:val="auto"/>
                      <w:spacing w:val="0"/>
                      <w:w w:val="100"/>
                      <w:kern w:val="21"/>
                      <w:position w:val="0"/>
                      <w:sz w:val="21"/>
                      <w:szCs w:val="21"/>
                      <w:highlight w:val="none"/>
                      <w:lang w:val="en-US" w:eastAsia="zh-CN"/>
                    </w:rPr>
                    <w:t>新建</w:t>
                  </w:r>
                </w:p>
              </w:tc>
            </w:tr>
            <w:tr w14:paraId="0C14AF9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91" w:type="pct"/>
                  <w:vMerge w:val="restart"/>
                  <w:tcBorders>
                    <w:top w:val="single" w:color="000000" w:sz="12" w:space="0"/>
                    <w:tl2br w:val="nil"/>
                    <w:tr2bl w:val="nil"/>
                  </w:tcBorders>
                  <w:noWrap w:val="0"/>
                  <w:vAlign w:val="center"/>
                </w:tcPr>
                <w:p w14:paraId="4760B613">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auto"/>
                      <w:spacing w:val="0"/>
                      <w:w w:val="100"/>
                      <w:kern w:val="21"/>
                      <w:position w:val="0"/>
                      <w:sz w:val="21"/>
                      <w:szCs w:val="21"/>
                      <w:highlight w:val="none"/>
                      <w:lang w:val="en-US" w:eastAsia="zh-CN"/>
                    </w:rPr>
                    <w:t>临时工程</w:t>
                  </w:r>
                </w:p>
              </w:tc>
              <w:tc>
                <w:tcPr>
                  <w:tcW w:w="624" w:type="pct"/>
                  <w:tcBorders>
                    <w:top w:val="single" w:color="000000" w:sz="12" w:space="0"/>
                    <w:tl2br w:val="nil"/>
                    <w:tr2bl w:val="nil"/>
                  </w:tcBorders>
                  <w:noWrap w:val="0"/>
                  <w:vAlign w:val="center"/>
                </w:tcPr>
                <w:p w14:paraId="01A19D6B">
                  <w:pPr>
                    <w:pStyle w:val="94"/>
                    <w:shd w:val="clear"/>
                    <w:ind w:firstLine="0" w:firstLineChars="0"/>
                    <w:rPr>
                      <w:rFonts w:hint="default" w:ascii="Times New Roman" w:hAnsi="Times New Roman" w:eastAsia="宋体" w:cs="Times New Roman"/>
                      <w:color w:val="auto"/>
                      <w:spacing w:val="0"/>
                      <w:w w:val="100"/>
                      <w:kern w:val="0"/>
                      <w:position w:val="0"/>
                      <w:sz w:val="21"/>
                      <w:szCs w:val="21"/>
                      <w:highlight w:val="none"/>
                      <w:lang w:val="en-US" w:eastAsia="zh-CN" w:bidi="ar-SA"/>
                    </w:rPr>
                  </w:pPr>
                  <w:r>
                    <w:rPr>
                      <w:rFonts w:hint="default" w:ascii="Times New Roman" w:hAnsi="Times New Roman" w:eastAsia="宋体" w:cs="Times New Roman"/>
                      <w:color w:val="auto"/>
                      <w:spacing w:val="0"/>
                      <w:w w:val="100"/>
                      <w:kern w:val="0"/>
                      <w:position w:val="0"/>
                      <w:sz w:val="21"/>
                      <w:szCs w:val="21"/>
                      <w:highlight w:val="none"/>
                      <w:lang w:val="en-US" w:eastAsia="zh-CN" w:bidi="ar-SA"/>
                    </w:rPr>
                    <w:t>施工生产区</w:t>
                  </w:r>
                </w:p>
              </w:tc>
              <w:tc>
                <w:tcPr>
                  <w:tcW w:w="3578" w:type="pct"/>
                  <w:tcBorders>
                    <w:top w:val="single" w:color="000000" w:sz="12" w:space="0"/>
                    <w:tl2br w:val="nil"/>
                    <w:tr2bl w:val="nil"/>
                  </w:tcBorders>
                  <w:noWrap w:val="0"/>
                  <w:vAlign w:val="center"/>
                </w:tcPr>
                <w:p w14:paraId="3E3CE24D">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left"/>
                    <w:textAlignment w:val="auto"/>
                    <w:rPr>
                      <w:rFonts w:hint="eastAsia"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lang w:val="en-US" w:eastAsia="zh-CN"/>
                    </w:rPr>
                    <w:t>建立</w:t>
                  </w:r>
                  <w:r>
                    <w:rPr>
                      <w:rFonts w:hint="eastAsia" w:ascii="Times New Roman" w:hAnsi="Times New Roman" w:cs="Times New Roman"/>
                      <w:color w:val="auto"/>
                      <w:spacing w:val="0"/>
                      <w:position w:val="0"/>
                      <w:sz w:val="21"/>
                      <w:szCs w:val="21"/>
                      <w:highlight w:val="none"/>
                      <w:lang w:val="en-US" w:eastAsia="zh-CN"/>
                    </w:rPr>
                    <w:t>2</w:t>
                  </w:r>
                  <w:r>
                    <w:rPr>
                      <w:rFonts w:hint="default" w:ascii="Times New Roman" w:hAnsi="Times New Roman" w:eastAsia="宋体" w:cs="Times New Roman"/>
                      <w:color w:val="auto"/>
                      <w:spacing w:val="0"/>
                      <w:position w:val="0"/>
                      <w:sz w:val="21"/>
                      <w:szCs w:val="21"/>
                      <w:highlight w:val="none"/>
                    </w:rPr>
                    <w:t>个临时</w:t>
                  </w:r>
                  <w:r>
                    <w:rPr>
                      <w:rFonts w:hint="default" w:ascii="Times New Roman" w:hAnsi="Times New Roman" w:eastAsia="宋体" w:cs="Times New Roman"/>
                      <w:color w:val="auto"/>
                      <w:spacing w:val="0"/>
                      <w:position w:val="0"/>
                      <w:sz w:val="21"/>
                      <w:szCs w:val="21"/>
                      <w:highlight w:val="none"/>
                      <w:lang w:val="en-US" w:eastAsia="zh-CN"/>
                    </w:rPr>
                    <w:t>施工</w:t>
                  </w:r>
                  <w:r>
                    <w:rPr>
                      <w:rFonts w:hint="default" w:ascii="Times New Roman" w:hAnsi="Times New Roman" w:eastAsia="宋体" w:cs="Times New Roman"/>
                      <w:color w:val="auto"/>
                      <w:spacing w:val="0"/>
                      <w:position w:val="0"/>
                      <w:sz w:val="21"/>
                      <w:szCs w:val="21"/>
                      <w:highlight w:val="none"/>
                    </w:rPr>
                    <w:t>区，工区内主要包括综合加工厂，</w:t>
                  </w:r>
                  <w:r>
                    <w:rPr>
                      <w:rFonts w:hint="default" w:ascii="Times New Roman" w:hAnsi="Times New Roman" w:eastAsia="宋体" w:cs="Times New Roman"/>
                      <w:color w:val="auto"/>
                      <w:spacing w:val="0"/>
                      <w:position w:val="0"/>
                      <w:sz w:val="21"/>
                      <w:szCs w:val="21"/>
                      <w:highlight w:val="none"/>
                      <w:lang w:val="en-US" w:eastAsia="zh-CN"/>
                    </w:rPr>
                    <w:t>总</w:t>
                  </w:r>
                  <w:r>
                    <w:rPr>
                      <w:rFonts w:hint="default" w:ascii="Times New Roman" w:hAnsi="Times New Roman" w:eastAsia="宋体" w:cs="Times New Roman"/>
                      <w:color w:val="auto"/>
                      <w:spacing w:val="0"/>
                      <w:position w:val="0"/>
                      <w:sz w:val="21"/>
                      <w:szCs w:val="21"/>
                      <w:highlight w:val="none"/>
                    </w:rPr>
                    <w:t>占地面积1500m</w:t>
                  </w:r>
                  <w:r>
                    <w:rPr>
                      <w:rFonts w:hint="default" w:ascii="Times New Roman" w:hAnsi="Times New Roman" w:eastAsia="宋体" w:cs="Times New Roman"/>
                      <w:color w:val="auto"/>
                      <w:spacing w:val="0"/>
                      <w:position w:val="0"/>
                      <w:sz w:val="21"/>
                      <w:szCs w:val="21"/>
                      <w:highlight w:val="none"/>
                      <w:vertAlign w:val="superscript"/>
                    </w:rPr>
                    <w:t>2</w:t>
                  </w:r>
                  <w:r>
                    <w:rPr>
                      <w:rFonts w:hint="eastAsia" w:ascii="Times New Roman" w:hAnsi="Times New Roman" w:cs="Times New Roman"/>
                      <w:color w:val="auto"/>
                      <w:spacing w:val="0"/>
                      <w:position w:val="0"/>
                      <w:sz w:val="21"/>
                      <w:szCs w:val="21"/>
                      <w:highlight w:val="none"/>
                      <w:vertAlign w:val="baseline"/>
                      <w:lang w:eastAsia="zh-CN"/>
                    </w:rPr>
                    <w:t>；（</w:t>
                  </w:r>
                  <w:r>
                    <w:rPr>
                      <w:rFonts w:hint="default" w:ascii="Times New Roman" w:hAnsi="Times New Roman" w:eastAsia="宋体" w:cs="Times New Roman"/>
                      <w:color w:val="000000"/>
                      <w:kern w:val="0"/>
                      <w:sz w:val="21"/>
                      <w:szCs w:val="21"/>
                      <w:lang w:val="en-US" w:eastAsia="zh-CN" w:bidi="ar"/>
                    </w:rPr>
                    <w:t>勇进村段</w:t>
                  </w:r>
                  <w:r>
                    <w:rPr>
                      <w:rFonts w:hint="eastAsia" w:ascii="Times New Roman" w:hAnsi="Times New Roman" w:eastAsia="宋体" w:cs="Times New Roman"/>
                      <w:color w:val="000000"/>
                      <w:kern w:val="0"/>
                      <w:sz w:val="21"/>
                      <w:szCs w:val="21"/>
                      <w:lang w:val="en-US" w:eastAsia="zh-CN" w:bidi="ar"/>
                    </w:rPr>
                    <w:t>1处；</w:t>
                  </w:r>
                  <w:r>
                    <w:rPr>
                      <w:rFonts w:hint="default" w:ascii="Times New Roman" w:hAnsi="Times New Roman" w:eastAsia="宋体" w:cs="Times New Roman"/>
                      <w:color w:val="000000"/>
                      <w:kern w:val="0"/>
                      <w:sz w:val="21"/>
                      <w:szCs w:val="21"/>
                      <w:lang w:val="en-US" w:eastAsia="zh-CN" w:bidi="ar"/>
                    </w:rPr>
                    <w:t>牧业村段</w:t>
                  </w:r>
                  <w:r>
                    <w:rPr>
                      <w:rFonts w:hint="eastAsia" w:ascii="Times New Roman" w:hAnsi="Times New Roman" w:eastAsia="宋体" w:cs="Times New Roman"/>
                      <w:color w:val="000000"/>
                      <w:kern w:val="0"/>
                      <w:sz w:val="21"/>
                      <w:szCs w:val="21"/>
                      <w:lang w:val="en-US" w:eastAsia="zh-CN" w:bidi="ar"/>
                    </w:rPr>
                    <w:t>1处</w:t>
                  </w:r>
                  <w:r>
                    <w:rPr>
                      <w:rFonts w:hint="eastAsia" w:ascii="Times New Roman" w:hAnsi="Times New Roman" w:cs="Times New Roman"/>
                      <w:color w:val="auto"/>
                      <w:spacing w:val="0"/>
                      <w:position w:val="0"/>
                      <w:sz w:val="21"/>
                      <w:szCs w:val="21"/>
                      <w:highlight w:val="none"/>
                      <w:vertAlign w:val="baseline"/>
                      <w:lang w:eastAsia="zh-CN"/>
                    </w:rPr>
                    <w:t>）</w:t>
                  </w:r>
                </w:p>
              </w:tc>
              <w:tc>
                <w:tcPr>
                  <w:tcW w:w="504" w:type="pct"/>
                  <w:tcBorders>
                    <w:top w:val="single" w:color="000000" w:sz="12" w:space="0"/>
                    <w:tl2br w:val="nil"/>
                    <w:tr2bl w:val="nil"/>
                  </w:tcBorders>
                  <w:noWrap w:val="0"/>
                  <w:vAlign w:val="center"/>
                </w:tcPr>
                <w:p w14:paraId="7018116D">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auto"/>
                      <w:spacing w:val="0"/>
                      <w:w w:val="100"/>
                      <w:kern w:val="21"/>
                      <w:position w:val="0"/>
                      <w:sz w:val="21"/>
                      <w:szCs w:val="21"/>
                      <w:highlight w:val="none"/>
                      <w:lang w:val="en-US" w:eastAsia="zh-CN"/>
                    </w:rPr>
                    <w:t>/</w:t>
                  </w:r>
                </w:p>
              </w:tc>
            </w:tr>
            <w:tr w14:paraId="0F549D0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91" w:type="pct"/>
                  <w:vMerge w:val="continue"/>
                  <w:tcBorders>
                    <w:tl2br w:val="nil"/>
                    <w:tr2bl w:val="nil"/>
                  </w:tcBorders>
                  <w:noWrap w:val="0"/>
                  <w:vAlign w:val="center"/>
                </w:tcPr>
                <w:p w14:paraId="1403DC66">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p>
              </w:tc>
              <w:tc>
                <w:tcPr>
                  <w:tcW w:w="624" w:type="pct"/>
                  <w:tcBorders>
                    <w:tl2br w:val="nil"/>
                    <w:tr2bl w:val="nil"/>
                  </w:tcBorders>
                  <w:noWrap w:val="0"/>
                  <w:vAlign w:val="center"/>
                </w:tcPr>
                <w:p w14:paraId="093761CF">
                  <w:pPr>
                    <w:pStyle w:val="94"/>
                    <w:shd w:val="clear"/>
                    <w:ind w:firstLine="0" w:firstLineChars="0"/>
                    <w:rPr>
                      <w:rFonts w:hint="default" w:ascii="Times New Roman" w:hAnsi="Times New Roman" w:eastAsia="宋体" w:cs="Times New Roman"/>
                      <w:color w:val="auto"/>
                      <w:spacing w:val="0"/>
                      <w:w w:val="100"/>
                      <w:kern w:val="0"/>
                      <w:position w:val="0"/>
                      <w:sz w:val="21"/>
                      <w:szCs w:val="21"/>
                      <w:highlight w:val="none"/>
                      <w:lang w:val="en-US" w:eastAsia="zh-CN" w:bidi="ar-SA"/>
                    </w:rPr>
                  </w:pPr>
                  <w:r>
                    <w:rPr>
                      <w:rFonts w:hint="default" w:ascii="Times New Roman" w:hAnsi="Times New Roman" w:eastAsia="宋体" w:cs="Times New Roman"/>
                      <w:color w:val="auto"/>
                      <w:spacing w:val="0"/>
                      <w:w w:val="100"/>
                      <w:kern w:val="0"/>
                      <w:position w:val="0"/>
                      <w:sz w:val="21"/>
                      <w:szCs w:val="21"/>
                      <w:highlight w:val="none"/>
                      <w:lang w:val="en-US" w:eastAsia="zh-CN" w:bidi="ar-SA"/>
                    </w:rPr>
                    <w:t>临时生活区</w:t>
                  </w:r>
                </w:p>
              </w:tc>
              <w:tc>
                <w:tcPr>
                  <w:tcW w:w="3578" w:type="pct"/>
                  <w:tcBorders>
                    <w:tl2br w:val="nil"/>
                    <w:tr2bl w:val="nil"/>
                  </w:tcBorders>
                  <w:noWrap w:val="0"/>
                  <w:vAlign w:val="center"/>
                </w:tcPr>
                <w:p w14:paraId="5684CED9">
                  <w:pPr>
                    <w:shd w:val="clear"/>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施工生活区共设</w:t>
                  </w:r>
                  <w:r>
                    <w:rPr>
                      <w:rFonts w:hint="eastAsia" w:ascii="Times New Roman" w:hAnsi="Times New Roman" w:cs="Times New Roman"/>
                      <w:color w:val="auto"/>
                      <w:spacing w:val="0"/>
                      <w:position w:val="0"/>
                      <w:sz w:val="21"/>
                      <w:szCs w:val="21"/>
                      <w:highlight w:val="none"/>
                      <w:lang w:val="en-US" w:eastAsia="zh-CN"/>
                    </w:rPr>
                    <w:t>2</w:t>
                  </w:r>
                  <w:r>
                    <w:rPr>
                      <w:rFonts w:hint="default" w:ascii="Times New Roman" w:hAnsi="Times New Roman" w:eastAsia="宋体" w:cs="Times New Roman"/>
                      <w:color w:val="auto"/>
                      <w:spacing w:val="0"/>
                      <w:position w:val="0"/>
                      <w:sz w:val="21"/>
                      <w:szCs w:val="21"/>
                      <w:highlight w:val="none"/>
                    </w:rPr>
                    <w:t>处，位于主体工程区附近空地处，占地0.50hm²，占地类型为其他土地。</w:t>
                  </w:r>
                </w:p>
              </w:tc>
              <w:tc>
                <w:tcPr>
                  <w:tcW w:w="504" w:type="pct"/>
                  <w:tcBorders>
                    <w:tl2br w:val="nil"/>
                    <w:tr2bl w:val="nil"/>
                  </w:tcBorders>
                  <w:noWrap w:val="0"/>
                  <w:vAlign w:val="center"/>
                </w:tcPr>
                <w:p w14:paraId="7C520674">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auto"/>
                      <w:spacing w:val="0"/>
                      <w:w w:val="100"/>
                      <w:kern w:val="21"/>
                      <w:position w:val="0"/>
                      <w:sz w:val="21"/>
                      <w:szCs w:val="21"/>
                      <w:highlight w:val="none"/>
                      <w:lang w:val="en-US" w:eastAsia="zh-CN"/>
                    </w:rPr>
                    <w:t>/</w:t>
                  </w:r>
                </w:p>
              </w:tc>
            </w:tr>
            <w:tr w14:paraId="3067074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91" w:type="pct"/>
                  <w:vMerge w:val="continue"/>
                  <w:tcBorders>
                    <w:tl2br w:val="nil"/>
                    <w:tr2bl w:val="nil"/>
                  </w:tcBorders>
                  <w:noWrap w:val="0"/>
                  <w:vAlign w:val="center"/>
                </w:tcPr>
                <w:p w14:paraId="71444B59">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p>
              </w:tc>
              <w:tc>
                <w:tcPr>
                  <w:tcW w:w="624" w:type="pct"/>
                  <w:tcBorders>
                    <w:tl2br w:val="nil"/>
                    <w:tr2bl w:val="nil"/>
                  </w:tcBorders>
                  <w:noWrap w:val="0"/>
                  <w:vAlign w:val="center"/>
                </w:tcPr>
                <w:p w14:paraId="002BD285">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0"/>
                      <w:position w:val="0"/>
                      <w:sz w:val="21"/>
                      <w:szCs w:val="21"/>
                      <w:highlight w:val="none"/>
                      <w:lang w:val="en-US" w:eastAsia="zh-CN" w:bidi="ar-SA"/>
                    </w:rPr>
                  </w:pPr>
                  <w:r>
                    <w:rPr>
                      <w:rFonts w:hint="default" w:ascii="Times New Roman" w:hAnsi="Times New Roman" w:eastAsia="宋体" w:cs="Times New Roman"/>
                      <w:color w:val="auto"/>
                      <w:spacing w:val="0"/>
                      <w:w w:val="100"/>
                      <w:kern w:val="0"/>
                      <w:position w:val="0"/>
                      <w:sz w:val="21"/>
                      <w:szCs w:val="21"/>
                      <w:highlight w:val="none"/>
                      <w:lang w:val="en-US" w:eastAsia="zh-CN" w:bidi="ar-SA"/>
                    </w:rPr>
                    <w:t>临时堆土场</w:t>
                  </w:r>
                </w:p>
              </w:tc>
              <w:tc>
                <w:tcPr>
                  <w:tcW w:w="3578" w:type="pct"/>
                  <w:tcBorders>
                    <w:tl2br w:val="nil"/>
                    <w:tr2bl w:val="nil"/>
                  </w:tcBorders>
                  <w:noWrap w:val="0"/>
                  <w:vAlign w:val="center"/>
                </w:tcPr>
                <w:p w14:paraId="5334AC98">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left"/>
                    <w:textAlignment w:val="auto"/>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临时堆土区位于防洪堤基础</w:t>
                  </w:r>
                  <w:r>
                    <w:rPr>
                      <w:rFonts w:hint="default" w:ascii="Times New Roman" w:hAnsi="Times New Roman" w:eastAsia="宋体" w:cs="Times New Roman"/>
                      <w:color w:val="auto"/>
                      <w:spacing w:val="0"/>
                      <w:position w:val="0"/>
                      <w:sz w:val="21"/>
                      <w:szCs w:val="21"/>
                      <w:highlight w:val="none"/>
                      <w:lang w:val="en-US" w:eastAsia="zh-CN"/>
                    </w:rPr>
                    <w:t>内</w:t>
                  </w:r>
                  <w:r>
                    <w:rPr>
                      <w:rFonts w:hint="default" w:ascii="Times New Roman" w:hAnsi="Times New Roman" w:eastAsia="宋体" w:cs="Times New Roman"/>
                      <w:color w:val="auto"/>
                      <w:spacing w:val="0"/>
                      <w:position w:val="0"/>
                      <w:sz w:val="21"/>
                      <w:szCs w:val="21"/>
                      <w:highlight w:val="none"/>
                    </w:rPr>
                    <w:t>侧，占地面积9.42hm²，最大堆高为3米，占地类型为水域及水利设施用地。</w:t>
                  </w:r>
                </w:p>
              </w:tc>
              <w:tc>
                <w:tcPr>
                  <w:tcW w:w="504" w:type="pct"/>
                  <w:tcBorders>
                    <w:tl2br w:val="nil"/>
                    <w:tr2bl w:val="nil"/>
                  </w:tcBorders>
                  <w:noWrap w:val="0"/>
                  <w:vAlign w:val="center"/>
                </w:tcPr>
                <w:p w14:paraId="046F4A9D">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auto"/>
                      <w:spacing w:val="0"/>
                      <w:w w:val="100"/>
                      <w:kern w:val="21"/>
                      <w:position w:val="0"/>
                      <w:sz w:val="21"/>
                      <w:szCs w:val="21"/>
                      <w:highlight w:val="none"/>
                      <w:lang w:val="en-US" w:eastAsia="zh-CN"/>
                    </w:rPr>
                    <w:t>/</w:t>
                  </w:r>
                </w:p>
              </w:tc>
            </w:tr>
            <w:tr w14:paraId="4B0560C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91" w:type="pct"/>
                  <w:vMerge w:val="restart"/>
                  <w:tcBorders>
                    <w:tl2br w:val="nil"/>
                    <w:tr2bl w:val="nil"/>
                  </w:tcBorders>
                  <w:noWrap w:val="0"/>
                  <w:vAlign w:val="center"/>
                </w:tcPr>
                <w:p w14:paraId="3AB5AE76">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rPr>
                  </w:pPr>
                  <w:r>
                    <w:rPr>
                      <w:rFonts w:hint="default" w:ascii="Times New Roman" w:hAnsi="Times New Roman" w:eastAsia="宋体" w:cs="Times New Roman"/>
                      <w:color w:val="auto"/>
                      <w:spacing w:val="0"/>
                      <w:w w:val="100"/>
                      <w:kern w:val="21"/>
                      <w:position w:val="0"/>
                      <w:sz w:val="21"/>
                      <w:szCs w:val="21"/>
                      <w:highlight w:val="none"/>
                      <w:lang w:eastAsia="en-US"/>
                    </w:rPr>
                    <w:t>公用工程</w:t>
                  </w:r>
                </w:p>
              </w:tc>
              <w:tc>
                <w:tcPr>
                  <w:tcW w:w="624" w:type="pct"/>
                  <w:tcBorders>
                    <w:tl2br w:val="nil"/>
                    <w:tr2bl w:val="nil"/>
                  </w:tcBorders>
                  <w:noWrap w:val="0"/>
                  <w:vAlign w:val="center"/>
                </w:tcPr>
                <w:p w14:paraId="22CB507A">
                  <w:pPr>
                    <w:pStyle w:val="67"/>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w w:val="100"/>
                      <w:kern w:val="21"/>
                      <w:position w:val="0"/>
                      <w:sz w:val="21"/>
                      <w:szCs w:val="21"/>
                      <w:highlight w:val="none"/>
                    </w:rPr>
                    <w:t>给水</w:t>
                  </w:r>
                </w:p>
              </w:tc>
              <w:tc>
                <w:tcPr>
                  <w:tcW w:w="3578" w:type="pct"/>
                  <w:tcBorders>
                    <w:tl2br w:val="nil"/>
                    <w:tr2bl w:val="nil"/>
                  </w:tcBorders>
                  <w:noWrap w:val="0"/>
                  <w:vAlign w:val="center"/>
                </w:tcPr>
                <w:p w14:paraId="340EA6A0">
                  <w:pPr>
                    <w:keepNext w:val="0"/>
                    <w:keepLines w:val="0"/>
                    <w:widowControl/>
                    <w:suppressLineNumbers w:val="0"/>
                    <w:shd w:val="clear"/>
                    <w:jc w:val="left"/>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auto"/>
                      <w:spacing w:val="0"/>
                      <w:kern w:val="0"/>
                      <w:position w:val="0"/>
                      <w:sz w:val="21"/>
                      <w:szCs w:val="21"/>
                      <w:highlight w:val="none"/>
                      <w:lang w:val="en-US" w:eastAsia="zh-CN" w:bidi="ar"/>
                    </w:rPr>
                    <w:t>小流域内各村镇均有自来水，可作为施工期生活用水水源及施工用水水源。</w:t>
                  </w:r>
                </w:p>
              </w:tc>
              <w:tc>
                <w:tcPr>
                  <w:tcW w:w="504" w:type="pct"/>
                  <w:tcBorders>
                    <w:tl2br w:val="nil"/>
                    <w:tr2bl w:val="nil"/>
                  </w:tcBorders>
                  <w:noWrap w:val="0"/>
                  <w:vAlign w:val="center"/>
                </w:tcPr>
                <w:p w14:paraId="28BFACBC">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auto"/>
                      <w:spacing w:val="0"/>
                      <w:w w:val="100"/>
                      <w:kern w:val="21"/>
                      <w:position w:val="0"/>
                      <w:sz w:val="21"/>
                      <w:szCs w:val="21"/>
                      <w:highlight w:val="none"/>
                      <w:lang w:val="en-US" w:eastAsia="zh-CN"/>
                    </w:rPr>
                    <w:t>/</w:t>
                  </w:r>
                </w:p>
              </w:tc>
            </w:tr>
            <w:tr w14:paraId="4D25DAC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91" w:type="pct"/>
                  <w:vMerge w:val="continue"/>
                  <w:tcBorders>
                    <w:tl2br w:val="nil"/>
                    <w:tr2bl w:val="nil"/>
                  </w:tcBorders>
                  <w:noWrap w:val="0"/>
                  <w:vAlign w:val="center"/>
                </w:tcPr>
                <w:p w14:paraId="1793AC48">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rPr>
                  </w:pPr>
                </w:p>
              </w:tc>
              <w:tc>
                <w:tcPr>
                  <w:tcW w:w="624" w:type="pct"/>
                  <w:tcBorders>
                    <w:tl2br w:val="nil"/>
                    <w:tr2bl w:val="nil"/>
                  </w:tcBorders>
                  <w:noWrap w:val="0"/>
                  <w:vAlign w:val="center"/>
                </w:tcPr>
                <w:p w14:paraId="423BFC80">
                  <w:pPr>
                    <w:pStyle w:val="67"/>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w w:val="100"/>
                      <w:kern w:val="21"/>
                      <w:position w:val="0"/>
                      <w:sz w:val="21"/>
                      <w:szCs w:val="21"/>
                      <w:highlight w:val="none"/>
                    </w:rPr>
                  </w:pPr>
                  <w:r>
                    <w:rPr>
                      <w:rFonts w:hint="default" w:ascii="Times New Roman" w:hAnsi="Times New Roman" w:eastAsia="宋体" w:cs="Times New Roman"/>
                      <w:color w:val="auto"/>
                      <w:spacing w:val="0"/>
                      <w:w w:val="100"/>
                      <w:kern w:val="21"/>
                      <w:position w:val="0"/>
                      <w:sz w:val="21"/>
                      <w:szCs w:val="21"/>
                      <w:highlight w:val="none"/>
                    </w:rPr>
                    <w:t>供电</w:t>
                  </w:r>
                </w:p>
              </w:tc>
              <w:tc>
                <w:tcPr>
                  <w:tcW w:w="3578" w:type="pct"/>
                  <w:tcBorders>
                    <w:bottom w:val="single" w:color="000000" w:sz="4" w:space="0"/>
                    <w:tl2br w:val="nil"/>
                    <w:tr2bl w:val="nil"/>
                  </w:tcBorders>
                  <w:noWrap w:val="0"/>
                  <w:vAlign w:val="center"/>
                </w:tcPr>
                <w:p w14:paraId="1BD863DC">
                  <w:pPr>
                    <w:keepNext w:val="0"/>
                    <w:keepLines w:val="0"/>
                    <w:widowControl/>
                    <w:suppressLineNumbers w:val="0"/>
                    <w:shd w:val="clear"/>
                    <w:jc w:val="left"/>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auto"/>
                      <w:spacing w:val="0"/>
                      <w:kern w:val="0"/>
                      <w:position w:val="0"/>
                      <w:sz w:val="21"/>
                      <w:szCs w:val="21"/>
                      <w:highlight w:val="none"/>
                      <w:lang w:val="en-US" w:eastAsia="zh-CN" w:bidi="ar"/>
                    </w:rPr>
                    <w:t>项目区所有建设工程均在电网覆盖范围内，可就近引接，工程区的临时用电可采用自备发电机供电。</w:t>
                  </w:r>
                </w:p>
              </w:tc>
              <w:tc>
                <w:tcPr>
                  <w:tcW w:w="504" w:type="pct"/>
                  <w:tcBorders>
                    <w:tl2br w:val="nil"/>
                    <w:tr2bl w:val="nil"/>
                  </w:tcBorders>
                  <w:noWrap w:val="0"/>
                  <w:vAlign w:val="center"/>
                </w:tcPr>
                <w:p w14:paraId="092F439E">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auto"/>
                      <w:spacing w:val="0"/>
                      <w:w w:val="100"/>
                      <w:kern w:val="21"/>
                      <w:position w:val="0"/>
                      <w:sz w:val="21"/>
                      <w:szCs w:val="21"/>
                      <w:highlight w:val="none"/>
                      <w:lang w:val="en-US" w:eastAsia="zh-CN"/>
                    </w:rPr>
                    <w:t>/</w:t>
                  </w:r>
                </w:p>
              </w:tc>
            </w:tr>
            <w:tr w14:paraId="61D2FE6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91" w:type="pct"/>
                  <w:vMerge w:val="restart"/>
                  <w:tcBorders>
                    <w:tl2br w:val="nil"/>
                    <w:tr2bl w:val="nil"/>
                  </w:tcBorders>
                  <w:noWrap w:val="0"/>
                  <w:vAlign w:val="center"/>
                </w:tcPr>
                <w:p w14:paraId="605878F8">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rPr>
                  </w:pPr>
                  <w:r>
                    <w:rPr>
                      <w:rFonts w:hint="default" w:ascii="Times New Roman" w:hAnsi="Times New Roman" w:eastAsia="宋体" w:cs="Times New Roman"/>
                      <w:color w:val="auto"/>
                      <w:spacing w:val="0"/>
                      <w:w w:val="100"/>
                      <w:kern w:val="21"/>
                      <w:position w:val="0"/>
                      <w:sz w:val="21"/>
                      <w:szCs w:val="21"/>
                      <w:highlight w:val="none"/>
                      <w:lang w:eastAsia="en-US"/>
                    </w:rPr>
                    <w:t>环保工程</w:t>
                  </w:r>
                </w:p>
              </w:tc>
              <w:tc>
                <w:tcPr>
                  <w:tcW w:w="624" w:type="pct"/>
                  <w:vMerge w:val="restart"/>
                  <w:tcBorders>
                    <w:right w:val="single" w:color="000000" w:sz="4" w:space="0"/>
                    <w:tl2br w:val="nil"/>
                    <w:tr2bl w:val="nil"/>
                  </w:tcBorders>
                  <w:noWrap w:val="0"/>
                  <w:vAlign w:val="center"/>
                </w:tcPr>
                <w:p w14:paraId="03302E0E">
                  <w:pPr>
                    <w:pStyle w:val="67"/>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w w:val="100"/>
                      <w:kern w:val="21"/>
                      <w:position w:val="0"/>
                      <w:sz w:val="21"/>
                      <w:szCs w:val="21"/>
                      <w:highlight w:val="none"/>
                      <w:lang w:val="en-US" w:eastAsia="zh-CN"/>
                    </w:rPr>
                    <w:t>施工期</w:t>
                  </w:r>
                  <w:r>
                    <w:rPr>
                      <w:rFonts w:hint="default" w:ascii="Times New Roman" w:hAnsi="Times New Roman" w:eastAsia="宋体" w:cs="Times New Roman"/>
                      <w:color w:val="auto"/>
                      <w:spacing w:val="0"/>
                      <w:kern w:val="0"/>
                      <w:position w:val="0"/>
                      <w:sz w:val="21"/>
                      <w:szCs w:val="21"/>
                      <w:highlight w:val="none"/>
                      <w:lang w:val="en-US" w:eastAsia="zh-CN" w:bidi="ar"/>
                    </w:rPr>
                    <w:t>废气治理</w:t>
                  </w:r>
                </w:p>
              </w:tc>
              <w:tc>
                <w:tcPr>
                  <w:tcW w:w="3578" w:type="pct"/>
                  <w:tcBorders>
                    <w:top w:val="single" w:color="000000" w:sz="4" w:space="0"/>
                    <w:left w:val="single" w:color="000000" w:sz="4" w:space="0"/>
                    <w:bottom w:val="single" w:color="000000" w:sz="4" w:space="0"/>
                    <w:right w:val="single" w:color="000000" w:sz="4" w:space="0"/>
                  </w:tcBorders>
                  <w:noWrap w:val="0"/>
                  <w:vAlign w:val="center"/>
                </w:tcPr>
                <w:p w14:paraId="21B3700E">
                  <w:pPr>
                    <w:keepNext w:val="0"/>
                    <w:keepLines w:val="0"/>
                    <w:widowControl/>
                    <w:suppressLineNumbers w:val="0"/>
                    <w:shd w:val="clear"/>
                    <w:jc w:val="left"/>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auto"/>
                      <w:spacing w:val="0"/>
                      <w:kern w:val="0"/>
                      <w:position w:val="0"/>
                      <w:sz w:val="21"/>
                      <w:szCs w:val="21"/>
                      <w:highlight w:val="none"/>
                      <w:lang w:val="en-US" w:eastAsia="zh-CN" w:bidi="ar"/>
                    </w:rPr>
                    <w:t>施工扬尘：汽车运土时外加篷布覆盖，合理安排施工进度，开挖后及时回填，并在现场定时洒水，加强文明施工教育。</w:t>
                  </w:r>
                </w:p>
              </w:tc>
              <w:tc>
                <w:tcPr>
                  <w:tcW w:w="504" w:type="pct"/>
                  <w:vMerge w:val="restart"/>
                  <w:tcBorders>
                    <w:left w:val="single" w:color="000000" w:sz="4" w:space="0"/>
                    <w:tl2br w:val="nil"/>
                    <w:tr2bl w:val="nil"/>
                  </w:tcBorders>
                  <w:noWrap w:val="0"/>
                  <w:vAlign w:val="center"/>
                </w:tcPr>
                <w:p w14:paraId="56DE76F4">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w w:val="100"/>
                      <w:kern w:val="21"/>
                      <w:position w:val="0"/>
                      <w:sz w:val="21"/>
                      <w:szCs w:val="21"/>
                      <w:highlight w:val="none"/>
                      <w:lang w:val="en-US" w:eastAsia="zh-CN"/>
                    </w:rPr>
                    <w:t>/</w:t>
                  </w:r>
                </w:p>
              </w:tc>
            </w:tr>
            <w:tr w14:paraId="1B4C3C2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291" w:type="pct"/>
                  <w:vMerge w:val="continue"/>
                  <w:tcBorders>
                    <w:tl2br w:val="nil"/>
                    <w:tr2bl w:val="nil"/>
                  </w:tcBorders>
                  <w:noWrap w:val="0"/>
                  <w:vAlign w:val="center"/>
                </w:tcPr>
                <w:p w14:paraId="109598F7">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eastAsia="en-US"/>
                    </w:rPr>
                  </w:pPr>
                </w:p>
              </w:tc>
              <w:tc>
                <w:tcPr>
                  <w:tcW w:w="624" w:type="pct"/>
                  <w:vMerge w:val="continue"/>
                  <w:tcBorders>
                    <w:right w:val="single" w:color="000000" w:sz="4" w:space="0"/>
                    <w:tl2br w:val="nil"/>
                    <w:tr2bl w:val="nil"/>
                  </w:tcBorders>
                  <w:noWrap w:val="0"/>
                  <w:vAlign w:val="center"/>
                </w:tcPr>
                <w:p w14:paraId="5B04D56A">
                  <w:pPr>
                    <w:pStyle w:val="67"/>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p>
              </w:tc>
              <w:tc>
                <w:tcPr>
                  <w:tcW w:w="3578" w:type="pct"/>
                  <w:tcBorders>
                    <w:top w:val="single" w:color="000000" w:sz="4" w:space="0"/>
                    <w:left w:val="single" w:color="000000" w:sz="4" w:space="0"/>
                    <w:bottom w:val="single" w:color="000000" w:sz="4" w:space="0"/>
                    <w:right w:val="single" w:color="000000" w:sz="4" w:space="0"/>
                  </w:tcBorders>
                  <w:noWrap w:val="0"/>
                  <w:vAlign w:val="center"/>
                </w:tcPr>
                <w:p w14:paraId="49AB256F">
                  <w:pPr>
                    <w:keepNext w:val="0"/>
                    <w:keepLines w:val="0"/>
                    <w:widowControl/>
                    <w:suppressLineNumbers w:val="0"/>
                    <w:shd w:val="clear"/>
                    <w:jc w:val="left"/>
                    <w:rPr>
                      <w:rFonts w:hint="default" w:ascii="Times New Roman" w:hAnsi="Times New Roman" w:eastAsia="宋体" w:cs="Times New Roman"/>
                      <w:color w:val="auto"/>
                      <w:spacing w:val="0"/>
                      <w:kern w:val="0"/>
                      <w:position w:val="0"/>
                      <w:sz w:val="21"/>
                      <w:szCs w:val="21"/>
                      <w:highlight w:val="none"/>
                      <w:lang w:val="en-US" w:eastAsia="zh-CN" w:bidi="ar"/>
                    </w:rPr>
                  </w:pPr>
                  <w:r>
                    <w:rPr>
                      <w:rFonts w:hint="default" w:ascii="Times New Roman" w:hAnsi="Times New Roman" w:eastAsia="宋体" w:cs="Times New Roman"/>
                      <w:color w:val="auto"/>
                      <w:spacing w:val="0"/>
                      <w:kern w:val="0"/>
                      <w:position w:val="0"/>
                      <w:sz w:val="21"/>
                      <w:szCs w:val="21"/>
                      <w:highlight w:val="none"/>
                      <w:lang w:val="en-US" w:eastAsia="zh-CN" w:bidi="ar"/>
                    </w:rPr>
                    <w:t>车辆尾气：选用先进的机械设备，加强管理。</w:t>
                  </w:r>
                </w:p>
              </w:tc>
              <w:tc>
                <w:tcPr>
                  <w:tcW w:w="504" w:type="pct"/>
                  <w:vMerge w:val="continue"/>
                  <w:tcBorders>
                    <w:left w:val="single" w:color="000000" w:sz="4" w:space="0"/>
                    <w:tl2br w:val="nil"/>
                    <w:tr2bl w:val="nil"/>
                  </w:tcBorders>
                  <w:noWrap w:val="0"/>
                  <w:vAlign w:val="center"/>
                </w:tcPr>
                <w:p w14:paraId="253D4FB8">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p>
              </w:tc>
            </w:tr>
            <w:tr w14:paraId="7FEFCC7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91" w:type="pct"/>
                  <w:vMerge w:val="continue"/>
                  <w:tcBorders>
                    <w:tl2br w:val="nil"/>
                    <w:tr2bl w:val="nil"/>
                  </w:tcBorders>
                  <w:noWrap w:val="0"/>
                  <w:vAlign w:val="center"/>
                </w:tcPr>
                <w:p w14:paraId="3D4852F1">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rPr>
                  </w:pPr>
                </w:p>
              </w:tc>
              <w:tc>
                <w:tcPr>
                  <w:tcW w:w="624" w:type="pct"/>
                  <w:tcBorders>
                    <w:tl2br w:val="nil"/>
                    <w:tr2bl w:val="nil"/>
                  </w:tcBorders>
                  <w:noWrap w:val="0"/>
                  <w:vAlign w:val="center"/>
                </w:tcPr>
                <w:p w14:paraId="22A42432">
                  <w:pPr>
                    <w:pStyle w:val="67"/>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auto"/>
                      <w:spacing w:val="0"/>
                      <w:w w:val="100"/>
                      <w:kern w:val="21"/>
                      <w:position w:val="0"/>
                      <w:sz w:val="21"/>
                      <w:szCs w:val="21"/>
                      <w:highlight w:val="none"/>
                      <w:lang w:val="en-US" w:eastAsia="zh-CN"/>
                    </w:rPr>
                    <w:t>施工期</w:t>
                  </w:r>
                  <w:r>
                    <w:rPr>
                      <w:rFonts w:hint="default" w:ascii="Times New Roman" w:hAnsi="Times New Roman" w:eastAsia="宋体" w:cs="Times New Roman"/>
                      <w:color w:val="auto"/>
                      <w:spacing w:val="0"/>
                      <w:w w:val="100"/>
                      <w:kern w:val="21"/>
                      <w:position w:val="0"/>
                      <w:sz w:val="21"/>
                      <w:szCs w:val="21"/>
                      <w:highlight w:val="none"/>
                    </w:rPr>
                    <w:t>噪声</w:t>
                  </w:r>
                  <w:r>
                    <w:rPr>
                      <w:rFonts w:hint="default" w:ascii="Times New Roman" w:hAnsi="Times New Roman" w:eastAsia="宋体" w:cs="Times New Roman"/>
                      <w:color w:val="auto"/>
                      <w:spacing w:val="0"/>
                      <w:w w:val="100"/>
                      <w:kern w:val="21"/>
                      <w:position w:val="0"/>
                      <w:sz w:val="21"/>
                      <w:szCs w:val="21"/>
                      <w:highlight w:val="none"/>
                      <w:lang w:val="en-US" w:eastAsia="zh-CN"/>
                    </w:rPr>
                    <w:t>治理</w:t>
                  </w:r>
                </w:p>
              </w:tc>
              <w:tc>
                <w:tcPr>
                  <w:tcW w:w="3578" w:type="pct"/>
                  <w:tcBorders>
                    <w:top w:val="single" w:color="000000" w:sz="4" w:space="0"/>
                    <w:tl2br w:val="nil"/>
                    <w:tr2bl w:val="nil"/>
                  </w:tcBorders>
                  <w:noWrap w:val="0"/>
                  <w:vAlign w:val="center"/>
                </w:tcPr>
                <w:p w14:paraId="63E315CE">
                  <w:pPr>
                    <w:keepNext w:val="0"/>
                    <w:keepLines w:val="0"/>
                    <w:widowControl/>
                    <w:suppressLineNumbers w:val="0"/>
                    <w:shd w:val="clear"/>
                    <w:jc w:val="left"/>
                    <w:rPr>
                      <w:rFonts w:hint="default" w:ascii="Times New Roman" w:hAnsi="Times New Roman" w:eastAsia="宋体" w:cs="Times New Roman"/>
                      <w:color w:val="auto"/>
                      <w:spacing w:val="0"/>
                      <w:kern w:val="0"/>
                      <w:position w:val="0"/>
                      <w:sz w:val="21"/>
                      <w:szCs w:val="21"/>
                      <w:highlight w:val="none"/>
                      <w:lang w:val="en-US" w:eastAsia="zh-CN" w:bidi="ar"/>
                    </w:rPr>
                  </w:pPr>
                  <w:r>
                    <w:rPr>
                      <w:rFonts w:hint="default" w:ascii="Times New Roman" w:hAnsi="Times New Roman" w:eastAsia="宋体" w:cs="Times New Roman"/>
                      <w:color w:val="auto"/>
                      <w:spacing w:val="0"/>
                      <w:kern w:val="0"/>
                      <w:position w:val="0"/>
                      <w:sz w:val="21"/>
                      <w:szCs w:val="21"/>
                      <w:highlight w:val="none"/>
                      <w:lang w:val="en-US" w:eastAsia="zh-CN" w:bidi="ar"/>
                    </w:rPr>
                    <w:t>加强设备维护保养，保持设备润滑，减少运行噪声，选用低噪声的施工机械和施工方式；合理安排高噪声施工机械的使用时间，减少夜间施工；做到文明施工、严格管理、缩短工期；</w:t>
                  </w:r>
                </w:p>
              </w:tc>
              <w:tc>
                <w:tcPr>
                  <w:tcW w:w="504" w:type="pct"/>
                  <w:tcBorders>
                    <w:tl2br w:val="nil"/>
                    <w:tr2bl w:val="nil"/>
                  </w:tcBorders>
                  <w:noWrap w:val="0"/>
                  <w:vAlign w:val="center"/>
                </w:tcPr>
                <w:p w14:paraId="6BCC6907">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w w:val="100"/>
                      <w:kern w:val="21"/>
                      <w:position w:val="0"/>
                      <w:sz w:val="21"/>
                      <w:szCs w:val="21"/>
                      <w:highlight w:val="none"/>
                      <w:lang w:val="en-US" w:eastAsia="zh-CN"/>
                    </w:rPr>
                    <w:t>/</w:t>
                  </w:r>
                </w:p>
              </w:tc>
            </w:tr>
            <w:tr w14:paraId="1349CAC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91" w:type="pct"/>
                  <w:vMerge w:val="continue"/>
                  <w:tcBorders>
                    <w:tl2br w:val="nil"/>
                    <w:tr2bl w:val="nil"/>
                  </w:tcBorders>
                  <w:noWrap w:val="0"/>
                  <w:vAlign w:val="center"/>
                </w:tcPr>
                <w:p w14:paraId="15A41F0C">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rPr>
                  </w:pPr>
                </w:p>
              </w:tc>
              <w:tc>
                <w:tcPr>
                  <w:tcW w:w="624" w:type="pct"/>
                  <w:tcBorders>
                    <w:tl2br w:val="nil"/>
                    <w:tr2bl w:val="nil"/>
                  </w:tcBorders>
                  <w:noWrap w:val="0"/>
                  <w:vAlign w:val="center"/>
                </w:tcPr>
                <w:p w14:paraId="4D361AA3">
                  <w:pPr>
                    <w:pStyle w:val="83"/>
                    <w:keepNext w:val="0"/>
                    <w:keepLines w:val="0"/>
                    <w:pageBreakBefore w:val="0"/>
                    <w:shd w:val="clear"/>
                    <w:kinsoku/>
                    <w:wordWrap w:val="0"/>
                    <w:overflowPunct/>
                    <w:topLinePunct w:val="0"/>
                    <w:autoSpaceDE/>
                    <w:autoSpaceDN/>
                    <w:bidi w:val="0"/>
                    <w:adjustRightInd/>
                    <w:snapToGrid/>
                    <w:spacing w:beforeAutospacing="0" w:afterAutospacing="0"/>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auto"/>
                      <w:spacing w:val="0"/>
                      <w:w w:val="100"/>
                      <w:kern w:val="21"/>
                      <w:position w:val="0"/>
                      <w:sz w:val="21"/>
                      <w:szCs w:val="21"/>
                      <w:highlight w:val="none"/>
                      <w:lang w:val="en-US" w:eastAsia="zh-CN"/>
                    </w:rPr>
                    <w:t>施工期</w:t>
                  </w:r>
                  <w:r>
                    <w:rPr>
                      <w:rFonts w:hint="default" w:ascii="Times New Roman" w:hAnsi="Times New Roman" w:eastAsia="宋体" w:cs="Times New Roman"/>
                      <w:color w:val="auto"/>
                      <w:spacing w:val="0"/>
                      <w:w w:val="100"/>
                      <w:kern w:val="21"/>
                      <w:position w:val="0"/>
                      <w:sz w:val="21"/>
                      <w:szCs w:val="21"/>
                      <w:highlight w:val="none"/>
                    </w:rPr>
                    <w:t>废水</w:t>
                  </w:r>
                  <w:r>
                    <w:rPr>
                      <w:rFonts w:hint="default" w:ascii="Times New Roman" w:hAnsi="Times New Roman" w:eastAsia="宋体" w:cs="Times New Roman"/>
                      <w:color w:val="auto"/>
                      <w:spacing w:val="0"/>
                      <w:w w:val="100"/>
                      <w:kern w:val="21"/>
                      <w:position w:val="0"/>
                      <w:sz w:val="21"/>
                      <w:szCs w:val="21"/>
                      <w:highlight w:val="none"/>
                      <w:lang w:val="en-US" w:eastAsia="zh-CN"/>
                    </w:rPr>
                    <w:t>治理</w:t>
                  </w:r>
                </w:p>
              </w:tc>
              <w:tc>
                <w:tcPr>
                  <w:tcW w:w="3578" w:type="pct"/>
                  <w:tcBorders>
                    <w:tl2br w:val="nil"/>
                    <w:tr2bl w:val="nil"/>
                  </w:tcBorders>
                  <w:noWrap w:val="0"/>
                  <w:vAlign w:val="center"/>
                </w:tcPr>
                <w:p w14:paraId="3F7D2DBF">
                  <w:pPr>
                    <w:keepNext w:val="0"/>
                    <w:keepLines w:val="0"/>
                    <w:widowControl/>
                    <w:suppressLineNumbers w:val="0"/>
                    <w:shd w:val="clear"/>
                    <w:jc w:val="left"/>
                    <w:rPr>
                      <w:rFonts w:hint="default" w:ascii="Times New Roman" w:hAnsi="Times New Roman" w:eastAsia="宋体" w:cs="Times New Roman"/>
                      <w:color w:val="auto"/>
                      <w:spacing w:val="0"/>
                      <w:kern w:val="0"/>
                      <w:position w:val="0"/>
                      <w:sz w:val="21"/>
                      <w:szCs w:val="21"/>
                      <w:highlight w:val="none"/>
                      <w:lang w:val="en-US" w:eastAsia="zh-CN" w:bidi="ar"/>
                    </w:rPr>
                  </w:pPr>
                  <w:r>
                    <w:rPr>
                      <w:rFonts w:hint="default" w:ascii="Times New Roman" w:hAnsi="Times New Roman" w:eastAsia="宋体" w:cs="Times New Roman"/>
                      <w:color w:val="auto"/>
                      <w:spacing w:val="0"/>
                      <w:kern w:val="0"/>
                      <w:position w:val="0"/>
                      <w:sz w:val="21"/>
                      <w:szCs w:val="21"/>
                      <w:highlight w:val="none"/>
                      <w:lang w:val="en-US" w:eastAsia="zh-CN" w:bidi="ar"/>
                    </w:rPr>
                    <w:t>施工区不设置机械冲洗和维修设施；施工场地设施移动厕所，方便施工人员使用。</w:t>
                  </w:r>
                </w:p>
              </w:tc>
              <w:tc>
                <w:tcPr>
                  <w:tcW w:w="504" w:type="pct"/>
                  <w:tcBorders>
                    <w:tl2br w:val="nil"/>
                    <w:tr2bl w:val="nil"/>
                  </w:tcBorders>
                  <w:noWrap w:val="0"/>
                  <w:vAlign w:val="center"/>
                </w:tcPr>
                <w:p w14:paraId="13543896">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w w:val="100"/>
                      <w:kern w:val="21"/>
                      <w:position w:val="0"/>
                      <w:sz w:val="21"/>
                      <w:szCs w:val="21"/>
                      <w:highlight w:val="none"/>
                      <w:lang w:val="en-US" w:eastAsia="zh-CN"/>
                    </w:rPr>
                    <w:t>/</w:t>
                  </w:r>
                </w:p>
              </w:tc>
            </w:tr>
            <w:tr w14:paraId="5181AA4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91" w:type="pct"/>
                  <w:vMerge w:val="continue"/>
                  <w:tcBorders>
                    <w:tl2br w:val="nil"/>
                    <w:tr2bl w:val="nil"/>
                  </w:tcBorders>
                  <w:noWrap w:val="0"/>
                  <w:vAlign w:val="center"/>
                </w:tcPr>
                <w:p w14:paraId="59D14E5A">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rPr>
                  </w:pPr>
                </w:p>
              </w:tc>
              <w:tc>
                <w:tcPr>
                  <w:tcW w:w="624" w:type="pct"/>
                  <w:tcBorders>
                    <w:tl2br w:val="nil"/>
                    <w:tr2bl w:val="nil"/>
                  </w:tcBorders>
                  <w:noWrap w:val="0"/>
                  <w:vAlign w:val="center"/>
                </w:tcPr>
                <w:p w14:paraId="438B7DC0">
                  <w:pPr>
                    <w:keepNext w:val="0"/>
                    <w:keepLines w:val="0"/>
                    <w:widowControl/>
                    <w:suppressLineNumbers w:val="0"/>
                    <w:shd w:val="clear"/>
                    <w:jc w:val="center"/>
                    <w:rPr>
                      <w:rFonts w:hint="default" w:ascii="Times New Roman" w:hAnsi="Times New Roman" w:eastAsia="宋体" w:cs="Times New Roman"/>
                      <w:color w:val="auto"/>
                      <w:spacing w:val="0"/>
                      <w:w w:val="100"/>
                      <w:kern w:val="21"/>
                      <w:position w:val="0"/>
                      <w:sz w:val="21"/>
                      <w:szCs w:val="21"/>
                      <w:highlight w:val="none"/>
                    </w:rPr>
                  </w:pPr>
                  <w:r>
                    <w:rPr>
                      <w:rFonts w:hint="default" w:ascii="Times New Roman" w:hAnsi="Times New Roman" w:eastAsia="宋体" w:cs="Times New Roman"/>
                      <w:color w:val="auto"/>
                      <w:spacing w:val="0"/>
                      <w:w w:val="100"/>
                      <w:kern w:val="21"/>
                      <w:position w:val="0"/>
                      <w:sz w:val="21"/>
                      <w:szCs w:val="21"/>
                      <w:highlight w:val="none"/>
                      <w:lang w:val="en-US" w:eastAsia="zh-CN"/>
                    </w:rPr>
                    <w:t>施工期</w:t>
                  </w:r>
                  <w:r>
                    <w:rPr>
                      <w:rFonts w:hint="default" w:ascii="Times New Roman" w:hAnsi="Times New Roman" w:eastAsia="宋体" w:cs="Times New Roman"/>
                      <w:color w:val="auto"/>
                      <w:spacing w:val="0"/>
                      <w:w w:val="100"/>
                      <w:kern w:val="21"/>
                      <w:position w:val="0"/>
                      <w:sz w:val="21"/>
                      <w:szCs w:val="21"/>
                      <w:highlight w:val="none"/>
                    </w:rPr>
                    <w:t>固体废物</w:t>
                  </w:r>
                  <w:r>
                    <w:rPr>
                      <w:rFonts w:hint="default" w:ascii="Times New Roman" w:hAnsi="Times New Roman" w:eastAsia="宋体" w:cs="Times New Roman"/>
                      <w:color w:val="auto"/>
                      <w:spacing w:val="0"/>
                      <w:kern w:val="0"/>
                      <w:position w:val="0"/>
                      <w:sz w:val="21"/>
                      <w:szCs w:val="21"/>
                      <w:highlight w:val="none"/>
                      <w:lang w:val="en-US" w:eastAsia="zh-CN" w:bidi="ar"/>
                    </w:rPr>
                    <w:t>治理</w:t>
                  </w:r>
                </w:p>
              </w:tc>
              <w:tc>
                <w:tcPr>
                  <w:tcW w:w="3578" w:type="pct"/>
                  <w:tcBorders>
                    <w:tl2br w:val="nil"/>
                    <w:tr2bl w:val="nil"/>
                  </w:tcBorders>
                  <w:noWrap w:val="0"/>
                  <w:vAlign w:val="center"/>
                </w:tcPr>
                <w:p w14:paraId="7199F7D1">
                  <w:pPr>
                    <w:keepNext w:val="0"/>
                    <w:keepLines w:val="0"/>
                    <w:widowControl/>
                    <w:suppressLineNumbers w:val="0"/>
                    <w:shd w:val="clear"/>
                    <w:jc w:val="left"/>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auto"/>
                      <w:spacing w:val="0"/>
                      <w:kern w:val="0"/>
                      <w:position w:val="0"/>
                      <w:sz w:val="21"/>
                      <w:szCs w:val="21"/>
                      <w:highlight w:val="none"/>
                      <w:lang w:val="en-US" w:eastAsia="zh-CN" w:bidi="ar"/>
                    </w:rPr>
                    <w:t>隔离出底泥清掏自然干化后用于基础回填或用于填筑临时道路；施工沿线安放垃圾桶，设专人负责站内生活垃圾的清运工作；草席使用结束后自然晾干，用于下一工程混凝土养护，不外排。</w:t>
                  </w:r>
                </w:p>
              </w:tc>
              <w:tc>
                <w:tcPr>
                  <w:tcW w:w="504" w:type="pct"/>
                  <w:tcBorders>
                    <w:tl2br w:val="nil"/>
                    <w:tr2bl w:val="nil"/>
                  </w:tcBorders>
                  <w:noWrap w:val="0"/>
                  <w:vAlign w:val="center"/>
                </w:tcPr>
                <w:p w14:paraId="2716DCE0">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w w:val="100"/>
                      <w:kern w:val="21"/>
                      <w:position w:val="0"/>
                      <w:sz w:val="21"/>
                      <w:szCs w:val="21"/>
                      <w:highlight w:val="none"/>
                      <w:lang w:val="en-US" w:eastAsia="zh-CN"/>
                    </w:rPr>
                    <w:t>/</w:t>
                  </w:r>
                </w:p>
              </w:tc>
            </w:tr>
            <w:tr w14:paraId="041CFB1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91" w:type="pct"/>
                  <w:vMerge w:val="continue"/>
                  <w:tcBorders>
                    <w:tl2br w:val="nil"/>
                    <w:tr2bl w:val="nil"/>
                  </w:tcBorders>
                  <w:noWrap w:val="0"/>
                  <w:vAlign w:val="center"/>
                </w:tcPr>
                <w:p w14:paraId="673D513C">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rPr>
                  </w:pPr>
                </w:p>
              </w:tc>
              <w:tc>
                <w:tcPr>
                  <w:tcW w:w="624" w:type="pct"/>
                  <w:tcBorders>
                    <w:tl2br w:val="nil"/>
                    <w:tr2bl w:val="nil"/>
                  </w:tcBorders>
                  <w:noWrap w:val="0"/>
                  <w:vAlign w:val="center"/>
                </w:tcPr>
                <w:p w14:paraId="6E6E1484">
                  <w:pPr>
                    <w:pStyle w:val="83"/>
                    <w:keepNext w:val="0"/>
                    <w:keepLines w:val="0"/>
                    <w:pageBreakBefore w:val="0"/>
                    <w:shd w:val="clear"/>
                    <w:kinsoku/>
                    <w:wordWrap w:val="0"/>
                    <w:overflowPunct/>
                    <w:topLinePunct w:val="0"/>
                    <w:autoSpaceDE/>
                    <w:autoSpaceDN/>
                    <w:bidi w:val="0"/>
                    <w:adjustRightInd/>
                    <w:snapToGrid/>
                    <w:spacing w:beforeAutospacing="0" w:afterAutospacing="0"/>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rPr>
                  </w:pPr>
                  <w:r>
                    <w:rPr>
                      <w:rFonts w:hint="default" w:ascii="Times New Roman" w:hAnsi="Times New Roman" w:eastAsia="宋体" w:cs="Times New Roman"/>
                      <w:color w:val="auto"/>
                      <w:spacing w:val="0"/>
                      <w:w w:val="100"/>
                      <w:kern w:val="21"/>
                      <w:position w:val="0"/>
                      <w:sz w:val="21"/>
                      <w:szCs w:val="21"/>
                      <w:highlight w:val="none"/>
                    </w:rPr>
                    <w:t>生态恢复</w:t>
                  </w:r>
                </w:p>
              </w:tc>
              <w:tc>
                <w:tcPr>
                  <w:tcW w:w="3578" w:type="pct"/>
                  <w:tcBorders>
                    <w:tl2br w:val="nil"/>
                    <w:tr2bl w:val="nil"/>
                  </w:tcBorders>
                  <w:noWrap w:val="0"/>
                  <w:vAlign w:val="center"/>
                </w:tcPr>
                <w:p w14:paraId="423FA459">
                  <w:pPr>
                    <w:keepNext w:val="0"/>
                    <w:keepLines w:val="0"/>
                    <w:widowControl/>
                    <w:suppressLineNumbers w:val="0"/>
                    <w:shd w:val="clear"/>
                    <w:jc w:val="left"/>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auto"/>
                      <w:spacing w:val="0"/>
                      <w:kern w:val="0"/>
                      <w:position w:val="0"/>
                      <w:sz w:val="21"/>
                      <w:szCs w:val="21"/>
                      <w:highlight w:val="none"/>
                      <w:lang w:val="en-US" w:eastAsia="zh-CN" w:bidi="ar"/>
                    </w:rPr>
                    <w:t>加强管理，减少对施工作业区周围植被的破坏、施工车辆在固定行车道上行驶，以免对周边土壤碾压破坏；挖方合理安排施工进度、缩短临时占地使用时间、采取优化施工方案、避开雨季施工、在施工过程中及时将土石方回填、及时夯实回填土、及时绿化等一系列措施后，可避免由于开挖不当引起的水土流失；程弃料、建筑垃圾、生活垃圾要定点堆放，及时清运，严格控制施工过程中扬尘污染，对施工废水不得随意乱排，收集后回用于路面洒水降尘，施工结束后，做到完工，料尽、场地清；做好施工迹地的恢复和弃渣的防护，避免出现施工场地凹凸不平的现象，并积极按照水土保持方案的要求进行植被恢复工作</w:t>
                  </w:r>
                </w:p>
              </w:tc>
              <w:tc>
                <w:tcPr>
                  <w:tcW w:w="504" w:type="pct"/>
                  <w:tcBorders>
                    <w:tl2br w:val="nil"/>
                    <w:tr2bl w:val="nil"/>
                  </w:tcBorders>
                  <w:noWrap w:val="0"/>
                  <w:vAlign w:val="center"/>
                </w:tcPr>
                <w:p w14:paraId="76B6C2AD">
                  <w:pPr>
                    <w:keepNext w:val="0"/>
                    <w:keepLines w:val="0"/>
                    <w:pageBreakBefore w:val="0"/>
                    <w:shd w:val="clear"/>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auto"/>
                      <w:spacing w:val="0"/>
                      <w:w w:val="100"/>
                      <w:kern w:val="21"/>
                      <w:position w:val="0"/>
                      <w:sz w:val="21"/>
                      <w:szCs w:val="21"/>
                      <w:highlight w:val="none"/>
                      <w:lang w:val="en-US" w:eastAsia="zh-CN"/>
                    </w:rPr>
                    <w:t>/</w:t>
                  </w:r>
                </w:p>
              </w:tc>
            </w:tr>
          </w:tbl>
          <w:p w14:paraId="5D23A75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right="0"/>
              <w:jc w:val="left"/>
              <w:textAlignment w:val="auto"/>
              <w:rPr>
                <w:rFonts w:hint="default" w:ascii="Times New Roman" w:hAnsi="Times New Roman" w:eastAsia="宋体" w:cs="Times New Roman"/>
                <w:b/>
                <w:bCs/>
                <w:color w:val="auto"/>
                <w:spacing w:val="0"/>
                <w:w w:val="100"/>
                <w:kern w:val="0"/>
                <w:position w:val="0"/>
                <w:sz w:val="24"/>
                <w:szCs w:val="24"/>
                <w:highlight w:val="none"/>
                <w:lang w:val="en-US" w:eastAsia="zh-CN"/>
              </w:rPr>
            </w:pPr>
            <w:r>
              <w:rPr>
                <w:rFonts w:hint="default" w:ascii="Times New Roman" w:hAnsi="Times New Roman" w:eastAsia="宋体" w:cs="Times New Roman"/>
                <w:b/>
                <w:bCs/>
                <w:color w:val="auto"/>
                <w:spacing w:val="0"/>
                <w:w w:val="100"/>
                <w:kern w:val="0"/>
                <w:position w:val="0"/>
                <w:sz w:val="24"/>
                <w:szCs w:val="24"/>
                <w:highlight w:val="none"/>
                <w:lang w:val="en-US" w:eastAsia="zh-CN" w:bidi="ar-SA"/>
              </w:rPr>
              <w:t>4.护岸设计</w:t>
            </w:r>
          </w:p>
          <w:p w14:paraId="6DC3BE35">
            <w:pPr>
              <w:keepNext w:val="0"/>
              <w:keepLines w:val="0"/>
              <w:widowControl/>
              <w:suppressLineNumbers w:val="0"/>
              <w:shd w:val="clea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昌吉市榆树沟镇榆树沟村至勇进村段中小河流治理工程采用护坡式顺坝对凹岸进行防护，设计堤顶宽度4.0m，上游边坡1：1.5，下游边坡1：1.5，护岸设计高度1.8～2.0m，护岸设计基础埋深为3.0m。护岸工程的设计防洪标准为10年一遇，相应洪峰流量为72.7m3/s，堤防工程级别5级。</w:t>
            </w:r>
          </w:p>
          <w:p w14:paraId="35BE1890">
            <w:pPr>
              <w:keepNext w:val="0"/>
              <w:keepLines w:val="0"/>
              <w:widowControl/>
              <w:suppressLineNumbers w:val="0"/>
              <w:shd w:val="clea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护岸堤身和基础开挖前首先对岸坡及河床地表30cm深度范围进行清废，清除地表植被杂草根茎、淤泥腐殖质等杂物。同时，根据地勘试验资料，桩号36+690.5～47+710.9段，河道岸坡表层为低液限粉土，河床为卵砾石。本次设计：</w:t>
            </w:r>
          </w:p>
          <w:p w14:paraId="6E5C7F9D">
            <w:pPr>
              <w:keepNext w:val="0"/>
              <w:keepLines w:val="0"/>
              <w:widowControl/>
              <w:suppressLineNumbers w:val="0"/>
              <w:shd w:val="clea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①对低于堤顶的河床段防洪堤进行地表清废、堤身回填开挖砂砾料，分层碾压至设计标高，砂砾石相对密度≥0.75；</w:t>
            </w:r>
          </w:p>
          <w:p w14:paraId="481F7023">
            <w:pPr>
              <w:keepNext w:val="0"/>
              <w:keepLines w:val="0"/>
              <w:widowControl/>
              <w:suppressLineNumbers w:val="0"/>
              <w:shd w:val="clea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②对高于堤顶的岸坡进行削坡处理后，在设计堤脚线以上坝坡设置非冻胀性土的防冻垫层；</w:t>
            </w:r>
          </w:p>
          <w:p w14:paraId="733DD089">
            <w:pPr>
              <w:keepNext w:val="0"/>
              <w:keepLines w:val="0"/>
              <w:widowControl/>
              <w:suppressLineNumbers w:val="0"/>
              <w:shd w:val="clea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③基础开挖直接座在卵砾石层之上。</w:t>
            </w:r>
          </w:p>
          <w:p w14:paraId="74CE2BB5">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color w:val="auto"/>
                <w:spacing w:val="0"/>
                <w:w w:val="100"/>
                <w:kern w:val="0"/>
                <w:position w:val="0"/>
                <w:sz w:val="24"/>
                <w:szCs w:val="24"/>
                <w:highlight w:val="none"/>
                <w:lang w:val="en-US" w:eastAsia="zh-CN"/>
              </w:rPr>
            </w:pPr>
            <w:r>
              <w:rPr>
                <w:rFonts w:hint="default" w:ascii="Times New Roman" w:hAnsi="Times New Roman" w:eastAsia="宋体" w:cs="Times New Roman"/>
                <w:color w:val="auto"/>
                <w:spacing w:val="0"/>
                <w:w w:val="100"/>
                <w:kern w:val="0"/>
                <w:position w:val="0"/>
                <w:sz w:val="24"/>
                <w:szCs w:val="24"/>
                <w:highlight w:val="none"/>
                <w:lang w:val="en-US" w:eastAsia="zh-CN"/>
              </w:rPr>
              <w:t>桩号66+770~69+654.1段，河道岸坡及河床表层为低液限粉土，层厚1.5-2.0m</w:t>
            </w:r>
            <w:r>
              <w:rPr>
                <w:rFonts w:hint="default" w:ascii="Times New Roman" w:hAnsi="Times New Roman" w:cs="Times New Roman"/>
                <w:color w:val="auto"/>
                <w:spacing w:val="0"/>
                <w:w w:val="100"/>
                <w:kern w:val="0"/>
                <w:position w:val="0"/>
                <w:sz w:val="24"/>
                <w:szCs w:val="24"/>
                <w:highlight w:val="none"/>
                <w:lang w:val="en-US" w:eastAsia="zh-CN"/>
              </w:rPr>
              <w:t>；</w:t>
            </w:r>
            <w:r>
              <w:rPr>
                <w:rFonts w:hint="default" w:ascii="Times New Roman" w:hAnsi="Times New Roman" w:eastAsia="宋体" w:cs="Times New Roman"/>
                <w:color w:val="auto"/>
                <w:spacing w:val="0"/>
                <w:w w:val="100"/>
                <w:kern w:val="0"/>
                <w:position w:val="0"/>
                <w:sz w:val="24"/>
                <w:szCs w:val="24"/>
                <w:highlight w:val="none"/>
                <w:lang w:val="en-US" w:eastAsia="zh-CN"/>
              </w:rPr>
              <w:t>其下部为卵砾石。由于低液限粉土具中等湿陷性、中高压缩性土，工程地质条件差，现状河床较窄。本次设计：拓宽河床，采用护坡式顺坝对凹岸进行治理。</w:t>
            </w:r>
          </w:p>
          <w:p w14:paraId="7873B5B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kern w:val="0"/>
                <w:position w:val="0"/>
                <w:sz w:val="24"/>
                <w:szCs w:val="24"/>
                <w:highlight w:val="none"/>
                <w:lang w:val="en-US" w:eastAsia="zh-CN"/>
              </w:rPr>
              <w:t>护坡混凝土板设计护岸工程桩号36+690.5～47+071.9段迎水面设置厚度15cm的C40F300现浇混凝土板护坡。混凝土板分缝间距3.0m×3.0m，缝宽2cm，缝内填L-600型高压闭孔泡沫板，高压闭孔泡沫板填缝层低于混凝土板表层2cm。本次在混凝土板设置排水孔，采用在设计洪水位以下至堤脚面板上水平插入Φ90的PVC管排水，排水孔内填充2～4cm的石子，具体详见排水孔大样图。为保证基础底部混凝土的施工质量，设计在护坡混凝土板的基础设50cm×50cm的矩形混凝土阻滑墙。</w:t>
            </w:r>
          </w:p>
          <w:p w14:paraId="3A0A8E6D">
            <w:pPr>
              <w:pStyle w:val="8"/>
              <w:keepNext w:val="0"/>
              <w:keepLines w:val="0"/>
              <w:pageBreakBefore w:val="0"/>
              <w:shd w:val="clear"/>
              <w:kinsoku/>
              <w:wordWrap/>
              <w:overflowPunct/>
              <w:topLinePunct w:val="0"/>
              <w:autoSpaceDE/>
              <w:autoSpaceDN/>
              <w:bidi w:val="0"/>
              <w:adjustRightInd/>
              <w:spacing w:after="0" w:line="240" w:lineRule="auto"/>
              <w:ind w:left="0" w:leftChars="0" w:right="0" w:firstLine="0" w:firstLineChars="0"/>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4740275" cy="3834765"/>
                  <wp:effectExtent l="0" t="0" r="3175" b="13335"/>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7"/>
                          <a:stretch>
                            <a:fillRect/>
                          </a:stretch>
                        </pic:blipFill>
                        <pic:spPr>
                          <a:xfrm>
                            <a:off x="0" y="0"/>
                            <a:ext cx="4740275" cy="3834765"/>
                          </a:xfrm>
                          <a:prstGeom prst="rect">
                            <a:avLst/>
                          </a:prstGeom>
                          <a:noFill/>
                          <a:ln>
                            <a:noFill/>
                          </a:ln>
                        </pic:spPr>
                      </pic:pic>
                    </a:graphicData>
                  </a:graphic>
                </wp:inline>
              </w:drawing>
            </w:r>
          </w:p>
          <w:p w14:paraId="0098DC59">
            <w:pPr>
              <w:pStyle w:val="11"/>
              <w:shd w:val="clear"/>
              <w:rPr>
                <w:rFonts w:hint="default"/>
              </w:rPr>
            </w:pPr>
          </w:p>
          <w:p w14:paraId="45F9FA2F">
            <w:pPr>
              <w:pStyle w:val="11"/>
              <w:keepNext w:val="0"/>
              <w:keepLines w:val="0"/>
              <w:pageBreakBefore w:val="0"/>
              <w:shd w:val="clear"/>
              <w:kinsoku/>
              <w:wordWrap/>
              <w:overflowPunct/>
              <w:topLinePunct w:val="0"/>
              <w:autoSpaceDE/>
              <w:autoSpaceDN/>
              <w:bidi w:val="0"/>
              <w:adjustRightInd/>
              <w:spacing w:before="0" w:after="0" w:line="240" w:lineRule="auto"/>
              <w:ind w:right="0"/>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4705350" cy="3482975"/>
                  <wp:effectExtent l="0" t="0" r="0" b="3175"/>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8"/>
                          <a:stretch>
                            <a:fillRect/>
                          </a:stretch>
                        </pic:blipFill>
                        <pic:spPr>
                          <a:xfrm>
                            <a:off x="0" y="0"/>
                            <a:ext cx="4705350" cy="3482975"/>
                          </a:xfrm>
                          <a:prstGeom prst="rect">
                            <a:avLst/>
                          </a:prstGeom>
                          <a:noFill/>
                          <a:ln>
                            <a:noFill/>
                          </a:ln>
                        </pic:spPr>
                      </pic:pic>
                    </a:graphicData>
                  </a:graphic>
                </wp:inline>
              </w:drawing>
            </w:r>
          </w:p>
          <w:p w14:paraId="7C6C2D12">
            <w:pPr>
              <w:pStyle w:val="11"/>
              <w:keepNext w:val="0"/>
              <w:keepLines w:val="0"/>
              <w:pageBreakBefore w:val="0"/>
              <w:shd w:val="clear"/>
              <w:kinsoku/>
              <w:wordWrap/>
              <w:overflowPunct/>
              <w:topLinePunct w:val="0"/>
              <w:autoSpaceDE/>
              <w:autoSpaceDN/>
              <w:bidi w:val="0"/>
              <w:adjustRightInd/>
              <w:spacing w:before="0" w:after="0" w:line="240" w:lineRule="auto"/>
              <w:ind w:right="0"/>
              <w:textAlignment w:val="auto"/>
              <w:rPr>
                <w:rFonts w:hint="default" w:ascii="Times New Roman" w:hAnsi="Times New Roman" w:cs="Times New Roman"/>
              </w:rPr>
            </w:pPr>
          </w:p>
          <w:p w14:paraId="12F5DC03">
            <w:pPr>
              <w:pStyle w:val="12"/>
              <w:keepNext w:val="0"/>
              <w:keepLines w:val="0"/>
              <w:pageBreakBefore w:val="0"/>
              <w:shd w:val="clear"/>
              <w:kinsoku/>
              <w:wordWrap/>
              <w:overflowPunct/>
              <w:topLinePunct w:val="0"/>
              <w:autoSpaceDE/>
              <w:autoSpaceDN/>
              <w:bidi w:val="0"/>
              <w:adjustRightInd/>
              <w:spacing w:after="0" w:line="240" w:lineRule="auto"/>
              <w:ind w:right="0"/>
              <w:textAlignment w:val="auto"/>
              <w:rPr>
                <w:rFonts w:hint="default" w:ascii="Times New Roman" w:hAnsi="Times New Roman" w:cs="Times New Roman"/>
              </w:rPr>
            </w:pPr>
          </w:p>
          <w:p w14:paraId="2513FBF4">
            <w:pPr>
              <w:pStyle w:val="12"/>
              <w:keepNext w:val="0"/>
              <w:keepLines w:val="0"/>
              <w:pageBreakBefore w:val="0"/>
              <w:shd w:val="clear"/>
              <w:kinsoku/>
              <w:wordWrap/>
              <w:overflowPunct/>
              <w:topLinePunct w:val="0"/>
              <w:autoSpaceDE/>
              <w:autoSpaceDN/>
              <w:bidi w:val="0"/>
              <w:adjustRightInd/>
              <w:spacing w:after="0" w:line="240" w:lineRule="auto"/>
              <w:ind w:right="0"/>
              <w:textAlignment w:val="auto"/>
              <w:rPr>
                <w:rFonts w:hint="default" w:ascii="Times New Roman" w:hAnsi="Times New Roman" w:cs="Times New Roman"/>
              </w:rPr>
            </w:pPr>
          </w:p>
          <w:p w14:paraId="6DAC87FB">
            <w:pPr>
              <w:pStyle w:val="12"/>
              <w:keepNext w:val="0"/>
              <w:keepLines w:val="0"/>
              <w:pageBreakBefore w:val="0"/>
              <w:shd w:val="clear"/>
              <w:kinsoku/>
              <w:wordWrap/>
              <w:overflowPunct/>
              <w:topLinePunct w:val="0"/>
              <w:autoSpaceDE/>
              <w:autoSpaceDN/>
              <w:bidi w:val="0"/>
              <w:adjustRightInd/>
              <w:spacing w:after="0" w:line="240" w:lineRule="auto"/>
              <w:ind w:right="0"/>
              <w:textAlignment w:val="auto"/>
              <w:rPr>
                <w:rFonts w:hint="default" w:ascii="Times New Roman" w:hAnsi="Times New Roman" w:cs="Times New Roman"/>
              </w:rPr>
            </w:pPr>
          </w:p>
          <w:p w14:paraId="4FFE0C84">
            <w:pPr>
              <w:pStyle w:val="12"/>
              <w:keepNext w:val="0"/>
              <w:keepLines w:val="0"/>
              <w:pageBreakBefore w:val="0"/>
              <w:shd w:val="clear"/>
              <w:kinsoku/>
              <w:wordWrap/>
              <w:overflowPunct/>
              <w:topLinePunct w:val="0"/>
              <w:autoSpaceDE/>
              <w:autoSpaceDN/>
              <w:bidi w:val="0"/>
              <w:adjustRightInd/>
              <w:spacing w:after="0" w:line="240" w:lineRule="auto"/>
              <w:ind w:right="0"/>
              <w:textAlignment w:val="auto"/>
              <w:rPr>
                <w:rFonts w:hint="default" w:ascii="Times New Roman" w:hAnsi="Times New Roman" w:cs="Times New Roman"/>
              </w:rPr>
            </w:pPr>
          </w:p>
          <w:p w14:paraId="2D0F6687">
            <w:pPr>
              <w:pStyle w:val="11"/>
              <w:keepNext w:val="0"/>
              <w:keepLines w:val="0"/>
              <w:pageBreakBefore w:val="0"/>
              <w:shd w:val="clear"/>
              <w:kinsoku/>
              <w:wordWrap/>
              <w:overflowPunct/>
              <w:topLinePunct w:val="0"/>
              <w:autoSpaceDE/>
              <w:autoSpaceDN/>
              <w:bidi w:val="0"/>
              <w:adjustRightInd/>
              <w:spacing w:before="0" w:after="0" w:line="240" w:lineRule="auto"/>
              <w:ind w:right="0"/>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4674235" cy="4286250"/>
                  <wp:effectExtent l="0" t="0" r="12065" b="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
                          <pic:cNvPicPr>
                            <a:picLocks noChangeAspect="1"/>
                          </pic:cNvPicPr>
                        </pic:nvPicPr>
                        <pic:blipFill>
                          <a:blip r:embed="rId9"/>
                          <a:stretch>
                            <a:fillRect/>
                          </a:stretch>
                        </pic:blipFill>
                        <pic:spPr>
                          <a:xfrm>
                            <a:off x="0" y="0"/>
                            <a:ext cx="4674235" cy="4286250"/>
                          </a:xfrm>
                          <a:prstGeom prst="rect">
                            <a:avLst/>
                          </a:prstGeom>
                          <a:noFill/>
                          <a:ln>
                            <a:noFill/>
                          </a:ln>
                        </pic:spPr>
                      </pic:pic>
                    </a:graphicData>
                  </a:graphic>
                </wp:inline>
              </w:drawing>
            </w:r>
          </w:p>
          <w:p w14:paraId="280F2A0A">
            <w:pPr>
              <w:keepNext w:val="0"/>
              <w:keepLines w:val="0"/>
              <w:pageBreakBefore w:val="0"/>
              <w:widowControl/>
              <w:suppressLineNumbers w:val="0"/>
              <w:shd w:val="clear"/>
              <w:kinsoku/>
              <w:wordWrap/>
              <w:overflowPunct/>
              <w:topLinePunct w:val="0"/>
              <w:autoSpaceDE/>
              <w:autoSpaceDN/>
              <w:bidi w:val="0"/>
              <w:adjustRightInd/>
              <w:spacing w:line="240" w:lineRule="auto"/>
              <w:ind w:right="0"/>
              <w:jc w:val="center"/>
              <w:textAlignment w:val="auto"/>
              <w:rPr>
                <w:rFonts w:hint="default" w:ascii="Times New Roman" w:hAnsi="Times New Roman" w:eastAsia="宋体" w:cs="Times New Roman"/>
                <w:b/>
                <w:bCs/>
                <w:color w:val="auto"/>
                <w:spacing w:val="0"/>
                <w:kern w:val="0"/>
                <w:position w:val="0"/>
                <w:sz w:val="21"/>
                <w:szCs w:val="21"/>
                <w:highlight w:val="none"/>
                <w:lang w:val="en-US" w:eastAsia="zh-CN" w:bidi="ar"/>
              </w:rPr>
            </w:pPr>
            <w:r>
              <w:rPr>
                <w:rFonts w:hint="default" w:ascii="Times New Roman" w:hAnsi="Times New Roman" w:eastAsia="宋体" w:cs="Times New Roman"/>
                <w:b/>
                <w:bCs/>
                <w:color w:val="auto"/>
                <w:spacing w:val="0"/>
                <w:kern w:val="0"/>
                <w:position w:val="0"/>
                <w:sz w:val="21"/>
                <w:szCs w:val="21"/>
                <w:highlight w:val="none"/>
                <w:lang w:val="en-US" w:eastAsia="zh-CN" w:bidi="ar"/>
              </w:rPr>
              <w:t>图1   上游段护岸标准横断面</w:t>
            </w:r>
            <w:r>
              <w:rPr>
                <w:rFonts w:hint="default" w:ascii="Times New Roman" w:hAnsi="Times New Roman" w:cs="Times New Roman"/>
                <w:b/>
                <w:bCs/>
                <w:color w:val="auto"/>
                <w:spacing w:val="0"/>
                <w:kern w:val="0"/>
                <w:position w:val="0"/>
                <w:sz w:val="21"/>
                <w:szCs w:val="21"/>
                <w:highlight w:val="none"/>
                <w:lang w:val="en-US" w:eastAsia="zh-CN" w:bidi="ar"/>
              </w:rPr>
              <w:t>施工示意</w:t>
            </w:r>
            <w:r>
              <w:rPr>
                <w:rFonts w:hint="default" w:ascii="Times New Roman" w:hAnsi="Times New Roman" w:eastAsia="宋体" w:cs="Times New Roman"/>
                <w:b/>
                <w:bCs/>
                <w:color w:val="auto"/>
                <w:spacing w:val="0"/>
                <w:kern w:val="0"/>
                <w:position w:val="0"/>
                <w:sz w:val="21"/>
                <w:szCs w:val="21"/>
                <w:highlight w:val="none"/>
                <w:lang w:val="en-US" w:eastAsia="zh-CN" w:bidi="ar"/>
              </w:rPr>
              <w:t>图</w:t>
            </w:r>
          </w:p>
          <w:p w14:paraId="17C42D4C">
            <w:pPr>
              <w:shd w:val="clear"/>
              <w:rPr>
                <w:rFonts w:hint="default" w:ascii="Times New Roman" w:hAnsi="Times New Roman" w:cs="Times New Roman"/>
              </w:rPr>
            </w:pPr>
            <w:r>
              <w:rPr>
                <w:rFonts w:hint="default" w:ascii="Times New Roman" w:hAnsi="Times New Roman" w:cs="Times New Roman"/>
              </w:rPr>
              <w:drawing>
                <wp:inline distT="0" distB="0" distL="114300" distR="114300">
                  <wp:extent cx="4695190" cy="3790950"/>
                  <wp:effectExtent l="0" t="0" r="10160" b="0"/>
                  <wp:docPr id="4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
                          <pic:cNvPicPr>
                            <a:picLocks noChangeAspect="1"/>
                          </pic:cNvPicPr>
                        </pic:nvPicPr>
                        <pic:blipFill>
                          <a:blip r:embed="rId10"/>
                          <a:stretch>
                            <a:fillRect/>
                          </a:stretch>
                        </pic:blipFill>
                        <pic:spPr>
                          <a:xfrm>
                            <a:off x="0" y="0"/>
                            <a:ext cx="4695190" cy="3790950"/>
                          </a:xfrm>
                          <a:prstGeom prst="rect">
                            <a:avLst/>
                          </a:prstGeom>
                          <a:noFill/>
                          <a:ln>
                            <a:noFill/>
                          </a:ln>
                        </pic:spPr>
                      </pic:pic>
                    </a:graphicData>
                  </a:graphic>
                </wp:inline>
              </w:drawing>
            </w:r>
          </w:p>
          <w:p w14:paraId="215E33D5">
            <w:pPr>
              <w:keepNext w:val="0"/>
              <w:keepLines w:val="0"/>
              <w:pageBreakBefore w:val="0"/>
              <w:widowControl/>
              <w:suppressLineNumbers w:val="0"/>
              <w:shd w:val="clear"/>
              <w:kinsoku/>
              <w:wordWrap/>
              <w:overflowPunct/>
              <w:topLinePunct w:val="0"/>
              <w:autoSpaceDE/>
              <w:autoSpaceDN/>
              <w:bidi w:val="0"/>
              <w:adjustRightInd/>
              <w:spacing w:line="240" w:lineRule="auto"/>
              <w:ind w:right="0"/>
              <w:jc w:val="center"/>
              <w:textAlignment w:val="auto"/>
              <w:rPr>
                <w:rFonts w:hint="default" w:ascii="Times New Roman" w:hAnsi="Times New Roman" w:eastAsia="宋体" w:cs="Times New Roman"/>
                <w:b/>
                <w:bCs/>
                <w:color w:val="auto"/>
                <w:spacing w:val="0"/>
                <w:kern w:val="0"/>
                <w:position w:val="0"/>
                <w:sz w:val="21"/>
                <w:szCs w:val="21"/>
                <w:highlight w:val="none"/>
                <w:lang w:val="en-US" w:eastAsia="zh-CN" w:bidi="ar"/>
              </w:rPr>
            </w:pPr>
            <w:r>
              <w:rPr>
                <w:rFonts w:hint="default" w:ascii="Times New Roman" w:hAnsi="Times New Roman" w:eastAsia="宋体" w:cs="Times New Roman"/>
                <w:b/>
                <w:bCs/>
                <w:color w:val="auto"/>
                <w:spacing w:val="0"/>
                <w:kern w:val="0"/>
                <w:position w:val="0"/>
                <w:sz w:val="21"/>
                <w:szCs w:val="21"/>
                <w:highlight w:val="none"/>
                <w:lang w:val="en-US" w:eastAsia="zh-CN" w:bidi="ar"/>
              </w:rPr>
              <w:t>图</w:t>
            </w:r>
            <w:r>
              <w:rPr>
                <w:rFonts w:hint="default" w:ascii="Times New Roman" w:hAnsi="Times New Roman" w:cs="Times New Roman"/>
                <w:b/>
                <w:bCs/>
                <w:color w:val="auto"/>
                <w:spacing w:val="0"/>
                <w:kern w:val="0"/>
                <w:position w:val="0"/>
                <w:sz w:val="21"/>
                <w:szCs w:val="21"/>
                <w:highlight w:val="none"/>
                <w:lang w:val="en-US" w:eastAsia="zh-CN" w:bidi="ar"/>
              </w:rPr>
              <w:t>2</w:t>
            </w:r>
            <w:r>
              <w:rPr>
                <w:rFonts w:hint="default" w:ascii="Times New Roman" w:hAnsi="Times New Roman" w:eastAsia="宋体" w:cs="Times New Roman"/>
                <w:b/>
                <w:bCs/>
                <w:color w:val="auto"/>
                <w:spacing w:val="0"/>
                <w:kern w:val="0"/>
                <w:position w:val="0"/>
                <w:sz w:val="21"/>
                <w:szCs w:val="21"/>
                <w:highlight w:val="none"/>
                <w:lang w:val="en-US" w:eastAsia="zh-CN" w:bidi="ar"/>
              </w:rPr>
              <w:t xml:space="preserve">   </w:t>
            </w:r>
            <w:r>
              <w:rPr>
                <w:rFonts w:hint="default" w:ascii="Times New Roman" w:hAnsi="Times New Roman" w:cs="Times New Roman"/>
                <w:b/>
                <w:bCs/>
                <w:color w:val="auto"/>
                <w:spacing w:val="0"/>
                <w:kern w:val="0"/>
                <w:position w:val="0"/>
                <w:sz w:val="21"/>
                <w:szCs w:val="21"/>
                <w:highlight w:val="none"/>
                <w:lang w:val="en-US" w:eastAsia="zh-CN" w:bidi="ar"/>
              </w:rPr>
              <w:t>下</w:t>
            </w:r>
            <w:r>
              <w:rPr>
                <w:rFonts w:hint="default" w:ascii="Times New Roman" w:hAnsi="Times New Roman" w:eastAsia="宋体" w:cs="Times New Roman"/>
                <w:b/>
                <w:bCs/>
                <w:color w:val="auto"/>
                <w:spacing w:val="0"/>
                <w:kern w:val="0"/>
                <w:position w:val="0"/>
                <w:sz w:val="21"/>
                <w:szCs w:val="21"/>
                <w:highlight w:val="none"/>
                <w:lang w:val="en-US" w:eastAsia="zh-CN" w:bidi="ar"/>
              </w:rPr>
              <w:t>游段护岸标准横断面</w:t>
            </w:r>
            <w:r>
              <w:rPr>
                <w:rFonts w:hint="default" w:ascii="Times New Roman" w:hAnsi="Times New Roman" w:cs="Times New Roman"/>
                <w:b/>
                <w:bCs/>
                <w:color w:val="auto"/>
                <w:spacing w:val="0"/>
                <w:kern w:val="0"/>
                <w:position w:val="0"/>
                <w:sz w:val="21"/>
                <w:szCs w:val="21"/>
                <w:highlight w:val="none"/>
                <w:lang w:val="en-US" w:eastAsia="zh-CN" w:bidi="ar"/>
              </w:rPr>
              <w:t>施工示意</w:t>
            </w:r>
            <w:r>
              <w:rPr>
                <w:rFonts w:hint="default" w:ascii="Times New Roman" w:hAnsi="Times New Roman" w:eastAsia="宋体" w:cs="Times New Roman"/>
                <w:b/>
                <w:bCs/>
                <w:color w:val="auto"/>
                <w:spacing w:val="0"/>
                <w:kern w:val="0"/>
                <w:position w:val="0"/>
                <w:sz w:val="21"/>
                <w:szCs w:val="21"/>
                <w:highlight w:val="none"/>
                <w:lang w:val="en-US" w:eastAsia="zh-CN" w:bidi="ar"/>
              </w:rPr>
              <w:t>图</w:t>
            </w:r>
          </w:p>
          <w:p w14:paraId="34AC4F9F">
            <w:pPr>
              <w:keepNext w:val="0"/>
              <w:keepLines w:val="0"/>
              <w:widowControl/>
              <w:suppressLineNumbers w:val="0"/>
              <w:shd w:val="clear"/>
              <w:spacing w:line="360" w:lineRule="auto"/>
              <w:jc w:val="left"/>
              <w:rPr>
                <w:rFonts w:hint="default" w:ascii="Times New Roman" w:hAnsi="Times New Roman" w:eastAsia="宋体" w:cs="Times New Roman"/>
                <w:color w:val="auto"/>
                <w:spacing w:val="0"/>
                <w:position w:val="0"/>
                <w:highlight w:val="none"/>
              </w:rPr>
            </w:pPr>
            <w:r>
              <w:rPr>
                <w:rFonts w:hint="default" w:ascii="Times New Roman" w:hAnsi="Times New Roman" w:eastAsia="宋体" w:cs="Times New Roman"/>
                <w:b/>
                <w:bCs/>
                <w:color w:val="auto"/>
                <w:spacing w:val="0"/>
                <w:kern w:val="0"/>
                <w:position w:val="0"/>
                <w:sz w:val="24"/>
                <w:szCs w:val="24"/>
                <w:highlight w:val="none"/>
                <w:lang w:val="en-US" w:eastAsia="zh-CN" w:bidi="ar"/>
              </w:rPr>
              <w:t>5.施工条件</w:t>
            </w:r>
          </w:p>
          <w:p w14:paraId="0A64D697">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color w:val="auto"/>
                <w:spacing w:val="0"/>
                <w:w w:val="100"/>
                <w:kern w:val="0"/>
                <w:position w:val="0"/>
                <w:sz w:val="24"/>
                <w:szCs w:val="24"/>
                <w:highlight w:val="none"/>
                <w:lang w:val="en-US" w:eastAsia="zh-CN"/>
              </w:rPr>
            </w:pPr>
            <w:r>
              <w:rPr>
                <w:rFonts w:hint="default" w:ascii="Times New Roman" w:hAnsi="Times New Roman" w:eastAsia="宋体" w:cs="Times New Roman"/>
                <w:color w:val="auto"/>
                <w:spacing w:val="0"/>
                <w:w w:val="100"/>
                <w:kern w:val="0"/>
                <w:position w:val="0"/>
                <w:sz w:val="24"/>
                <w:szCs w:val="24"/>
                <w:highlight w:val="none"/>
                <w:lang w:val="en-US" w:eastAsia="zh-CN"/>
              </w:rPr>
              <w:t>（1）交通条件</w:t>
            </w:r>
          </w:p>
          <w:p w14:paraId="0723285C">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color w:val="auto"/>
                <w:spacing w:val="0"/>
                <w:w w:val="100"/>
                <w:kern w:val="0"/>
                <w:position w:val="0"/>
                <w:sz w:val="24"/>
                <w:szCs w:val="24"/>
                <w:highlight w:val="none"/>
                <w:lang w:val="en-US" w:eastAsia="zh-CN"/>
              </w:rPr>
            </w:pPr>
            <w:r>
              <w:rPr>
                <w:rFonts w:hint="default" w:ascii="Times New Roman" w:hAnsi="Times New Roman" w:eastAsia="宋体" w:cs="Times New Roman"/>
                <w:color w:val="auto"/>
                <w:spacing w:val="0"/>
                <w:w w:val="100"/>
                <w:kern w:val="0"/>
                <w:position w:val="0"/>
                <w:sz w:val="24"/>
                <w:szCs w:val="24"/>
                <w:highlight w:val="none"/>
                <w:lang w:val="en-US" w:eastAsia="zh-CN"/>
              </w:rPr>
              <w:t>项目区有乡村及村间公路穿过，通往工程区有省道</w:t>
            </w:r>
            <w:r>
              <w:rPr>
                <w:rFonts w:hint="default" w:ascii="Times New Roman" w:hAnsi="Times New Roman" w:eastAsia="宋体" w:cs="Times New Roman"/>
                <w:color w:val="auto"/>
                <w:spacing w:val="0"/>
                <w:sz w:val="24"/>
                <w:szCs w:val="24"/>
                <w:highlight w:val="none"/>
              </w:rPr>
              <w:t>G312</w:t>
            </w:r>
            <w:r>
              <w:rPr>
                <w:rFonts w:hint="default" w:ascii="Times New Roman" w:hAnsi="Times New Roman" w:eastAsia="宋体" w:cs="Times New Roman"/>
                <w:color w:val="auto"/>
                <w:spacing w:val="0"/>
                <w:w w:val="100"/>
                <w:kern w:val="0"/>
                <w:position w:val="0"/>
                <w:sz w:val="24"/>
                <w:szCs w:val="24"/>
                <w:highlight w:val="none"/>
                <w:lang w:val="en-US" w:eastAsia="zh-CN"/>
              </w:rPr>
              <w:t>和</w:t>
            </w:r>
            <w:r>
              <w:rPr>
                <w:rFonts w:hint="default" w:ascii="Times New Roman" w:hAnsi="Times New Roman" w:cs="Times New Roman"/>
                <w:color w:val="auto"/>
                <w:spacing w:val="0"/>
                <w:w w:val="100"/>
                <w:kern w:val="0"/>
                <w:position w:val="0"/>
                <w:sz w:val="24"/>
                <w:szCs w:val="24"/>
                <w:highlight w:val="none"/>
                <w:lang w:val="en-US" w:eastAsia="zh-CN"/>
              </w:rPr>
              <w:t>连霍高速</w:t>
            </w:r>
            <w:r>
              <w:rPr>
                <w:rFonts w:hint="default" w:ascii="Times New Roman" w:hAnsi="Times New Roman" w:eastAsia="宋体" w:cs="Times New Roman"/>
                <w:color w:val="auto"/>
                <w:spacing w:val="0"/>
                <w:w w:val="100"/>
                <w:kern w:val="0"/>
                <w:position w:val="0"/>
                <w:sz w:val="24"/>
                <w:szCs w:val="24"/>
                <w:highlight w:val="none"/>
                <w:lang w:val="en-US" w:eastAsia="zh-CN"/>
              </w:rPr>
              <w:t>，交通、通讯条件十分便利，均为沥青道路，项目区均有公路通达，工程所需的材料均能方便快捷地运到场地。</w:t>
            </w:r>
          </w:p>
          <w:p w14:paraId="49E9A159">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color w:val="auto"/>
                <w:spacing w:val="0"/>
                <w:w w:val="100"/>
                <w:kern w:val="0"/>
                <w:position w:val="0"/>
                <w:sz w:val="24"/>
                <w:szCs w:val="24"/>
                <w:highlight w:val="none"/>
                <w:lang w:val="en-US" w:eastAsia="zh-CN"/>
              </w:rPr>
            </w:pPr>
            <w:r>
              <w:rPr>
                <w:rFonts w:hint="default" w:ascii="Times New Roman" w:hAnsi="Times New Roman" w:eastAsia="宋体" w:cs="Times New Roman"/>
                <w:color w:val="auto"/>
                <w:spacing w:val="0"/>
                <w:w w:val="100"/>
                <w:kern w:val="0"/>
                <w:position w:val="0"/>
                <w:sz w:val="24"/>
                <w:szCs w:val="24"/>
                <w:highlight w:val="none"/>
                <w:lang w:val="en-US" w:eastAsia="zh-CN"/>
              </w:rPr>
              <w:t>（2）施工场地条件</w:t>
            </w:r>
          </w:p>
          <w:p w14:paraId="66F73463">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color w:val="auto"/>
                <w:spacing w:val="0"/>
                <w:w w:val="100"/>
                <w:kern w:val="0"/>
                <w:position w:val="0"/>
                <w:sz w:val="24"/>
                <w:szCs w:val="24"/>
                <w:highlight w:val="none"/>
                <w:lang w:val="en-US" w:eastAsia="zh-CN"/>
              </w:rPr>
            </w:pPr>
            <w:r>
              <w:rPr>
                <w:rFonts w:hint="default" w:ascii="Times New Roman" w:hAnsi="Times New Roman" w:eastAsia="宋体" w:cs="Times New Roman"/>
                <w:color w:val="auto"/>
                <w:spacing w:val="0"/>
                <w:w w:val="100"/>
                <w:kern w:val="0"/>
                <w:position w:val="0"/>
                <w:sz w:val="24"/>
                <w:szCs w:val="24"/>
                <w:highlight w:val="none"/>
                <w:lang w:val="en-US" w:eastAsia="zh-CN"/>
              </w:rPr>
              <w:t>主要为简易房屋、仓库，工棚，移动式水箱、柴油发电机组组成，全线施工拟布置1处移动式施工临时生产设施，随施工进度而移动。施工单位依次移动施工，也不再另设施工点。施工弃渣区规划在工程占地内的河床上，弃碴场位置以不影响生态环境为原则，严禁在工程管理区以内堆放弃渣。工程弃渣主要为表层清基料，弃料共计</w:t>
            </w:r>
            <w:r>
              <w:rPr>
                <w:rFonts w:hint="eastAsia" w:cs="Times New Roman"/>
                <w:color w:val="auto"/>
                <w:spacing w:val="0"/>
                <w:w w:val="100"/>
                <w:kern w:val="0"/>
                <w:position w:val="0"/>
                <w:sz w:val="24"/>
                <w:szCs w:val="24"/>
                <w:highlight w:val="none"/>
                <w:lang w:val="en-US" w:eastAsia="zh-CN"/>
              </w:rPr>
              <w:t>32.5</w:t>
            </w:r>
            <w:r>
              <w:rPr>
                <w:rFonts w:hint="default" w:ascii="Times New Roman" w:hAnsi="Times New Roman" w:eastAsia="宋体" w:cs="Times New Roman"/>
                <w:color w:val="auto"/>
                <w:spacing w:val="0"/>
                <w:w w:val="100"/>
                <w:kern w:val="0"/>
                <w:position w:val="0"/>
                <w:sz w:val="24"/>
                <w:szCs w:val="24"/>
                <w:highlight w:val="none"/>
                <w:lang w:val="en-US" w:eastAsia="zh-CN"/>
              </w:rPr>
              <w:t>万m</w:t>
            </w:r>
            <w:r>
              <w:rPr>
                <w:rFonts w:hint="default" w:ascii="Times New Roman" w:hAnsi="Times New Roman" w:eastAsia="宋体" w:cs="Times New Roman"/>
                <w:color w:val="auto"/>
                <w:spacing w:val="0"/>
                <w:w w:val="100"/>
                <w:kern w:val="0"/>
                <w:position w:val="0"/>
                <w:sz w:val="24"/>
                <w:szCs w:val="24"/>
                <w:highlight w:val="none"/>
                <w:vertAlign w:val="superscript"/>
                <w:lang w:val="en-US" w:eastAsia="zh-CN"/>
              </w:rPr>
              <w:t>3</w:t>
            </w:r>
            <w:r>
              <w:rPr>
                <w:rFonts w:hint="default" w:ascii="Times New Roman" w:hAnsi="Times New Roman" w:eastAsia="宋体" w:cs="Times New Roman"/>
                <w:color w:val="auto"/>
                <w:spacing w:val="0"/>
                <w:w w:val="100"/>
                <w:kern w:val="0"/>
                <w:position w:val="0"/>
                <w:sz w:val="24"/>
                <w:szCs w:val="24"/>
                <w:highlight w:val="none"/>
                <w:lang w:val="en-US" w:eastAsia="zh-CN"/>
              </w:rPr>
              <w:t>，施工结束后堆放在护岸背水面，平均拉运运距为50m，堆高2m，堆放面积</w:t>
            </w:r>
            <w:r>
              <w:rPr>
                <w:rFonts w:hint="default" w:ascii="Times New Roman" w:hAnsi="Times New Roman" w:eastAsia="宋体" w:cs="Times New Roman"/>
                <w:color w:val="auto"/>
                <w:spacing w:val="0"/>
                <w:w w:val="100"/>
                <w:kern w:val="21"/>
                <w:position w:val="0"/>
                <w:sz w:val="24"/>
                <w:szCs w:val="24"/>
                <w:highlight w:val="none"/>
                <w:lang w:val="en-US" w:eastAsia="zh-CN" w:bidi="ar-SA"/>
              </w:rPr>
              <w:t>3.21hm²</w:t>
            </w:r>
            <w:r>
              <w:rPr>
                <w:rFonts w:hint="default" w:ascii="Times New Roman" w:hAnsi="Times New Roman" w:eastAsia="宋体" w:cs="Times New Roman"/>
                <w:color w:val="auto"/>
                <w:spacing w:val="0"/>
                <w:w w:val="100"/>
                <w:kern w:val="0"/>
                <w:position w:val="0"/>
                <w:sz w:val="24"/>
                <w:szCs w:val="24"/>
                <w:highlight w:val="none"/>
                <w:lang w:val="en-US" w:eastAsia="zh-CN"/>
              </w:rPr>
              <w:t>。</w:t>
            </w:r>
          </w:p>
          <w:p w14:paraId="72098D91">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color w:val="auto"/>
                <w:spacing w:val="0"/>
                <w:w w:val="100"/>
                <w:kern w:val="0"/>
                <w:position w:val="0"/>
                <w:sz w:val="24"/>
                <w:szCs w:val="24"/>
                <w:highlight w:val="none"/>
                <w:lang w:val="en-US" w:eastAsia="zh-CN"/>
              </w:rPr>
            </w:pPr>
            <w:r>
              <w:rPr>
                <w:rFonts w:hint="default" w:ascii="Times New Roman" w:hAnsi="Times New Roman" w:eastAsia="宋体" w:cs="Times New Roman"/>
                <w:color w:val="auto"/>
                <w:spacing w:val="0"/>
                <w:w w:val="100"/>
                <w:kern w:val="0"/>
                <w:position w:val="0"/>
                <w:sz w:val="24"/>
                <w:szCs w:val="24"/>
                <w:highlight w:val="none"/>
                <w:lang w:val="en-US" w:eastAsia="zh-CN"/>
              </w:rPr>
              <w:t>（3）供</w:t>
            </w:r>
            <w:r>
              <w:rPr>
                <w:rFonts w:hint="default" w:ascii="Times New Roman" w:hAnsi="Times New Roman" w:eastAsia="宋体" w:cs="Times New Roman"/>
                <w:color w:val="auto"/>
                <w:spacing w:val="0"/>
                <w:kern w:val="0"/>
                <w:position w:val="0"/>
                <w:sz w:val="24"/>
                <w:szCs w:val="24"/>
                <w:highlight w:val="none"/>
                <w:lang w:val="en-US" w:eastAsia="zh-CN" w:bidi="ar"/>
              </w:rPr>
              <w:t>水、供电条件</w:t>
            </w:r>
          </w:p>
          <w:p w14:paraId="057576A7">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color w:val="auto"/>
                <w:spacing w:val="0"/>
                <w:w w:val="100"/>
                <w:kern w:val="0"/>
                <w:position w:val="0"/>
                <w:sz w:val="24"/>
                <w:szCs w:val="24"/>
                <w:highlight w:val="none"/>
                <w:lang w:val="en-US" w:eastAsia="zh-CN"/>
              </w:rPr>
            </w:pPr>
            <w:r>
              <w:rPr>
                <w:rFonts w:hint="default" w:ascii="Times New Roman" w:hAnsi="Times New Roman" w:eastAsia="宋体" w:cs="Times New Roman"/>
                <w:color w:val="auto"/>
                <w:spacing w:val="0"/>
                <w:w w:val="100"/>
                <w:kern w:val="0"/>
                <w:position w:val="0"/>
                <w:sz w:val="24"/>
                <w:szCs w:val="24"/>
                <w:highlight w:val="none"/>
                <w:lang w:val="en-US" w:eastAsia="zh-CN"/>
              </w:rPr>
              <w:t>①供电</w:t>
            </w:r>
          </w:p>
          <w:p w14:paraId="14BA2010">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color w:val="auto"/>
                <w:spacing w:val="0"/>
                <w:w w:val="100"/>
                <w:kern w:val="0"/>
                <w:position w:val="0"/>
                <w:sz w:val="24"/>
                <w:szCs w:val="24"/>
                <w:highlight w:val="none"/>
                <w:lang w:val="en-US" w:eastAsia="zh-CN"/>
              </w:rPr>
            </w:pPr>
            <w:r>
              <w:rPr>
                <w:rFonts w:hint="default" w:ascii="Times New Roman" w:hAnsi="Times New Roman" w:eastAsia="宋体" w:cs="Times New Roman"/>
                <w:color w:val="auto"/>
                <w:spacing w:val="0"/>
                <w:w w:val="100"/>
                <w:kern w:val="0"/>
                <w:position w:val="0"/>
                <w:sz w:val="24"/>
                <w:szCs w:val="24"/>
                <w:highlight w:val="none"/>
                <w:lang w:val="en-US" w:eastAsia="zh-CN"/>
              </w:rPr>
              <w:t>项目区所有建设工程均在电网覆盖范围内，可就近引接，工程区的临时用电可采用自备发电机供电，所以项目电力供应有保证。</w:t>
            </w:r>
          </w:p>
          <w:p w14:paraId="52464C3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color w:val="auto"/>
                <w:spacing w:val="0"/>
                <w:w w:val="100"/>
                <w:kern w:val="0"/>
                <w:position w:val="0"/>
                <w:sz w:val="24"/>
                <w:szCs w:val="24"/>
                <w:highlight w:val="none"/>
                <w:lang w:val="en-US" w:eastAsia="zh-CN"/>
              </w:rPr>
            </w:pPr>
            <w:r>
              <w:rPr>
                <w:rFonts w:hint="default" w:ascii="Times New Roman" w:hAnsi="Times New Roman" w:eastAsia="宋体" w:cs="Times New Roman"/>
                <w:color w:val="auto"/>
                <w:spacing w:val="0"/>
                <w:w w:val="100"/>
                <w:kern w:val="0"/>
                <w:position w:val="0"/>
                <w:sz w:val="24"/>
                <w:szCs w:val="24"/>
                <w:highlight w:val="none"/>
                <w:lang w:val="en-US" w:eastAsia="zh-CN"/>
              </w:rPr>
              <w:t>②供水</w:t>
            </w:r>
          </w:p>
          <w:p w14:paraId="7BD4F02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color w:val="auto"/>
                <w:spacing w:val="0"/>
                <w:w w:val="100"/>
                <w:kern w:val="0"/>
                <w:position w:val="0"/>
                <w:sz w:val="24"/>
                <w:szCs w:val="24"/>
                <w:highlight w:val="none"/>
                <w:lang w:val="en-US" w:eastAsia="zh-CN"/>
              </w:rPr>
            </w:pPr>
            <w:r>
              <w:rPr>
                <w:rFonts w:hint="default" w:ascii="Times New Roman" w:hAnsi="Times New Roman" w:eastAsia="宋体" w:cs="Times New Roman"/>
                <w:color w:val="auto"/>
                <w:spacing w:val="0"/>
                <w:w w:val="100"/>
                <w:kern w:val="0"/>
                <w:position w:val="0"/>
                <w:sz w:val="24"/>
                <w:szCs w:val="24"/>
                <w:highlight w:val="none"/>
                <w:lang w:val="en-US" w:eastAsia="zh-CN"/>
              </w:rPr>
              <w:t>小流域内各村镇均有自来水，可作为施工期生活用水水源；可作为施工用水水源。</w:t>
            </w:r>
          </w:p>
          <w:p w14:paraId="57D32328">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60" w:lineRule="auto"/>
              <w:ind w:right="0" w:rightChars="0"/>
              <w:jc w:val="left"/>
              <w:textAlignment w:val="auto"/>
              <w:rPr>
                <w:rFonts w:hint="default" w:ascii="Times New Roman" w:hAnsi="Times New Roman" w:eastAsia="宋体" w:cs="Times New Roman"/>
                <w:b/>
                <w:bCs/>
                <w:color w:val="auto"/>
                <w:spacing w:val="0"/>
                <w:w w:val="100"/>
                <w:kern w:val="0"/>
                <w:position w:val="0"/>
                <w:sz w:val="24"/>
                <w:szCs w:val="24"/>
                <w:highlight w:val="none"/>
                <w:lang w:val="en-US" w:eastAsia="zh-CN"/>
              </w:rPr>
            </w:pPr>
            <w:r>
              <w:rPr>
                <w:rFonts w:hint="default" w:ascii="Times New Roman" w:hAnsi="Times New Roman" w:eastAsia="宋体" w:cs="Times New Roman"/>
                <w:b/>
                <w:bCs/>
                <w:color w:val="auto"/>
                <w:spacing w:val="0"/>
                <w:w w:val="100"/>
                <w:kern w:val="0"/>
                <w:position w:val="0"/>
                <w:sz w:val="24"/>
                <w:szCs w:val="24"/>
                <w:highlight w:val="none"/>
                <w:lang w:val="en-US" w:eastAsia="zh-CN"/>
              </w:rPr>
              <w:t>6.施工期土石方</w:t>
            </w:r>
          </w:p>
          <w:p w14:paraId="2B803AE9">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w w:val="100"/>
                <w:kern w:val="0"/>
                <w:position w:val="0"/>
                <w:sz w:val="24"/>
                <w:szCs w:val="24"/>
                <w:highlight w:val="none"/>
                <w:lang w:val="en-US" w:eastAsia="zh-CN"/>
              </w:rPr>
              <w:t>工程河道清理时会产生弃土、石渣，通过计算，主体建设工程土石方开挖量</w:t>
            </w:r>
            <w:r>
              <w:rPr>
                <w:rFonts w:hint="default" w:ascii="Times New Roman" w:hAnsi="Times New Roman" w:eastAsia="宋体" w:cs="Times New Roman"/>
                <w:color w:val="auto"/>
                <w:spacing w:val="0"/>
                <w:w w:val="100"/>
                <w:kern w:val="0"/>
                <w:position w:val="0"/>
                <w:sz w:val="24"/>
                <w:szCs w:val="24"/>
                <w:highlight w:val="none"/>
                <w:lang w:val="en-US" w:eastAsia="zh-CN"/>
              </w:rPr>
              <w:fldChar w:fldCharType="begin"/>
            </w:r>
            <w:r>
              <w:rPr>
                <w:rFonts w:hint="default" w:ascii="Times New Roman" w:hAnsi="Times New Roman" w:eastAsia="宋体" w:cs="Times New Roman"/>
                <w:color w:val="auto"/>
                <w:spacing w:val="0"/>
                <w:w w:val="100"/>
                <w:kern w:val="0"/>
                <w:position w:val="0"/>
                <w:sz w:val="24"/>
                <w:szCs w:val="24"/>
                <w:highlight w:val="none"/>
                <w:lang w:val="en-US" w:eastAsia="zh-CN"/>
              </w:rPr>
              <w:instrText xml:space="preserve"> = sum(C4:C6) \* MERGEFORMAT </w:instrText>
            </w:r>
            <w:r>
              <w:rPr>
                <w:rFonts w:hint="default" w:ascii="Times New Roman" w:hAnsi="Times New Roman" w:eastAsia="宋体" w:cs="Times New Roman"/>
                <w:color w:val="auto"/>
                <w:spacing w:val="0"/>
                <w:w w:val="100"/>
                <w:kern w:val="0"/>
                <w:position w:val="0"/>
                <w:sz w:val="24"/>
                <w:szCs w:val="24"/>
                <w:highlight w:val="none"/>
                <w:lang w:val="en-US" w:eastAsia="zh-CN"/>
              </w:rPr>
              <w:fldChar w:fldCharType="separate"/>
            </w:r>
            <w:r>
              <w:rPr>
                <w:rFonts w:hint="default" w:ascii="Times New Roman" w:hAnsi="Times New Roman" w:eastAsia="宋体" w:cs="Times New Roman"/>
                <w:color w:val="auto"/>
                <w:spacing w:val="0"/>
                <w:w w:val="100"/>
                <w:kern w:val="0"/>
                <w:position w:val="0"/>
                <w:sz w:val="24"/>
                <w:szCs w:val="24"/>
                <w:highlight w:val="none"/>
                <w:lang w:val="en-US" w:eastAsia="zh-CN"/>
              </w:rPr>
              <w:t>51.2万</w:t>
            </w:r>
            <w:r>
              <w:rPr>
                <w:rFonts w:hint="default" w:ascii="Times New Roman" w:hAnsi="Times New Roman" w:eastAsia="宋体" w:cs="Times New Roman"/>
                <w:color w:val="auto"/>
                <w:spacing w:val="0"/>
                <w:w w:val="100"/>
                <w:kern w:val="0"/>
                <w:position w:val="0"/>
                <w:sz w:val="24"/>
                <w:szCs w:val="24"/>
                <w:highlight w:val="none"/>
                <w:lang w:val="en-US" w:eastAsia="zh-CN"/>
              </w:rPr>
              <w:fldChar w:fldCharType="end"/>
            </w:r>
            <w:r>
              <w:rPr>
                <w:rFonts w:hint="default" w:ascii="Times New Roman" w:hAnsi="Times New Roman" w:eastAsia="宋体" w:cs="Times New Roman"/>
                <w:color w:val="auto"/>
                <w:spacing w:val="0"/>
                <w:w w:val="100"/>
                <w:kern w:val="0"/>
                <w:position w:val="0"/>
                <w:sz w:val="24"/>
                <w:szCs w:val="24"/>
                <w:highlight w:val="none"/>
                <w:lang w:val="en-US" w:eastAsia="zh-CN"/>
              </w:rPr>
              <w:t>m</w:t>
            </w:r>
            <w:r>
              <w:rPr>
                <w:rFonts w:hint="default" w:ascii="Times New Roman" w:hAnsi="Times New Roman" w:eastAsia="宋体" w:cs="Times New Roman"/>
                <w:color w:val="auto"/>
                <w:spacing w:val="0"/>
                <w:w w:val="100"/>
                <w:kern w:val="0"/>
                <w:position w:val="0"/>
                <w:sz w:val="24"/>
                <w:szCs w:val="24"/>
                <w:highlight w:val="none"/>
                <w:vertAlign w:val="superscript"/>
                <w:lang w:val="en-US" w:eastAsia="zh-CN"/>
              </w:rPr>
              <w:t>3</w:t>
            </w:r>
            <w:r>
              <w:rPr>
                <w:rFonts w:hint="default" w:ascii="Times New Roman" w:hAnsi="Times New Roman" w:eastAsia="宋体" w:cs="Times New Roman"/>
                <w:color w:val="auto"/>
                <w:spacing w:val="0"/>
                <w:w w:val="100"/>
                <w:kern w:val="0"/>
                <w:position w:val="0"/>
                <w:sz w:val="24"/>
                <w:szCs w:val="24"/>
                <w:highlight w:val="none"/>
                <w:lang w:val="en-US" w:eastAsia="zh-CN"/>
              </w:rPr>
              <w:t>，回填土方</w:t>
            </w:r>
            <w:r>
              <w:rPr>
                <w:rFonts w:hint="default" w:ascii="Times New Roman" w:hAnsi="Times New Roman" w:eastAsia="宋体" w:cs="Times New Roman"/>
                <w:color w:val="auto"/>
                <w:spacing w:val="0"/>
                <w:w w:val="100"/>
                <w:kern w:val="0"/>
                <w:position w:val="0"/>
                <w:sz w:val="24"/>
                <w:szCs w:val="24"/>
                <w:highlight w:val="none"/>
                <w:lang w:val="en-US" w:eastAsia="zh-CN"/>
              </w:rPr>
              <w:fldChar w:fldCharType="begin"/>
            </w:r>
            <w:r>
              <w:rPr>
                <w:rFonts w:hint="default" w:ascii="Times New Roman" w:hAnsi="Times New Roman" w:eastAsia="宋体" w:cs="Times New Roman"/>
                <w:color w:val="auto"/>
                <w:spacing w:val="0"/>
                <w:w w:val="100"/>
                <w:kern w:val="0"/>
                <w:position w:val="0"/>
                <w:sz w:val="24"/>
                <w:szCs w:val="24"/>
                <w:highlight w:val="none"/>
                <w:lang w:val="en-US" w:eastAsia="zh-CN"/>
              </w:rPr>
              <w:instrText xml:space="preserve"> = sum(C3:E3) \* MERGEFORMAT </w:instrText>
            </w:r>
            <w:r>
              <w:rPr>
                <w:rFonts w:hint="default" w:ascii="Times New Roman" w:hAnsi="Times New Roman" w:eastAsia="宋体" w:cs="Times New Roman"/>
                <w:color w:val="auto"/>
                <w:spacing w:val="0"/>
                <w:w w:val="100"/>
                <w:kern w:val="0"/>
                <w:position w:val="0"/>
                <w:sz w:val="24"/>
                <w:szCs w:val="24"/>
                <w:highlight w:val="none"/>
                <w:lang w:val="en-US" w:eastAsia="zh-CN"/>
              </w:rPr>
              <w:fldChar w:fldCharType="separate"/>
            </w:r>
            <w:r>
              <w:rPr>
                <w:rFonts w:hint="default" w:ascii="Times New Roman" w:hAnsi="Times New Roman" w:eastAsia="宋体" w:cs="Times New Roman"/>
                <w:color w:val="auto"/>
                <w:spacing w:val="0"/>
                <w:w w:val="100"/>
                <w:kern w:val="0"/>
                <w:position w:val="0"/>
                <w:sz w:val="24"/>
                <w:szCs w:val="24"/>
                <w:highlight w:val="none"/>
                <w:lang w:val="en-US" w:eastAsia="zh-CN"/>
              </w:rPr>
              <w:t>18.7万</w:t>
            </w:r>
            <w:r>
              <w:rPr>
                <w:rFonts w:hint="default" w:ascii="Times New Roman" w:hAnsi="Times New Roman" w:eastAsia="宋体" w:cs="Times New Roman"/>
                <w:color w:val="auto"/>
                <w:spacing w:val="0"/>
                <w:w w:val="100"/>
                <w:kern w:val="0"/>
                <w:position w:val="0"/>
                <w:sz w:val="24"/>
                <w:szCs w:val="24"/>
                <w:highlight w:val="none"/>
                <w:lang w:val="en-US" w:eastAsia="zh-CN"/>
              </w:rPr>
              <w:fldChar w:fldCharType="end"/>
            </w:r>
            <w:r>
              <w:rPr>
                <w:rFonts w:hint="default" w:ascii="Times New Roman" w:hAnsi="Times New Roman" w:eastAsia="宋体" w:cs="Times New Roman"/>
                <w:color w:val="auto"/>
                <w:spacing w:val="0"/>
                <w:w w:val="100"/>
                <w:kern w:val="0"/>
                <w:position w:val="0"/>
                <w:sz w:val="24"/>
                <w:szCs w:val="24"/>
                <w:highlight w:val="none"/>
                <w:lang w:val="en-US" w:eastAsia="zh-CN"/>
              </w:rPr>
              <w:t>m</w:t>
            </w:r>
            <w:r>
              <w:rPr>
                <w:rFonts w:hint="default" w:ascii="Times New Roman" w:hAnsi="Times New Roman" w:eastAsia="宋体" w:cs="Times New Roman"/>
                <w:color w:val="auto"/>
                <w:spacing w:val="0"/>
                <w:w w:val="100"/>
                <w:kern w:val="0"/>
                <w:position w:val="0"/>
                <w:sz w:val="24"/>
                <w:szCs w:val="24"/>
                <w:highlight w:val="none"/>
                <w:vertAlign w:val="superscript"/>
                <w:lang w:val="en-US" w:eastAsia="zh-CN"/>
              </w:rPr>
              <w:t>3</w:t>
            </w:r>
            <w:r>
              <w:rPr>
                <w:rFonts w:hint="default" w:ascii="Times New Roman" w:hAnsi="Times New Roman" w:eastAsia="宋体" w:cs="Times New Roman"/>
                <w:color w:val="auto"/>
                <w:spacing w:val="0"/>
                <w:w w:val="100"/>
                <w:kern w:val="0"/>
                <w:position w:val="0"/>
                <w:sz w:val="24"/>
                <w:szCs w:val="24"/>
                <w:highlight w:val="none"/>
                <w:lang w:val="en-US" w:eastAsia="zh-CN"/>
              </w:rPr>
              <w:t>，最后产生弃渣</w:t>
            </w:r>
            <w:r>
              <w:rPr>
                <w:rFonts w:hint="eastAsia" w:cs="Times New Roman"/>
                <w:color w:val="auto"/>
                <w:spacing w:val="0"/>
                <w:w w:val="100"/>
                <w:kern w:val="0"/>
                <w:position w:val="0"/>
                <w:sz w:val="24"/>
                <w:szCs w:val="24"/>
                <w:highlight w:val="none"/>
                <w:lang w:val="en-US" w:eastAsia="zh-CN"/>
              </w:rPr>
              <w:t>32.5</w:t>
            </w:r>
            <w:r>
              <w:rPr>
                <w:rFonts w:hint="default" w:ascii="Times New Roman" w:hAnsi="Times New Roman" w:eastAsia="宋体" w:cs="Times New Roman"/>
                <w:color w:val="auto"/>
                <w:spacing w:val="0"/>
                <w:w w:val="100"/>
                <w:kern w:val="0"/>
                <w:position w:val="0"/>
                <w:sz w:val="24"/>
                <w:szCs w:val="24"/>
                <w:highlight w:val="none"/>
                <w:lang w:val="en-US" w:eastAsia="zh-CN"/>
              </w:rPr>
              <w:t>万m</w:t>
            </w:r>
            <w:r>
              <w:rPr>
                <w:rFonts w:hint="default" w:ascii="Times New Roman" w:hAnsi="Times New Roman" w:eastAsia="宋体" w:cs="Times New Roman"/>
                <w:color w:val="auto"/>
                <w:spacing w:val="0"/>
                <w:w w:val="100"/>
                <w:kern w:val="0"/>
                <w:position w:val="0"/>
                <w:sz w:val="24"/>
                <w:szCs w:val="24"/>
                <w:highlight w:val="none"/>
                <w:vertAlign w:val="superscript"/>
                <w:lang w:val="en-US" w:eastAsia="zh-CN"/>
              </w:rPr>
              <w:t>3</w:t>
            </w:r>
            <w:r>
              <w:rPr>
                <w:rFonts w:hint="default" w:ascii="Times New Roman" w:hAnsi="Times New Roman" w:eastAsia="宋体" w:cs="Times New Roman"/>
                <w:color w:val="auto"/>
                <w:spacing w:val="0"/>
                <w:w w:val="100"/>
                <w:kern w:val="0"/>
                <w:position w:val="0"/>
                <w:sz w:val="24"/>
                <w:szCs w:val="24"/>
                <w:highlight w:val="none"/>
                <w:lang w:val="en-US" w:eastAsia="zh-CN"/>
              </w:rPr>
              <w:t>，开挖后进行本项目的建设，并将多余土石方进行上游段边坡凹陷区及河流侵蚀岸，以加固河流侵蚀岸护坡，直至将裁弯取直区域填平。之后再将库尔阿根河道内夯实，防止水土流失，恢复平整后剩余弃方约</w:t>
            </w:r>
            <w:r>
              <w:rPr>
                <w:rFonts w:hint="eastAsia" w:cs="Times New Roman"/>
                <w:color w:val="auto"/>
                <w:spacing w:val="0"/>
                <w:w w:val="100"/>
                <w:kern w:val="0"/>
                <w:position w:val="0"/>
                <w:sz w:val="24"/>
                <w:szCs w:val="24"/>
                <w:highlight w:val="none"/>
                <w:lang w:val="en-US" w:eastAsia="zh-CN"/>
              </w:rPr>
              <w:t>32.5</w:t>
            </w:r>
            <w:r>
              <w:rPr>
                <w:rFonts w:hint="default" w:ascii="Times New Roman" w:hAnsi="Times New Roman" w:eastAsia="宋体" w:cs="Times New Roman"/>
                <w:color w:val="auto"/>
                <w:spacing w:val="0"/>
                <w:w w:val="100"/>
                <w:kern w:val="0"/>
                <w:position w:val="0"/>
                <w:sz w:val="24"/>
                <w:szCs w:val="24"/>
                <w:highlight w:val="none"/>
                <w:lang w:val="en-US" w:eastAsia="zh-CN"/>
              </w:rPr>
              <w:t>万m</w:t>
            </w:r>
            <w:r>
              <w:rPr>
                <w:rFonts w:hint="default" w:ascii="Times New Roman" w:hAnsi="Times New Roman" w:eastAsia="宋体" w:cs="Times New Roman"/>
                <w:color w:val="auto"/>
                <w:spacing w:val="0"/>
                <w:w w:val="100"/>
                <w:kern w:val="0"/>
                <w:position w:val="0"/>
                <w:sz w:val="24"/>
                <w:szCs w:val="24"/>
                <w:highlight w:val="none"/>
                <w:vertAlign w:val="superscript"/>
                <w:lang w:val="en-US" w:eastAsia="zh-CN"/>
              </w:rPr>
              <w:t>3</w:t>
            </w:r>
            <w:r>
              <w:rPr>
                <w:rFonts w:hint="default" w:ascii="Times New Roman" w:hAnsi="Times New Roman" w:eastAsia="宋体" w:cs="Times New Roman"/>
                <w:color w:val="auto"/>
                <w:spacing w:val="0"/>
                <w:w w:val="100"/>
                <w:kern w:val="0"/>
                <w:position w:val="0"/>
                <w:sz w:val="24"/>
                <w:szCs w:val="24"/>
                <w:highlight w:val="none"/>
                <w:lang w:val="en-US" w:eastAsia="zh-CN"/>
              </w:rPr>
              <w:t>，填埋后仍有余量的土方在工程结束后用于坝后填土来加宽堤顶，以稳固堤身，同时弃渣堆放在堤防后裁弯取直区域。工程土石方平</w:t>
            </w:r>
            <w:r>
              <w:rPr>
                <w:rFonts w:hint="default" w:ascii="Times New Roman" w:hAnsi="Times New Roman" w:eastAsia="宋体" w:cs="Times New Roman"/>
                <w:color w:val="auto"/>
                <w:spacing w:val="0"/>
                <w:kern w:val="0"/>
                <w:position w:val="0"/>
                <w:sz w:val="24"/>
                <w:szCs w:val="24"/>
                <w:highlight w:val="none"/>
                <w:lang w:val="en-US" w:eastAsia="zh-CN" w:bidi="ar"/>
              </w:rPr>
              <w:t>衡情况见表2-3。</w:t>
            </w:r>
          </w:p>
          <w:p w14:paraId="006B9508">
            <w:pPr>
              <w:keepNext w:val="0"/>
              <w:keepLines w:val="0"/>
              <w:widowControl/>
              <w:suppressLineNumbers w:val="0"/>
              <w:shd w:val="clear"/>
              <w:jc w:val="center"/>
              <w:rPr>
                <w:rFonts w:hint="default" w:ascii="Times New Roman" w:hAnsi="Times New Roman" w:eastAsia="宋体" w:cs="Times New Roman"/>
                <w:b/>
                <w:bCs/>
                <w:color w:val="auto"/>
                <w:spacing w:val="0"/>
                <w:kern w:val="0"/>
                <w:position w:val="0"/>
                <w:sz w:val="21"/>
                <w:szCs w:val="21"/>
                <w:highlight w:val="none"/>
                <w:vertAlign w:val="superscript"/>
                <w:lang w:val="en-US" w:eastAsia="zh-CN" w:bidi="ar"/>
              </w:rPr>
            </w:pPr>
            <w:r>
              <w:rPr>
                <w:rFonts w:hint="default" w:ascii="Times New Roman" w:hAnsi="Times New Roman" w:eastAsia="宋体" w:cs="Times New Roman"/>
                <w:b/>
                <w:bCs/>
                <w:color w:val="auto"/>
                <w:spacing w:val="0"/>
                <w:position w:val="0"/>
                <w:sz w:val="21"/>
                <w:szCs w:val="21"/>
                <w:highlight w:val="none"/>
                <w:lang w:val="en-US" w:eastAsia="zh-CN"/>
              </w:rPr>
              <w:t xml:space="preserve">表2-3   </w:t>
            </w:r>
            <w:r>
              <w:rPr>
                <w:rFonts w:hint="default" w:ascii="Times New Roman" w:hAnsi="Times New Roman" w:eastAsia="宋体" w:cs="Times New Roman"/>
                <w:b/>
                <w:bCs/>
                <w:color w:val="auto"/>
                <w:spacing w:val="0"/>
                <w:position w:val="0"/>
                <w:sz w:val="21"/>
                <w:szCs w:val="21"/>
                <w:highlight w:val="none"/>
              </w:rPr>
              <w:t>土石方平衡表</w:t>
            </w:r>
            <w:r>
              <w:rPr>
                <w:rFonts w:hint="default" w:ascii="Times New Roman" w:hAnsi="Times New Roman" w:eastAsia="宋体" w:cs="Times New Roman"/>
                <w:b/>
                <w:bCs/>
                <w:color w:val="auto"/>
                <w:spacing w:val="0"/>
                <w:kern w:val="0"/>
                <w:position w:val="0"/>
                <w:sz w:val="21"/>
                <w:szCs w:val="21"/>
                <w:highlight w:val="none"/>
                <w:lang w:val="en-US" w:eastAsia="zh-CN" w:bidi="ar"/>
              </w:rPr>
              <w:t>单位   万m</w:t>
            </w:r>
            <w:r>
              <w:rPr>
                <w:rFonts w:hint="default" w:ascii="Times New Roman" w:hAnsi="Times New Roman" w:eastAsia="宋体" w:cs="Times New Roman"/>
                <w:b/>
                <w:bCs/>
                <w:color w:val="auto"/>
                <w:spacing w:val="0"/>
                <w:kern w:val="0"/>
                <w:position w:val="0"/>
                <w:sz w:val="21"/>
                <w:szCs w:val="21"/>
                <w:highlight w:val="none"/>
                <w:vertAlign w:val="superscript"/>
                <w:lang w:val="en-US" w:eastAsia="zh-CN" w:bidi="ar"/>
              </w:rPr>
              <w:t>3</w:t>
            </w:r>
          </w:p>
          <w:tbl>
            <w:tblPr>
              <w:tblStyle w:val="32"/>
              <w:tblW w:w="746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00"/>
              <w:gridCol w:w="1137"/>
              <w:gridCol w:w="1013"/>
              <w:gridCol w:w="3768"/>
            </w:tblGrid>
            <w:tr w14:paraId="0A4B64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bottom w:val="single" w:color="auto" w:sz="12" w:space="0"/>
                  </w:tcBorders>
                  <w:vAlign w:val="center"/>
                </w:tcPr>
                <w:p w14:paraId="2ADF30FE">
                  <w:pPr>
                    <w:shd w:val="clear"/>
                    <w:jc w:val="center"/>
                    <w:rPr>
                      <w:rFonts w:hint="default" w:ascii="Times New Roman" w:hAnsi="Times New Roman" w:eastAsia="宋体" w:cs="Times New Roman"/>
                      <w:b/>
                      <w:bCs/>
                      <w:color w:val="auto"/>
                      <w:spacing w:val="0"/>
                      <w:sz w:val="21"/>
                      <w:szCs w:val="21"/>
                      <w:highlight w:val="none"/>
                      <w:vertAlign w:val="baseline"/>
                      <w:lang w:val="en-US" w:eastAsia="zh-CN"/>
                    </w:rPr>
                  </w:pPr>
                  <w:r>
                    <w:rPr>
                      <w:rFonts w:hint="default" w:ascii="Times New Roman" w:hAnsi="Times New Roman" w:eastAsia="宋体" w:cs="Times New Roman"/>
                      <w:b/>
                      <w:bCs/>
                      <w:color w:val="auto"/>
                      <w:spacing w:val="0"/>
                      <w:sz w:val="21"/>
                      <w:szCs w:val="21"/>
                      <w:highlight w:val="none"/>
                      <w:vertAlign w:val="baseline"/>
                      <w:lang w:val="en-US" w:eastAsia="zh-CN"/>
                    </w:rPr>
                    <w:t>项目</w:t>
                  </w:r>
                </w:p>
              </w:tc>
              <w:tc>
                <w:tcPr>
                  <w:tcW w:w="800" w:type="dxa"/>
                  <w:tcBorders>
                    <w:bottom w:val="single" w:color="auto" w:sz="12" w:space="0"/>
                  </w:tcBorders>
                  <w:vAlign w:val="center"/>
                </w:tcPr>
                <w:p w14:paraId="412AE688">
                  <w:pPr>
                    <w:shd w:val="clear"/>
                    <w:jc w:val="center"/>
                    <w:rPr>
                      <w:rFonts w:hint="default" w:ascii="Times New Roman" w:hAnsi="Times New Roman" w:eastAsia="宋体" w:cs="Times New Roman"/>
                      <w:b/>
                      <w:bCs/>
                      <w:color w:val="auto"/>
                      <w:spacing w:val="0"/>
                      <w:sz w:val="21"/>
                      <w:szCs w:val="21"/>
                      <w:highlight w:val="none"/>
                      <w:vertAlign w:val="baseline"/>
                      <w:lang w:val="en-US" w:eastAsia="zh-CN"/>
                    </w:rPr>
                  </w:pPr>
                  <w:r>
                    <w:rPr>
                      <w:rFonts w:hint="default" w:ascii="Times New Roman" w:hAnsi="Times New Roman" w:eastAsia="宋体" w:cs="Times New Roman"/>
                      <w:b/>
                      <w:bCs/>
                      <w:color w:val="auto"/>
                      <w:spacing w:val="0"/>
                      <w:sz w:val="21"/>
                      <w:szCs w:val="21"/>
                      <w:highlight w:val="none"/>
                      <w:vertAlign w:val="baseline"/>
                      <w:lang w:val="en-US" w:eastAsia="zh-CN"/>
                    </w:rPr>
                    <w:t>挖方</w:t>
                  </w:r>
                </w:p>
              </w:tc>
              <w:tc>
                <w:tcPr>
                  <w:tcW w:w="1137" w:type="dxa"/>
                  <w:tcBorders>
                    <w:bottom w:val="single" w:color="auto" w:sz="12" w:space="0"/>
                  </w:tcBorders>
                  <w:vAlign w:val="center"/>
                </w:tcPr>
                <w:p w14:paraId="5852FE3D">
                  <w:pPr>
                    <w:shd w:val="clear"/>
                    <w:jc w:val="center"/>
                    <w:rPr>
                      <w:rFonts w:hint="default" w:ascii="Times New Roman" w:hAnsi="Times New Roman" w:eastAsia="宋体" w:cs="Times New Roman"/>
                      <w:b/>
                      <w:bCs/>
                      <w:color w:val="auto"/>
                      <w:spacing w:val="0"/>
                      <w:sz w:val="21"/>
                      <w:szCs w:val="21"/>
                      <w:highlight w:val="none"/>
                      <w:vertAlign w:val="baseline"/>
                      <w:lang w:val="en-US" w:eastAsia="zh-CN"/>
                    </w:rPr>
                  </w:pPr>
                  <w:r>
                    <w:rPr>
                      <w:rFonts w:hint="default" w:ascii="Times New Roman" w:hAnsi="Times New Roman" w:eastAsia="宋体" w:cs="Times New Roman"/>
                      <w:b/>
                      <w:bCs/>
                      <w:color w:val="auto"/>
                      <w:spacing w:val="0"/>
                      <w:sz w:val="21"/>
                      <w:szCs w:val="21"/>
                      <w:highlight w:val="none"/>
                      <w:vertAlign w:val="baseline"/>
                      <w:lang w:val="en-US" w:eastAsia="zh-CN"/>
                    </w:rPr>
                    <w:t>回填土方</w:t>
                  </w:r>
                </w:p>
              </w:tc>
              <w:tc>
                <w:tcPr>
                  <w:tcW w:w="1013" w:type="dxa"/>
                  <w:tcBorders>
                    <w:bottom w:val="single" w:color="auto" w:sz="12" w:space="0"/>
                  </w:tcBorders>
                  <w:vAlign w:val="center"/>
                </w:tcPr>
                <w:p w14:paraId="6A477F73">
                  <w:pPr>
                    <w:shd w:val="clear"/>
                    <w:jc w:val="center"/>
                    <w:rPr>
                      <w:rFonts w:hint="default" w:ascii="Times New Roman" w:hAnsi="Times New Roman" w:eastAsia="宋体" w:cs="Times New Roman"/>
                      <w:b/>
                      <w:bCs/>
                      <w:color w:val="auto"/>
                      <w:spacing w:val="0"/>
                      <w:sz w:val="21"/>
                      <w:szCs w:val="21"/>
                      <w:highlight w:val="none"/>
                      <w:vertAlign w:val="baseline"/>
                      <w:lang w:val="en-US" w:eastAsia="zh-CN"/>
                    </w:rPr>
                  </w:pPr>
                  <w:r>
                    <w:rPr>
                      <w:rFonts w:hint="default" w:ascii="Times New Roman" w:hAnsi="Times New Roman" w:eastAsia="宋体" w:cs="Times New Roman"/>
                      <w:b/>
                      <w:bCs/>
                      <w:color w:val="auto"/>
                      <w:spacing w:val="0"/>
                      <w:sz w:val="21"/>
                      <w:szCs w:val="21"/>
                      <w:highlight w:val="none"/>
                      <w:vertAlign w:val="baseline"/>
                      <w:lang w:val="en-US" w:eastAsia="zh-CN"/>
                    </w:rPr>
                    <w:t>弃料方</w:t>
                  </w:r>
                </w:p>
              </w:tc>
              <w:tc>
                <w:tcPr>
                  <w:tcW w:w="3768" w:type="dxa"/>
                  <w:tcBorders>
                    <w:bottom w:val="single" w:color="auto" w:sz="12" w:space="0"/>
                  </w:tcBorders>
                  <w:vAlign w:val="center"/>
                </w:tcPr>
                <w:p w14:paraId="5B1CB85C">
                  <w:pPr>
                    <w:shd w:val="clear"/>
                    <w:jc w:val="center"/>
                    <w:rPr>
                      <w:rFonts w:hint="default" w:ascii="Times New Roman" w:hAnsi="Times New Roman" w:eastAsia="宋体" w:cs="Times New Roman"/>
                      <w:b/>
                      <w:bCs/>
                      <w:color w:val="auto"/>
                      <w:spacing w:val="0"/>
                      <w:sz w:val="21"/>
                      <w:szCs w:val="21"/>
                      <w:highlight w:val="none"/>
                      <w:vertAlign w:val="baseline"/>
                      <w:lang w:val="en-US" w:eastAsia="zh-CN"/>
                    </w:rPr>
                  </w:pPr>
                  <w:r>
                    <w:rPr>
                      <w:rFonts w:hint="default" w:ascii="Times New Roman" w:hAnsi="Times New Roman" w:eastAsia="宋体" w:cs="Times New Roman"/>
                      <w:b/>
                      <w:bCs/>
                      <w:color w:val="auto"/>
                      <w:spacing w:val="0"/>
                      <w:sz w:val="21"/>
                      <w:szCs w:val="21"/>
                      <w:highlight w:val="none"/>
                      <w:vertAlign w:val="baseline"/>
                      <w:lang w:val="en-US" w:eastAsia="zh-CN"/>
                    </w:rPr>
                    <w:t>备注</w:t>
                  </w:r>
                </w:p>
              </w:tc>
            </w:tr>
            <w:tr w14:paraId="22F069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op w:val="single" w:color="auto" w:sz="12" w:space="0"/>
                    <w:tl2br w:val="nil"/>
                    <w:tr2bl w:val="nil"/>
                  </w:tcBorders>
                  <w:vAlign w:val="center"/>
                </w:tcPr>
                <w:p w14:paraId="3DC01A19">
                  <w:pPr>
                    <w:shd w:val="clear"/>
                    <w:jc w:val="center"/>
                    <w:rPr>
                      <w:rFonts w:hint="default" w:ascii="Times New Roman" w:hAnsi="Times New Roman" w:eastAsia="宋体" w:cs="Times New Roman"/>
                      <w:color w:val="auto"/>
                      <w:spacing w:val="0"/>
                      <w:sz w:val="21"/>
                      <w:szCs w:val="21"/>
                      <w:highlight w:val="none"/>
                      <w:vertAlign w:val="baseline"/>
                    </w:rPr>
                  </w:pPr>
                  <w:r>
                    <w:rPr>
                      <w:rFonts w:hint="default" w:ascii="Times New Roman" w:hAnsi="Times New Roman" w:eastAsia="宋体" w:cs="Times New Roman"/>
                      <w:color w:val="auto"/>
                      <w:spacing w:val="0"/>
                      <w:position w:val="0"/>
                      <w:sz w:val="21"/>
                      <w:szCs w:val="21"/>
                      <w:highlight w:val="none"/>
                    </w:rPr>
                    <w:t>护岸工程</w:t>
                  </w:r>
                </w:p>
              </w:tc>
              <w:tc>
                <w:tcPr>
                  <w:tcW w:w="800" w:type="dxa"/>
                  <w:tcBorders>
                    <w:top w:val="single" w:color="auto" w:sz="12" w:space="0"/>
                    <w:tl2br w:val="nil"/>
                    <w:tr2bl w:val="nil"/>
                  </w:tcBorders>
                  <w:vAlign w:val="center"/>
                </w:tcPr>
                <w:p w14:paraId="5C5D4487">
                  <w:pPr>
                    <w:shd w:val="clear"/>
                    <w:jc w:val="center"/>
                    <w:rPr>
                      <w:rFonts w:hint="default" w:ascii="Times New Roman" w:hAnsi="Times New Roman" w:eastAsia="宋体" w:cs="Times New Roman"/>
                      <w:color w:val="auto"/>
                      <w:spacing w:val="0"/>
                      <w:sz w:val="21"/>
                      <w:szCs w:val="21"/>
                      <w:highlight w:val="none"/>
                      <w:vertAlign w:val="baseline"/>
                      <w:lang w:val="en-US" w:eastAsia="zh-CN"/>
                    </w:rPr>
                  </w:pPr>
                  <w:r>
                    <w:rPr>
                      <w:rFonts w:hint="default" w:ascii="Times New Roman" w:hAnsi="Times New Roman" w:cs="Times New Roman"/>
                      <w:color w:val="auto"/>
                      <w:spacing w:val="0"/>
                      <w:sz w:val="21"/>
                      <w:szCs w:val="21"/>
                      <w:highlight w:val="none"/>
                      <w:vertAlign w:val="baseline"/>
                      <w:lang w:val="en-US" w:eastAsia="zh-CN"/>
                    </w:rPr>
                    <w:t>51.2</w:t>
                  </w:r>
                </w:p>
              </w:tc>
              <w:tc>
                <w:tcPr>
                  <w:tcW w:w="1137" w:type="dxa"/>
                  <w:tcBorders>
                    <w:top w:val="single" w:color="auto" w:sz="12" w:space="0"/>
                    <w:tl2br w:val="nil"/>
                    <w:tr2bl w:val="nil"/>
                  </w:tcBorders>
                  <w:vAlign w:val="center"/>
                </w:tcPr>
                <w:p w14:paraId="790C6E91">
                  <w:pPr>
                    <w:shd w:val="clear"/>
                    <w:jc w:val="center"/>
                    <w:rPr>
                      <w:rFonts w:hint="default" w:ascii="Times New Roman" w:hAnsi="Times New Roman" w:eastAsia="宋体" w:cs="Times New Roman"/>
                      <w:color w:val="auto"/>
                      <w:spacing w:val="0"/>
                      <w:sz w:val="21"/>
                      <w:szCs w:val="21"/>
                      <w:highlight w:val="none"/>
                      <w:vertAlign w:val="baseline"/>
                      <w:lang w:val="en-US" w:eastAsia="zh-CN"/>
                    </w:rPr>
                  </w:pPr>
                  <w:r>
                    <w:rPr>
                      <w:rFonts w:hint="default" w:ascii="Times New Roman" w:hAnsi="Times New Roman" w:cs="Times New Roman"/>
                      <w:color w:val="auto"/>
                      <w:spacing w:val="0"/>
                      <w:sz w:val="21"/>
                      <w:szCs w:val="21"/>
                      <w:highlight w:val="none"/>
                      <w:vertAlign w:val="baseline"/>
                      <w:lang w:val="en-US" w:eastAsia="zh-CN"/>
                    </w:rPr>
                    <w:t>18.7</w:t>
                  </w:r>
                </w:p>
              </w:tc>
              <w:tc>
                <w:tcPr>
                  <w:tcW w:w="1013" w:type="dxa"/>
                  <w:tcBorders>
                    <w:top w:val="single" w:color="auto" w:sz="12" w:space="0"/>
                    <w:tl2br w:val="nil"/>
                    <w:tr2bl w:val="nil"/>
                  </w:tcBorders>
                  <w:vAlign w:val="center"/>
                </w:tcPr>
                <w:p w14:paraId="0B4C2911">
                  <w:pPr>
                    <w:shd w:val="clear"/>
                    <w:jc w:val="center"/>
                    <w:rPr>
                      <w:rFonts w:hint="default" w:ascii="Times New Roman" w:hAnsi="Times New Roman" w:eastAsia="宋体" w:cs="Times New Roman"/>
                      <w:color w:val="auto"/>
                      <w:spacing w:val="0"/>
                      <w:sz w:val="21"/>
                      <w:szCs w:val="21"/>
                      <w:highlight w:val="none"/>
                      <w:vertAlign w:val="baseline"/>
                      <w:lang w:val="en-US" w:eastAsia="zh-CN"/>
                    </w:rPr>
                  </w:pPr>
                  <w:r>
                    <w:rPr>
                      <w:rFonts w:hint="eastAsia" w:cs="Times New Roman"/>
                      <w:color w:val="auto"/>
                      <w:spacing w:val="0"/>
                      <w:sz w:val="21"/>
                      <w:szCs w:val="21"/>
                      <w:highlight w:val="none"/>
                      <w:vertAlign w:val="baseline"/>
                      <w:lang w:val="en-US" w:eastAsia="zh-CN"/>
                    </w:rPr>
                    <w:t>32.5</w:t>
                  </w:r>
                </w:p>
              </w:tc>
              <w:tc>
                <w:tcPr>
                  <w:tcW w:w="3768" w:type="dxa"/>
                  <w:tcBorders>
                    <w:top w:val="single" w:color="auto" w:sz="12" w:space="0"/>
                    <w:tl2br w:val="nil"/>
                    <w:tr2bl w:val="nil"/>
                  </w:tcBorders>
                  <w:vAlign w:val="center"/>
                </w:tcPr>
                <w:p w14:paraId="4FE1D530">
                  <w:pPr>
                    <w:keepNext w:val="0"/>
                    <w:keepLines w:val="0"/>
                    <w:widowControl/>
                    <w:suppressLineNumbers w:val="0"/>
                    <w:shd w:val="clear"/>
                    <w:jc w:val="left"/>
                    <w:rPr>
                      <w:rFonts w:hint="default" w:ascii="Times New Roman" w:hAnsi="Times New Roman" w:eastAsia="宋体" w:cs="Times New Roman"/>
                      <w:color w:val="auto"/>
                      <w:spacing w:val="0"/>
                      <w:sz w:val="21"/>
                      <w:szCs w:val="21"/>
                      <w:highlight w:val="none"/>
                      <w:vertAlign w:val="baseline"/>
                    </w:rPr>
                  </w:pPr>
                  <w:r>
                    <w:rPr>
                      <w:rFonts w:hint="default" w:ascii="Times New Roman" w:hAnsi="Times New Roman" w:eastAsia="宋体" w:cs="Times New Roman"/>
                      <w:color w:val="auto"/>
                      <w:spacing w:val="0"/>
                      <w:kern w:val="0"/>
                      <w:position w:val="0"/>
                      <w:sz w:val="21"/>
                      <w:szCs w:val="21"/>
                      <w:highlight w:val="none"/>
                      <w:lang w:val="en-US" w:eastAsia="zh-CN" w:bidi="ar"/>
                    </w:rPr>
                    <w:t>弃渣用于填埋</w:t>
                  </w:r>
                  <w:r>
                    <w:rPr>
                      <w:rFonts w:hint="default" w:ascii="Times New Roman" w:hAnsi="Times New Roman" w:cs="Times New Roman"/>
                      <w:color w:val="auto"/>
                      <w:spacing w:val="0"/>
                      <w:kern w:val="0"/>
                      <w:position w:val="0"/>
                      <w:sz w:val="21"/>
                      <w:szCs w:val="21"/>
                      <w:highlight w:val="none"/>
                      <w:lang w:val="en-US" w:eastAsia="zh-CN" w:bidi="ar"/>
                    </w:rPr>
                    <w:t>库尔阿根河</w:t>
                  </w:r>
                  <w:r>
                    <w:rPr>
                      <w:rFonts w:hint="default" w:ascii="Times New Roman" w:hAnsi="Times New Roman" w:eastAsia="宋体" w:cs="Times New Roman"/>
                      <w:color w:val="auto"/>
                      <w:spacing w:val="0"/>
                      <w:kern w:val="0"/>
                      <w:position w:val="0"/>
                      <w:sz w:val="21"/>
                      <w:szCs w:val="21"/>
                      <w:highlight w:val="none"/>
                      <w:lang w:val="en-US" w:eastAsia="zh-CN" w:bidi="ar"/>
                    </w:rPr>
                    <w:t>道内填埋后仍有余量的土方在工程结束后将多余土方用于坝后填土来加宽堤顶，以稳固堤身</w:t>
                  </w:r>
                </w:p>
              </w:tc>
            </w:tr>
            <w:tr w14:paraId="562B4D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14:paraId="3C4A2606">
                  <w:pPr>
                    <w:shd w:val="clear"/>
                    <w:jc w:val="center"/>
                    <w:rPr>
                      <w:rFonts w:hint="default" w:ascii="Times New Roman" w:hAnsi="Times New Roman" w:eastAsia="宋体" w:cs="Times New Roman"/>
                      <w:color w:val="auto"/>
                      <w:spacing w:val="0"/>
                      <w:sz w:val="21"/>
                      <w:szCs w:val="21"/>
                      <w:highlight w:val="none"/>
                      <w:vertAlign w:val="baseline"/>
                      <w:lang w:val="en-US" w:eastAsia="zh-CN"/>
                    </w:rPr>
                  </w:pPr>
                  <w:r>
                    <w:rPr>
                      <w:rFonts w:hint="default" w:ascii="Times New Roman" w:hAnsi="Times New Roman" w:eastAsia="宋体" w:cs="Times New Roman"/>
                      <w:color w:val="auto"/>
                      <w:spacing w:val="0"/>
                      <w:sz w:val="21"/>
                      <w:szCs w:val="21"/>
                      <w:highlight w:val="none"/>
                      <w:vertAlign w:val="baseline"/>
                      <w:lang w:val="en-US" w:eastAsia="zh-CN"/>
                    </w:rPr>
                    <w:t>合计</w:t>
                  </w:r>
                </w:p>
              </w:tc>
              <w:tc>
                <w:tcPr>
                  <w:tcW w:w="800" w:type="dxa"/>
                  <w:tcBorders>
                    <w:tl2br w:val="nil"/>
                    <w:tr2bl w:val="nil"/>
                  </w:tcBorders>
                  <w:vAlign w:val="center"/>
                </w:tcPr>
                <w:p w14:paraId="365D2E1A">
                  <w:pPr>
                    <w:shd w:val="clear"/>
                    <w:jc w:val="center"/>
                    <w:rPr>
                      <w:rFonts w:hint="default" w:ascii="Times New Roman" w:hAnsi="Times New Roman" w:eastAsia="宋体" w:cs="Times New Roman"/>
                      <w:color w:val="auto"/>
                      <w:spacing w:val="0"/>
                      <w:sz w:val="21"/>
                      <w:szCs w:val="21"/>
                      <w:highlight w:val="none"/>
                      <w:vertAlign w:val="baseline"/>
                    </w:rPr>
                  </w:pPr>
                  <w:r>
                    <w:rPr>
                      <w:rFonts w:hint="default" w:ascii="Times New Roman" w:hAnsi="Times New Roman" w:cs="Times New Roman"/>
                      <w:color w:val="auto"/>
                      <w:spacing w:val="0"/>
                      <w:sz w:val="21"/>
                      <w:szCs w:val="21"/>
                      <w:highlight w:val="none"/>
                      <w:vertAlign w:val="baseline"/>
                      <w:lang w:val="en-US" w:eastAsia="zh-CN"/>
                    </w:rPr>
                    <w:t>51.2</w:t>
                  </w:r>
                </w:p>
              </w:tc>
              <w:tc>
                <w:tcPr>
                  <w:tcW w:w="1137" w:type="dxa"/>
                  <w:tcBorders>
                    <w:tl2br w:val="nil"/>
                    <w:tr2bl w:val="nil"/>
                  </w:tcBorders>
                  <w:vAlign w:val="center"/>
                </w:tcPr>
                <w:p w14:paraId="4641AEA2">
                  <w:pPr>
                    <w:shd w:val="clear"/>
                    <w:jc w:val="center"/>
                    <w:rPr>
                      <w:rFonts w:hint="default" w:ascii="Times New Roman" w:hAnsi="Times New Roman" w:eastAsia="宋体" w:cs="Times New Roman"/>
                      <w:color w:val="auto"/>
                      <w:spacing w:val="0"/>
                      <w:sz w:val="21"/>
                      <w:szCs w:val="21"/>
                      <w:highlight w:val="none"/>
                      <w:vertAlign w:val="baseline"/>
                    </w:rPr>
                  </w:pPr>
                  <w:r>
                    <w:rPr>
                      <w:rFonts w:hint="default" w:ascii="Times New Roman" w:hAnsi="Times New Roman" w:cs="Times New Roman"/>
                      <w:color w:val="auto"/>
                      <w:spacing w:val="0"/>
                      <w:sz w:val="21"/>
                      <w:szCs w:val="21"/>
                      <w:highlight w:val="none"/>
                      <w:vertAlign w:val="baseline"/>
                      <w:lang w:val="en-US" w:eastAsia="zh-CN"/>
                    </w:rPr>
                    <w:t>18.7</w:t>
                  </w:r>
                </w:p>
              </w:tc>
              <w:tc>
                <w:tcPr>
                  <w:tcW w:w="1013" w:type="dxa"/>
                  <w:tcBorders>
                    <w:tl2br w:val="nil"/>
                    <w:tr2bl w:val="nil"/>
                  </w:tcBorders>
                  <w:vAlign w:val="center"/>
                </w:tcPr>
                <w:p w14:paraId="1A9B219A">
                  <w:pPr>
                    <w:shd w:val="clear"/>
                    <w:jc w:val="center"/>
                    <w:rPr>
                      <w:rFonts w:hint="default" w:ascii="Times New Roman" w:hAnsi="Times New Roman" w:eastAsia="宋体" w:cs="Times New Roman"/>
                      <w:color w:val="auto"/>
                      <w:spacing w:val="0"/>
                      <w:sz w:val="21"/>
                      <w:szCs w:val="21"/>
                      <w:highlight w:val="none"/>
                      <w:vertAlign w:val="baseline"/>
                    </w:rPr>
                  </w:pPr>
                  <w:r>
                    <w:rPr>
                      <w:rFonts w:hint="eastAsia" w:cs="Times New Roman"/>
                      <w:color w:val="auto"/>
                      <w:spacing w:val="0"/>
                      <w:sz w:val="21"/>
                      <w:szCs w:val="21"/>
                      <w:highlight w:val="none"/>
                      <w:vertAlign w:val="baseline"/>
                      <w:lang w:val="en-US" w:eastAsia="zh-CN"/>
                    </w:rPr>
                    <w:t>32.5</w:t>
                  </w:r>
                </w:p>
              </w:tc>
              <w:tc>
                <w:tcPr>
                  <w:tcW w:w="3768" w:type="dxa"/>
                  <w:tcBorders>
                    <w:tl2br w:val="nil"/>
                    <w:tr2bl w:val="nil"/>
                  </w:tcBorders>
                  <w:vAlign w:val="center"/>
                </w:tcPr>
                <w:p w14:paraId="163E1B7F">
                  <w:pPr>
                    <w:shd w:val="clear"/>
                    <w:jc w:val="center"/>
                    <w:rPr>
                      <w:rFonts w:hint="default" w:ascii="Times New Roman" w:hAnsi="Times New Roman" w:eastAsia="宋体" w:cs="Times New Roman"/>
                      <w:color w:val="auto"/>
                      <w:spacing w:val="0"/>
                      <w:sz w:val="21"/>
                      <w:szCs w:val="21"/>
                      <w:highlight w:val="none"/>
                      <w:vertAlign w:val="baseline"/>
                      <w:lang w:val="en-US" w:eastAsia="zh-CN"/>
                    </w:rPr>
                  </w:pPr>
                  <w:r>
                    <w:rPr>
                      <w:rFonts w:hint="default" w:ascii="Times New Roman" w:hAnsi="Times New Roman" w:eastAsia="宋体" w:cs="Times New Roman"/>
                      <w:color w:val="auto"/>
                      <w:spacing w:val="0"/>
                      <w:sz w:val="21"/>
                      <w:szCs w:val="21"/>
                      <w:highlight w:val="none"/>
                      <w:vertAlign w:val="baseline"/>
                      <w:lang w:val="en-US" w:eastAsia="zh-CN"/>
                    </w:rPr>
                    <w:t>/</w:t>
                  </w:r>
                </w:p>
              </w:tc>
            </w:tr>
          </w:tbl>
          <w:p w14:paraId="10A9251C">
            <w:pPr>
              <w:pStyle w:val="2"/>
              <w:shd w:val="clear"/>
              <w:spacing w:line="360" w:lineRule="auto"/>
              <w:rPr>
                <w:rFonts w:hint="default" w:ascii="Times New Roman" w:hAnsi="Times New Roman" w:eastAsia="宋体" w:cs="Times New Roman"/>
                <w:color w:val="auto"/>
                <w:spacing w:val="0"/>
                <w:position w:val="0"/>
                <w:sz w:val="24"/>
                <w:szCs w:val="24"/>
                <w:highlight w:val="none"/>
              </w:rPr>
            </w:pPr>
            <w:bookmarkStart w:id="3" w:name="_Toc485645291"/>
            <w:r>
              <w:rPr>
                <w:rFonts w:hint="default" w:ascii="Times New Roman" w:hAnsi="Times New Roman" w:eastAsia="宋体" w:cs="Times New Roman"/>
                <w:color w:val="auto"/>
                <w:spacing w:val="0"/>
                <w:position w:val="0"/>
                <w:sz w:val="24"/>
                <w:szCs w:val="24"/>
                <w:highlight w:val="none"/>
                <w:lang w:val="en-US" w:eastAsia="zh-CN"/>
              </w:rPr>
              <w:t>7.</w:t>
            </w:r>
            <w:r>
              <w:rPr>
                <w:rFonts w:hint="default" w:ascii="Times New Roman" w:hAnsi="Times New Roman" w:eastAsia="宋体" w:cs="Times New Roman"/>
                <w:color w:val="auto"/>
                <w:spacing w:val="0"/>
                <w:position w:val="0"/>
                <w:sz w:val="24"/>
                <w:szCs w:val="24"/>
                <w:highlight w:val="none"/>
              </w:rPr>
              <w:t>主要施工机械</w:t>
            </w:r>
            <w:bookmarkEnd w:id="3"/>
          </w:p>
          <w:p w14:paraId="61BF7B9C">
            <w:pPr>
              <w:shd w:val="clear"/>
              <w:spacing w:line="360" w:lineRule="auto"/>
              <w:ind w:firstLine="560"/>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依据主体工程施工方法和各工程项目施工进度安排，参照有关定额确定工程施工所需主要机械设备详见表</w:t>
            </w:r>
            <w:r>
              <w:rPr>
                <w:rFonts w:hint="default" w:ascii="Times New Roman" w:hAnsi="Times New Roman" w:eastAsia="宋体" w:cs="Times New Roman"/>
                <w:color w:val="auto"/>
                <w:spacing w:val="0"/>
                <w:position w:val="0"/>
                <w:sz w:val="24"/>
                <w:szCs w:val="24"/>
                <w:highlight w:val="none"/>
                <w:lang w:val="en-US" w:eastAsia="zh-CN"/>
              </w:rPr>
              <w:t>2-4</w:t>
            </w:r>
            <w:r>
              <w:rPr>
                <w:rFonts w:hint="default" w:ascii="Times New Roman" w:hAnsi="Times New Roman" w:eastAsia="宋体" w:cs="Times New Roman"/>
                <w:color w:val="auto"/>
                <w:spacing w:val="0"/>
                <w:position w:val="0"/>
                <w:sz w:val="24"/>
                <w:szCs w:val="24"/>
                <w:highlight w:val="none"/>
              </w:rPr>
              <w:t>。</w:t>
            </w:r>
          </w:p>
          <w:p w14:paraId="62BECF6A">
            <w:pPr>
              <w:shd w:val="clear"/>
              <w:spacing w:line="240" w:lineRule="auto"/>
              <w:ind w:firstLine="560"/>
              <w:jc w:val="center"/>
              <w:rPr>
                <w:rFonts w:hint="default" w:ascii="Times New Roman" w:hAnsi="Times New Roman" w:eastAsia="宋体" w:cs="Times New Roman"/>
                <w:b/>
                <w:bCs/>
                <w:color w:val="auto"/>
                <w:spacing w:val="0"/>
                <w:position w:val="0"/>
                <w:highlight w:val="none"/>
              </w:rPr>
            </w:pPr>
            <w:r>
              <w:rPr>
                <w:rFonts w:hint="default" w:ascii="Times New Roman" w:hAnsi="Times New Roman" w:eastAsia="宋体" w:cs="Times New Roman"/>
                <w:b/>
                <w:bCs/>
                <w:color w:val="auto"/>
                <w:spacing w:val="0"/>
                <w:position w:val="0"/>
                <w:highlight w:val="none"/>
              </w:rPr>
              <w:t>表</w:t>
            </w:r>
            <w:r>
              <w:rPr>
                <w:rFonts w:hint="default" w:ascii="Times New Roman" w:hAnsi="Times New Roman" w:eastAsia="宋体" w:cs="Times New Roman"/>
                <w:b/>
                <w:bCs/>
                <w:color w:val="auto"/>
                <w:spacing w:val="0"/>
                <w:position w:val="0"/>
                <w:highlight w:val="none"/>
                <w:lang w:val="en-US" w:eastAsia="zh-CN"/>
              </w:rPr>
              <w:t>2</w:t>
            </w:r>
            <w:r>
              <w:rPr>
                <w:rFonts w:hint="default" w:ascii="Times New Roman" w:hAnsi="Times New Roman" w:eastAsia="宋体" w:cs="Times New Roman"/>
                <w:b/>
                <w:bCs/>
                <w:color w:val="auto"/>
                <w:spacing w:val="0"/>
                <w:position w:val="0"/>
                <w:highlight w:val="none"/>
              </w:rPr>
              <w:t>-</w:t>
            </w:r>
            <w:r>
              <w:rPr>
                <w:rFonts w:hint="default" w:ascii="Times New Roman" w:hAnsi="Times New Roman" w:eastAsia="宋体" w:cs="Times New Roman"/>
                <w:b/>
                <w:bCs/>
                <w:color w:val="auto"/>
                <w:spacing w:val="0"/>
                <w:position w:val="0"/>
                <w:highlight w:val="none"/>
                <w:lang w:val="en-US" w:eastAsia="zh-CN"/>
              </w:rPr>
              <w:t>4</w:t>
            </w:r>
            <w:r>
              <w:rPr>
                <w:rFonts w:hint="default" w:ascii="Times New Roman" w:hAnsi="Times New Roman" w:eastAsia="宋体" w:cs="Times New Roman"/>
                <w:b/>
                <w:bCs/>
                <w:color w:val="auto"/>
                <w:spacing w:val="0"/>
                <w:position w:val="0"/>
                <w:highlight w:val="none"/>
              </w:rPr>
              <w:t xml:space="preserve">   施工机械</w:t>
            </w:r>
            <w:r>
              <w:rPr>
                <w:rFonts w:hint="default" w:ascii="Times New Roman" w:hAnsi="Times New Roman" w:eastAsia="宋体" w:cs="Times New Roman"/>
                <w:b/>
                <w:bCs/>
                <w:color w:val="auto"/>
                <w:spacing w:val="0"/>
                <w:position w:val="0"/>
                <w:highlight w:val="none"/>
                <w:lang w:val="en-US" w:eastAsia="zh-CN"/>
              </w:rPr>
              <w:t>一览</w:t>
            </w:r>
            <w:r>
              <w:rPr>
                <w:rFonts w:hint="default" w:ascii="Times New Roman" w:hAnsi="Times New Roman" w:eastAsia="宋体" w:cs="Times New Roman"/>
                <w:b/>
                <w:bCs/>
                <w:color w:val="auto"/>
                <w:spacing w:val="0"/>
                <w:position w:val="0"/>
                <w:highlight w:val="none"/>
              </w:rPr>
              <w:t>表</w:t>
            </w:r>
          </w:p>
          <w:tbl>
            <w:tblPr>
              <w:tblStyle w:val="31"/>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2681"/>
              <w:gridCol w:w="1155"/>
              <w:gridCol w:w="1254"/>
              <w:gridCol w:w="1155"/>
            </w:tblGrid>
            <w:tr w14:paraId="00C341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9" w:type="pct"/>
                  <w:tcBorders>
                    <w:bottom w:val="single" w:color="auto" w:sz="12" w:space="0"/>
                  </w:tcBorders>
                  <w:shd w:val="clear" w:color="auto" w:fill="auto"/>
                  <w:vAlign w:val="center"/>
                </w:tcPr>
                <w:p w14:paraId="577286A7">
                  <w:pPr>
                    <w:widowControl/>
                    <w:shd w:val="clear"/>
                    <w:spacing w:line="240" w:lineRule="auto"/>
                    <w:jc w:val="center"/>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序号</w:t>
                  </w:r>
                </w:p>
              </w:tc>
              <w:tc>
                <w:tcPr>
                  <w:tcW w:w="1812" w:type="pct"/>
                  <w:tcBorders>
                    <w:bottom w:val="single" w:color="auto" w:sz="12" w:space="0"/>
                  </w:tcBorders>
                  <w:shd w:val="clear" w:color="auto" w:fill="auto"/>
                  <w:vAlign w:val="center"/>
                </w:tcPr>
                <w:p w14:paraId="3CA77DF7">
                  <w:pPr>
                    <w:widowControl/>
                    <w:shd w:val="clear"/>
                    <w:spacing w:line="240" w:lineRule="auto"/>
                    <w:ind w:firstLine="0" w:firstLineChars="0"/>
                    <w:jc w:val="center"/>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名称</w:t>
                  </w:r>
                </w:p>
              </w:tc>
              <w:tc>
                <w:tcPr>
                  <w:tcW w:w="780" w:type="pct"/>
                  <w:tcBorders>
                    <w:bottom w:val="single" w:color="auto" w:sz="12" w:space="0"/>
                  </w:tcBorders>
                  <w:shd w:val="clear" w:color="auto" w:fill="auto"/>
                  <w:vAlign w:val="center"/>
                </w:tcPr>
                <w:p w14:paraId="12D91123">
                  <w:pPr>
                    <w:widowControl/>
                    <w:shd w:val="clear"/>
                    <w:spacing w:line="240" w:lineRule="auto"/>
                    <w:ind w:firstLine="0" w:firstLineChars="0"/>
                    <w:jc w:val="center"/>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单位</w:t>
                  </w:r>
                </w:p>
              </w:tc>
              <w:tc>
                <w:tcPr>
                  <w:tcW w:w="847" w:type="pct"/>
                  <w:tcBorders>
                    <w:bottom w:val="single" w:color="auto" w:sz="12" w:space="0"/>
                  </w:tcBorders>
                  <w:shd w:val="clear" w:color="auto" w:fill="auto"/>
                  <w:vAlign w:val="center"/>
                </w:tcPr>
                <w:p w14:paraId="41E9EAB9">
                  <w:pPr>
                    <w:widowControl/>
                    <w:shd w:val="clear"/>
                    <w:spacing w:line="240" w:lineRule="auto"/>
                    <w:ind w:firstLine="0" w:firstLineChars="0"/>
                    <w:jc w:val="center"/>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规格</w:t>
                  </w:r>
                </w:p>
              </w:tc>
              <w:tc>
                <w:tcPr>
                  <w:tcW w:w="780" w:type="pct"/>
                  <w:tcBorders>
                    <w:bottom w:val="single" w:color="auto" w:sz="12" w:space="0"/>
                  </w:tcBorders>
                  <w:shd w:val="clear" w:color="auto" w:fill="auto"/>
                  <w:vAlign w:val="center"/>
                </w:tcPr>
                <w:p w14:paraId="37904E1F">
                  <w:pPr>
                    <w:widowControl/>
                    <w:shd w:val="clear"/>
                    <w:spacing w:line="240" w:lineRule="auto"/>
                    <w:ind w:firstLine="0" w:firstLineChars="0"/>
                    <w:jc w:val="center"/>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数量</w:t>
                  </w:r>
                </w:p>
              </w:tc>
            </w:tr>
            <w:tr w14:paraId="078545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9" w:type="pct"/>
                  <w:tcBorders>
                    <w:top w:val="single" w:color="auto" w:sz="12" w:space="0"/>
                    <w:tl2br w:val="nil"/>
                    <w:tr2bl w:val="nil"/>
                  </w:tcBorders>
                  <w:shd w:val="clear" w:color="auto" w:fill="auto"/>
                  <w:vAlign w:val="center"/>
                </w:tcPr>
                <w:p w14:paraId="364D443F">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w:t>
                  </w:r>
                </w:p>
              </w:tc>
              <w:tc>
                <w:tcPr>
                  <w:tcW w:w="1812" w:type="pct"/>
                  <w:tcBorders>
                    <w:top w:val="single" w:color="auto" w:sz="12" w:space="0"/>
                    <w:tl2br w:val="nil"/>
                    <w:tr2bl w:val="nil"/>
                  </w:tcBorders>
                  <w:shd w:val="clear" w:color="auto" w:fill="auto"/>
                  <w:vAlign w:val="center"/>
                </w:tcPr>
                <w:p w14:paraId="4CAA7491">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推土机</w:t>
                  </w:r>
                </w:p>
              </w:tc>
              <w:tc>
                <w:tcPr>
                  <w:tcW w:w="780" w:type="pct"/>
                  <w:tcBorders>
                    <w:top w:val="single" w:color="auto" w:sz="12" w:space="0"/>
                    <w:tl2br w:val="nil"/>
                    <w:tr2bl w:val="nil"/>
                  </w:tcBorders>
                  <w:shd w:val="clear" w:color="auto" w:fill="auto"/>
                  <w:vAlign w:val="center"/>
                </w:tcPr>
                <w:p w14:paraId="2BCD5058">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台</w:t>
                  </w:r>
                </w:p>
              </w:tc>
              <w:tc>
                <w:tcPr>
                  <w:tcW w:w="847" w:type="pct"/>
                  <w:tcBorders>
                    <w:top w:val="single" w:color="auto" w:sz="12" w:space="0"/>
                    <w:tl2br w:val="nil"/>
                    <w:tr2bl w:val="nil"/>
                  </w:tcBorders>
                  <w:shd w:val="clear" w:color="auto" w:fill="auto"/>
                  <w:vAlign w:val="center"/>
                </w:tcPr>
                <w:p w14:paraId="664D1E35">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59kW</w:t>
                  </w:r>
                </w:p>
              </w:tc>
              <w:tc>
                <w:tcPr>
                  <w:tcW w:w="780" w:type="pct"/>
                  <w:tcBorders>
                    <w:top w:val="single" w:color="auto" w:sz="12" w:space="0"/>
                    <w:tl2br w:val="nil"/>
                    <w:tr2bl w:val="nil"/>
                  </w:tcBorders>
                  <w:shd w:val="clear" w:color="auto" w:fill="auto"/>
                  <w:vAlign w:val="center"/>
                </w:tcPr>
                <w:p w14:paraId="2ADC8DF5">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6</w:t>
                  </w:r>
                </w:p>
              </w:tc>
            </w:tr>
            <w:tr w14:paraId="60CCFC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9" w:type="pct"/>
                  <w:tcBorders>
                    <w:tl2br w:val="nil"/>
                    <w:tr2bl w:val="nil"/>
                  </w:tcBorders>
                  <w:shd w:val="clear" w:color="auto" w:fill="auto"/>
                  <w:vAlign w:val="center"/>
                </w:tcPr>
                <w:p w14:paraId="1CCFF01F">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cs="Times New Roman"/>
                      <w:color w:val="auto"/>
                      <w:spacing w:val="0"/>
                      <w:position w:val="0"/>
                      <w:sz w:val="21"/>
                      <w:szCs w:val="21"/>
                      <w:highlight w:val="none"/>
                      <w:lang w:val="en-US" w:eastAsia="zh-CN"/>
                    </w:rPr>
                    <w:t>2</w:t>
                  </w:r>
                </w:p>
              </w:tc>
              <w:tc>
                <w:tcPr>
                  <w:tcW w:w="1812" w:type="pct"/>
                  <w:tcBorders>
                    <w:tl2br w:val="nil"/>
                    <w:tr2bl w:val="nil"/>
                  </w:tcBorders>
                  <w:shd w:val="clear" w:color="auto" w:fill="auto"/>
                  <w:vAlign w:val="center"/>
                </w:tcPr>
                <w:p w14:paraId="1EAD2D96">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自卸汽车</w:t>
                  </w:r>
                </w:p>
              </w:tc>
              <w:tc>
                <w:tcPr>
                  <w:tcW w:w="780" w:type="pct"/>
                  <w:tcBorders>
                    <w:tl2br w:val="nil"/>
                    <w:tr2bl w:val="nil"/>
                  </w:tcBorders>
                  <w:shd w:val="clear" w:color="auto" w:fill="auto"/>
                  <w:vAlign w:val="center"/>
                </w:tcPr>
                <w:p w14:paraId="16E7E08A">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辆</w:t>
                  </w:r>
                </w:p>
              </w:tc>
              <w:tc>
                <w:tcPr>
                  <w:tcW w:w="847" w:type="pct"/>
                  <w:tcBorders>
                    <w:tl2br w:val="nil"/>
                    <w:tr2bl w:val="nil"/>
                  </w:tcBorders>
                  <w:shd w:val="clear" w:color="auto" w:fill="auto"/>
                  <w:vAlign w:val="center"/>
                </w:tcPr>
                <w:p w14:paraId="54524D04">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15t</w:t>
                  </w:r>
                </w:p>
              </w:tc>
              <w:tc>
                <w:tcPr>
                  <w:tcW w:w="780" w:type="pct"/>
                  <w:tcBorders>
                    <w:tl2br w:val="nil"/>
                    <w:tr2bl w:val="nil"/>
                  </w:tcBorders>
                  <w:shd w:val="clear" w:color="auto" w:fill="auto"/>
                  <w:vAlign w:val="center"/>
                </w:tcPr>
                <w:p w14:paraId="0CC168E1">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12</w:t>
                  </w:r>
                </w:p>
              </w:tc>
            </w:tr>
            <w:tr w14:paraId="3CC692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9" w:type="pct"/>
                  <w:tcBorders>
                    <w:tl2br w:val="nil"/>
                    <w:tr2bl w:val="nil"/>
                  </w:tcBorders>
                  <w:shd w:val="clear" w:color="auto" w:fill="auto"/>
                  <w:vAlign w:val="center"/>
                </w:tcPr>
                <w:p w14:paraId="6D696B8C">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cs="Times New Roman"/>
                      <w:color w:val="auto"/>
                      <w:spacing w:val="0"/>
                      <w:position w:val="0"/>
                      <w:sz w:val="21"/>
                      <w:szCs w:val="21"/>
                      <w:highlight w:val="none"/>
                      <w:lang w:val="en-US" w:eastAsia="zh-CN"/>
                    </w:rPr>
                    <w:t>3</w:t>
                  </w:r>
                </w:p>
              </w:tc>
              <w:tc>
                <w:tcPr>
                  <w:tcW w:w="1812" w:type="pct"/>
                  <w:tcBorders>
                    <w:tl2br w:val="nil"/>
                    <w:tr2bl w:val="nil"/>
                  </w:tcBorders>
                  <w:shd w:val="clear" w:color="auto" w:fill="auto"/>
                  <w:vAlign w:val="center"/>
                </w:tcPr>
                <w:p w14:paraId="14F2F28A">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振动碾</w:t>
                  </w:r>
                </w:p>
              </w:tc>
              <w:tc>
                <w:tcPr>
                  <w:tcW w:w="780" w:type="pct"/>
                  <w:tcBorders>
                    <w:tl2br w:val="nil"/>
                    <w:tr2bl w:val="nil"/>
                  </w:tcBorders>
                  <w:shd w:val="clear" w:color="auto" w:fill="auto"/>
                  <w:vAlign w:val="center"/>
                </w:tcPr>
                <w:p w14:paraId="2A1A1125">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台</w:t>
                  </w:r>
                </w:p>
              </w:tc>
              <w:tc>
                <w:tcPr>
                  <w:tcW w:w="847" w:type="pct"/>
                  <w:tcBorders>
                    <w:tl2br w:val="nil"/>
                    <w:tr2bl w:val="nil"/>
                  </w:tcBorders>
                  <w:shd w:val="clear" w:color="auto" w:fill="auto"/>
                  <w:vAlign w:val="center"/>
                </w:tcPr>
                <w:p w14:paraId="60309B2B">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13.5</w:t>
                  </w:r>
                </w:p>
              </w:tc>
              <w:tc>
                <w:tcPr>
                  <w:tcW w:w="780" w:type="pct"/>
                  <w:tcBorders>
                    <w:tl2br w:val="nil"/>
                    <w:tr2bl w:val="nil"/>
                  </w:tcBorders>
                  <w:shd w:val="clear" w:color="auto" w:fill="auto"/>
                  <w:vAlign w:val="center"/>
                </w:tcPr>
                <w:p w14:paraId="4A61095F">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3</w:t>
                  </w:r>
                </w:p>
              </w:tc>
            </w:tr>
            <w:tr w14:paraId="173349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9" w:type="pct"/>
                  <w:tcBorders>
                    <w:tl2br w:val="nil"/>
                    <w:tr2bl w:val="nil"/>
                  </w:tcBorders>
                  <w:shd w:val="clear" w:color="auto" w:fill="auto"/>
                  <w:vAlign w:val="center"/>
                </w:tcPr>
                <w:p w14:paraId="1801A777">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cs="Times New Roman"/>
                      <w:color w:val="auto"/>
                      <w:spacing w:val="0"/>
                      <w:position w:val="0"/>
                      <w:sz w:val="21"/>
                      <w:szCs w:val="21"/>
                      <w:highlight w:val="none"/>
                      <w:lang w:val="en-US" w:eastAsia="zh-CN"/>
                    </w:rPr>
                    <w:t>4</w:t>
                  </w:r>
                </w:p>
              </w:tc>
              <w:tc>
                <w:tcPr>
                  <w:tcW w:w="1812" w:type="pct"/>
                  <w:tcBorders>
                    <w:tl2br w:val="nil"/>
                    <w:tr2bl w:val="nil"/>
                  </w:tcBorders>
                  <w:shd w:val="clear" w:color="auto" w:fill="auto"/>
                  <w:vAlign w:val="center"/>
                </w:tcPr>
                <w:p w14:paraId="0DC19FAD">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插入式振捣器</w:t>
                  </w:r>
                </w:p>
              </w:tc>
              <w:tc>
                <w:tcPr>
                  <w:tcW w:w="780" w:type="pct"/>
                  <w:tcBorders>
                    <w:tl2br w:val="nil"/>
                    <w:tr2bl w:val="nil"/>
                  </w:tcBorders>
                  <w:shd w:val="clear" w:color="auto" w:fill="auto"/>
                  <w:vAlign w:val="center"/>
                </w:tcPr>
                <w:p w14:paraId="0C22B785">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台</w:t>
                  </w:r>
                </w:p>
              </w:tc>
              <w:tc>
                <w:tcPr>
                  <w:tcW w:w="847" w:type="pct"/>
                  <w:tcBorders>
                    <w:tl2br w:val="nil"/>
                    <w:tr2bl w:val="nil"/>
                  </w:tcBorders>
                  <w:shd w:val="clear" w:color="auto" w:fill="auto"/>
                  <w:vAlign w:val="center"/>
                </w:tcPr>
                <w:p w14:paraId="2F49CD53">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lang w:val="en-US" w:eastAsia="zh-CN"/>
                    </w:rPr>
                    <w:t>/</w:t>
                  </w:r>
                </w:p>
              </w:tc>
              <w:tc>
                <w:tcPr>
                  <w:tcW w:w="780" w:type="pct"/>
                  <w:tcBorders>
                    <w:tl2br w:val="nil"/>
                    <w:tr2bl w:val="nil"/>
                  </w:tcBorders>
                  <w:shd w:val="clear" w:color="auto" w:fill="auto"/>
                  <w:vAlign w:val="center"/>
                </w:tcPr>
                <w:p w14:paraId="751B67CF">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cs="Times New Roman"/>
                      <w:color w:val="auto"/>
                      <w:spacing w:val="0"/>
                      <w:position w:val="0"/>
                      <w:sz w:val="21"/>
                      <w:szCs w:val="21"/>
                      <w:highlight w:val="none"/>
                      <w:lang w:val="en-US" w:eastAsia="zh-CN"/>
                    </w:rPr>
                    <w:t>4</w:t>
                  </w:r>
                </w:p>
              </w:tc>
            </w:tr>
            <w:tr w14:paraId="1FB73F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9" w:type="pct"/>
                  <w:tcBorders>
                    <w:tl2br w:val="nil"/>
                    <w:tr2bl w:val="nil"/>
                  </w:tcBorders>
                  <w:shd w:val="clear" w:color="auto" w:fill="auto"/>
                  <w:vAlign w:val="center"/>
                </w:tcPr>
                <w:p w14:paraId="540862EA">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cs="Times New Roman"/>
                      <w:color w:val="auto"/>
                      <w:spacing w:val="0"/>
                      <w:position w:val="0"/>
                      <w:sz w:val="21"/>
                      <w:szCs w:val="21"/>
                      <w:highlight w:val="none"/>
                      <w:lang w:val="en-US" w:eastAsia="zh-CN"/>
                    </w:rPr>
                    <w:t>5</w:t>
                  </w:r>
                </w:p>
              </w:tc>
              <w:tc>
                <w:tcPr>
                  <w:tcW w:w="1812" w:type="pct"/>
                  <w:tcBorders>
                    <w:tl2br w:val="nil"/>
                    <w:tr2bl w:val="nil"/>
                  </w:tcBorders>
                  <w:shd w:val="clear" w:color="auto" w:fill="auto"/>
                  <w:vAlign w:val="center"/>
                </w:tcPr>
                <w:p w14:paraId="0C25907C">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柴油发电机</w:t>
                  </w:r>
                </w:p>
              </w:tc>
              <w:tc>
                <w:tcPr>
                  <w:tcW w:w="780" w:type="pct"/>
                  <w:tcBorders>
                    <w:tl2br w:val="nil"/>
                    <w:tr2bl w:val="nil"/>
                  </w:tcBorders>
                  <w:shd w:val="clear" w:color="auto" w:fill="auto"/>
                  <w:vAlign w:val="center"/>
                </w:tcPr>
                <w:p w14:paraId="2FC21736">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台</w:t>
                  </w:r>
                </w:p>
              </w:tc>
              <w:tc>
                <w:tcPr>
                  <w:tcW w:w="847" w:type="pct"/>
                  <w:tcBorders>
                    <w:tl2br w:val="nil"/>
                    <w:tr2bl w:val="nil"/>
                  </w:tcBorders>
                  <w:shd w:val="clear" w:color="auto" w:fill="auto"/>
                  <w:vAlign w:val="center"/>
                </w:tcPr>
                <w:p w14:paraId="05CC6504">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30w</w:t>
                  </w:r>
                </w:p>
              </w:tc>
              <w:tc>
                <w:tcPr>
                  <w:tcW w:w="780" w:type="pct"/>
                  <w:tcBorders>
                    <w:tl2br w:val="nil"/>
                    <w:tr2bl w:val="nil"/>
                  </w:tcBorders>
                  <w:shd w:val="clear" w:color="auto" w:fill="auto"/>
                  <w:vAlign w:val="center"/>
                </w:tcPr>
                <w:p w14:paraId="01B0F026">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cs="Times New Roman"/>
                      <w:color w:val="auto"/>
                      <w:spacing w:val="0"/>
                      <w:position w:val="0"/>
                      <w:sz w:val="21"/>
                      <w:szCs w:val="21"/>
                      <w:highlight w:val="none"/>
                      <w:lang w:val="en-US" w:eastAsia="zh-CN"/>
                    </w:rPr>
                    <w:t>1</w:t>
                  </w:r>
                </w:p>
              </w:tc>
            </w:tr>
            <w:tr w14:paraId="708C76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9" w:type="pct"/>
                  <w:tcBorders>
                    <w:tl2br w:val="nil"/>
                    <w:tr2bl w:val="nil"/>
                  </w:tcBorders>
                  <w:shd w:val="clear" w:color="auto" w:fill="auto"/>
                  <w:vAlign w:val="center"/>
                </w:tcPr>
                <w:p w14:paraId="199D8C57">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cs="Times New Roman"/>
                      <w:color w:val="auto"/>
                      <w:spacing w:val="0"/>
                      <w:position w:val="0"/>
                      <w:sz w:val="21"/>
                      <w:szCs w:val="21"/>
                      <w:highlight w:val="none"/>
                      <w:lang w:val="en-US" w:eastAsia="zh-CN"/>
                    </w:rPr>
                    <w:t>6</w:t>
                  </w:r>
                </w:p>
              </w:tc>
              <w:tc>
                <w:tcPr>
                  <w:tcW w:w="1812" w:type="pct"/>
                  <w:tcBorders>
                    <w:tl2br w:val="nil"/>
                    <w:tr2bl w:val="nil"/>
                  </w:tcBorders>
                  <w:shd w:val="clear" w:color="auto" w:fill="auto"/>
                  <w:vAlign w:val="center"/>
                </w:tcPr>
                <w:p w14:paraId="0856C35A">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挖掘机</w:t>
                  </w:r>
                </w:p>
              </w:tc>
              <w:tc>
                <w:tcPr>
                  <w:tcW w:w="780" w:type="pct"/>
                  <w:tcBorders>
                    <w:tl2br w:val="nil"/>
                    <w:tr2bl w:val="nil"/>
                  </w:tcBorders>
                  <w:shd w:val="clear" w:color="auto" w:fill="auto"/>
                  <w:vAlign w:val="center"/>
                </w:tcPr>
                <w:p w14:paraId="5BF28D6F">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台</w:t>
                  </w:r>
                </w:p>
              </w:tc>
              <w:tc>
                <w:tcPr>
                  <w:tcW w:w="847" w:type="pct"/>
                  <w:tcBorders>
                    <w:tl2br w:val="nil"/>
                    <w:tr2bl w:val="nil"/>
                  </w:tcBorders>
                  <w:shd w:val="clear" w:color="auto" w:fill="auto"/>
                  <w:vAlign w:val="center"/>
                </w:tcPr>
                <w:p w14:paraId="449A64A3">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1m³</w:t>
                  </w:r>
                </w:p>
              </w:tc>
              <w:tc>
                <w:tcPr>
                  <w:tcW w:w="780" w:type="pct"/>
                  <w:tcBorders>
                    <w:tl2br w:val="nil"/>
                    <w:tr2bl w:val="nil"/>
                  </w:tcBorders>
                  <w:shd w:val="clear" w:color="auto" w:fill="auto"/>
                  <w:vAlign w:val="center"/>
                </w:tcPr>
                <w:p w14:paraId="110F45F2">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6</w:t>
                  </w:r>
                </w:p>
              </w:tc>
            </w:tr>
            <w:tr w14:paraId="21B575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9" w:type="pct"/>
                  <w:tcBorders>
                    <w:tl2br w:val="nil"/>
                    <w:tr2bl w:val="nil"/>
                  </w:tcBorders>
                  <w:shd w:val="clear" w:color="auto" w:fill="auto"/>
                  <w:vAlign w:val="center"/>
                </w:tcPr>
                <w:p w14:paraId="038F73C6">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cs="Times New Roman"/>
                      <w:color w:val="auto"/>
                      <w:spacing w:val="0"/>
                      <w:position w:val="0"/>
                      <w:sz w:val="21"/>
                      <w:szCs w:val="21"/>
                      <w:highlight w:val="none"/>
                      <w:lang w:val="en-US" w:eastAsia="zh-CN"/>
                    </w:rPr>
                    <w:t>7</w:t>
                  </w:r>
                </w:p>
              </w:tc>
              <w:tc>
                <w:tcPr>
                  <w:tcW w:w="1812" w:type="pct"/>
                  <w:tcBorders>
                    <w:tl2br w:val="nil"/>
                    <w:tr2bl w:val="nil"/>
                  </w:tcBorders>
                  <w:shd w:val="clear" w:color="auto" w:fill="auto"/>
                  <w:vAlign w:val="center"/>
                </w:tcPr>
                <w:p w14:paraId="3147B37D">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洒水车</w:t>
                  </w:r>
                </w:p>
              </w:tc>
              <w:tc>
                <w:tcPr>
                  <w:tcW w:w="780" w:type="pct"/>
                  <w:tcBorders>
                    <w:tl2br w:val="nil"/>
                    <w:tr2bl w:val="nil"/>
                  </w:tcBorders>
                  <w:shd w:val="clear" w:color="auto" w:fill="auto"/>
                  <w:vAlign w:val="center"/>
                </w:tcPr>
                <w:p w14:paraId="27E58146">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辆</w:t>
                  </w:r>
                </w:p>
              </w:tc>
              <w:tc>
                <w:tcPr>
                  <w:tcW w:w="847" w:type="pct"/>
                  <w:tcBorders>
                    <w:tl2br w:val="nil"/>
                    <w:tr2bl w:val="nil"/>
                  </w:tcBorders>
                  <w:shd w:val="clear" w:color="auto" w:fill="auto"/>
                  <w:vAlign w:val="center"/>
                </w:tcPr>
                <w:p w14:paraId="1819534D">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lang w:val="en-US" w:eastAsia="zh-CN"/>
                    </w:rPr>
                    <w:t>/</w:t>
                  </w:r>
                </w:p>
              </w:tc>
              <w:tc>
                <w:tcPr>
                  <w:tcW w:w="780" w:type="pct"/>
                  <w:tcBorders>
                    <w:tl2br w:val="nil"/>
                    <w:tr2bl w:val="nil"/>
                  </w:tcBorders>
                  <w:shd w:val="clear" w:color="auto" w:fill="auto"/>
                  <w:vAlign w:val="center"/>
                </w:tcPr>
                <w:p w14:paraId="0269A0BA">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3</w:t>
                  </w:r>
                </w:p>
              </w:tc>
            </w:tr>
            <w:tr w14:paraId="74A99E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9" w:type="pct"/>
                  <w:tcBorders>
                    <w:tl2br w:val="nil"/>
                    <w:tr2bl w:val="nil"/>
                  </w:tcBorders>
                  <w:shd w:val="clear" w:color="auto" w:fill="auto"/>
                  <w:vAlign w:val="center"/>
                </w:tcPr>
                <w:p w14:paraId="068B3E06">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cs="Times New Roman"/>
                      <w:color w:val="auto"/>
                      <w:spacing w:val="0"/>
                      <w:position w:val="0"/>
                      <w:sz w:val="21"/>
                      <w:szCs w:val="21"/>
                      <w:highlight w:val="none"/>
                      <w:lang w:val="en-US" w:eastAsia="zh-CN"/>
                    </w:rPr>
                    <w:t>8</w:t>
                  </w:r>
                </w:p>
              </w:tc>
              <w:tc>
                <w:tcPr>
                  <w:tcW w:w="1812" w:type="pct"/>
                  <w:tcBorders>
                    <w:tl2br w:val="nil"/>
                    <w:tr2bl w:val="nil"/>
                  </w:tcBorders>
                  <w:shd w:val="clear" w:color="auto" w:fill="auto"/>
                  <w:vAlign w:val="center"/>
                </w:tcPr>
                <w:p w14:paraId="2FDD026C">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胶轮车</w:t>
                  </w:r>
                </w:p>
              </w:tc>
              <w:tc>
                <w:tcPr>
                  <w:tcW w:w="780" w:type="pct"/>
                  <w:tcBorders>
                    <w:tl2br w:val="nil"/>
                    <w:tr2bl w:val="nil"/>
                  </w:tcBorders>
                  <w:shd w:val="clear" w:color="auto" w:fill="auto"/>
                  <w:vAlign w:val="center"/>
                </w:tcPr>
                <w:p w14:paraId="722382C9">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辆</w:t>
                  </w:r>
                </w:p>
              </w:tc>
              <w:tc>
                <w:tcPr>
                  <w:tcW w:w="847" w:type="pct"/>
                  <w:tcBorders>
                    <w:tl2br w:val="nil"/>
                    <w:tr2bl w:val="nil"/>
                  </w:tcBorders>
                  <w:shd w:val="clear" w:color="auto" w:fill="auto"/>
                  <w:noWrap/>
                  <w:vAlign w:val="center"/>
                </w:tcPr>
                <w:p w14:paraId="7F8CBE6C">
                  <w:pPr>
                    <w:widowControl/>
                    <w:shd w:val="clear"/>
                    <w:spacing w:line="240" w:lineRule="auto"/>
                    <w:ind w:firstLine="0" w:firstLineChars="0"/>
                    <w:jc w:val="center"/>
                    <w:rPr>
                      <w:rFonts w:hint="default" w:ascii="Times New Roman" w:hAnsi="Times New Roman" w:eastAsia="宋体" w:cs="Times New Roman"/>
                      <w:color w:val="auto"/>
                      <w:spacing w:val="0"/>
                      <w:position w:val="0"/>
                      <w:sz w:val="22"/>
                      <w:szCs w:val="22"/>
                      <w:highlight w:val="none"/>
                      <w:lang w:val="en-US" w:eastAsia="zh-CN"/>
                    </w:rPr>
                  </w:pPr>
                  <w:r>
                    <w:rPr>
                      <w:rFonts w:hint="default" w:ascii="Times New Roman" w:hAnsi="Times New Roman" w:eastAsia="宋体" w:cs="Times New Roman"/>
                      <w:color w:val="auto"/>
                      <w:spacing w:val="0"/>
                      <w:position w:val="0"/>
                      <w:sz w:val="22"/>
                      <w:szCs w:val="22"/>
                      <w:highlight w:val="none"/>
                      <w:lang w:val="en-US" w:eastAsia="zh-CN"/>
                    </w:rPr>
                    <w:t>/</w:t>
                  </w:r>
                </w:p>
              </w:tc>
              <w:tc>
                <w:tcPr>
                  <w:tcW w:w="780" w:type="pct"/>
                  <w:tcBorders>
                    <w:tl2br w:val="nil"/>
                    <w:tr2bl w:val="nil"/>
                  </w:tcBorders>
                  <w:shd w:val="clear" w:color="auto" w:fill="auto"/>
                  <w:vAlign w:val="center"/>
                </w:tcPr>
                <w:p w14:paraId="7D38D468">
                  <w:pPr>
                    <w:widowControl/>
                    <w:shd w:val="clear"/>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6</w:t>
                  </w:r>
                </w:p>
              </w:tc>
            </w:tr>
          </w:tbl>
          <w:p w14:paraId="5E4F0886">
            <w:pPr>
              <w:pStyle w:val="2"/>
              <w:shd w:val="clear"/>
              <w:rPr>
                <w:rFonts w:hint="default" w:ascii="Times New Roman" w:hAnsi="Times New Roman" w:eastAsia="宋体" w:cs="Times New Roman"/>
                <w:color w:val="auto"/>
                <w:spacing w:val="0"/>
                <w:highlight w:val="none"/>
              </w:rPr>
            </w:pPr>
            <w:r>
              <w:rPr>
                <w:rFonts w:hint="default" w:ascii="Times New Roman" w:hAnsi="Times New Roman" w:eastAsia="宋体" w:cs="Times New Roman"/>
                <w:color w:val="auto"/>
                <w:spacing w:val="0"/>
                <w:highlight w:val="none"/>
                <w:lang w:val="en-US" w:eastAsia="zh-CN"/>
              </w:rPr>
              <w:t>8.</w:t>
            </w:r>
            <w:r>
              <w:rPr>
                <w:rFonts w:hint="default" w:ascii="Times New Roman" w:hAnsi="Times New Roman" w:eastAsia="宋体" w:cs="Times New Roman"/>
                <w:color w:val="auto"/>
                <w:spacing w:val="0"/>
                <w:highlight w:val="none"/>
              </w:rPr>
              <w:t>施工进度</w:t>
            </w:r>
          </w:p>
          <w:p w14:paraId="6D24FF7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根据《水利水电工程施工组织设计规范》（SL303-2017）及结合工程施工条件，初步拟定本工程总工期4个月，由第一年7月初至当年10月底。其中工程准备期为1个月，主体工程施工期3个月，工程完建期为0.5个月</w:t>
            </w:r>
            <w:r>
              <w:rPr>
                <w:rFonts w:hint="default" w:ascii="Times New Roman" w:hAnsi="Times New Roman" w:eastAsia="宋体" w:cs="Times New Roman"/>
                <w:color w:val="auto"/>
                <w:spacing w:val="0"/>
                <w:sz w:val="24"/>
                <w:szCs w:val="32"/>
                <w:highlight w:val="none"/>
                <w:lang w:eastAsia="zh-CN"/>
              </w:rPr>
              <w:t>。</w:t>
            </w:r>
            <w:r>
              <w:rPr>
                <w:rFonts w:hint="default" w:ascii="Times New Roman" w:hAnsi="Times New Roman" w:eastAsia="宋体" w:cs="Times New Roman"/>
                <w:color w:val="auto"/>
                <w:spacing w:val="0"/>
                <w:sz w:val="24"/>
                <w:szCs w:val="32"/>
                <w:highlight w:val="none"/>
              </w:rPr>
              <w:t>（与主体工程重叠）</w:t>
            </w:r>
          </w:p>
          <w:p w14:paraId="76924D16">
            <w:pPr>
              <w:shd w:val="clear"/>
              <w:spacing w:line="240" w:lineRule="auto"/>
              <w:ind w:firstLine="0" w:firstLineChars="0"/>
              <w:jc w:val="center"/>
              <w:rPr>
                <w:rFonts w:hint="default" w:ascii="Times New Roman" w:hAnsi="Times New Roman" w:eastAsia="宋体" w:cs="Times New Roman"/>
                <w:b/>
                <w:bCs w:val="0"/>
                <w:color w:val="auto"/>
                <w:spacing w:val="0"/>
                <w:highlight w:val="none"/>
              </w:rPr>
            </w:pPr>
            <w:r>
              <w:rPr>
                <w:rFonts w:hint="default" w:ascii="Times New Roman" w:hAnsi="Times New Roman" w:eastAsia="宋体" w:cs="Times New Roman"/>
                <w:b/>
                <w:bCs w:val="0"/>
                <w:color w:val="auto"/>
                <w:spacing w:val="0"/>
                <w:highlight w:val="none"/>
              </w:rPr>
              <w:t>表2</w:t>
            </w:r>
            <w:r>
              <w:rPr>
                <w:rFonts w:hint="default" w:ascii="Times New Roman" w:hAnsi="Times New Roman" w:eastAsia="宋体" w:cs="Times New Roman"/>
                <w:b/>
                <w:bCs w:val="0"/>
                <w:color w:val="auto"/>
                <w:spacing w:val="0"/>
                <w:highlight w:val="none"/>
                <w:lang w:val="en-US" w:eastAsia="zh-CN"/>
              </w:rPr>
              <w:t xml:space="preserve">-5    </w:t>
            </w:r>
            <w:r>
              <w:rPr>
                <w:rFonts w:hint="default" w:ascii="Times New Roman" w:hAnsi="Times New Roman" w:eastAsia="宋体" w:cs="Times New Roman"/>
                <w:b/>
                <w:bCs w:val="0"/>
                <w:color w:val="auto"/>
                <w:spacing w:val="0"/>
                <w:highlight w:val="none"/>
              </w:rPr>
              <w:t>施工总进度计划表</w:t>
            </w:r>
          </w:p>
          <w:tbl>
            <w:tblPr>
              <w:tblStyle w:val="31"/>
              <w:tblW w:w="7470"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8"/>
              <w:gridCol w:w="530"/>
              <w:gridCol w:w="1564"/>
              <w:gridCol w:w="381"/>
              <w:gridCol w:w="381"/>
              <w:gridCol w:w="393"/>
              <w:gridCol w:w="381"/>
              <w:gridCol w:w="381"/>
              <w:gridCol w:w="399"/>
              <w:gridCol w:w="436"/>
              <w:gridCol w:w="381"/>
              <w:gridCol w:w="460"/>
              <w:gridCol w:w="382"/>
              <w:gridCol w:w="473"/>
              <w:gridCol w:w="450"/>
            </w:tblGrid>
            <w:tr w14:paraId="444C1F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vMerge w:val="restart"/>
                  <w:shd w:val="clear" w:color="auto" w:fill="auto"/>
                  <w:vAlign w:val="center"/>
                </w:tcPr>
                <w:p w14:paraId="148FB8B1">
                  <w:pPr>
                    <w:keepNext w:val="0"/>
                    <w:keepLines w:val="0"/>
                    <w:pageBreakBefore w:val="0"/>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序</w:t>
                  </w:r>
                </w:p>
                <w:p w14:paraId="5A9F23C6">
                  <w:pPr>
                    <w:keepNext w:val="0"/>
                    <w:keepLines w:val="0"/>
                    <w:pageBreakBefore w:val="0"/>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号</w:t>
                  </w:r>
                </w:p>
              </w:tc>
              <w:tc>
                <w:tcPr>
                  <w:tcW w:w="1401" w:type="pct"/>
                  <w:gridSpan w:val="2"/>
                  <w:vMerge w:val="restart"/>
                  <w:tcBorders>
                    <w:tl2br w:val="single" w:color="auto" w:sz="12" w:space="0"/>
                  </w:tcBorders>
                  <w:shd w:val="clear" w:color="auto" w:fill="auto"/>
                  <w:vAlign w:val="center"/>
                </w:tcPr>
                <w:p w14:paraId="5EB0ED38">
                  <w:pPr>
                    <w:keepNext w:val="0"/>
                    <w:keepLines w:val="0"/>
                    <w:pageBreakBefore w:val="0"/>
                    <w:shd w:val="clear"/>
                    <w:kinsoku/>
                    <w:wordWrap/>
                    <w:overflowPunct/>
                    <w:topLinePunct w:val="0"/>
                    <w:autoSpaceDE/>
                    <w:autoSpaceDN/>
                    <w:bidi w:val="0"/>
                    <w:adjustRightInd w:val="0"/>
                    <w:snapToGrid/>
                    <w:spacing w:line="240" w:lineRule="auto"/>
                    <w:ind w:left="0" w:leftChars="0" w:firstLine="0" w:firstLineChars="0"/>
                    <w:jc w:val="right"/>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年份</w:t>
                  </w:r>
                </w:p>
                <w:p w14:paraId="032AB9E6">
                  <w:pPr>
                    <w:pStyle w:val="8"/>
                    <w:keepNext w:val="0"/>
                    <w:keepLines w:val="0"/>
                    <w:pageBreakBefore w:val="0"/>
                    <w:shd w:val="clear"/>
                    <w:kinsoku/>
                    <w:wordWrap/>
                    <w:overflowPunct/>
                    <w:topLinePunct w:val="0"/>
                    <w:autoSpaceDE/>
                    <w:autoSpaceDN/>
                    <w:bidi w:val="0"/>
                    <w:snapToGrid/>
                    <w:spacing w:after="0" w:line="240" w:lineRule="auto"/>
                    <w:ind w:left="0" w:leftChars="0" w:firstLine="0"/>
                    <w:textAlignment w:val="auto"/>
                    <w:rPr>
                      <w:rFonts w:hint="default" w:ascii="Times New Roman" w:hAnsi="Times New Roman" w:eastAsia="宋体" w:cs="Times New Roman"/>
                      <w:b/>
                      <w:bCs/>
                      <w:color w:val="auto"/>
                      <w:spacing w:val="0"/>
                      <w:sz w:val="21"/>
                      <w:szCs w:val="21"/>
                      <w:highlight w:val="none"/>
                    </w:rPr>
                  </w:pPr>
                </w:p>
                <w:p w14:paraId="5D88B494">
                  <w:pPr>
                    <w:pStyle w:val="23"/>
                    <w:keepNext w:val="0"/>
                    <w:keepLines w:val="0"/>
                    <w:pageBreakBefore w:val="0"/>
                    <w:shd w:val="clear"/>
                    <w:kinsoku/>
                    <w:wordWrap/>
                    <w:overflowPunct/>
                    <w:topLinePunct w:val="0"/>
                    <w:autoSpaceDE/>
                    <w:autoSpaceDN/>
                    <w:bidi w:val="0"/>
                    <w:snapToGrid/>
                    <w:spacing w:after="0" w:line="240" w:lineRule="auto"/>
                    <w:ind w:left="0" w:leftChars="0" w:firstLine="0"/>
                    <w:textAlignment w:val="auto"/>
                    <w:rPr>
                      <w:rFonts w:hint="default" w:ascii="Times New Roman" w:hAnsi="Times New Roman" w:eastAsia="宋体" w:cs="Times New Roman"/>
                      <w:color w:val="auto"/>
                      <w:spacing w:val="0"/>
                      <w:sz w:val="21"/>
                      <w:szCs w:val="21"/>
                      <w:highlight w:val="none"/>
                    </w:rPr>
                  </w:pPr>
                </w:p>
                <w:p w14:paraId="2DF4D07D">
                  <w:pPr>
                    <w:keepNext w:val="0"/>
                    <w:keepLines w:val="0"/>
                    <w:pageBreakBefore w:val="0"/>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工作内容</w:t>
                  </w:r>
                </w:p>
              </w:tc>
              <w:tc>
                <w:tcPr>
                  <w:tcW w:w="3278" w:type="pct"/>
                  <w:gridSpan w:val="12"/>
                  <w:shd w:val="clear" w:color="auto" w:fill="auto"/>
                  <w:vAlign w:val="center"/>
                </w:tcPr>
                <w:p w14:paraId="3F892A22">
                  <w:pPr>
                    <w:keepNext w:val="0"/>
                    <w:keepLines w:val="0"/>
                    <w:pageBreakBefore w:val="0"/>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第一年</w:t>
                  </w:r>
                </w:p>
              </w:tc>
            </w:tr>
            <w:tr w14:paraId="7624B1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vMerge w:val="continue"/>
                  <w:shd w:val="clear" w:color="auto" w:fill="auto"/>
                  <w:vAlign w:val="center"/>
                </w:tcPr>
                <w:p w14:paraId="311205D4">
                  <w:pPr>
                    <w:keepNext w:val="0"/>
                    <w:keepLines w:val="0"/>
                    <w:pageBreakBefore w:val="0"/>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p>
              </w:tc>
              <w:tc>
                <w:tcPr>
                  <w:tcW w:w="1401" w:type="pct"/>
                  <w:gridSpan w:val="2"/>
                  <w:vMerge w:val="continue"/>
                  <w:shd w:val="clear" w:color="auto" w:fill="auto"/>
                  <w:vAlign w:val="center"/>
                </w:tcPr>
                <w:p w14:paraId="6BF0E038">
                  <w:pPr>
                    <w:keepNext w:val="0"/>
                    <w:keepLines w:val="0"/>
                    <w:pageBreakBefore w:val="0"/>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p>
              </w:tc>
              <w:tc>
                <w:tcPr>
                  <w:tcW w:w="773" w:type="pct"/>
                  <w:gridSpan w:val="3"/>
                  <w:shd w:val="clear" w:color="auto" w:fill="auto"/>
                  <w:vAlign w:val="center"/>
                </w:tcPr>
                <w:p w14:paraId="2660B2B4">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7月</w:t>
                  </w:r>
                </w:p>
              </w:tc>
              <w:tc>
                <w:tcPr>
                  <w:tcW w:w="777" w:type="pct"/>
                  <w:gridSpan w:val="3"/>
                  <w:shd w:val="clear" w:color="auto" w:fill="auto"/>
                  <w:vAlign w:val="center"/>
                </w:tcPr>
                <w:p w14:paraId="44DE0686">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8月</w:t>
                  </w:r>
                </w:p>
              </w:tc>
              <w:tc>
                <w:tcPr>
                  <w:tcW w:w="854" w:type="pct"/>
                  <w:gridSpan w:val="3"/>
                  <w:vAlign w:val="center"/>
                </w:tcPr>
                <w:p w14:paraId="6EF927F4">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9月</w:t>
                  </w:r>
                </w:p>
              </w:tc>
              <w:tc>
                <w:tcPr>
                  <w:tcW w:w="873" w:type="pct"/>
                  <w:gridSpan w:val="3"/>
                  <w:vAlign w:val="center"/>
                </w:tcPr>
                <w:p w14:paraId="01791723">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10月</w:t>
                  </w:r>
                </w:p>
              </w:tc>
            </w:tr>
            <w:tr w14:paraId="4BA67E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vMerge w:val="continue"/>
                  <w:tcBorders>
                    <w:bottom w:val="single" w:color="auto" w:sz="12" w:space="0"/>
                  </w:tcBorders>
                  <w:shd w:val="clear" w:color="auto" w:fill="auto"/>
                  <w:vAlign w:val="center"/>
                </w:tcPr>
                <w:p w14:paraId="7F8D4A7F">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p>
              </w:tc>
              <w:tc>
                <w:tcPr>
                  <w:tcW w:w="1401" w:type="pct"/>
                  <w:gridSpan w:val="2"/>
                  <w:vMerge w:val="continue"/>
                  <w:tcBorders>
                    <w:bottom w:val="single" w:color="auto" w:sz="12" w:space="0"/>
                  </w:tcBorders>
                  <w:shd w:val="clear" w:color="auto" w:fill="auto"/>
                  <w:vAlign w:val="center"/>
                </w:tcPr>
                <w:p w14:paraId="62263C38">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p>
              </w:tc>
              <w:tc>
                <w:tcPr>
                  <w:tcW w:w="255" w:type="pct"/>
                  <w:tcBorders>
                    <w:bottom w:val="single" w:color="auto" w:sz="12" w:space="0"/>
                  </w:tcBorders>
                  <w:shd w:val="clear" w:color="auto" w:fill="auto"/>
                  <w:vAlign w:val="center"/>
                </w:tcPr>
                <w:p w14:paraId="731CFAC1">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上</w:t>
                  </w:r>
                </w:p>
                <w:p w14:paraId="79E80831">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旬</w:t>
                  </w:r>
                </w:p>
              </w:tc>
              <w:tc>
                <w:tcPr>
                  <w:tcW w:w="255" w:type="pct"/>
                  <w:tcBorders>
                    <w:bottom w:val="single" w:color="auto" w:sz="12" w:space="0"/>
                  </w:tcBorders>
                  <w:shd w:val="clear" w:color="auto" w:fill="auto"/>
                  <w:vAlign w:val="center"/>
                </w:tcPr>
                <w:p w14:paraId="320F7BD1">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中</w:t>
                  </w:r>
                </w:p>
                <w:p w14:paraId="522D63A8">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旬</w:t>
                  </w:r>
                </w:p>
              </w:tc>
              <w:tc>
                <w:tcPr>
                  <w:tcW w:w="263" w:type="pct"/>
                  <w:tcBorders>
                    <w:bottom w:val="single" w:color="auto" w:sz="12" w:space="0"/>
                  </w:tcBorders>
                  <w:shd w:val="clear" w:color="auto" w:fill="auto"/>
                  <w:vAlign w:val="center"/>
                </w:tcPr>
                <w:p w14:paraId="5B60FB42">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下</w:t>
                  </w:r>
                </w:p>
                <w:p w14:paraId="3491E79D">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旬</w:t>
                  </w:r>
                </w:p>
              </w:tc>
              <w:tc>
                <w:tcPr>
                  <w:tcW w:w="255" w:type="pct"/>
                  <w:tcBorders>
                    <w:bottom w:val="single" w:color="auto" w:sz="12" w:space="0"/>
                  </w:tcBorders>
                  <w:shd w:val="clear" w:color="auto" w:fill="auto"/>
                  <w:vAlign w:val="center"/>
                </w:tcPr>
                <w:p w14:paraId="55CC1A02">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上</w:t>
                  </w:r>
                </w:p>
                <w:p w14:paraId="0D39B66C">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旬</w:t>
                  </w:r>
                </w:p>
              </w:tc>
              <w:tc>
                <w:tcPr>
                  <w:tcW w:w="255" w:type="pct"/>
                  <w:tcBorders>
                    <w:bottom w:val="single" w:color="auto" w:sz="12" w:space="0"/>
                  </w:tcBorders>
                  <w:shd w:val="clear" w:color="auto" w:fill="auto"/>
                  <w:vAlign w:val="center"/>
                </w:tcPr>
                <w:p w14:paraId="22779CA6">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中</w:t>
                  </w:r>
                </w:p>
                <w:p w14:paraId="6B77FB82">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旬</w:t>
                  </w:r>
                </w:p>
              </w:tc>
              <w:tc>
                <w:tcPr>
                  <w:tcW w:w="267" w:type="pct"/>
                  <w:tcBorders>
                    <w:bottom w:val="single" w:color="auto" w:sz="12" w:space="0"/>
                  </w:tcBorders>
                  <w:shd w:val="clear" w:color="auto" w:fill="auto"/>
                  <w:vAlign w:val="center"/>
                </w:tcPr>
                <w:p w14:paraId="603D679E">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下</w:t>
                  </w:r>
                </w:p>
                <w:p w14:paraId="0FBA89E0">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旬</w:t>
                  </w:r>
                </w:p>
              </w:tc>
              <w:tc>
                <w:tcPr>
                  <w:tcW w:w="291" w:type="pct"/>
                  <w:tcBorders>
                    <w:bottom w:val="single" w:color="auto" w:sz="12" w:space="0"/>
                  </w:tcBorders>
                  <w:vAlign w:val="center"/>
                </w:tcPr>
                <w:p w14:paraId="2F21377B">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上</w:t>
                  </w:r>
                </w:p>
                <w:p w14:paraId="3C271792">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旬</w:t>
                  </w:r>
                </w:p>
              </w:tc>
              <w:tc>
                <w:tcPr>
                  <w:tcW w:w="255" w:type="pct"/>
                  <w:tcBorders>
                    <w:bottom w:val="single" w:color="auto" w:sz="12" w:space="0"/>
                  </w:tcBorders>
                  <w:vAlign w:val="center"/>
                </w:tcPr>
                <w:p w14:paraId="1E3A1F05">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中</w:t>
                  </w:r>
                </w:p>
                <w:p w14:paraId="3825AA45">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旬</w:t>
                  </w:r>
                </w:p>
              </w:tc>
              <w:tc>
                <w:tcPr>
                  <w:tcW w:w="307" w:type="pct"/>
                  <w:tcBorders>
                    <w:bottom w:val="single" w:color="auto" w:sz="12" w:space="0"/>
                  </w:tcBorders>
                  <w:vAlign w:val="center"/>
                </w:tcPr>
                <w:p w14:paraId="360614D6">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下</w:t>
                  </w:r>
                </w:p>
                <w:p w14:paraId="6ED4E9BE">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旬</w:t>
                  </w:r>
                </w:p>
              </w:tc>
              <w:tc>
                <w:tcPr>
                  <w:tcW w:w="255" w:type="pct"/>
                  <w:tcBorders>
                    <w:bottom w:val="single" w:color="auto" w:sz="12" w:space="0"/>
                  </w:tcBorders>
                  <w:vAlign w:val="center"/>
                </w:tcPr>
                <w:p w14:paraId="00FC0137">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上</w:t>
                  </w:r>
                </w:p>
                <w:p w14:paraId="5DCF6F04">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旬</w:t>
                  </w:r>
                </w:p>
              </w:tc>
              <w:tc>
                <w:tcPr>
                  <w:tcW w:w="316" w:type="pct"/>
                  <w:tcBorders>
                    <w:bottom w:val="single" w:color="auto" w:sz="12" w:space="0"/>
                  </w:tcBorders>
                  <w:vAlign w:val="center"/>
                </w:tcPr>
                <w:p w14:paraId="2BD2B84B">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中</w:t>
                  </w:r>
                </w:p>
                <w:p w14:paraId="0346109F">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旬</w:t>
                  </w:r>
                </w:p>
              </w:tc>
              <w:tc>
                <w:tcPr>
                  <w:tcW w:w="301" w:type="pct"/>
                  <w:tcBorders>
                    <w:bottom w:val="single" w:color="auto" w:sz="12" w:space="0"/>
                  </w:tcBorders>
                  <w:vAlign w:val="center"/>
                </w:tcPr>
                <w:p w14:paraId="03445D9B">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下</w:t>
                  </w:r>
                </w:p>
                <w:p w14:paraId="607004A3">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旬</w:t>
                  </w:r>
                </w:p>
              </w:tc>
            </w:tr>
            <w:tr w14:paraId="59219F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vMerge w:val="restart"/>
                  <w:tcBorders>
                    <w:top w:val="single" w:color="auto" w:sz="12" w:space="0"/>
                    <w:tl2br w:val="nil"/>
                    <w:tr2bl w:val="nil"/>
                  </w:tcBorders>
                  <w:shd w:val="clear" w:color="auto" w:fill="auto"/>
                  <w:vAlign w:val="center"/>
                </w:tcPr>
                <w:p w14:paraId="61ECDBCB">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1</w:t>
                  </w:r>
                </w:p>
              </w:tc>
              <w:tc>
                <w:tcPr>
                  <w:tcW w:w="354" w:type="pct"/>
                  <w:vMerge w:val="restart"/>
                  <w:tcBorders>
                    <w:top w:val="single" w:color="auto" w:sz="12" w:space="0"/>
                    <w:tl2br w:val="nil"/>
                    <w:tr2bl w:val="nil"/>
                  </w:tcBorders>
                  <w:shd w:val="clear" w:color="auto" w:fill="auto"/>
                  <w:vAlign w:val="center"/>
                </w:tcPr>
                <w:p w14:paraId="55BECCEA">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准备</w:t>
                  </w:r>
                </w:p>
                <w:p w14:paraId="14623F79">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工程</w:t>
                  </w:r>
                </w:p>
              </w:tc>
              <w:tc>
                <w:tcPr>
                  <w:tcW w:w="1046" w:type="pct"/>
                  <w:tcBorders>
                    <w:top w:val="single" w:color="auto" w:sz="12" w:space="0"/>
                    <w:tl2br w:val="nil"/>
                    <w:tr2bl w:val="nil"/>
                  </w:tcBorders>
                  <w:shd w:val="clear" w:color="auto" w:fill="auto"/>
                  <w:vAlign w:val="center"/>
                </w:tcPr>
                <w:p w14:paraId="35870141">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场内外交通</w:t>
                  </w:r>
                </w:p>
              </w:tc>
              <w:tc>
                <w:tcPr>
                  <w:tcW w:w="255" w:type="pct"/>
                  <w:tcBorders>
                    <w:top w:val="single" w:color="auto" w:sz="12" w:space="0"/>
                    <w:tl2br w:val="nil"/>
                    <w:tr2bl w:val="nil"/>
                  </w:tcBorders>
                  <w:shd w:val="clear" w:color="auto" w:fill="auto"/>
                  <w:vAlign w:val="center"/>
                </w:tcPr>
                <w:p w14:paraId="46B09C9B">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126365</wp:posOffset>
                            </wp:positionV>
                            <wp:extent cx="805180" cy="0"/>
                            <wp:effectExtent l="0" t="9525" r="13970" b="9525"/>
                            <wp:wrapNone/>
                            <wp:docPr id="8" name="直接箭头连接符 8"/>
                            <wp:cNvGraphicFramePr/>
                            <a:graphic xmlns:a="http://schemas.openxmlformats.org/drawingml/2006/main">
                              <a:graphicData uri="http://schemas.microsoft.com/office/word/2010/wordprocessingShape">
                                <wps:wsp>
                                  <wps:cNvCnPr/>
                                  <wps:spPr>
                                    <a:xfrm>
                                      <a:off x="0" y="0"/>
                                      <a:ext cx="805180"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6pt;margin-top:9.95pt;height:0pt;width:63.4pt;z-index:251661312;mso-width-relative:page;mso-height-relative:page;" filled="f" stroked="t" coordsize="21600,21600" o:gfxdata="UEsDBAoAAAAAAIdO4kAAAAAAAAAAAAAAAAAEAAAAZHJzL1BLAwQUAAAACACHTuJA3wxEJ9MAAAAI&#10;AQAADwAAAGRycy9kb3ducmV2LnhtbE2PwU7DMBBE70j9B2srcUGt01SK0hCnByROHAiFD9jESxIR&#10;r6PYaczf44oDHHdmNPumPAcziivNbrCs4LBPQBC3Vg/cKfh4f97lIJxH1jhaJgXf5OBcbe5KLLRd&#10;+Y2uF9+JWMKuQAW991MhpWt7Muj2diKO3qedDfp4zp3UM66x3IwyTZJMGhw4fuhxoqee2q/LYhSE&#10;14x9qPPQrLy8uPyhDmhqpe63h+QRhKfg/8Jww4/oUEWmxi6snRgV7I5pTEb9dAJx89NjBqL5FWRV&#10;yv8Dqh9QSwMEFAAAAAgAh07iQPgKyGcAAgAA+gMAAA4AAABkcnMvZTJvRG9jLnhtbK1TS44TMRDd&#10;I3EHy3vSnZEGhVY6s0gYNggiAQeouN3dlvyTy5NOLsEFkFgBK2A1+zkNDMeg7M6EYdhkQS/c5U+9&#10;qvf8PL/YGc22MqBytubTScmZtMI1ynY1f/f28smMM4xgG9DOyprvJfKLxeNH88FX8sz1TjcyMAKx&#10;WA2+5n2MvioKFL00gBPnpaXN1gUDkaahK5oAA6EbXZyV5dNicKHxwQmJSKurcZMfEMMpgK5tlZAr&#10;J66MtHFEDVJDJErYK498kbttWyni67ZFGZmuOTGNeaQiFG/SWCzmUHUBfK/EoQU4pYUHnAwoS0WP&#10;UCuIwK6C+gfKKBEcujZOhDPFSCQrQiym5QNt3vTgZeZCUqM/io7/D1a82q4DU03N6dotGLrw2w/X&#10;P99/vv3+7cen6183H1P89QubJakGjxVlLO06HGbo1yHx3rXBpD8xYrss7/4or9xFJmhxVp5PZyS8&#10;uNsq/uT5gPGFdIaloOYYA6iuj0tnLd2hC9OsLmxfYqTKlHiXkIpqyway8rPyPKEDmbIlM1BoPBFD&#10;2+VkdFo1l0rrlIKh2yx1YFtIxshfIkjAfx1LVVaA/Xgub42W6SU0z23D4t6TZJZeCk89GNlwpiU9&#10;rBQRIFQRlD7lJJXWNiXIbNsD0aT4qHGKNq7ZZ+mLNCNL5I4P9k2euz+n+P6TX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wxEJ9MAAAAIAQAADwAAAAAAAAABACAAAAAiAAAAZHJzL2Rvd25yZXYu&#10;eG1sUEsBAhQAFAAAAAgAh07iQPgKyGcAAgAA+gMAAA4AAAAAAAAAAQAgAAAAIgEAAGRycy9lMm9E&#10;b2MueG1sUEsFBgAAAAAGAAYAWQEAAJQFAAAAAA==&#10;">
                            <v:fill on="f" focussize="0,0"/>
                            <v:stroke weight="1.5pt" color="#000000" joinstyle="round"/>
                            <v:imagedata o:title=""/>
                            <o:lock v:ext="edit" aspectratio="f"/>
                          </v:shape>
                        </w:pict>
                      </mc:Fallback>
                    </mc:AlternateContent>
                  </w:r>
                </w:p>
              </w:tc>
              <w:tc>
                <w:tcPr>
                  <w:tcW w:w="255" w:type="pct"/>
                  <w:tcBorders>
                    <w:top w:val="single" w:color="auto" w:sz="12" w:space="0"/>
                    <w:tl2br w:val="nil"/>
                    <w:tr2bl w:val="nil"/>
                  </w:tcBorders>
                  <w:shd w:val="clear" w:color="auto" w:fill="auto"/>
                  <w:vAlign w:val="center"/>
                </w:tcPr>
                <w:p w14:paraId="1CCC6426">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63" w:type="pct"/>
                  <w:tcBorders>
                    <w:top w:val="single" w:color="auto" w:sz="12" w:space="0"/>
                    <w:tl2br w:val="nil"/>
                    <w:tr2bl w:val="nil"/>
                  </w:tcBorders>
                  <w:shd w:val="clear" w:color="auto" w:fill="auto"/>
                  <w:vAlign w:val="center"/>
                </w:tcPr>
                <w:p w14:paraId="78294D95">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op w:val="single" w:color="auto" w:sz="12" w:space="0"/>
                    <w:tl2br w:val="nil"/>
                    <w:tr2bl w:val="nil"/>
                  </w:tcBorders>
                  <w:shd w:val="clear" w:color="auto" w:fill="auto"/>
                  <w:vAlign w:val="center"/>
                </w:tcPr>
                <w:p w14:paraId="6680196D">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op w:val="single" w:color="auto" w:sz="12" w:space="0"/>
                    <w:tl2br w:val="nil"/>
                    <w:tr2bl w:val="nil"/>
                  </w:tcBorders>
                  <w:shd w:val="clear" w:color="auto" w:fill="auto"/>
                  <w:vAlign w:val="center"/>
                </w:tcPr>
                <w:p w14:paraId="6E8BB668">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67" w:type="pct"/>
                  <w:tcBorders>
                    <w:top w:val="single" w:color="auto" w:sz="12" w:space="0"/>
                    <w:tl2br w:val="nil"/>
                    <w:tr2bl w:val="nil"/>
                  </w:tcBorders>
                  <w:shd w:val="clear" w:color="auto" w:fill="auto"/>
                  <w:vAlign w:val="center"/>
                </w:tcPr>
                <w:p w14:paraId="35D9DA62">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91" w:type="pct"/>
                  <w:tcBorders>
                    <w:top w:val="single" w:color="auto" w:sz="12" w:space="0"/>
                    <w:tl2br w:val="nil"/>
                    <w:tr2bl w:val="nil"/>
                  </w:tcBorders>
                </w:tcPr>
                <w:p w14:paraId="5237BE53">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op w:val="single" w:color="auto" w:sz="12" w:space="0"/>
                    <w:tl2br w:val="nil"/>
                    <w:tr2bl w:val="nil"/>
                  </w:tcBorders>
                </w:tcPr>
                <w:p w14:paraId="56408304">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307" w:type="pct"/>
                  <w:tcBorders>
                    <w:top w:val="single" w:color="auto" w:sz="12" w:space="0"/>
                    <w:tl2br w:val="nil"/>
                    <w:tr2bl w:val="nil"/>
                  </w:tcBorders>
                </w:tcPr>
                <w:p w14:paraId="3AB7ED20">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op w:val="single" w:color="auto" w:sz="12" w:space="0"/>
                    <w:tl2br w:val="nil"/>
                    <w:tr2bl w:val="nil"/>
                  </w:tcBorders>
                </w:tcPr>
                <w:p w14:paraId="3987B30D">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316" w:type="pct"/>
                  <w:tcBorders>
                    <w:top w:val="single" w:color="auto" w:sz="12" w:space="0"/>
                    <w:tl2br w:val="nil"/>
                    <w:tr2bl w:val="nil"/>
                  </w:tcBorders>
                </w:tcPr>
                <w:p w14:paraId="232F2BAA">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301" w:type="pct"/>
                  <w:tcBorders>
                    <w:top w:val="single" w:color="auto" w:sz="12" w:space="0"/>
                    <w:tl2br w:val="nil"/>
                    <w:tr2bl w:val="nil"/>
                  </w:tcBorders>
                </w:tcPr>
                <w:p w14:paraId="0F09E3CB">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r>
            <w:tr w14:paraId="5BE47E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vMerge w:val="continue"/>
                  <w:tcBorders>
                    <w:tl2br w:val="nil"/>
                    <w:tr2bl w:val="nil"/>
                  </w:tcBorders>
                  <w:shd w:val="clear" w:color="auto" w:fill="auto"/>
                  <w:vAlign w:val="center"/>
                </w:tcPr>
                <w:p w14:paraId="7181809B">
                  <w:pPr>
                    <w:keepNext w:val="0"/>
                    <w:keepLines w:val="0"/>
                    <w:pageBreakBefore w:val="0"/>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p>
              </w:tc>
              <w:tc>
                <w:tcPr>
                  <w:tcW w:w="354" w:type="pct"/>
                  <w:vMerge w:val="continue"/>
                  <w:tcBorders>
                    <w:tl2br w:val="nil"/>
                    <w:tr2bl w:val="nil"/>
                  </w:tcBorders>
                  <w:shd w:val="clear" w:color="auto" w:fill="auto"/>
                  <w:vAlign w:val="center"/>
                </w:tcPr>
                <w:p w14:paraId="4DC34B39">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p>
              </w:tc>
              <w:tc>
                <w:tcPr>
                  <w:tcW w:w="1046" w:type="pct"/>
                  <w:tcBorders>
                    <w:tl2br w:val="nil"/>
                    <w:tr2bl w:val="nil"/>
                  </w:tcBorders>
                  <w:shd w:val="clear" w:color="auto" w:fill="auto"/>
                  <w:vAlign w:val="center"/>
                </w:tcPr>
                <w:p w14:paraId="01A2A04A">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水电通讯</w:t>
                  </w:r>
                </w:p>
              </w:tc>
              <w:tc>
                <w:tcPr>
                  <w:tcW w:w="255" w:type="pct"/>
                  <w:tcBorders>
                    <w:tl2br w:val="nil"/>
                    <w:tr2bl w:val="nil"/>
                  </w:tcBorders>
                  <w:shd w:val="clear" w:color="auto" w:fill="auto"/>
                  <w:vAlign w:val="center"/>
                </w:tcPr>
                <w:p w14:paraId="4727CBD2">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102235</wp:posOffset>
                            </wp:positionV>
                            <wp:extent cx="775335" cy="0"/>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7753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05pt;margin-top:8.05pt;height:0pt;width:61.05pt;z-index:251662336;mso-width-relative:page;mso-height-relative:page;" filled="f" stroked="t" coordsize="21600,21600" o:gfxdata="UEsDBAoAAAAAAIdO4kAAAAAAAAAAAAAAAAAEAAAAZHJzL1BLAwQUAAAACACHTuJA/i4nqdAAAAAI&#10;AQAADwAAAGRycy9kb3ducmV2LnhtbE1PTU+DQBC9m/gfNmPixbQLPRCCLD008eRBrP6AAUYgZWcJ&#10;u5T13zuNBz1N5r2X91Eeo53UlRY/OjaQ7hNQxK3rRu4NfH687HJQPiB3ODkmA9/k4Vjd35VYdG7j&#10;d7qeQ6/EhH2BBoYQ5kJr3w5k0e/dTCzcl1ssBnmXXncLbmJuJ31IkkxbHFkSBpzpNFB7Oa/WQHzL&#10;OMQ6j83G66vPn+qItjbm8SFNnkEFiuFPDLf6Uh0q6dS4lTuvJgO7QypKwTO5N17iQDW/gK5K/X9A&#10;9QNQSwMEFAAAAAgAh07iQAgg0tAEAgAA/AMAAA4AAABkcnMvZTJvRG9jLnhtbK1TzY7TMBC+I/EO&#10;lu807S5lIWq6h5blgqAS8ABTx0ks+U8eb9O+BC+AxAk4sZz2ztPA8hiMnW5ZlksP5JCMM55v5vv8&#10;eXa+NZptZEDlbMUnozFn0gpXK9tW/N3bi0dPOcMItgbtrKz4TiI/nz98MOt9KU9c53QtAyMQi2Xv&#10;K97F6MuiQNFJAzhyXlpKNi4YiLQMbVEH6And6OJkPH5S9C7UPjghEenvckjyPWI4BtA1jRJy6cSl&#10;kTYOqEFqiEQJO+WRz/O0TSNFfN00KCPTFSemMb+pCcXr9C7mMyjbAL5TYj8CHDPCPU4GlKWmB6gl&#10;RGCXQf0DZZQIDl0TR8KZYiCSFSEWk/E9bd504GXmQlKjP4iO/w9WvNqsAlM1OeExZxYMnfjNh+uf&#10;7z/ffLv68en61/ePKf76hVGexOo9llSzsKuwX6FfhcR82wSTvsSJbbPAu4PAchuZoJ9nZ9PT0yln&#10;4jZV/KnzAeML6QxLQcUxBlBtFxfOWjpFFyZZX9i8xEidqfC2IDXVlvVE4dl4SgcrgGzZkB0oNJ6o&#10;oW1zMTqt6guldSrB0K4XOrANJGvkJxEk4L+2pS5LwG7Yl1ODaToJ9XNbs7jzpJmlu8LTDEbWnGlJ&#10;VytFBAhlBKWP2UmttU0FMht3TzQpPmicorWrd1n6Iq3IFHnivYGT6+6uKb57ae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4uJ6nQAAAACAEAAA8AAAAAAAAAAQAgAAAAIgAAAGRycy9kb3ducmV2&#10;LnhtbFBLAQIUABQAAAAIAIdO4kAIINLQBAIAAPwDAAAOAAAAAAAAAAEAIAAAAB8BAABkcnMvZTJv&#10;RG9jLnhtbFBLBQYAAAAABgAGAFkBAACVBQAAAAA=&#10;">
                            <v:fill on="f" focussize="0,0"/>
                            <v:stroke weight="1.5pt" color="#000000" joinstyle="round"/>
                            <v:imagedata o:title=""/>
                            <o:lock v:ext="edit" aspectratio="f"/>
                          </v:shape>
                        </w:pict>
                      </mc:Fallback>
                    </mc:AlternateContent>
                  </w:r>
                </w:p>
              </w:tc>
              <w:tc>
                <w:tcPr>
                  <w:tcW w:w="255" w:type="pct"/>
                  <w:tcBorders>
                    <w:tl2br w:val="nil"/>
                    <w:tr2bl w:val="nil"/>
                  </w:tcBorders>
                  <w:shd w:val="clear" w:color="auto" w:fill="auto"/>
                  <w:vAlign w:val="center"/>
                </w:tcPr>
                <w:p w14:paraId="33B3A8CD">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63" w:type="pct"/>
                  <w:tcBorders>
                    <w:tl2br w:val="nil"/>
                    <w:tr2bl w:val="nil"/>
                  </w:tcBorders>
                  <w:shd w:val="clear" w:color="auto" w:fill="auto"/>
                  <w:vAlign w:val="center"/>
                </w:tcPr>
                <w:p w14:paraId="7C54D634">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shd w:val="clear" w:color="auto" w:fill="auto"/>
                  <w:vAlign w:val="center"/>
                </w:tcPr>
                <w:p w14:paraId="08F4375D">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shd w:val="clear" w:color="auto" w:fill="auto"/>
                  <w:vAlign w:val="center"/>
                </w:tcPr>
                <w:p w14:paraId="49DB171E">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67" w:type="pct"/>
                  <w:tcBorders>
                    <w:tl2br w:val="nil"/>
                    <w:tr2bl w:val="nil"/>
                  </w:tcBorders>
                  <w:shd w:val="clear" w:color="auto" w:fill="auto"/>
                  <w:vAlign w:val="center"/>
                </w:tcPr>
                <w:p w14:paraId="6627D1DD">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91" w:type="pct"/>
                  <w:tcBorders>
                    <w:tl2br w:val="nil"/>
                    <w:tr2bl w:val="nil"/>
                  </w:tcBorders>
                </w:tcPr>
                <w:p w14:paraId="427D7F11">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tcPr>
                <w:p w14:paraId="376CCBFD">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307" w:type="pct"/>
                  <w:tcBorders>
                    <w:tl2br w:val="nil"/>
                    <w:tr2bl w:val="nil"/>
                  </w:tcBorders>
                </w:tcPr>
                <w:p w14:paraId="225A6EE3">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tcPr>
                <w:p w14:paraId="54475B61">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316" w:type="pct"/>
                  <w:tcBorders>
                    <w:tl2br w:val="nil"/>
                    <w:tr2bl w:val="nil"/>
                  </w:tcBorders>
                </w:tcPr>
                <w:p w14:paraId="38D5AA01">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301" w:type="pct"/>
                  <w:tcBorders>
                    <w:tl2br w:val="nil"/>
                    <w:tr2bl w:val="nil"/>
                  </w:tcBorders>
                </w:tcPr>
                <w:p w14:paraId="236FEB4A">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r>
            <w:tr w14:paraId="4C1DE0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vMerge w:val="continue"/>
                  <w:tcBorders>
                    <w:tl2br w:val="nil"/>
                    <w:tr2bl w:val="nil"/>
                  </w:tcBorders>
                  <w:shd w:val="clear" w:color="auto" w:fill="auto"/>
                  <w:vAlign w:val="center"/>
                </w:tcPr>
                <w:p w14:paraId="217D482B">
                  <w:pPr>
                    <w:keepNext w:val="0"/>
                    <w:keepLines w:val="0"/>
                    <w:pageBreakBefore w:val="0"/>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p>
              </w:tc>
              <w:tc>
                <w:tcPr>
                  <w:tcW w:w="354" w:type="pct"/>
                  <w:vMerge w:val="continue"/>
                  <w:tcBorders>
                    <w:tl2br w:val="nil"/>
                    <w:tr2bl w:val="nil"/>
                  </w:tcBorders>
                  <w:shd w:val="clear" w:color="auto" w:fill="auto"/>
                  <w:vAlign w:val="center"/>
                </w:tcPr>
                <w:p w14:paraId="4188CB4C">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p>
              </w:tc>
              <w:tc>
                <w:tcPr>
                  <w:tcW w:w="1046" w:type="pct"/>
                  <w:tcBorders>
                    <w:tl2br w:val="nil"/>
                    <w:tr2bl w:val="nil"/>
                  </w:tcBorders>
                  <w:shd w:val="clear" w:color="auto" w:fill="auto"/>
                  <w:vAlign w:val="center"/>
                </w:tcPr>
                <w:p w14:paraId="2E17F14D">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备料及附属企业</w:t>
                  </w:r>
                </w:p>
              </w:tc>
              <w:tc>
                <w:tcPr>
                  <w:tcW w:w="255" w:type="pct"/>
                  <w:tcBorders>
                    <w:tl2br w:val="nil"/>
                    <w:tr2bl w:val="nil"/>
                  </w:tcBorders>
                  <w:shd w:val="clear" w:color="auto" w:fill="auto"/>
                  <w:vAlign w:val="center"/>
                </w:tcPr>
                <w:p w14:paraId="1E4FF3F9">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-20320</wp:posOffset>
                            </wp:positionH>
                            <wp:positionV relativeFrom="paragraph">
                              <wp:posOffset>146685</wp:posOffset>
                            </wp:positionV>
                            <wp:extent cx="805180" cy="0"/>
                            <wp:effectExtent l="0" t="9525" r="13970" b="9525"/>
                            <wp:wrapNone/>
                            <wp:docPr id="16963" name="直接箭头连接符 16963"/>
                            <wp:cNvGraphicFramePr/>
                            <a:graphic xmlns:a="http://schemas.openxmlformats.org/drawingml/2006/main">
                              <a:graphicData uri="http://schemas.microsoft.com/office/word/2010/wordprocessingShape">
                                <wps:wsp>
                                  <wps:cNvCnPr>
                                    <a:cxnSpLocks noChangeShapeType="1"/>
                                  </wps:cNvCnPr>
                                  <wps:spPr bwMode="auto">
                                    <a:xfrm>
                                      <a:off x="0" y="0"/>
                                      <a:ext cx="805180"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1.6pt;margin-top:11.55pt;height:0pt;width:63.4pt;z-index:251663360;mso-width-relative:page;mso-height-relative:page;" filled="f" stroked="t" coordsize="21600,21600" o:gfxdata="UEsDBAoAAAAAAIdO4kAAAAAAAAAAAAAAAAAEAAAAZHJzL1BLAwQUAAAACACHTuJAzweROdMAAAAI&#10;AQAADwAAAGRycy9kb3ducmV2LnhtbE2PvU7EMBCEeyTewVokGnTn/EhRFOJcgURFQTh4gE28JBHx&#10;Ooqdi3l7fKKAcnZGM9/Wp2BmcaHVTZYVpMcEBHFv9cSDgo/350MJwnlkjbNlUvBNDk7N7U2NlbY7&#10;v9Hl7AcRS9hVqGD0fqmkdP1IBt3RLsTR+7SrQR/lOki94h7LzSyzJCmkwYnjwogLPY3Uf503oyC8&#10;FuxDW4Zu5+3FlQ9tQNMqdX+XJo8gPAX/F4YrfkSHJjJ1dmPtxKzgkGcxqSDLUxBXP8sLEN3vQTa1&#10;/P9A8wNQSwMEFAAAAAgAh07iQNwueHD9AQAA1AMAAA4AAABkcnMvZTJvRG9jLnhtbK1TwW4TMRC9&#10;I/EPlu9kN0WN0lU2PSQqlwKVWj7A8Xp3Lbwea+xkk5/gB5A4ASfg1DtfA+UzGHuTUMqlB/ZgeTwz&#10;b+a9mZ2dbzvDNgq9Blvy8SjnTFkJlbZNyd/cXDybcuaDsJUwYFXJd8rz8/nTJ7PeFeoEWjCVQkYg&#10;1he9K3kbgiuyzMtWdcKPwClLzhqwE4FMbLIKRU/onclO8nyS9YCVQ5DKe3pdDk6+R8THAEJda6mW&#10;INedsmFARWVEIEq+1c7zeeq2rpUMr+vaq8BMyYlpSCcVofsqntl8JooGhWu13LcgHtPCA06d0JaK&#10;HqGWIgi2Rv0PVKclgoc6jCR02UAkKUIsxvkDba5b4VTiQlJ7dxTd/z9Y+WpzhUxXtAmTs8lzzqzo&#10;aOh3729/vvt09+3rj4+3v75/iPcvn9kQQpL1zheUubBXGEnLrb12lyDfemZh0QrbqNT6zc4R1jiK&#10;nP2VEg3vqPCqfwkVxYh1gKTftsYuQpIybJvGtDuOSW0Dk/Q4zU/HUxqgPLgyURzyHPrwQkHH4qXk&#10;PqDQTRsWYC3tAuA4VRGbSx9iV6I4JMSiFi60MWkljGU9tX6Wn+Ypw4PRVfTGOI/NamGQbUTcqvQl&#10;juS5H4awttVQxdiYp9JC7ksfNBjUXEG1u8KDUDTs1Nx+MeM23beTnH9+xv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weROdMAAAAIAQAADwAAAAAAAAABACAAAAAiAAAAZHJzL2Rvd25yZXYueG1s&#10;UEsBAhQAFAAAAAgAh07iQNwueHD9AQAA1AMAAA4AAAAAAAAAAQAgAAAAIgEAAGRycy9lMm9Eb2Mu&#10;eG1sUEsFBgAAAAAGAAYAWQEAAJEFAAAAAA==&#10;">
                            <v:fill on="f" focussize="0,0"/>
                            <v:stroke weight="1.5pt" color="#000000" joinstyle="round"/>
                            <v:imagedata o:title=""/>
                            <o:lock v:ext="edit" aspectratio="f"/>
                          </v:shape>
                        </w:pict>
                      </mc:Fallback>
                    </mc:AlternateContent>
                  </w:r>
                </w:p>
              </w:tc>
              <w:tc>
                <w:tcPr>
                  <w:tcW w:w="255" w:type="pct"/>
                  <w:tcBorders>
                    <w:tl2br w:val="nil"/>
                    <w:tr2bl w:val="nil"/>
                  </w:tcBorders>
                  <w:shd w:val="clear" w:color="auto" w:fill="auto"/>
                  <w:vAlign w:val="center"/>
                </w:tcPr>
                <w:p w14:paraId="76DA91A5">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63" w:type="pct"/>
                  <w:tcBorders>
                    <w:tl2br w:val="nil"/>
                    <w:tr2bl w:val="nil"/>
                  </w:tcBorders>
                  <w:shd w:val="clear" w:color="auto" w:fill="auto"/>
                  <w:vAlign w:val="center"/>
                </w:tcPr>
                <w:p w14:paraId="658C8A01">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shd w:val="clear" w:color="auto" w:fill="auto"/>
                  <w:vAlign w:val="center"/>
                </w:tcPr>
                <w:p w14:paraId="5EA338E3">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shd w:val="clear" w:color="auto" w:fill="auto"/>
                  <w:vAlign w:val="center"/>
                </w:tcPr>
                <w:p w14:paraId="3AB0F054">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67" w:type="pct"/>
                  <w:tcBorders>
                    <w:tl2br w:val="nil"/>
                    <w:tr2bl w:val="nil"/>
                  </w:tcBorders>
                  <w:shd w:val="clear" w:color="auto" w:fill="auto"/>
                  <w:vAlign w:val="center"/>
                </w:tcPr>
                <w:p w14:paraId="47425A6F">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91" w:type="pct"/>
                  <w:tcBorders>
                    <w:tl2br w:val="nil"/>
                    <w:tr2bl w:val="nil"/>
                  </w:tcBorders>
                </w:tcPr>
                <w:p w14:paraId="5B3C1E05">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tcPr>
                <w:p w14:paraId="422C671E">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307" w:type="pct"/>
                  <w:tcBorders>
                    <w:tl2br w:val="nil"/>
                    <w:tr2bl w:val="nil"/>
                  </w:tcBorders>
                </w:tcPr>
                <w:p w14:paraId="2F8B4259">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tcPr>
                <w:p w14:paraId="68EFC8B8">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316" w:type="pct"/>
                  <w:tcBorders>
                    <w:tl2br w:val="nil"/>
                    <w:tr2bl w:val="nil"/>
                  </w:tcBorders>
                </w:tcPr>
                <w:p w14:paraId="1D2BECFD">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301" w:type="pct"/>
                  <w:tcBorders>
                    <w:tl2br w:val="nil"/>
                    <w:tr2bl w:val="nil"/>
                  </w:tcBorders>
                </w:tcPr>
                <w:p w14:paraId="525FBA68">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r>
            <w:tr w14:paraId="0B1CD0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vMerge w:val="continue"/>
                  <w:tcBorders>
                    <w:tl2br w:val="nil"/>
                    <w:tr2bl w:val="nil"/>
                  </w:tcBorders>
                  <w:shd w:val="clear" w:color="auto" w:fill="auto"/>
                  <w:vAlign w:val="center"/>
                </w:tcPr>
                <w:p w14:paraId="5C3D7846">
                  <w:pPr>
                    <w:keepNext w:val="0"/>
                    <w:keepLines w:val="0"/>
                    <w:pageBreakBefore w:val="0"/>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p>
              </w:tc>
              <w:tc>
                <w:tcPr>
                  <w:tcW w:w="354" w:type="pct"/>
                  <w:vMerge w:val="continue"/>
                  <w:tcBorders>
                    <w:tl2br w:val="nil"/>
                    <w:tr2bl w:val="nil"/>
                  </w:tcBorders>
                  <w:shd w:val="clear" w:color="auto" w:fill="auto"/>
                  <w:vAlign w:val="center"/>
                </w:tcPr>
                <w:p w14:paraId="0C91D1B2">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p>
              </w:tc>
              <w:tc>
                <w:tcPr>
                  <w:tcW w:w="1046" w:type="pct"/>
                  <w:tcBorders>
                    <w:tl2br w:val="nil"/>
                    <w:tr2bl w:val="nil"/>
                  </w:tcBorders>
                  <w:shd w:val="clear" w:color="auto" w:fill="auto"/>
                  <w:vAlign w:val="center"/>
                </w:tcPr>
                <w:p w14:paraId="0FC10C5D">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生产生活用房</w:t>
                  </w:r>
                </w:p>
              </w:tc>
              <w:tc>
                <w:tcPr>
                  <w:tcW w:w="255" w:type="pct"/>
                  <w:tcBorders>
                    <w:tl2br w:val="nil"/>
                    <w:tr2bl w:val="nil"/>
                  </w:tcBorders>
                  <w:shd w:val="clear" w:color="auto" w:fill="auto"/>
                  <w:vAlign w:val="center"/>
                </w:tcPr>
                <w:p w14:paraId="6A419280">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109855</wp:posOffset>
                            </wp:positionV>
                            <wp:extent cx="805180" cy="635"/>
                            <wp:effectExtent l="0" t="9525" r="13970" b="18415"/>
                            <wp:wrapNone/>
                            <wp:docPr id="667" name="肘形连接符 667"/>
                            <wp:cNvGraphicFramePr/>
                            <a:graphic xmlns:a="http://schemas.openxmlformats.org/drawingml/2006/main">
                              <a:graphicData uri="http://schemas.microsoft.com/office/word/2010/wordprocessingShape">
                                <wps:wsp>
                                  <wps:cNvCnPr/>
                                  <wps:spPr>
                                    <a:xfrm>
                                      <a:off x="0" y="0"/>
                                      <a:ext cx="805180" cy="635"/>
                                    </a:xfrm>
                                    <a:prstGeom prst="bentConnector3">
                                      <a:avLst>
                                        <a:gd name="adj1" fmla="val 50000"/>
                                      </a:avLst>
                                    </a:prstGeom>
                                    <a:ln w="19050" cap="flat" cmpd="sng">
                                      <a:solidFill>
                                        <a:srgbClr val="000000"/>
                                      </a:solidFill>
                                      <a:prstDash val="solid"/>
                                      <a:miter/>
                                      <a:headEnd type="none" w="med" len="med"/>
                                      <a:tailEnd type="none" w="med" len="med"/>
                                    </a:ln>
                                    <a:effectLst/>
                                  </wps:spPr>
                                  <wps:bodyPr/>
                                </wps:wsp>
                              </a:graphicData>
                            </a:graphic>
                          </wp:anchor>
                        </w:drawing>
                      </mc:Choice>
                      <mc:Fallback>
                        <w:pict>
                          <v:shape id="_x0000_s1026" o:spid="_x0000_s1026" o:spt="34" type="#_x0000_t34" style="position:absolute;left:0pt;margin-left:-0.4pt;margin-top:8.65pt;height:0.05pt;width:63.4pt;z-index:251664384;mso-width-relative:page;mso-height-relative:page;" filled="f" stroked="t" coordsize="21600,21600" o:gfxdata="UEsDBAoAAAAAAIdO4kAAAAAAAAAAAAAAAAAEAAAAZHJzL1BLAwQUAAAACACHTuJAgP/NgtAAAAAH&#10;AQAADwAAAGRycy9kb3ducmV2LnhtbE2PwW7CMBBE75X6D9ZW4lZsKEqrEAcBUi+9FfoBTryNI+x1&#10;ZDsE/h7n1B5nZjXzttrdnGVXDLH3JGG1FMCQWq976iT8nD9fP4DFpEgr6wkl3DHCrn5+qlSp/UTf&#10;eD2ljuUSiqWSYFIaSs5ja9CpuPQDUs5+fXAqZRk6roOacrmzfC1EwZ3qKS8YNeDRYHs5jU7CYXPf&#10;m0DNeR9GLyZtRfGVhJSLl5XYAkt4S3/HMONndKgzU+NH0pFZCTN4yvb7G7A5Xhf5tWY2NsDriv/n&#10;rx9QSwMEFAAAAAgAh07iQC7l8bcbAgAALQQAAA4AAABkcnMvZTJvRG9jLnhtbK1TvY4TMRDukXgH&#10;yz3ZzZ0SjlU2VyQcDYJIwAM49jhr5D/ZvmzS8gDUVBRIUN0rIJ4GuMdg7Cw5OJoUbOEde8bfzPfN&#10;eHa5M5psIUTlbEvHo5oSsNwJZTctffP66tEFJTExK5h2Flq6h0gv5w8fzHrfwJnrnBYQCILY2PS+&#10;pV1KvqmqyDswLI6cB4tO6YJhCbdhU4nAekQ3ujqr62nVuyB8cBxixNPlwUkHxHAKoJNScVg6fm3A&#10;pgNqAM0SUoqd8pHOS7VSAk8vpYyQiG4pMk1lxSRor/NazWes2QTmO8WHEtgpJdzjZJiymPQItWSJ&#10;keug/oEyigcXnUwj7kx1IFIUQRbj+p42rzrmoXBBqaM/ih7/Hyx/sV0FokRLp9PHlFhmsOW37z58&#10;//rp9tvHH+8//7z5QrILhep9bDB+YVdh2EW/Cpn1TgaT/8iH7Iq4+6O4sEuE4+FFPRlfoOwcXdPz&#10;SQas7m76ENMzcIZko6Vr7OvCWYv9c+G8KMu2z2MqEouhTCbejimRRmPHtkyTSY3fgDtEY4bfyPmq&#10;tqTHmX9ST3IhDKdX4tSgaTwqEO2mZIpOK3GltM5XYtisFzoQTICUyjek+CssZ1my2B3iiiuHscao&#10;BKFYHTDx1AqS9h41tvi4aK7GgKBEA77FbJXIxJQ+JRLZaZuTQJl01CeLmtt0aEy21k7sS7/KOU5R&#10;kX2Y+Dymf+7L7btXPv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P/NgtAAAAAHAQAADwAAAAAA&#10;AAABACAAAAAiAAAAZHJzL2Rvd25yZXYueG1sUEsBAhQAFAAAAAgAh07iQC7l8bcbAgAALQQAAA4A&#10;AAAAAAAAAQAgAAAAHwEAAGRycy9lMm9Eb2MueG1sUEsFBgAAAAAGAAYAWQEAAKwFAAAAAA==&#10;" adj="10800">
                            <v:fill on="f" focussize="0,0"/>
                            <v:stroke weight="1.5pt" color="#000000" joinstyle="miter"/>
                            <v:imagedata o:title=""/>
                            <o:lock v:ext="edit" aspectratio="f"/>
                          </v:shape>
                        </w:pict>
                      </mc:Fallback>
                    </mc:AlternateContent>
                  </w:r>
                </w:p>
              </w:tc>
              <w:tc>
                <w:tcPr>
                  <w:tcW w:w="255" w:type="pct"/>
                  <w:tcBorders>
                    <w:tl2br w:val="nil"/>
                    <w:tr2bl w:val="nil"/>
                  </w:tcBorders>
                  <w:shd w:val="clear" w:color="auto" w:fill="auto"/>
                  <w:vAlign w:val="center"/>
                </w:tcPr>
                <w:p w14:paraId="25756A89">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63" w:type="pct"/>
                  <w:tcBorders>
                    <w:tl2br w:val="nil"/>
                    <w:tr2bl w:val="nil"/>
                  </w:tcBorders>
                  <w:shd w:val="clear" w:color="auto" w:fill="auto"/>
                  <w:vAlign w:val="center"/>
                </w:tcPr>
                <w:p w14:paraId="42A2344E">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shd w:val="clear" w:color="auto" w:fill="auto"/>
                  <w:vAlign w:val="center"/>
                </w:tcPr>
                <w:p w14:paraId="5C18FC47">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shd w:val="clear" w:color="auto" w:fill="auto"/>
                  <w:vAlign w:val="center"/>
                </w:tcPr>
                <w:p w14:paraId="79919F27">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67" w:type="pct"/>
                  <w:tcBorders>
                    <w:tl2br w:val="nil"/>
                    <w:tr2bl w:val="nil"/>
                  </w:tcBorders>
                  <w:shd w:val="clear" w:color="auto" w:fill="auto"/>
                  <w:vAlign w:val="center"/>
                </w:tcPr>
                <w:p w14:paraId="5AFB0032">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91" w:type="pct"/>
                  <w:tcBorders>
                    <w:tl2br w:val="nil"/>
                    <w:tr2bl w:val="nil"/>
                  </w:tcBorders>
                </w:tcPr>
                <w:p w14:paraId="23A39767">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tcPr>
                <w:p w14:paraId="624EE53B">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307" w:type="pct"/>
                  <w:tcBorders>
                    <w:tl2br w:val="nil"/>
                    <w:tr2bl w:val="nil"/>
                  </w:tcBorders>
                </w:tcPr>
                <w:p w14:paraId="4A6B0510">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tcPr>
                <w:p w14:paraId="69375141">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316" w:type="pct"/>
                  <w:tcBorders>
                    <w:tl2br w:val="nil"/>
                    <w:tr2bl w:val="nil"/>
                  </w:tcBorders>
                </w:tcPr>
                <w:p w14:paraId="411AE564">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301" w:type="pct"/>
                  <w:tcBorders>
                    <w:tl2br w:val="nil"/>
                    <w:tr2bl w:val="nil"/>
                  </w:tcBorders>
                </w:tcPr>
                <w:p w14:paraId="7A6778B6">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r>
            <w:tr w14:paraId="32AD93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vMerge w:val="restart"/>
                  <w:tcBorders>
                    <w:tl2br w:val="nil"/>
                    <w:tr2bl w:val="nil"/>
                  </w:tcBorders>
                  <w:shd w:val="clear" w:color="auto" w:fill="auto"/>
                  <w:vAlign w:val="center"/>
                </w:tcPr>
                <w:p w14:paraId="1FBA047E">
                  <w:pPr>
                    <w:keepNext w:val="0"/>
                    <w:keepLines w:val="0"/>
                    <w:pageBreakBefore w:val="0"/>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2</w:t>
                  </w:r>
                </w:p>
              </w:tc>
              <w:tc>
                <w:tcPr>
                  <w:tcW w:w="354" w:type="pct"/>
                  <w:vMerge w:val="restart"/>
                  <w:tcBorders>
                    <w:tl2br w:val="nil"/>
                    <w:tr2bl w:val="nil"/>
                  </w:tcBorders>
                  <w:shd w:val="clear" w:color="auto" w:fill="auto"/>
                  <w:vAlign w:val="center"/>
                </w:tcPr>
                <w:p w14:paraId="7FE40B6F">
                  <w:pPr>
                    <w:keepNext w:val="0"/>
                    <w:keepLines w:val="0"/>
                    <w:pageBreakBefore w:val="0"/>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护岸工程</w:t>
                  </w:r>
                </w:p>
              </w:tc>
              <w:tc>
                <w:tcPr>
                  <w:tcW w:w="1046" w:type="pct"/>
                  <w:tcBorders>
                    <w:tl2br w:val="nil"/>
                    <w:tr2bl w:val="nil"/>
                  </w:tcBorders>
                  <w:shd w:val="clear" w:color="auto" w:fill="auto"/>
                  <w:vAlign w:val="center"/>
                </w:tcPr>
                <w:p w14:paraId="5ED7686E">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土方开挖</w:t>
                  </w:r>
                </w:p>
              </w:tc>
              <w:tc>
                <w:tcPr>
                  <w:tcW w:w="255" w:type="pct"/>
                  <w:tcBorders>
                    <w:tl2br w:val="nil"/>
                    <w:tr2bl w:val="nil"/>
                  </w:tcBorders>
                  <w:shd w:val="clear" w:color="auto" w:fill="auto"/>
                  <w:vAlign w:val="center"/>
                </w:tcPr>
                <w:p w14:paraId="5257459B">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shd w:val="clear" w:color="auto" w:fill="auto"/>
                  <w:vAlign w:val="center"/>
                </w:tcPr>
                <w:p w14:paraId="503BFEC9">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63" w:type="pct"/>
                  <w:tcBorders>
                    <w:tl2br w:val="nil"/>
                    <w:tr2bl w:val="nil"/>
                  </w:tcBorders>
                  <w:shd w:val="clear" w:color="auto" w:fill="auto"/>
                  <w:vAlign w:val="center"/>
                </w:tcPr>
                <w:p w14:paraId="75420921">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shd w:val="clear" w:color="auto" w:fill="auto"/>
                  <w:vAlign w:val="center"/>
                </w:tcPr>
                <w:p w14:paraId="02526C38">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124460</wp:posOffset>
                            </wp:positionV>
                            <wp:extent cx="236855" cy="3175"/>
                            <wp:effectExtent l="0" t="9525" r="10795" b="15875"/>
                            <wp:wrapNone/>
                            <wp:docPr id="14494" name="肘形连接符 14494"/>
                            <wp:cNvGraphicFramePr/>
                            <a:graphic xmlns:a="http://schemas.openxmlformats.org/drawingml/2006/main">
                              <a:graphicData uri="http://schemas.microsoft.com/office/word/2010/wordprocessingShape">
                                <wps:wsp>
                                  <wps:cNvCnPr>
                                    <a:cxnSpLocks noChangeShapeType="1"/>
                                  </wps:cNvCnPr>
                                  <wps:spPr bwMode="auto">
                                    <a:xfrm flipV="1">
                                      <a:off x="0" y="0"/>
                                      <a:ext cx="236855" cy="3175"/>
                                    </a:xfrm>
                                    <a:prstGeom prst="bentConnector3">
                                      <a:avLst>
                                        <a:gd name="adj1" fmla="val 47453"/>
                                      </a:avLst>
                                    </a:prstGeom>
                                    <a:noFill/>
                                    <a:ln w="19050">
                                      <a:solidFill>
                                        <a:srgbClr val="000000"/>
                                      </a:solidFill>
                                      <a:miter lim="800000"/>
                                    </a:ln>
                                    <a:effectLst/>
                                  </wps:spPr>
                                  <wps:bodyPr/>
                                </wps:wsp>
                              </a:graphicData>
                            </a:graphic>
                          </wp:anchor>
                        </w:drawing>
                      </mc:Choice>
                      <mc:Fallback>
                        <w:pict>
                          <v:shape id="_x0000_s1026" o:spid="_x0000_s1026" o:spt="34" type="#_x0000_t34" style="position:absolute;left:0pt;flip:y;margin-left:-4.7pt;margin-top:9.8pt;height:0.25pt;width:18.65pt;z-index:251665408;mso-width-relative:page;mso-height-relative:page;" filled="f" stroked="t" coordsize="21600,21600" o:gfxdata="UEsDBAoAAAAAAIdO4kAAAAAAAAAAAAAAAAAEAAAAZHJzL1BLAwQUAAAACACHTuJAU6vqKtQAAAAH&#10;AQAADwAAAGRycy9kb3ducmV2LnhtbE2OzU7DMBCE70i8g7VI3Fo7ESokxOkBCbi1kHLh5sTbJGq8&#10;jmz37+1ZTnAa7cxo9qvWFzeJE4Y4etKQLRUIpM7bkXoNX7vXxROImAxZM3lCDVeMsK5vbypTWn+m&#10;Tzw1qRc8QrE0GoaU5lLK2A3oTFz6GYmzvQ/OJD5DL20wZx53k8yVWklnRuIPg5nxZcDu0Bydhja6&#10;a2g2xSZ9bNX27Xu2702etL6/y9QziISX9FeGX3xGh5qZWn8kG8WkYVE8cJP9YgWC8/yxANGyqgxk&#10;Xcn//PUPUEsDBBQAAAAIAIdO4kB39bLDHgIAABEEAAAOAAAAZHJzL2Uyb0RvYy54bWytk71yEzEQ&#10;x3tmeAeNenznr8S58TmFPaEJ4JkEelmn8wkkrUaSfXbLA1BTUWQGKl6B4WmAPAYr2XHi0KTgCs1J&#10;u/vT7n9X4/ONVmQtnJdgStrt5JQIw6GSZlnSt9cXL0aU+MBMxRQYUdKt8PR88vzZuLWF6EEDqhKO&#10;IMT4orUlbUKwRZZ53gjNfAesMGiswWkWcOuWWeVYi3Stsl6en2QtuMo64MJ7PJ3tjHRPdE8BQl1L&#10;LmbAV1qYsKM6oVjAknwjraeTlG1dCx7e1LUXgaiSYqUhrXgJ/i/imk3GrFg6ZhvJ9ymwp6TwqCbN&#10;pMFLD6gZC4ysnPwHpSV34KEOHQ462xWSFMEquvkjba4aZkWqBaX29iC6/39Y/no9d0RWOAmDwdmA&#10;EsM0Nv324+dfP25uf375/enrn+/fyM6IYrXWFxgzNXMXy+Ubc2UvgX/wxMC0YWYpUtLXW4uUbpQ3&#10;OwqJG2/xykX7Cir0YasASblN7TSplbTvYmCEozpkk1q1PbRKbALheNjrn4yGQ0o4mvrd02G6iRUR&#10;EkOt8+GlAE3iT0kXOCZTMAbHAVw/wdn60ofUsWpfM6vedymptcIBWDNFBqeDYX/P3Xtn9+QYauBC&#10;KpVGSBnSYt5n+TBPeA9KVtEa/bxbLqbKEaRiIenbc4/ctAz4spTUJR09dFImQkSaZkz6TtMo464h&#10;C6i2c3d3jpOCqh+N4sN96sj9S57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Or6irUAAAABwEA&#10;AA8AAAAAAAAAAQAgAAAAIgAAAGRycy9kb3ducmV2LnhtbFBLAQIUABQAAAAIAIdO4kB39bLDHgIA&#10;ABEEAAAOAAAAAAAAAAEAIAAAACMBAABkcnMvZTJvRG9jLnhtbFBLBQYAAAAABgAGAFkBAACzBQAA&#10;AAA=&#10;" adj="10250">
                            <v:fill on="f" focussize="0,0"/>
                            <v:stroke weight="1.5pt" color="#000000" miterlimit="8" joinstyle="miter"/>
                            <v:imagedata o:title=""/>
                            <o:lock v:ext="edit" aspectratio="f"/>
                          </v:shape>
                        </w:pict>
                      </mc:Fallback>
                    </mc:AlternateContent>
                  </w:r>
                </w:p>
              </w:tc>
              <w:tc>
                <w:tcPr>
                  <w:tcW w:w="255" w:type="pct"/>
                  <w:tcBorders>
                    <w:tl2br w:val="nil"/>
                    <w:tr2bl w:val="nil"/>
                  </w:tcBorders>
                  <w:shd w:val="clear" w:color="auto" w:fill="auto"/>
                  <w:vAlign w:val="center"/>
                </w:tcPr>
                <w:p w14:paraId="208C0408">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mc:AlternateContent>
                      <mc:Choice Requires="wps">
                        <w:drawing>
                          <wp:anchor distT="0" distB="0" distL="114300" distR="114300" simplePos="0" relativeHeight="251667456" behindDoc="0" locked="0" layoutInCell="1" allowOverlap="1">
                            <wp:simplePos x="0" y="0"/>
                            <wp:positionH relativeFrom="column">
                              <wp:posOffset>85090</wp:posOffset>
                            </wp:positionH>
                            <wp:positionV relativeFrom="paragraph">
                              <wp:posOffset>139065</wp:posOffset>
                            </wp:positionV>
                            <wp:extent cx="210820" cy="3175"/>
                            <wp:effectExtent l="0" t="9525" r="17780" b="6350"/>
                            <wp:wrapNone/>
                            <wp:docPr id="12" name="肘形连接符 12"/>
                            <wp:cNvGraphicFramePr/>
                            <a:graphic xmlns:a="http://schemas.openxmlformats.org/drawingml/2006/main">
                              <a:graphicData uri="http://schemas.microsoft.com/office/word/2010/wordprocessingShape">
                                <wps:wsp>
                                  <wps:cNvCnPr/>
                                  <wps:spPr>
                                    <a:xfrm>
                                      <a:off x="0" y="0"/>
                                      <a:ext cx="210820" cy="3175"/>
                                    </a:xfrm>
                                    <a:prstGeom prst="bentConnector2">
                                      <a:avLst/>
                                    </a:prstGeom>
                                    <a:ln w="190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margin-left:6.7pt;margin-top:10.95pt;height:0.25pt;width:16.6pt;z-index:251667456;mso-width-relative:page;mso-height-relative:page;" filled="f" stroked="t" coordsize="21600,21600" o:gfxdata="UEsDBAoAAAAAAIdO4kAAAAAAAAAAAAAAAAAEAAAAZHJzL1BLAwQUAAAACACHTuJA6xYIPtIAAAAH&#10;AQAADwAAAGRycy9kb3ducmV2LnhtbE2OwU6EMBRF9yb+Q/NM3DkFJASRMomTuHDpaKLLDn0CDn0l&#10;tED1632udHlyb+499T7aUaw4+8GRgnSXgEBqnRmoU/D68nhTgvBBk9GjI1TwhR72zeVFrSvjNnrG&#10;9Rg6wSPkK62gD2GqpPRtj1b7nZuQOPtws9WBce6kmfXG43aUWZIU0uqB+KHXEx56bM/HxSpY4+Gp&#10;9H55/8zP5XeMIW7924NS11dpcg8iYAx/ZfjVZ3Vo2OnkFjJejMy3OTcVZOkdCM7zogBxYs5ykE0t&#10;//s3P1BLAwQUAAAACACHTuJAgLHjh/8BAADxAwAADgAAAGRycy9lMm9Eb2MueG1srVPNjtMwEL4j&#10;8Q6W7zRp0MJu1HQPLcsFQSXgAaaO01jynzzepr3yAJw5cUCCE6+AeBrYfQzGTunCcumBHJyxZ+ab&#10;+T6PZ5c7o9lWBlTONnw6KTmTVrhW2U3D3765enTOGUawLWhnZcP3Evnl/OGD2eBrWbne6VYGRiAW&#10;68E3vI/R10WBopcGcOK8tOTsXDAQaRs2RRtgIHSji6osnxSDC60PTkhEOl2OTn5ADKcAuq5TQi6d&#10;uDbSxhE1SA2RKGGvPPJ57rbrpIivug5lZLrhxDTmlYqQvU5rMZ9BvQngeyUOLcApLdzjZEBZKnqE&#10;WkIEdh3UP1BGieDQdXEinClGIlkRYjEt72nzugcvMxeSGv1RdPx/sOLldhWYamkSKs4sGLrx23cf&#10;fnz7dPv948/3n2++fmHkIZkGjzVFL+wqHHboVyFx3nXBpD+xYbss7f4ordxFJuiwmpbnFYkuyPV4&#10;+vQsIRZ3qT5gfC6dYclo+JqudeGspetzocrCwvYFxjHpd3CqqS0bqPeL8iyBA81jR3NApvHECe0m&#10;J6PTqr1SWqcUDJv1Qge2hTQT+Tt081dYqrIE7Me47EphUBsVZZIA6l5C+8y2LO49yWbpufDUjZEt&#10;Z1rS60pWjoyg9CmRJIm2pEwSe5Q3WWvX7rPq+ZwmIWt3mNo0an/uc/bdS5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sWCD7SAAAABwEAAA8AAAAAAAAAAQAgAAAAIgAAAGRycy9kb3ducmV2Lnht&#10;bFBLAQIUABQAAAAIAIdO4kCAseOH/wEAAPEDAAAOAAAAAAAAAAEAIAAAACEBAABkcnMvZTJvRG9j&#10;LnhtbFBLBQYAAAAABgAGAFkBAACSBQAAAAA=&#10;">
                            <v:fill on="f" focussize="0,0"/>
                            <v:stroke weight="1.5pt" color="#000000" joinstyle="miter"/>
                            <v:imagedata o:title=""/>
                            <o:lock v:ext="edit" aspectratio="f"/>
                          </v:shape>
                        </w:pict>
                      </mc:Fallback>
                    </mc:AlternateContent>
                  </w:r>
                </w:p>
              </w:tc>
              <w:tc>
                <w:tcPr>
                  <w:tcW w:w="267" w:type="pct"/>
                  <w:tcBorders>
                    <w:tl2br w:val="nil"/>
                    <w:tr2bl w:val="nil"/>
                  </w:tcBorders>
                  <w:shd w:val="clear" w:color="auto" w:fill="auto"/>
                  <w:vAlign w:val="center"/>
                </w:tcPr>
                <w:p w14:paraId="5C35C4F7">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mc:AlternateContent>
                      <mc:Choice Requires="wps">
                        <w:drawing>
                          <wp:anchor distT="0" distB="0" distL="114300" distR="114300" simplePos="0" relativeHeight="251671552" behindDoc="0" locked="0" layoutInCell="1" allowOverlap="1">
                            <wp:simplePos x="0" y="0"/>
                            <wp:positionH relativeFrom="column">
                              <wp:posOffset>218440</wp:posOffset>
                            </wp:positionH>
                            <wp:positionV relativeFrom="paragraph">
                              <wp:posOffset>137160</wp:posOffset>
                            </wp:positionV>
                            <wp:extent cx="208280" cy="3175"/>
                            <wp:effectExtent l="0" t="0" r="0" b="0"/>
                            <wp:wrapNone/>
                            <wp:docPr id="15" name="肘形连接符 15"/>
                            <wp:cNvGraphicFramePr/>
                            <a:graphic xmlns:a="http://schemas.openxmlformats.org/drawingml/2006/main">
                              <a:graphicData uri="http://schemas.microsoft.com/office/word/2010/wordprocessingShape">
                                <wps:wsp>
                                  <wps:cNvCnPr>
                                    <a:cxnSpLocks noChangeShapeType="1"/>
                                  </wps:cNvCnPr>
                                  <wps:spPr bwMode="auto">
                                    <a:xfrm>
                                      <a:off x="0" y="0"/>
                                      <a:ext cx="208280" cy="3175"/>
                                    </a:xfrm>
                                    <a:prstGeom prst="bentConnector3">
                                      <a:avLst>
                                        <a:gd name="adj1" fmla="val 50305"/>
                                      </a:avLst>
                                    </a:prstGeom>
                                    <a:noFill/>
                                    <a:ln w="19050">
                                      <a:solidFill>
                                        <a:srgbClr val="000000"/>
                                      </a:solidFill>
                                      <a:miter lim="800000"/>
                                    </a:ln>
                                    <a:effectLst/>
                                  </wps:spPr>
                                  <wps:bodyPr/>
                                </wps:wsp>
                              </a:graphicData>
                            </a:graphic>
                          </wp:anchor>
                        </w:drawing>
                      </mc:Choice>
                      <mc:Fallback>
                        <w:pict>
                          <v:shape id="_x0000_s1026" o:spid="_x0000_s1026" o:spt="34" type="#_x0000_t34" style="position:absolute;left:0pt;margin-left:17.2pt;margin-top:10.8pt;height:0.25pt;width:16.4pt;z-index:251671552;mso-width-relative:page;mso-height-relative:page;" filled="f" stroked="t" coordsize="21600,21600" o:gfxdata="UEsDBAoAAAAAAIdO4kAAAAAAAAAAAAAAAAAEAAAAZHJzL1BLAwQUAAAACACHTuJA/v82cdcAAAAH&#10;AQAADwAAAGRycy9kb3ducmV2LnhtbE2OwU7DMBBE70j8g7VI3KidEAUU4lQFxAXBoQWJ9raN3SQi&#10;XofYbUq/nuUEx9GM3rxyfnS9ONgxdJ40JDMFwlLtTUeNhve3p6tbECEiGew9WQ3fNsC8Oj8rsTB+&#10;oqU9rGIjGEKhQA1tjEMhZahb6zDM/GCJu50fHUaOYyPNiBPDXS9TpXLpsCN+aHGwD62tP1d7pwEf&#10;X07Z5nVxWtxvvnbPNK0/erXW+vIiUXcgoj3GvzH86rM6VOy09XsyQfQarrOMlxrSJAfBfX6Tgthy&#10;ThOQVSn/+1c/UEsDBBQAAAAIAIdO4kB/zMW+EQIAAAEEAAAOAAAAZHJzL2Uyb0RvYy54bWytU72O&#10;EzEQ7pF4B8s92U2iQFhlc0Wiozkg0h0P4NjerMH2WLaTTVoegJqKAgkqXgHxNMA9BmPnh9zRXMEW&#10;1toz/ma+7xtPLrZGk430QYGtab9XUiItB6HsqqZvbi6fjCkJkVnBNFhZ050M9GL6+NGkc5UcQAta&#10;SE8QxIaqczVtY3RVUQTeSsNCD5y0GGzAGxZx61eF8KxDdKOLQVk+LTrwwnngMgQ8ne+D9IDoHwII&#10;TaO4nANfG2njHtVLzSJSCq1ygU5zt00jeXzdNEFGomuKTGNesQj+L9NaTCesWnnmWsUPLbCHtHCP&#10;k2HKYtET1JxFRtZe/QNlFPcQoIk9DqbYE8mKIIt+eU+b65Y5mbmg1MGdRA//D5a/2iw8UQInYUSJ&#10;ZQYdv33/8ef3z7c/Pv368OX3t68EIyhT50KF2TO78Iko39prdwX8XSAWZi2zK5nbvdk5hOinG8Wd&#10;K2kTHBZbdi9BYA5bR8iabRtvEiSqQbbZmt3JGrmNhOPhoBwPxmgax9Cw/yx3VLDqeNX5EF9IMCT9&#10;1HSJYzEDa9F+8MNchG2uQswOiQNNJt72KWmMRsM3TJNROSyPuIdsrHBETlctXCqt88hoSzqk+bwc&#10;lRk+gFYiRVNe8KvlTHuCqEgkf1kPjJynGRXxJWllajo+T9I2gcg8vdj0Uckk3t6GJYjdwh/PcTJQ&#10;6zujd77PPvx9ud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82cdcAAAAHAQAADwAAAAAAAAAB&#10;ACAAAAAiAAAAZHJzL2Rvd25yZXYueG1sUEsBAhQAFAAAAAgAh07iQH/Mxb4RAgAAAQQAAA4AAAAA&#10;AAAAAQAgAAAAJgEAAGRycy9lMm9Eb2MueG1sUEsFBgAAAAAGAAYAWQEAAKkFAAAAAA==&#10;" adj="10866">
                            <v:fill on="f" focussize="0,0"/>
                            <v:stroke weight="1.5pt" color="#000000" miterlimit="8" joinstyle="miter"/>
                            <v:imagedata o:title=""/>
                            <o:lock v:ext="edit" aspectratio="f"/>
                          </v:shape>
                        </w:pict>
                      </mc:Fallback>
                    </mc:AlternateContent>
                  </w:r>
                </w:p>
              </w:tc>
              <w:tc>
                <w:tcPr>
                  <w:tcW w:w="291" w:type="pct"/>
                  <w:tcBorders>
                    <w:tl2br w:val="nil"/>
                    <w:tr2bl w:val="nil"/>
                  </w:tcBorders>
                  <w:vAlign w:val="center"/>
                </w:tcPr>
                <w:p w14:paraId="62C915EB">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vAlign w:val="center"/>
                </w:tcPr>
                <w:p w14:paraId="2C629D32">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mc:AlternateContent>
                      <mc:Choice Requires="wps">
                        <w:drawing>
                          <wp:anchor distT="0" distB="0" distL="114300" distR="114300" simplePos="0" relativeHeight="251672576" behindDoc="0" locked="0" layoutInCell="1" allowOverlap="1">
                            <wp:simplePos x="0" y="0"/>
                            <wp:positionH relativeFrom="column">
                              <wp:posOffset>27305</wp:posOffset>
                            </wp:positionH>
                            <wp:positionV relativeFrom="paragraph">
                              <wp:posOffset>137160</wp:posOffset>
                            </wp:positionV>
                            <wp:extent cx="216535" cy="3175"/>
                            <wp:effectExtent l="0" t="9525" r="12065" b="15875"/>
                            <wp:wrapNone/>
                            <wp:docPr id="17" name="肘形连接符 17"/>
                            <wp:cNvGraphicFramePr/>
                            <a:graphic xmlns:a="http://schemas.openxmlformats.org/drawingml/2006/main">
                              <a:graphicData uri="http://schemas.microsoft.com/office/word/2010/wordprocessingShape">
                                <wps:wsp>
                                  <wps:cNvCnPr>
                                    <a:cxnSpLocks noChangeShapeType="1"/>
                                  </wps:cNvCnPr>
                                  <wps:spPr bwMode="auto">
                                    <a:xfrm>
                                      <a:off x="0" y="0"/>
                                      <a:ext cx="216535" cy="3175"/>
                                    </a:xfrm>
                                    <a:prstGeom prst="bentConnector3">
                                      <a:avLst>
                                        <a:gd name="adj1" fmla="val 50147"/>
                                      </a:avLst>
                                    </a:prstGeom>
                                    <a:noFill/>
                                    <a:ln w="19050">
                                      <a:solidFill>
                                        <a:srgbClr val="000000"/>
                                      </a:solidFill>
                                      <a:miter lim="800000"/>
                                    </a:ln>
                                    <a:effectLst/>
                                  </wps:spPr>
                                  <wps:bodyPr/>
                                </wps:wsp>
                              </a:graphicData>
                            </a:graphic>
                          </wp:anchor>
                        </w:drawing>
                      </mc:Choice>
                      <mc:Fallback>
                        <w:pict>
                          <v:shape id="_x0000_s1026" o:spid="_x0000_s1026" o:spt="34" type="#_x0000_t34" style="position:absolute;left:0pt;margin-left:2.15pt;margin-top:10.8pt;height:0.25pt;width:17.05pt;z-index:251672576;mso-width-relative:page;mso-height-relative:page;" filled="f" stroked="t" coordsize="21600,21600" o:gfxdata="UEsDBAoAAAAAAIdO4kAAAAAAAAAAAAAAAAAEAAAAZHJzL1BLAwQUAAAACACHTuJAtloMvdQAAAAG&#10;AQAADwAAAGRycy9kb3ducmV2LnhtbE2OTUvDMBjH74LfITyCN5emG2N0TXdQdxAEsQriLWuytpg8&#10;KUn6Mj+9jyc9/vm//crD4iybTIi9RwlilQEz2HjdYyvh/e14twMWk0KtrEcj4WIiHKrrq1IV2s/4&#10;aqY6tYxGMBZKQpfSUHAem844FVd+MEje2QenEsnQch3UTOPO8jzLttypHumhU4O570zzVY+OMKbL&#10;83dt8fNx1g/+5Wk8Lh9BSHl7I7I9sGSW9BeGX3zqQEVMJz+ijsxK2KwpKCEXW2Bkr3cbYCfSuQBe&#10;lfw/fvUDUEsDBBQAAAAIAIdO4kDZg4tDFAIAAAEEAAAOAAAAZHJzL2Uyb0RvYy54bWytU81uEzEQ&#10;viPxDpbvZHcT0pZVNj0kKpcCkdo+gOP1Zg22x7KdbHLlAThz4oBUTrwC4mkKfQzGzg9NufTAHla2&#10;Z+bzfN83Hp2vtSIr4bwEU9Gil1MiDIdamkVFb64vXpxR4gMzNVNgREU3wtPz8fNno86Wog8tqFo4&#10;giDGl52taBuCLbPM81Zo5ntghcFgA06zgFu3yGrHOkTXKuvn+UnWgautAy68x9PpNkh3iO4pgNA0&#10;kosp8KUWJmxRnVAsICXfSuvpOHXbNIKHd03jRSCqosg0pD9egut5/GfjESsXjtlW8l0L7CktPOKk&#10;mTR46QFqygIjSyf/gdKSO/DQhB4HnW2JJEWQRZE/0uaqZVYkLii1twfR/f+D5W9XM0dkjZNwSolh&#10;Gh2///j57sfX+59ffn26/f39G8EIytRZX2L2xMxcJMrX5speAv/giYFJy8xCpHavNxYhiliRHZXE&#10;jbd42bx7AzXmsGWApNm6cTpCohpknazZHKwR60A4HvaLk+FgSAnH0KA4HSZ8Vu5LrfPhtQBN4qKi&#10;cxyLCRiD9oMbpEvY6tKH5FC9o8nq9wUljVZo+IopMsyLl4lpxspdNq72yLHUwIVUKo2MMqRDmq/y&#10;YZ7gPShZx2jM824xnyhHEBWJpG/X71GalgFfkpK6omcPk5SJICJNLza9VzKKt7VhDvVm5vbnOBmo&#10;9dHoPdwnH/6+3PE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loMvdQAAAAGAQAADwAAAAAAAAAB&#10;ACAAAAAiAAAAZHJzL2Rvd25yZXYueG1sUEsBAhQAFAAAAAgAh07iQNmDi0MUAgAAAQQAAA4AAAAA&#10;AAAAAQAgAAAAIwEAAGRycy9lMm9Eb2MueG1sUEsFBgAAAAAGAAYAWQEAAKkFAAAAAA==&#10;" adj="10832">
                            <v:fill on="f" focussize="0,0"/>
                            <v:stroke weight="1.5pt" color="#000000" miterlimit="8" joinstyle="miter"/>
                            <v:imagedata o:title=""/>
                            <o:lock v:ext="edit" aspectratio="f"/>
                          </v:shape>
                        </w:pict>
                      </mc:Fallback>
                    </mc:AlternateContent>
                  </w:r>
                </w:p>
              </w:tc>
              <w:tc>
                <w:tcPr>
                  <w:tcW w:w="307" w:type="pct"/>
                  <w:tcBorders>
                    <w:tl2br w:val="nil"/>
                    <w:tr2bl w:val="nil"/>
                  </w:tcBorders>
                  <w:vAlign w:val="center"/>
                </w:tcPr>
                <w:p w14:paraId="62FFCDD8">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mc:AlternateContent>
                      <mc:Choice Requires="wps">
                        <w:drawing>
                          <wp:anchor distT="0" distB="0" distL="114300" distR="114300" simplePos="0" relativeHeight="251673600" behindDoc="0" locked="0" layoutInCell="1" allowOverlap="1">
                            <wp:simplePos x="0" y="0"/>
                            <wp:positionH relativeFrom="column">
                              <wp:posOffset>127635</wp:posOffset>
                            </wp:positionH>
                            <wp:positionV relativeFrom="paragraph">
                              <wp:posOffset>139065</wp:posOffset>
                            </wp:positionV>
                            <wp:extent cx="226695" cy="3175"/>
                            <wp:effectExtent l="0" t="9525" r="20955" b="6350"/>
                            <wp:wrapNone/>
                            <wp:docPr id="19" name="肘形连接符 19"/>
                            <wp:cNvGraphicFramePr/>
                            <a:graphic xmlns:a="http://schemas.openxmlformats.org/drawingml/2006/main">
                              <a:graphicData uri="http://schemas.microsoft.com/office/word/2010/wordprocessingShape">
                                <wps:wsp>
                                  <wps:cNvCnPr/>
                                  <wps:spPr>
                                    <a:xfrm>
                                      <a:off x="0" y="0"/>
                                      <a:ext cx="226695" cy="3175"/>
                                    </a:xfrm>
                                    <a:prstGeom prst="bentConnector2">
                                      <a:avLst/>
                                    </a:prstGeom>
                                    <a:ln w="190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margin-left:10.05pt;margin-top:10.95pt;height:0.25pt;width:17.85pt;z-index:251673600;mso-width-relative:page;mso-height-relative:page;" filled="f" stroked="t" coordsize="21600,21600" o:gfxdata="UEsDBAoAAAAAAIdO4kAAAAAAAAAAAAAAAAAEAAAAZHJzL1BLAwQUAAAACACHTuJAwF6U4NQAAAAH&#10;AQAADwAAAGRycy9kb3ducmV2LnhtbE2PQUvEMBCF74L/IYzgzU1adqXWpgsuePDoKugx24xt3WZS&#10;mrSN/nrHk56Gx3u8+V61T24QC06h96Qh2ygQSI23PbUaXl8ebwoQIRqyZvCEGr4wwL6+vKhMaf1K&#10;z7gcYyu4hEJpNHQxjqWUoenQmbDxIxJ7H35yJrKcWmkns3K5G2Su1K10pif+0JkRDx025+PsNCzp&#10;8FSEML9/bs/Fd0oxrd3bg9bXV5m6BxExxb8w/OIzOtTMdPIz2SAGDbnKOMk3uwPB/m7HS06s8y3I&#10;upL/+esfUEsDBBQAAAAIAIdO4kDPRlcWAAIAAPEDAAAOAAAAZHJzL2Uyb0RvYy54bWytU72OEzEQ&#10;7pF4B8s92U1QArfK5oqEo0EQCXiAidebteQ/eXzZpOUBqKkokKDiFU48DXCPwdgbcnA0KdjCO/bM&#10;fDPf5/H8cm8028mAytmaj0clZ9IK1yi7rfnbN1ePnnKGEWwD2llZ84NEfrl4+GDe+0pOXOd0IwMj&#10;EItV72vexeirokDRSQM4cl5acrYuGIi0DduiCdATutHFpCxnRe9C44MTEpFOV4OTHxHDOYCubZWQ&#10;KyeujbRxQA1SQyRK2CmPfJG7bVsp4qu2RRmZrjkxjXmlImRv0los5lBtA/hOiWMLcE4L9zgZUJaK&#10;nqBWEIFdB/UPlFEiOHRtHAlnioFIVoRYjMt72rzuwMvMhaRGfxId/x+seLlbB6YamoQLziwYuvHb&#10;dx++33y6/fbxx/vPP79+YeQhmXqPFUUv7Tocd+jXIXHet8GkP7Fh+yzt4SSt3Ecm6HAymc0uppwJ&#10;cj0eP5kmxOIu1QeMz6UzLBk139C1Lp21dH0uTLKwsHuBcUj6HZxqasv61Hs5pRsVQPPY0hyQaTxx&#10;QrvNyei0aq6U1ikFw3az1IHtIM1E/o7d/BWWqqwAuyEuu1IYVEZFmSSAqpPQPLMNiwdPsll6Ljx1&#10;Y2TDmZb0upKVIyMofU4kSaItKZPEHuRN1sY1h6x6PqdJyNodpzaN2p/7nH33Uh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BelODUAAAABwEAAA8AAAAAAAAAAQAgAAAAIgAAAGRycy9kb3ducmV2&#10;LnhtbFBLAQIUABQAAAAIAIdO4kDPRlcWAAIAAPEDAAAOAAAAAAAAAAEAIAAAACMBAABkcnMvZTJv&#10;RG9jLnhtbFBLBQYAAAAABgAGAFkBAACVBQAAAAA=&#10;">
                            <v:fill on="f" focussize="0,0"/>
                            <v:stroke weight="1.5pt" color="#000000" joinstyle="miter"/>
                            <v:imagedata o:title=""/>
                            <o:lock v:ext="edit" aspectratio="f"/>
                          </v:shape>
                        </w:pict>
                      </mc:Fallback>
                    </mc:AlternateContent>
                  </w:r>
                </w:p>
              </w:tc>
              <w:tc>
                <w:tcPr>
                  <w:tcW w:w="255" w:type="pct"/>
                  <w:tcBorders>
                    <w:tl2br w:val="nil"/>
                    <w:tr2bl w:val="nil"/>
                  </w:tcBorders>
                </w:tcPr>
                <w:p w14:paraId="422F23DB">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mc:AlternateContent>
                      <mc:Choice Requires="wps">
                        <w:drawing>
                          <wp:anchor distT="0" distB="0" distL="114300" distR="114300" simplePos="0" relativeHeight="251674624" behindDoc="0" locked="0" layoutInCell="1" allowOverlap="1">
                            <wp:simplePos x="0" y="0"/>
                            <wp:positionH relativeFrom="column">
                              <wp:posOffset>144780</wp:posOffset>
                            </wp:positionH>
                            <wp:positionV relativeFrom="paragraph">
                              <wp:posOffset>139065</wp:posOffset>
                            </wp:positionV>
                            <wp:extent cx="216535" cy="3175"/>
                            <wp:effectExtent l="0" t="9525" r="12065" b="6350"/>
                            <wp:wrapNone/>
                            <wp:docPr id="16" name="肘形连接符 16"/>
                            <wp:cNvGraphicFramePr/>
                            <a:graphic xmlns:a="http://schemas.openxmlformats.org/drawingml/2006/main">
                              <a:graphicData uri="http://schemas.microsoft.com/office/word/2010/wordprocessingShape">
                                <wps:wsp>
                                  <wps:cNvCnPr/>
                                  <wps:spPr>
                                    <a:xfrm>
                                      <a:off x="0" y="0"/>
                                      <a:ext cx="216535" cy="3175"/>
                                    </a:xfrm>
                                    <a:prstGeom prst="bentConnector2">
                                      <a:avLst/>
                                    </a:prstGeom>
                                    <a:ln w="190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margin-left:11.4pt;margin-top:10.95pt;height:0.25pt;width:17.05pt;z-index:251674624;mso-width-relative:page;mso-height-relative:page;" filled="f" stroked="t" coordsize="21600,21600" o:gfxdata="UEsDBAoAAAAAAIdO4kAAAAAAAAAAAAAAAAAEAAAAZHJzL1BLAwQUAAAACACHTuJAgnmJytQAAAAH&#10;AQAADwAAAGRycy9kb3ducmV2LnhtbE2OwU7DMBBE70j8g7WVuFEnUalCiFOJShw4UpDK0Y2XJG28&#10;jmInMXw92xOcRjuzmnnlLtpezDj6zpGCdJ2AQKqd6ahR8PH+cp+D8EGT0b0jVPCNHnbV7U2pC+MW&#10;esP5EBrBJeQLraANYSik9HWLVvu1G5A4+3Kj1YHPsZFm1AuX215mSbKVVnfEC60ecN9ifTlMVsEc&#10;96+599PneXPJf2IMcWmPz0rdrdLkCUTAGP6e4YrP6FAx08lNZLzoFWQZkwfW9BEE5w9b1tPV34Cs&#10;Svmfv/oFUEsDBBQAAAAIAIdO4kAcCEubAAIAAPEDAAAOAAAAZHJzL2Uyb0RvYy54bWytU72OEzEQ&#10;7pF4B8s92SSnBFhlc0XC0SCIBDzAxOvNWvKfPL5s0vIA1FQUSFDxCieeBrjHYOxdcnA0KdjCO/bM&#10;fDPf5/Hi8mA028uAytmKT0ZjzqQVrlZ2V/G3b64ePeEMI9gatLOy4keJ/HL58MGi86WcutbpWgZG&#10;IBbLzle8jdGXRYGilQZw5Ly05GxcMBBpG3ZFHaAjdKOL6Xg8LzoXah+ckIh0uu6dfEAM5wC6plFC&#10;rp24NtLGHjVIDZEoYas88mXutmmkiK+aBmVkuuLENOaVipC9TWuxXEC5C+BbJYYW4JwW7nEyoCwV&#10;PUGtIQK7DuofKKNEcOiaOBLOFD2RrAixmIzvafO6BS8zF5Ia/Ul0/H+w4uV+E5iqaRLmnFkwdOO3&#10;7z58v/l0++3jj/eff379wshDMnUeS4pe2U0Ydug3IXE+NMGkP7Fhhyzt8SStPEQm6HA6mc8uZpwJ&#10;cl1MHs8SYnGX6gPG59IZloyKb+laV85auj4XpllY2L/A2Cf9Dk41tWUd9f50PKMbFUDz2NAckGk8&#10;cUK7y8notKqvlNYpBcNuu9KB7SHNRP6Gbv4KS1XWgG0fl10pDEqjokwSQNlKqJ/ZmsWjJ9ksPRee&#10;ujGy5kxLel3JypERlD4nkiTRlpRJYvfyJmvr6mNWPZ/TJGTthqlNo/bnPmffvdT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5icrUAAAABwEAAA8AAAAAAAAAAQAgAAAAIgAAAGRycy9kb3ducmV2&#10;LnhtbFBLAQIUABQAAAAIAIdO4kAcCEubAAIAAPEDAAAOAAAAAAAAAAEAIAAAACMBAABkcnMvZTJv&#10;RG9jLnhtbFBLBQYAAAAABgAGAFkBAACVBQAAAAA=&#10;">
                            <v:fill on="f" focussize="0,0"/>
                            <v:stroke weight="1.5pt" color="#000000" joinstyle="miter"/>
                            <v:imagedata o:title=""/>
                            <o:lock v:ext="edit" aspectratio="f"/>
                          </v:shape>
                        </w:pict>
                      </mc:Fallback>
                    </mc:AlternateContent>
                  </w:r>
                </w:p>
              </w:tc>
              <w:tc>
                <w:tcPr>
                  <w:tcW w:w="316" w:type="pct"/>
                  <w:tcBorders>
                    <w:tl2br w:val="nil"/>
                    <w:tr2bl w:val="nil"/>
                  </w:tcBorders>
                </w:tcPr>
                <w:p w14:paraId="385950F9">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301" w:type="pct"/>
                  <w:tcBorders>
                    <w:tl2br w:val="nil"/>
                    <w:tr2bl w:val="nil"/>
                  </w:tcBorders>
                </w:tcPr>
                <w:p w14:paraId="12DB0BD2">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r>
            <w:tr w14:paraId="7086DF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vMerge w:val="continue"/>
                  <w:tcBorders>
                    <w:tl2br w:val="nil"/>
                    <w:tr2bl w:val="nil"/>
                  </w:tcBorders>
                  <w:shd w:val="clear" w:color="auto" w:fill="auto"/>
                  <w:vAlign w:val="center"/>
                </w:tcPr>
                <w:p w14:paraId="4D205860">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p>
              </w:tc>
              <w:tc>
                <w:tcPr>
                  <w:tcW w:w="354" w:type="pct"/>
                  <w:vMerge w:val="continue"/>
                  <w:tcBorders>
                    <w:tl2br w:val="nil"/>
                    <w:tr2bl w:val="nil"/>
                  </w:tcBorders>
                  <w:shd w:val="clear" w:color="auto" w:fill="auto"/>
                  <w:vAlign w:val="center"/>
                </w:tcPr>
                <w:p w14:paraId="79BB8C26">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p>
              </w:tc>
              <w:tc>
                <w:tcPr>
                  <w:tcW w:w="1046" w:type="pct"/>
                  <w:tcBorders>
                    <w:tl2br w:val="nil"/>
                    <w:tr2bl w:val="nil"/>
                  </w:tcBorders>
                  <w:shd w:val="clear" w:color="auto" w:fill="auto"/>
                  <w:vAlign w:val="center"/>
                </w:tcPr>
                <w:p w14:paraId="4E7B10EE">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堤身土方回填</w:t>
                  </w:r>
                </w:p>
              </w:tc>
              <w:tc>
                <w:tcPr>
                  <w:tcW w:w="255" w:type="pct"/>
                  <w:tcBorders>
                    <w:tl2br w:val="nil"/>
                    <w:tr2bl w:val="nil"/>
                  </w:tcBorders>
                  <w:shd w:val="clear" w:color="auto" w:fill="auto"/>
                  <w:vAlign w:val="center"/>
                </w:tcPr>
                <w:p w14:paraId="6C5399A5">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shd w:val="clear" w:color="auto" w:fill="auto"/>
                  <w:vAlign w:val="center"/>
                </w:tcPr>
                <w:p w14:paraId="5B272B7C">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63" w:type="pct"/>
                  <w:tcBorders>
                    <w:tl2br w:val="nil"/>
                    <w:tr2bl w:val="nil"/>
                  </w:tcBorders>
                  <w:shd w:val="clear" w:color="auto" w:fill="auto"/>
                  <w:vAlign w:val="center"/>
                </w:tcPr>
                <w:p w14:paraId="53FF7FBD">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shd w:val="clear" w:color="auto" w:fill="auto"/>
                  <w:vAlign w:val="center"/>
                </w:tcPr>
                <w:p w14:paraId="5742C068">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mc:AlternateContent>
                      <mc:Choice Requires="wps">
                        <w:drawing>
                          <wp:anchor distT="0" distB="0" distL="114300" distR="114300" simplePos="0" relativeHeight="251669504" behindDoc="0" locked="0" layoutInCell="1" allowOverlap="1">
                            <wp:simplePos x="0" y="0"/>
                            <wp:positionH relativeFrom="column">
                              <wp:posOffset>126365</wp:posOffset>
                            </wp:positionH>
                            <wp:positionV relativeFrom="paragraph">
                              <wp:posOffset>118110</wp:posOffset>
                            </wp:positionV>
                            <wp:extent cx="306070" cy="0"/>
                            <wp:effectExtent l="0" t="9525" r="17780" b="9525"/>
                            <wp:wrapNone/>
                            <wp:docPr id="23" name="直接箭头连接符 23"/>
                            <wp:cNvGraphicFramePr/>
                            <a:graphic xmlns:a="http://schemas.openxmlformats.org/drawingml/2006/main">
                              <a:graphicData uri="http://schemas.microsoft.com/office/word/2010/wordprocessingShape">
                                <wps:wsp>
                                  <wps:cNvCnPr/>
                                  <wps:spPr>
                                    <a:xfrm>
                                      <a:off x="0" y="0"/>
                                      <a:ext cx="306070"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9.95pt;margin-top:9.3pt;height:0pt;width:24.1pt;z-index:251669504;mso-width-relative:page;mso-height-relative:page;" filled="f" stroked="t" coordsize="21600,21600" o:gfxdata="UEsDBAoAAAAAAIdO4kAAAAAAAAAAAAAAAAAEAAAAZHJzL1BLAwQUAAAACACHTuJAlcfPzNAAAAAH&#10;AQAADwAAAGRycy9kb3ducmV2LnhtbE2OwU6EMBCG7ya+QzMmXsxuwQPpImUPm3jyIK4+wEArkKVT&#10;QstS394xHvQ0+fL/+eerjslN4mqXMHrSkO8zEJY6b0bqNXy8P+8UiBCRDE6erIYvG+BY395UWBq/&#10;0Zu9nmMveIRCiRqGGOdSytAN1mHY+9kSZ59+cRgZl16aBTced5N8zLJCOhyJPww429Ngu8t5dRrS&#10;a0ExNSq1G60vQT00CV2j9f1dnj2BiDbFvzL86LM61OzU+pVMEBPz4cBNvqoAwXmhchDtL8u6kv/9&#10;629QSwMEFAAAAAgAh07iQK81KfACAgAA/AMAAA4AAABkcnMvZTJvRG9jLnhtbK1TzY7TMBC+I/EO&#10;lu80aVcsEDXdQ8tyQbAS8ABTx0ks+U8eb9O+BC+AxAk4wZ72ztPA8hiMnW5ZlksP5OCMM55v5vvy&#10;eX62NZptZEDlbM2nk5IzaYVrlO1q/u7t+aOnnGEE24B2VtZ8J5GfLR4+mA++kjPXO93IwAjEYjX4&#10;mvcx+qooUPTSAE6cl5aSrQsGIm1DVzQBBkI3upiV5WkxuND44IREpK+rMcn3iOEYQNe2SsiVE5dG&#10;2jiiBqkhEiXslUe+yNO2rRTxdduijEzXnJjGvFITitdpLRZzqLoAvldiPwIcM8I9TgaUpaYHqBVE&#10;YJdB/QNllAgOXRsnwpliJJIVIRbT8p42b3rwMnMhqdEfRMf/BytebS4CU03NZyecWTD0x28+XP98&#10;//nm6tuPT9e/vn9M8dcvjPIk1uCxopqlvQj7HfqLkJhv22DSmzixbRZ4dxBYbiMT9PGkPC2fkPTi&#10;NlX8qfMB4wvpDEtBzTEGUF0fl85a+osuTLO+sHmJkTpT4W1BaqotG8jMz8rHCR3Ili3ZgULjiRra&#10;Lhej06o5V1qnEgzdeqkD20CyRn4SQQL+61jqsgLsx3M5NZqml9A8tw2LO0+aWborPM1gZMOZlnS1&#10;UkSAUEVQ+piT1FrbVCCzcfdEk+Kjxilau2aXpS/SjkyRJ94bOLnu7p7iu5d2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x8/M0AAAAAcBAAAPAAAAAAAAAAEAIAAAACIAAABkcnMvZG93bnJldi54&#10;bWxQSwECFAAUAAAACACHTuJArzUp8AICAAD8AwAADgAAAAAAAAABACAAAAAfAQAAZHJzL2Uyb0Rv&#10;Yy54bWxQSwUGAAAAAAYABgBZAQAAkwUAAAAA&#10;">
                            <v:fill on="f" focussize="0,0"/>
                            <v:stroke weight="1.5pt" color="#000000" joinstyle="round"/>
                            <v:imagedata o:title=""/>
                            <o:lock v:ext="edit" aspectratio="f"/>
                          </v:shape>
                        </w:pict>
                      </mc:Fallback>
                    </mc:AlternateContent>
                  </w:r>
                </w:p>
              </w:tc>
              <w:tc>
                <w:tcPr>
                  <w:tcW w:w="255" w:type="pct"/>
                  <w:tcBorders>
                    <w:tl2br w:val="nil"/>
                    <w:tr2bl w:val="nil"/>
                  </w:tcBorders>
                  <w:shd w:val="clear" w:color="auto" w:fill="auto"/>
                  <w:vAlign w:val="center"/>
                </w:tcPr>
                <w:p w14:paraId="3BC7D176">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67" w:type="pct"/>
                  <w:tcBorders>
                    <w:tl2br w:val="nil"/>
                    <w:tr2bl w:val="nil"/>
                  </w:tcBorders>
                  <w:shd w:val="clear" w:color="auto" w:fill="auto"/>
                  <w:vAlign w:val="center"/>
                </w:tcPr>
                <w:p w14:paraId="688BF22D">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mc:AlternateContent>
                      <mc:Choice Requires="wps">
                        <w:drawing>
                          <wp:anchor distT="0" distB="0" distL="114300" distR="114300" simplePos="0" relativeHeight="251675648" behindDoc="0" locked="0" layoutInCell="1" allowOverlap="1">
                            <wp:simplePos x="0" y="0"/>
                            <wp:positionH relativeFrom="column">
                              <wp:posOffset>14605</wp:posOffset>
                            </wp:positionH>
                            <wp:positionV relativeFrom="paragraph">
                              <wp:posOffset>115570</wp:posOffset>
                            </wp:positionV>
                            <wp:extent cx="306070" cy="0"/>
                            <wp:effectExtent l="0" t="9525" r="17780" b="9525"/>
                            <wp:wrapNone/>
                            <wp:docPr id="24" name="直接箭头连接符 24"/>
                            <wp:cNvGraphicFramePr/>
                            <a:graphic xmlns:a="http://schemas.openxmlformats.org/drawingml/2006/main">
                              <a:graphicData uri="http://schemas.microsoft.com/office/word/2010/wordprocessingShape">
                                <wps:wsp>
                                  <wps:cNvCnPr/>
                                  <wps:spPr>
                                    <a:xfrm>
                                      <a:off x="0" y="0"/>
                                      <a:ext cx="306070"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15pt;margin-top:9.1pt;height:0pt;width:24.1pt;z-index:251675648;mso-width-relative:page;mso-height-relative:page;" filled="f" stroked="t" coordsize="21600,21600" o:gfxdata="UEsDBAoAAAAAAIdO4kAAAAAAAAAAAAAAAAAEAAAAZHJzL1BLAwQUAAAACACHTuJApkioKNAAAAAG&#10;AQAADwAAAGRycy9kb3ducmV2LnhtbE2OTU7DMBCF90jcwRokNojaDWoVpXG6QGLFglB6gEk8JFHj&#10;cRQ7jbk9Rixg+X703lceox3FlWY/ONaw3SgQxK0zA3cazh8vjzkIH5ANjo5Jwxd5OFa3NyUWxq38&#10;TtdT6EQaYV+ghj6EqZDStz1Z9Bs3Eafs080WQ5JzJ82Maxq3o8yU2kuLA6eHHid67qm9nBarIb7t&#10;OcQ6j83Ky6vPH+qIttb6/m6rDiACxfBXhh/8hA5VYmrcwsaLUUP2lIrJzjMQKd6pHYjmV8uqlP/x&#10;q29QSwMEFAAAAAgAh07iQEJZX/sCAgAA/AMAAA4AAABkcnMvZTJvRG9jLnhtbK1TzY7TMBC+I/EO&#10;lu80aYEFoqZ7aFkuCFYCHmDqOIkl/8njbdqX4AWQOAEnltPeeRpYHoOx0y3LcumBHJxxxvPNfF8+&#10;z0+3RrONDKicrfl0UnImrXCNsl3N3709e/CUM4xgG9DOyprvJPLTxf1788FXcuZ6pxsZGIFYrAZf&#10;8z5GXxUFil4awInz0lKydcFApG3oiibAQOhGF7OyPCkGFxofnJCI9HU1JvkeMRwD6NpWCbly4sJI&#10;G0fUIDVEooS98sgXedq2lSK+bluUkemaE9OYV2pC8TqtxWIOVRfA90rsR4BjRrjDyYCy1PQAtYII&#10;7CKof6CMEsGha+NEOFOMRLIixGJa3tHmTQ9eZi4kNfqD6Pj/YMWrzXlgqqn57BFnFgz98esPVz/f&#10;f77+dvnj09Wv7x9T/PULozyJNXisqGZpz8N+h/48JObbNpj0Jk5smwXeHQSW28gEfXxYnpRPSHpx&#10;kyr+1PmA8YV0hqWg5hgDqK6PS2ct/UUXpllf2LzESJ2p8KYgNdWWDWTmZ+XjhA5ky5bsQKHxRA1t&#10;l4vRadWcKa1TCYZuvdSBbSBZIz+JIAH/dSx1WQH247mcGk3TS2ie24bFnSfNLN0VnmYwsuFMS7pa&#10;KSJAqCIofcxJaq1tKpDZuHuiSfFR4xStXbPL0hdpR6bIE+8NnFx3e0/x7Uu7+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SKgo0AAAAAYBAAAPAAAAAAAAAAEAIAAAACIAAABkcnMvZG93bnJldi54&#10;bWxQSwECFAAUAAAACACHTuJAQllf+wICAAD8AwAADgAAAAAAAAABACAAAAAfAQAAZHJzL2Uyb0Rv&#10;Yy54bWxQSwUGAAAAAAYABgBZAQAAkwUAAAAA&#10;">
                            <v:fill on="f" focussize="0,0"/>
                            <v:stroke weight="1.5pt" color="#000000" joinstyle="round"/>
                            <v:imagedata o:title=""/>
                            <o:lock v:ext="edit" aspectratio="f"/>
                          </v:shape>
                        </w:pict>
                      </mc:Fallback>
                    </mc:AlternateContent>
                  </w:r>
                </w:p>
              </w:tc>
              <w:tc>
                <w:tcPr>
                  <w:tcW w:w="291" w:type="pct"/>
                  <w:tcBorders>
                    <w:tl2br w:val="nil"/>
                    <w:tr2bl w:val="nil"/>
                  </w:tcBorders>
                  <w:vAlign w:val="center"/>
                </w:tcPr>
                <w:p w14:paraId="1F5503C2">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mc:AlternateContent>
                      <mc:Choice Requires="wps">
                        <w:drawing>
                          <wp:anchor distT="0" distB="0" distL="114300" distR="114300" simplePos="0" relativeHeight="251676672" behindDoc="0" locked="0" layoutInCell="1" allowOverlap="1">
                            <wp:simplePos x="0" y="0"/>
                            <wp:positionH relativeFrom="column">
                              <wp:posOffset>184150</wp:posOffset>
                            </wp:positionH>
                            <wp:positionV relativeFrom="paragraph">
                              <wp:posOffset>112395</wp:posOffset>
                            </wp:positionV>
                            <wp:extent cx="306070" cy="0"/>
                            <wp:effectExtent l="0" t="9525" r="17780" b="9525"/>
                            <wp:wrapNone/>
                            <wp:docPr id="25" name="直接箭头连接符 25"/>
                            <wp:cNvGraphicFramePr/>
                            <a:graphic xmlns:a="http://schemas.openxmlformats.org/drawingml/2006/main">
                              <a:graphicData uri="http://schemas.microsoft.com/office/word/2010/wordprocessingShape">
                                <wps:wsp>
                                  <wps:cNvCnPr/>
                                  <wps:spPr>
                                    <a:xfrm>
                                      <a:off x="0" y="0"/>
                                      <a:ext cx="306070"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4.5pt;margin-top:8.85pt;height:0pt;width:24.1pt;z-index:251676672;mso-width-relative:page;mso-height-relative:page;" filled="f" stroked="t" coordsize="21600,21600" o:gfxdata="UEsDBAoAAAAAAIdO4kAAAAAAAAAAAAAAAAAEAAAAZHJzL1BLAwQUAAAACACHTuJASmjdcNEAAAAH&#10;AQAADwAAAGRycy9kb3ducmV2LnhtbE2PwU6EQBBE7yb+w6RNvBh3WA4LIsMeTDx5ENf9gAZaIDI9&#10;hBmW8e9t40GP1dWpelUeo53UhRY/Ojaw3yWgiFvXjdwbOL8/3+egfEDucHJMBr7Iw7G6viqx6NzG&#10;b3Q5hV5JCPsCDQwhzIXWvh3Iot+5mVi8D7dYDCKXXncLbhJuJ50myUFbHFkaBpzpaaD287RaA/H1&#10;wCHWeWw2Xl98fldHtLUxtzf75BFUoBj+nuEHX9ChEqbGrdx5NRlIH2RKkHuWgRI/y1JQza/WVan/&#10;81ffUEsDBBQAAAAIAIdO4kAg+KU3AgIAAPwDAAAOAAAAZHJzL2Uyb0RvYy54bWytU82O0zAQviPx&#10;DpbvNGnRLhA13UPLckGwEvAAU8dJLPlPHm/TvgQvgMQJOMGe9s7TwPIYjJ1uWZZLD+TgjDOeb+b7&#10;8nl+tjWabWRA5WzNp5OSM2mFa5Ttav7u7fmjp5xhBNuAdlbWfCeRny0ePpgPvpIz1zvdyMAIxGI1&#10;+Jr3MfqqKFD00gBOnJeWkq0LBiJtQ1c0AQZCN7qYleVpMbjQ+OCERKSvqzHJ94jhGEDXtkrIlROX&#10;Rto4ogapIRIl7JVHvsjTtq0U8XXbooxM15yYxrxSE4rXaS0Wc6i6AL5XYj8CHDPCPU4GlKWmB6gV&#10;RGCXQf0DZZQIDl0bJ8KZYiSSFSEW0/KeNm968DJzIanRH0TH/wcrXm0uAlNNzWcnnFkw9MdvPlz/&#10;fP/55urbj0/Xv75/TPHXL4zyJNbgsaKapb0I+x36i5CYb9tg0ps4sW0WeHcQWG4jE/TxcXlaPiHp&#10;xW2q+FPnA8YX0hmWgppjDKC6Pi6dtfQXXZhmfWHzEiN1psLbgtRUWzaQmZ+VJwkdyJYt2YFC44ka&#10;2i4Xo9OqOVdapxIM3XqpA9tAskZ+EkEC/utY6rIC7MdzOTWappfQPLcNiztPmlm6KzzNYGTDmZZ0&#10;tVJEgFBFUPqYk9Ra21Qgs3H3RJPio8YpWrtml6Uv0o5MkSfeGzi57u6e4ruXdv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mjdcNEAAAAHAQAADwAAAAAAAAABACAAAAAiAAAAZHJzL2Rvd25yZXYu&#10;eG1sUEsBAhQAFAAAAAgAh07iQCD4pTcCAgAA/AMAAA4AAAAAAAAAAQAgAAAAIAEAAGRycy9lMm9E&#10;b2MueG1sUEsFBgAAAAAGAAYAWQEAAJQFAAAAAA==&#10;">
                            <v:fill on="f" focussize="0,0"/>
                            <v:stroke weight="1.5pt" color="#000000" joinstyle="round"/>
                            <v:imagedata o:title=""/>
                            <o:lock v:ext="edit" aspectratio="f"/>
                          </v:shape>
                        </w:pict>
                      </mc:Fallback>
                    </mc:AlternateContent>
                  </w:r>
                </w:p>
              </w:tc>
              <w:tc>
                <w:tcPr>
                  <w:tcW w:w="255" w:type="pct"/>
                  <w:tcBorders>
                    <w:tl2br w:val="nil"/>
                    <w:tr2bl w:val="nil"/>
                  </w:tcBorders>
                  <w:vAlign w:val="center"/>
                </w:tcPr>
                <w:p w14:paraId="213446AA">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307" w:type="pct"/>
                  <w:tcBorders>
                    <w:tl2br w:val="nil"/>
                    <w:tr2bl w:val="nil"/>
                  </w:tcBorders>
                  <w:vAlign w:val="center"/>
                </w:tcPr>
                <w:p w14:paraId="1B45AC61">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mc:AlternateContent>
                      <mc:Choice Requires="wps">
                        <w:drawing>
                          <wp:anchor distT="0" distB="0" distL="114300" distR="114300" simplePos="0" relativeHeight="251666432" behindDoc="0" locked="0" layoutInCell="1" allowOverlap="1">
                            <wp:simplePos x="0" y="0"/>
                            <wp:positionH relativeFrom="column">
                              <wp:posOffset>27940</wp:posOffset>
                            </wp:positionH>
                            <wp:positionV relativeFrom="paragraph">
                              <wp:posOffset>114935</wp:posOffset>
                            </wp:positionV>
                            <wp:extent cx="254635" cy="0"/>
                            <wp:effectExtent l="0" t="9525" r="12065" b="9525"/>
                            <wp:wrapNone/>
                            <wp:docPr id="14495" name="直接箭头连接符 14495"/>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2.2pt;margin-top:9.05pt;height:0pt;width:20.05pt;z-index:251666432;mso-width-relative:page;mso-height-relative:page;" filled="f" stroked="t" coordsize="21600,21600" o:gfxdata="UEsDBAoAAAAAAIdO4kAAAAAAAAAAAAAAAAAEAAAAZHJzL1BLAwQUAAAACACHTuJAqooHl9AAAAAG&#10;AQAADwAAAGRycy9kb3ducmV2LnhtbE2OTU6EQBCF9ybeoVOTuDFOg8EJQZpZmLhyIY4eoIASyNDV&#10;hG6G9vaWcaHL95P3vvIY7aQutPjRsYF0n4Aibl03cm/g4/35LgflA3KHk2My8EUejtX1VYlF5zZ+&#10;o8sp9EpG2BdoYAhhLrT27UAW/d7NxJJ9usViELn0ultwk3E76fskOWiLI8vDgDM9DdSeT6s1EF8P&#10;HGKdx2bj9cXnt3VEWxtzs0uTR1CBYvgrww++oEMlTI1bufNqMpBlUhQ7T0FJnGUPoJpfratS/8ev&#10;vgFQSwMEFAAAAAgAh07iQPyf9kf+AQAA1AMAAA4AAABkcnMvZTJvRG9jLnhtbK1TwW4TMRC9I/EP&#10;lu9kNyGp6CqbHhKVS4FILR/geL27FrbHsp1s8hP8ABIn4EQ59c7X0PYzGHuTUMqlB/Zg2Z6ZN+89&#10;z07PtlqRjXBeginpcJBTIgyHSpqmpO+vzl+8osQHZiqmwIiS7oSnZ7Pnz6adLcQIWlCVcARBjC86&#10;W9I2BFtkmeet0MwPwAqDwRqcZgGPrskqxzpE1yob5flJ1oGrrAMuvMfbRR+ke0T3FECoa8nFAvha&#10;CxN6VCcUCyjJt9J6Okts61rw8K6uvQhElRSVhrRiE9yv4prNpqxoHLOt5HsK7CkUHmnSTBpseoRa&#10;sMDI2sl/oLTkDjzUYcBBZ72Q5AiqGOaPvLlsmRVJC1rt7dF0//9g+dvN0hFZ4SSMx6cTSgzT+Oh3&#10;n25uP369+3H968vN/c/Pcf/9G+lT0LLO+gIr52bpomi+NZf2AvgHTwzMW2Yakahf7SxiDaPJ2V8l&#10;8eAtNl51b6DCHLYOkPzb1k5HSHSGbNMz7Y7PJLaBcLwcTcYnL5EqP4QyVhzqrPPhtQBN4qakPjgm&#10;mzbMwRicBXDD1IVtLnyIrFhxKIhNDZxLpdJIKEM6pH6aT/JU4UHJKkZjnnfNaq4c2bA4VelLGjHy&#10;MM3B2lR9F2VinUgDuW998KB3cwXVbukORuFjJ3L7wYzT9PCc7PzzM8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qKB5fQAAAABgEAAA8AAAAAAAAAAQAgAAAAIgAAAGRycy9kb3ducmV2LnhtbFBL&#10;AQIUABQAAAAIAIdO4kD8n/ZH/gEAANQDAAAOAAAAAAAAAAEAIAAAAB8BAABkcnMvZTJvRG9jLnht&#10;bFBLBQYAAAAABgAGAFkBAACPBQAAAAA=&#10;">
                            <v:fill on="f" focussize="0,0"/>
                            <v:stroke weight="1.5pt" color="#000000" joinstyle="round"/>
                            <v:imagedata o:title=""/>
                            <o:lock v:ext="edit" aspectratio="f"/>
                          </v:shape>
                        </w:pict>
                      </mc:Fallback>
                    </mc:AlternateContent>
                  </w:r>
                </w:p>
              </w:tc>
              <w:tc>
                <w:tcPr>
                  <w:tcW w:w="255" w:type="pct"/>
                  <w:tcBorders>
                    <w:tl2br w:val="nil"/>
                    <w:tr2bl w:val="nil"/>
                  </w:tcBorders>
                </w:tcPr>
                <w:p w14:paraId="2D8F0C62">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mc:AlternateContent>
                      <mc:Choice Requires="wps">
                        <w:drawing>
                          <wp:anchor distT="0" distB="0" distL="114300" distR="114300" simplePos="0" relativeHeight="251668480" behindDoc="0" locked="0" layoutInCell="1" allowOverlap="1">
                            <wp:simplePos x="0" y="0"/>
                            <wp:positionH relativeFrom="column">
                              <wp:posOffset>46990</wp:posOffset>
                            </wp:positionH>
                            <wp:positionV relativeFrom="paragraph">
                              <wp:posOffset>123825</wp:posOffset>
                            </wp:positionV>
                            <wp:extent cx="254635" cy="0"/>
                            <wp:effectExtent l="0" t="9525" r="12065" b="9525"/>
                            <wp:wrapNone/>
                            <wp:docPr id="14491" name="直接箭头连接符 14491"/>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3.7pt;margin-top:9.75pt;height:0pt;width:20.05pt;z-index:251668480;mso-width-relative:page;mso-height-relative:page;" filled="f" stroked="t" coordsize="21600,21600" o:gfxdata="UEsDBAoAAAAAAIdO4kAAAAAAAAAAAAAAAAAEAAAAZHJzL1BLAwQUAAAACACHTuJAuHREetIAAAAG&#10;AQAADwAAAGRycy9kb3ducmV2LnhtbE2OwU7DMBBE70j8g7VIXFDrFJU2hDg9IHHiQGj7AZtkSSLi&#10;dRQ7jfl7FnGA02p2RjMvP0Q7qAtNvndsYLNOQBHXrum5NXA+vaxSUD4gNzg4JgNf5OFQXF/lmDVu&#10;4Xe6HEOrpIR9hga6EMZMa193ZNGv3Ugs3oebLAaRU6ubCRcpt4O+T5KdttizLHQ40nNH9edxtgbi&#10;245DLNNYLTy/+vSujGhLY25vNskTqEAx/IXhB1/QoRCmys3ceDUY2G8lKO/HB1Bib/dyq1+ti1z/&#10;xy++AVBLAwQUAAAACACHTuJAZB5Qdf4BAADUAwAADgAAAGRycy9lMm9Eb2MueG1srVPBbhMxEL0j&#10;8Q+W72Q3IanoKpseEpVLgUgtH+B4vbsWtseynWzyE/wAEifgRDn1ztfQ9jMYe5NQyqUH9mB5PDNv&#10;5r2ZnZ5ttSIb4bwEU9LhIKdEGA6VNE1J31+dv3hFiQ/MVEyBESXdCU/PZs+fTTtbiBG0oCrhCIIY&#10;X3S2pG0Itsgyz1uhmR+AFQadNTjNApquySrHOkTXKhvl+UnWgausAy68x9dF76R7RPcUQKhrycUC&#10;+FoLE3pUJxQLSMm30no6S93WteDhXV17EYgqKTIN6cQieF/FM5tNWdE4ZlvJ9y2wp7TwiJNm0mDR&#10;I9SCBUbWTv4DpSV34KEOAw4664kkRZDFMH+kzWXLrEhcUGpvj6L7/wfL326WjsgKN2E8Ph1SYpjG&#10;od99urn9+PXux/WvLzf3Pz/H+/dvpA9ByTrrC8ycm6WLpPnWXNoL4B88MTBvmWlEav1qZxFrGEXO&#10;/kqJhrdYeNW9gQpj2DpA0m9bOx0hURmyTWPaHccktoFwfBxNxicvJ5TwgytjxSHPOh9eC9AkXkrq&#10;g2OyacMcjMFdADdMVdjmwofYFSsOCbGogXOpVFoJZUiHrZ/mkzxleFCyit4Y512zmitHNixuVfoS&#10;R/Q8DHOwNlVfRZmYJ9JC7ksfNOjVXEG1W7qDUDjs1Nx+MeM2PbSTnH9+xt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HREetIAAAAGAQAADwAAAAAAAAABACAAAAAiAAAAZHJzL2Rvd25yZXYueG1s&#10;UEsBAhQAFAAAAAgAh07iQGQeUHX+AQAA1AMAAA4AAAAAAAAAAQAgAAAAIQEAAGRycy9lMm9Eb2Mu&#10;eG1sUEsFBgAAAAAGAAYAWQEAAJEFAAAAAA==&#10;">
                            <v:fill on="f" focussize="0,0"/>
                            <v:stroke weight="1.5pt" color="#000000" joinstyle="round"/>
                            <v:imagedata o:title=""/>
                            <o:lock v:ext="edit" aspectratio="f"/>
                          </v:shape>
                        </w:pict>
                      </mc:Fallback>
                    </mc:AlternateContent>
                  </w:r>
                </w:p>
              </w:tc>
              <w:tc>
                <w:tcPr>
                  <w:tcW w:w="316" w:type="pct"/>
                  <w:tcBorders>
                    <w:tl2br w:val="nil"/>
                    <w:tr2bl w:val="nil"/>
                  </w:tcBorders>
                </w:tcPr>
                <w:p w14:paraId="5DC93B71">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mc:AlternateContent>
                      <mc:Choice Requires="wps">
                        <w:drawing>
                          <wp:anchor distT="0" distB="0" distL="114300" distR="114300" simplePos="0" relativeHeight="251677696" behindDoc="0" locked="0" layoutInCell="1" allowOverlap="1">
                            <wp:simplePos x="0" y="0"/>
                            <wp:positionH relativeFrom="column">
                              <wp:posOffset>120650</wp:posOffset>
                            </wp:positionH>
                            <wp:positionV relativeFrom="paragraph">
                              <wp:posOffset>127635</wp:posOffset>
                            </wp:positionV>
                            <wp:extent cx="254635" cy="0"/>
                            <wp:effectExtent l="0" t="9525" r="12065" b="9525"/>
                            <wp:wrapNone/>
                            <wp:docPr id="26" name="直接箭头连接符 26"/>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9.5pt;margin-top:10.05pt;height:0pt;width:20.05pt;z-index:251677696;mso-width-relative:page;mso-height-relative:page;" filled="f" stroked="t" coordsize="21600,21600" o:gfxdata="UEsDBAoAAAAAAIdO4kAAAAAAAAAAAAAAAAAEAAAAZHJzL1BLAwQUAAAACACHTuJA6yYe/9IAAAAH&#10;AQAADwAAAGRycy9kb3ducmV2LnhtbE2PwU7DMAyG70i8Q2QkLoglncTUlaY7IHHiQBl7ALcJbUXj&#10;VE26hrefJw5wsj791u/P5SG5UZztHAZPGrKNAmGp9WagTsPp8/UxBxEiksHRk9XwYwMcqtubEgvj&#10;V/qw52PsBJdQKFBDH+NUSBna3joMGz9Z4uzLzw4j49xJM+PK5W6UW6V20uFAfKHHyb70tv0+Lk5D&#10;et9RTHWempWWt5A/1AldrfX9XaaeQUSb4t8yXPVZHSp2avxCJoiRec+vRA1blYHg/GnPs/llWZXy&#10;v391AVBLAwQUAAAACACHTuJAfXSCq/oBAADOAwAADgAAAGRycy9lMm9Eb2MueG1srVPNjtMwEL4j&#10;8Q6W7zRpoRVETffQarksUGmXB3AdJ7FwPNbYbdqX4AWQOAEnltPeeRpYHoOx+8OyXPZADpbt8Xzf&#10;fN9MpmfbzrCNQq/Blnw4yDlTVkKlbVPyt1fnT55z5oOwlTBgVcl3yvOz2eNH094VagQtmEohIxDr&#10;i96VvA3BFVnmZas64QfglKVgDdiJQEdssgpFT+idyUZ5Psl6wMohSOU93S72QX5AxIcAQl1rqRYg&#10;152yYY+KyohAknyrneezVG1dKxne1LVXgZmSk9KQViKh/Squ2WwqigaFa7U8lCAeUsI9TZ3QlkhP&#10;UAsRBFuj/geq0xLBQx0GErpsLyQ5QiqG+T1vLlvhVNJCVnt3Mt3/P1j5erNEpquSjyacWdFRx28/&#10;3Px8//n22/WPTze/vn+M+69fGMXJrN75gnLmdolRrtzaS3cB8p1nFuatsI1KRV/tHAENY0b2V0o8&#10;eEeUq/4VVPRGrAMk57Y1dhGSPGHb1KDdqUFqG5iky9H42eTpmDN5DGWiOOY59OGlgo7FTcl9QKGb&#10;NszBWpoCwGFiEZsLH2JVojgmRFIL59qYNAzGsp5Kf5GP85ThwegqRuM7j81qbpBtRJyn9CWNFLn7&#10;DGFtqz2LsTFPpVE8UB892Lu5gmq3xKNR1OZU3GEk4xzdPSc7//yGs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rJh7/0gAAAAcBAAAPAAAAAAAAAAEAIAAAACIAAABkcnMvZG93bnJldi54bWxQSwEC&#10;FAAUAAAACACHTuJAfXSCq/oBAADOAwAADgAAAAAAAAABACAAAAAhAQAAZHJzL2Uyb0RvYy54bWxQ&#10;SwUGAAAAAAYABgBZAQAAjQUAAAAA&#10;">
                            <v:fill on="f" focussize="0,0"/>
                            <v:stroke weight="1.5pt" color="#000000" joinstyle="round"/>
                            <v:imagedata o:title=""/>
                            <o:lock v:ext="edit" aspectratio="f"/>
                          </v:shape>
                        </w:pict>
                      </mc:Fallback>
                    </mc:AlternateContent>
                  </w:r>
                </w:p>
              </w:tc>
              <w:tc>
                <w:tcPr>
                  <w:tcW w:w="301" w:type="pct"/>
                  <w:tcBorders>
                    <w:tl2br w:val="nil"/>
                    <w:tr2bl w:val="nil"/>
                  </w:tcBorders>
                </w:tcPr>
                <w:p w14:paraId="140A5780">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r>
            <w:tr w14:paraId="030EFA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vMerge w:val="continue"/>
                  <w:tcBorders>
                    <w:tl2br w:val="nil"/>
                    <w:tr2bl w:val="nil"/>
                  </w:tcBorders>
                  <w:shd w:val="clear" w:color="auto" w:fill="auto"/>
                  <w:vAlign w:val="center"/>
                </w:tcPr>
                <w:p w14:paraId="3C4F36B4">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p>
              </w:tc>
              <w:tc>
                <w:tcPr>
                  <w:tcW w:w="354" w:type="pct"/>
                  <w:vMerge w:val="continue"/>
                  <w:tcBorders>
                    <w:tl2br w:val="nil"/>
                    <w:tr2bl w:val="nil"/>
                  </w:tcBorders>
                  <w:shd w:val="clear" w:color="auto" w:fill="auto"/>
                  <w:vAlign w:val="center"/>
                </w:tcPr>
                <w:p w14:paraId="4E6ED7CF">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p>
              </w:tc>
              <w:tc>
                <w:tcPr>
                  <w:tcW w:w="1046" w:type="pct"/>
                  <w:tcBorders>
                    <w:tl2br w:val="nil"/>
                    <w:tr2bl w:val="nil"/>
                  </w:tcBorders>
                  <w:shd w:val="clear" w:color="auto" w:fill="auto"/>
                  <w:vAlign w:val="center"/>
                </w:tcPr>
                <w:p w14:paraId="244F5497">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砼浇筑</w:t>
                  </w:r>
                </w:p>
              </w:tc>
              <w:tc>
                <w:tcPr>
                  <w:tcW w:w="255" w:type="pct"/>
                  <w:tcBorders>
                    <w:tl2br w:val="nil"/>
                    <w:tr2bl w:val="nil"/>
                  </w:tcBorders>
                  <w:shd w:val="clear" w:color="auto" w:fill="auto"/>
                  <w:vAlign w:val="center"/>
                </w:tcPr>
                <w:p w14:paraId="2D7C9715">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shd w:val="clear" w:color="auto" w:fill="auto"/>
                  <w:vAlign w:val="center"/>
                </w:tcPr>
                <w:p w14:paraId="04D3DB4F">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63" w:type="pct"/>
                  <w:tcBorders>
                    <w:tl2br w:val="nil"/>
                    <w:tr2bl w:val="nil"/>
                  </w:tcBorders>
                  <w:shd w:val="clear" w:color="auto" w:fill="auto"/>
                  <w:vAlign w:val="center"/>
                </w:tcPr>
                <w:p w14:paraId="119E8F3F">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shd w:val="clear" w:color="auto" w:fill="auto"/>
                  <w:vAlign w:val="center"/>
                </w:tcPr>
                <w:p w14:paraId="7EE7ED30">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shd w:val="clear" w:color="auto" w:fill="auto"/>
                  <w:vAlign w:val="center"/>
                </w:tcPr>
                <w:p w14:paraId="6746FDE2">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mc:AlternateContent>
                      <mc:Choice Requires="wps">
                        <w:drawing>
                          <wp:anchor distT="0" distB="0" distL="114300" distR="114300" simplePos="0" relativeHeight="251678720" behindDoc="0" locked="0" layoutInCell="1" allowOverlap="1">
                            <wp:simplePos x="0" y="0"/>
                            <wp:positionH relativeFrom="column">
                              <wp:posOffset>-65405</wp:posOffset>
                            </wp:positionH>
                            <wp:positionV relativeFrom="paragraph">
                              <wp:posOffset>140970</wp:posOffset>
                            </wp:positionV>
                            <wp:extent cx="1485900" cy="0"/>
                            <wp:effectExtent l="0" t="9525" r="0" b="9525"/>
                            <wp:wrapNone/>
                            <wp:docPr id="13" name="直接箭头连接符 13"/>
                            <wp:cNvGraphicFramePr/>
                            <a:graphic xmlns:a="http://schemas.openxmlformats.org/drawingml/2006/main">
                              <a:graphicData uri="http://schemas.microsoft.com/office/word/2010/wordprocessingShape">
                                <wps:wsp>
                                  <wps:cNvCnPr/>
                                  <wps:spPr>
                                    <a:xfrm>
                                      <a:off x="0" y="0"/>
                                      <a:ext cx="14859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11.1pt;height:0pt;width:117pt;z-index:251678720;mso-width-relative:page;mso-height-relative:page;" filled="f" stroked="t" coordsize="21600,21600" o:gfxdata="UEsDBAoAAAAAAIdO4kAAAAAAAAAAAAAAAAAEAAAAZHJzL1BLAwQUAAAACACHTuJAthD5utQAAAAJ&#10;AQAADwAAAGRycy9kb3ducmV2LnhtbE2PwU6EMBCG7ya+QzMmXsxuoZusBCl7MPHkQVx9gIGOQKRT&#10;QstS394aD3qcmS//fH91inYSF1r86FhDvs9AEHfOjNxreH972hUgfEA2ODkmDV/k4VRfX1VYGrfx&#10;K13OoRcphH2JGoYQ5lJK3w1k0e/dTJxuH26xGNK49NIsuKVwO0mVZUdpceT0YcCZHgfqPs+r1RBf&#10;jhxiU8R24/XZF3dNRNtofXuTZw8gAsXwB8OPflKHOjm1bmXjxaRhl2eHhGpQSoFIgFKHexDt70LW&#10;lfzfoP4GUEsDBBQAAAAIAIdO4kBkXZh5/QEAAO8DAAAOAAAAZHJzL2Uyb0RvYy54bWytU82O0zAQ&#10;viPxDpbvNOnCot2o6R5alguCSsADTB0nseQ/ebxN+xK8ABIn4ASc9s7TwPIYjJ1uF5ZLD+SQjD2e&#10;b+b78nl2sTWabWRA5WzNp5OSM2mFa5Ttav72zeWjM84wgm1AOytrvpPIL+YPH8wGX8kT1zvdyMAI&#10;xGI1+Jr3MfqqKFD00gBOnJeWkq0LBiItQ1c0AQZCN7o4KcunxeBC44MTEpF2l2OS7xHDMYCubZWQ&#10;SyeujLRxRA1SQyRK2CuPfJ6nbVsp4qu2RRmZrjkxjflNTShep3cxn0HVBfC9EvsR4JgR7nEyoCw1&#10;PUAtIQK7CuofKKNEcOjaOBHOFCORrAixmJb3tHndg5eZC0mN/iA6/j9Y8XKzCkw15ITHnFkw9Mdv&#10;3l//fPfp5tvXHx+vf33/kOIvnxnlSazBY0U1C7sK+xX6VUjMt20w6Uuc2DYLvDsILLeRCdqcPjk7&#10;PS9Je3GbK+4KfcD4XDrDUlBzjAFU18eFs5Z+owvTLDBsXmCk1lR4W5C6assGwj8vTxM6kC9b8gOF&#10;xhM3tF0uRqdVc6m0TiUYuvVCB7aB5I38JIYE/Nex1GUJ2I/ncmp0TS+heWYbFneeRLN0WXiawciG&#10;My3pbqWIAKGKoPQxJ6m1tjRBEnmUNUVr1+yy2nmffJBn3Hs2Ge3Pda6+u6f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Q+brUAAAACQEAAA8AAAAAAAAAAQAgAAAAIgAAAGRycy9kb3ducmV2Lnht&#10;bFBLAQIUABQAAAAIAIdO4kBkXZh5/QEAAO8DAAAOAAAAAAAAAAEAIAAAACMBAABkcnMvZTJvRG9j&#10;LnhtbFBLBQYAAAAABgAGAFkBAACSBQAAAAA=&#10;">
                            <v:fill on="f" focussize="0,0"/>
                            <v:stroke weight="1.5pt" color="#000000" joinstyle="round"/>
                            <v:imagedata o:title=""/>
                            <o:lock v:ext="edit" aspectratio="f"/>
                          </v:shape>
                        </w:pict>
                      </mc:Fallback>
                    </mc:AlternateContent>
                  </w:r>
                </w:p>
              </w:tc>
              <w:tc>
                <w:tcPr>
                  <w:tcW w:w="267" w:type="pct"/>
                  <w:tcBorders>
                    <w:tl2br w:val="nil"/>
                    <w:tr2bl w:val="nil"/>
                  </w:tcBorders>
                  <w:shd w:val="clear" w:color="auto" w:fill="auto"/>
                  <w:vAlign w:val="center"/>
                </w:tcPr>
                <w:p w14:paraId="053D6C26">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91" w:type="pct"/>
                  <w:tcBorders>
                    <w:tl2br w:val="nil"/>
                    <w:tr2bl w:val="nil"/>
                  </w:tcBorders>
                  <w:vAlign w:val="center"/>
                </w:tcPr>
                <w:p w14:paraId="0A86E68B">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vAlign w:val="center"/>
                </w:tcPr>
                <w:p w14:paraId="4684C0CF">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307" w:type="pct"/>
                  <w:tcBorders>
                    <w:tl2br w:val="nil"/>
                    <w:tr2bl w:val="nil"/>
                  </w:tcBorders>
                  <w:vAlign w:val="center"/>
                </w:tcPr>
                <w:p w14:paraId="0B6333A4">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tcPr>
                <w:p w14:paraId="4BADC10C">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316" w:type="pct"/>
                  <w:tcBorders>
                    <w:tl2br w:val="nil"/>
                    <w:tr2bl w:val="nil"/>
                  </w:tcBorders>
                </w:tcPr>
                <w:p w14:paraId="6B8ECFB4">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301" w:type="pct"/>
                  <w:tcBorders>
                    <w:tl2br w:val="nil"/>
                    <w:tr2bl w:val="nil"/>
                  </w:tcBorders>
                </w:tcPr>
                <w:p w14:paraId="6E4CEC2B">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r>
            <w:tr w14:paraId="198902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tcBorders>
                    <w:tl2br w:val="nil"/>
                    <w:tr2bl w:val="nil"/>
                  </w:tcBorders>
                  <w:shd w:val="clear" w:color="auto" w:fill="auto"/>
                  <w:vAlign w:val="center"/>
                </w:tcPr>
                <w:p w14:paraId="0AEE6054">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3</w:t>
                  </w:r>
                </w:p>
              </w:tc>
              <w:tc>
                <w:tcPr>
                  <w:tcW w:w="1401" w:type="pct"/>
                  <w:gridSpan w:val="2"/>
                  <w:tcBorders>
                    <w:tl2br w:val="nil"/>
                    <w:tr2bl w:val="nil"/>
                  </w:tcBorders>
                  <w:shd w:val="clear" w:color="auto" w:fill="auto"/>
                  <w:vAlign w:val="center"/>
                </w:tcPr>
                <w:p w14:paraId="4DD29B31">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场地清理及竣工结算</w:t>
                  </w:r>
                </w:p>
              </w:tc>
              <w:tc>
                <w:tcPr>
                  <w:tcW w:w="255" w:type="pct"/>
                  <w:tcBorders>
                    <w:tl2br w:val="nil"/>
                    <w:tr2bl w:val="nil"/>
                  </w:tcBorders>
                  <w:shd w:val="clear" w:color="auto" w:fill="auto"/>
                  <w:vAlign w:val="center"/>
                </w:tcPr>
                <w:p w14:paraId="77B9A456">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shd w:val="clear" w:color="auto" w:fill="auto"/>
                  <w:vAlign w:val="center"/>
                </w:tcPr>
                <w:p w14:paraId="00BE9A43">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63" w:type="pct"/>
                  <w:tcBorders>
                    <w:tl2br w:val="nil"/>
                    <w:tr2bl w:val="nil"/>
                  </w:tcBorders>
                  <w:shd w:val="clear" w:color="auto" w:fill="auto"/>
                  <w:vAlign w:val="center"/>
                </w:tcPr>
                <w:p w14:paraId="721191E2">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shd w:val="clear" w:color="auto" w:fill="auto"/>
                  <w:vAlign w:val="center"/>
                </w:tcPr>
                <w:p w14:paraId="6DFF5F46">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shd w:val="clear" w:color="auto" w:fill="auto"/>
                  <w:vAlign w:val="center"/>
                </w:tcPr>
                <w:p w14:paraId="3DF291D8">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67" w:type="pct"/>
                  <w:tcBorders>
                    <w:tl2br w:val="nil"/>
                    <w:tr2bl w:val="nil"/>
                  </w:tcBorders>
                  <w:shd w:val="clear" w:color="auto" w:fill="auto"/>
                  <w:vAlign w:val="center"/>
                </w:tcPr>
                <w:p w14:paraId="21E56AEF">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91" w:type="pct"/>
                  <w:tcBorders>
                    <w:tl2br w:val="nil"/>
                    <w:tr2bl w:val="nil"/>
                  </w:tcBorders>
                  <w:vAlign w:val="center"/>
                </w:tcPr>
                <w:p w14:paraId="26486A59">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vAlign w:val="center"/>
                </w:tcPr>
                <w:p w14:paraId="7ADDB3FD">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307" w:type="pct"/>
                  <w:tcBorders>
                    <w:tl2br w:val="nil"/>
                    <w:tr2bl w:val="nil"/>
                  </w:tcBorders>
                  <w:vAlign w:val="center"/>
                </w:tcPr>
                <w:p w14:paraId="64854CB0">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255" w:type="pct"/>
                  <w:tcBorders>
                    <w:tl2br w:val="nil"/>
                    <w:tr2bl w:val="nil"/>
                  </w:tcBorders>
                  <w:vAlign w:val="center"/>
                </w:tcPr>
                <w:p w14:paraId="01A91329">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c>
                <w:tcPr>
                  <w:tcW w:w="316" w:type="pct"/>
                  <w:tcBorders>
                    <w:tl2br w:val="nil"/>
                    <w:tr2bl w:val="nil"/>
                  </w:tcBorders>
                </w:tcPr>
                <w:p w14:paraId="22004831">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mc:AlternateContent>
                      <mc:Choice Requires="wps">
                        <w:drawing>
                          <wp:anchor distT="0" distB="0" distL="114300" distR="114300" simplePos="0" relativeHeight="251670528" behindDoc="0" locked="0" layoutInCell="1" allowOverlap="1">
                            <wp:simplePos x="0" y="0"/>
                            <wp:positionH relativeFrom="column">
                              <wp:posOffset>-6985</wp:posOffset>
                            </wp:positionH>
                            <wp:positionV relativeFrom="paragraph">
                              <wp:posOffset>140335</wp:posOffset>
                            </wp:positionV>
                            <wp:extent cx="458470" cy="3175"/>
                            <wp:effectExtent l="0" t="9525" r="17780" b="6350"/>
                            <wp:wrapNone/>
                            <wp:docPr id="18" name="肘形连接符 18"/>
                            <wp:cNvGraphicFramePr/>
                            <a:graphic xmlns:a="http://schemas.openxmlformats.org/drawingml/2006/main">
                              <a:graphicData uri="http://schemas.microsoft.com/office/word/2010/wordprocessingShape">
                                <wps:wsp>
                                  <wps:cNvCnPr/>
                                  <wps:spPr>
                                    <a:xfrm>
                                      <a:off x="0" y="0"/>
                                      <a:ext cx="458470" cy="3175"/>
                                    </a:xfrm>
                                    <a:prstGeom prst="bentConnector2">
                                      <a:avLst/>
                                    </a:prstGeom>
                                    <a:ln w="190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margin-left:-0.55pt;margin-top:11.05pt;height:0.25pt;width:36.1pt;z-index:251670528;mso-width-relative:page;mso-height-relative:page;" filled="f" stroked="t" coordsize="21600,21600" o:gfxdata="UEsDBAoAAAAAAIdO4kAAAAAAAAAAAAAAAAAEAAAAZHJzL1BLAwQUAAAACACHTuJA0BZRhdIAAAAH&#10;AQAADwAAAGRycy9kb3ducmV2LnhtbE2OQU+EMBCF7yb+h2ZMvO0WiFkJUjZxEw8eXU302KWzwC6d&#10;Elqg+usdTnqafHkvb75yH20vZhx950hBuk1AINXOdNQo+Hh/2eQgfNBkdO8IFXyjh311e1PqwriF&#10;3nA+hkbwCPlCK2hDGAopfd2i1X7rBiTOzm60OjCOjTSjXnjc9jJLkp20uiP+0OoBDy3W1+NkFczx&#10;8Jp7P31dHq75T4whLu3ns1L3d2nyBCJgDH9lWPVZHSp2OrmJjBe9gk2aclNBlvHl/HHl08o7kFUp&#10;//tXv1BLAwQUAAAACACHTuJAf1Y5awACAADxAwAADgAAAGRycy9lMm9Eb2MueG1srVO9jhMxEO6R&#10;eAfLPdlNuHDHKpsrEo4GQSTgASZeb9aS/+TxZZOWB6CmokCC6l4B8TTAPQZjb8jB0aRgC+/YM/PN&#10;fJ/Hs8ud0WwrAypnaz4elZxJK1yj7Kbmb99cPbrgDCPYBrSzsuZ7ifxy/vDBrPeVnLjO6UYGRiAW&#10;q97XvIvRV0WBopMGcOS8tORsXTAQaRs2RROgJ3Sji0lZPil6FxofnJCIdLocnPyAGE4BdG2rhFw6&#10;cW2kjQNqkBoiUcJOeeTz3G3bShFftS3KyHTNiWnMKxUhe53WYj6DahPAd0ocWoBTWrjHyYCyVPQI&#10;tYQI7Dqof6CMEsGha+NIOFMMRLIixGJc3tPmdQdeZi4kNfqj6Pj/YMXL7Sow1dAk0L1bMHTjt+8+&#10;fP/66fbbxx/vP/+8+cLIQzL1HiuKXthVOOzQr0LivGuDSX9iw3ZZ2v1RWrmLTNDh2fTi7JxEF+R6&#10;PD6fJsTiLtUHjM+lMywZNV/TtS6ctXR9LkyysLB9gXFI+h2camrLeur9aTlN4EDz2NIckGk8cUK7&#10;ycnotGqulNYpBcNmvdCBbSHNRP4O3fwVlqosAbshLrtSGFRGRZkkgKqT0DyzDYt7T7JZei48dWNk&#10;w5mW9LqSlSMjKH1KJEmiLSmTxB7kTdbaNfusej6nScjaHaY2jdqf+5x991Ln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FlGF0gAAAAcBAAAPAAAAAAAAAAEAIAAAACIAAABkcnMvZG93bnJldi54&#10;bWxQSwECFAAUAAAACACHTuJAf1Y5awACAADxAwAADgAAAAAAAAABACAAAAAhAQAAZHJzL2Uyb0Rv&#10;Yy54bWxQSwUGAAAAAAYABgBZAQAAkwUAAAAA&#10;">
                            <v:fill on="f" focussize="0,0"/>
                            <v:stroke weight="1.5pt" color="#000000" joinstyle="miter"/>
                            <v:imagedata o:title=""/>
                            <o:lock v:ext="edit" aspectratio="f"/>
                          </v:shape>
                        </w:pict>
                      </mc:Fallback>
                    </mc:AlternateContent>
                  </w:r>
                </w:p>
              </w:tc>
              <w:tc>
                <w:tcPr>
                  <w:tcW w:w="301" w:type="pct"/>
                  <w:tcBorders>
                    <w:tl2br w:val="nil"/>
                    <w:tr2bl w:val="nil"/>
                  </w:tcBorders>
                </w:tcPr>
                <w:p w14:paraId="47F1CA23">
                  <w:pPr>
                    <w:keepNext w:val="0"/>
                    <w:keepLines w:val="0"/>
                    <w:pageBreakBefore w:val="0"/>
                    <w:widowControl/>
                    <w:shd w:val="clear"/>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color w:val="auto"/>
                      <w:spacing w:val="0"/>
                      <w:sz w:val="21"/>
                      <w:szCs w:val="21"/>
                      <w:highlight w:val="none"/>
                    </w:rPr>
                  </w:pPr>
                </w:p>
              </w:tc>
            </w:tr>
          </w:tbl>
          <w:p w14:paraId="25EE2B36">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SA"/>
              </w:rPr>
            </w:pPr>
          </w:p>
        </w:tc>
      </w:tr>
      <w:tr w14:paraId="726453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5" w:type="pct"/>
            <w:tcBorders>
              <w:tl2br w:val="nil"/>
              <w:tr2bl w:val="nil"/>
            </w:tcBorders>
            <w:noWrap w:val="0"/>
            <w:vAlign w:val="center"/>
          </w:tcPr>
          <w:p w14:paraId="69DE4B05">
            <w:pPr>
              <w:keepNext w:val="0"/>
              <w:keepLines w:val="0"/>
              <w:pageBreakBefore w:val="0"/>
              <w:shd w:val="clear"/>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kern w:val="0"/>
                <w:position w:val="0"/>
                <w:szCs w:val="21"/>
                <w:highlight w:val="none"/>
              </w:rPr>
            </w:pPr>
            <w:r>
              <w:rPr>
                <w:rFonts w:hint="default" w:ascii="Times New Roman" w:hAnsi="Times New Roman" w:eastAsia="宋体" w:cs="Times New Roman"/>
                <w:color w:val="auto"/>
                <w:spacing w:val="0"/>
                <w:w w:val="100"/>
                <w:kern w:val="0"/>
                <w:position w:val="0"/>
                <w:sz w:val="24"/>
                <w:szCs w:val="24"/>
                <w:highlight w:val="none"/>
              </w:rPr>
              <w:t>总平面及现场布置</w:t>
            </w:r>
          </w:p>
        </w:tc>
        <w:tc>
          <w:tcPr>
            <w:tcW w:w="4594" w:type="pct"/>
            <w:tcBorders>
              <w:tl2br w:val="nil"/>
              <w:tr2bl w:val="nil"/>
            </w:tcBorders>
            <w:noWrap w:val="0"/>
            <w:vAlign w:val="center"/>
          </w:tcPr>
          <w:p w14:paraId="45FF6C17">
            <w:pPr>
              <w:shd w:val="clear"/>
              <w:spacing w:line="360" w:lineRule="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position w:val="0"/>
                <w:sz w:val="24"/>
                <w:szCs w:val="24"/>
                <w:highlight w:val="none"/>
                <w:lang w:val="en-US" w:eastAsia="zh-CN"/>
              </w:rPr>
              <w:t>1.防洪工程总体布置</w:t>
            </w:r>
          </w:p>
          <w:p w14:paraId="61769DD8">
            <w:pPr>
              <w:shd w:val="clear"/>
              <w:spacing w:line="360" w:lineRule="auto"/>
              <w:ind w:firstLine="560"/>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（1）河势分析</w:t>
            </w:r>
          </w:p>
          <w:p w14:paraId="559B4A26">
            <w:pPr>
              <w:shd w:val="clear"/>
              <w:spacing w:line="360" w:lineRule="auto"/>
              <w:ind w:firstLine="560"/>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治理段河道两岸多农田，河道宽窄不一，主流摆动较大，水流对凹岸多形成冲刷，对凸岸又多形成淤积。通过对该段河道两岸进行防护，使河道岸线遭到冲刷的现状将得到根本改观，保持河道岸线的稳定，可有效起到防洪和保护河道两侧的农田和村庄的作用，所以在防洪规划工程实施前，河水仍将继续冲刷两侧河岸，但因河床经过多年冲刷岸线基本稳定，近期河势不会产生大的变化，因此本次治理河段在平面上不会有大的变化。</w:t>
            </w:r>
          </w:p>
          <w:p w14:paraId="27EDF6C8">
            <w:pPr>
              <w:shd w:val="clear"/>
              <w:spacing w:line="360" w:lineRule="auto"/>
              <w:ind w:firstLine="560"/>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（2）总体布置</w:t>
            </w:r>
          </w:p>
          <w:p w14:paraId="7850C899">
            <w:pPr>
              <w:shd w:val="clear"/>
              <w:spacing w:line="360" w:lineRule="auto"/>
              <w:ind w:firstLine="560"/>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一般的河道治理工程常采用护岸形式进行综合治理，本工程地处</w:t>
            </w:r>
            <w:r>
              <w:rPr>
                <w:rFonts w:hint="default" w:ascii="Times New Roman" w:hAnsi="Times New Roman" w:cs="Times New Roman"/>
                <w:color w:val="auto"/>
                <w:spacing w:val="0"/>
                <w:position w:val="0"/>
                <w:sz w:val="24"/>
                <w:szCs w:val="24"/>
                <w:highlight w:val="none"/>
                <w:lang w:val="en-US" w:eastAsia="zh-CN"/>
              </w:rPr>
              <w:t>昌吉市库尔阿根河</w:t>
            </w:r>
            <w:r>
              <w:rPr>
                <w:rFonts w:hint="default" w:ascii="Times New Roman" w:hAnsi="Times New Roman" w:eastAsia="宋体" w:cs="Times New Roman"/>
                <w:color w:val="auto"/>
                <w:spacing w:val="0"/>
                <w:position w:val="0"/>
                <w:sz w:val="24"/>
                <w:szCs w:val="24"/>
                <w:highlight w:val="none"/>
                <w:lang w:val="en-US" w:eastAsia="zh-CN"/>
              </w:rPr>
              <w:t>，根据测绘资料，原河道所在区域总体地势为南高北低。按照防洪规划确定的工程布局原则，</w:t>
            </w:r>
            <w:r>
              <w:rPr>
                <w:rFonts w:hint="default" w:ascii="Times New Roman" w:hAnsi="Times New Roman" w:cs="Times New Roman"/>
                <w:color w:val="auto"/>
                <w:spacing w:val="0"/>
                <w:position w:val="0"/>
                <w:sz w:val="24"/>
                <w:szCs w:val="24"/>
                <w:highlight w:val="none"/>
                <w:lang w:val="en-US" w:eastAsia="zh-CN"/>
              </w:rPr>
              <w:t>库尔阿根河</w:t>
            </w:r>
            <w:r>
              <w:rPr>
                <w:rFonts w:hint="default" w:ascii="Times New Roman" w:hAnsi="Times New Roman" w:eastAsia="宋体" w:cs="Times New Roman"/>
                <w:color w:val="auto"/>
                <w:spacing w:val="0"/>
                <w:position w:val="0"/>
                <w:sz w:val="24"/>
                <w:szCs w:val="24"/>
                <w:highlight w:val="none"/>
                <w:lang w:val="en-US" w:eastAsia="zh-CN"/>
              </w:rPr>
              <w:t>防洪工程通过多种布置方案进行比较，比选出适宜于此段河道的布置方案。根据河道地形条件对原河道进行纵坡的调整；使洪水平顺规律性的下泄。</w:t>
            </w:r>
          </w:p>
          <w:p w14:paraId="0DF26F92">
            <w:pPr>
              <w:shd w:val="clear"/>
              <w:spacing w:line="360" w:lineRule="auto"/>
              <w:ind w:firstLine="560"/>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本次治理河段处于河床宽10～30m，河道宽窄不一，河道扩散性大，现状河床、河道两岸均为较松散的冲积洪积物，在洪水冲击下，河床进一步下切和在平面上摆动很大，冲毁两岸农田和村庄。若采用以丁坝为主的堤防工程进行防护，势必造成河道主流的摆动，影响两岸岸坡的稳定。采用顺坝则可以稳定河道主流，保持现有河道走势。</w:t>
            </w:r>
          </w:p>
          <w:p w14:paraId="00EEC9A5">
            <w:pPr>
              <w:shd w:val="clear"/>
              <w:spacing w:line="360" w:lineRule="auto"/>
              <w:ind w:firstLine="560"/>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由于现有的河道宽度经过核算满足泄洪要求；因此，根据现状地形条件，各段防洪堤护岸工程已无另行选址的必要，只能在</w:t>
            </w:r>
            <w:r>
              <w:rPr>
                <w:rFonts w:hint="default" w:ascii="Times New Roman" w:hAnsi="Times New Roman" w:cs="Times New Roman"/>
                <w:color w:val="auto"/>
                <w:spacing w:val="0"/>
                <w:position w:val="0"/>
                <w:sz w:val="24"/>
                <w:szCs w:val="24"/>
                <w:highlight w:val="none"/>
                <w:lang w:val="en-US" w:eastAsia="zh-CN"/>
              </w:rPr>
              <w:t>库尔阿根河</w:t>
            </w:r>
            <w:r>
              <w:rPr>
                <w:rFonts w:hint="default" w:ascii="Times New Roman" w:hAnsi="Times New Roman" w:eastAsia="宋体" w:cs="Times New Roman"/>
                <w:color w:val="auto"/>
                <w:spacing w:val="0"/>
                <w:position w:val="0"/>
                <w:sz w:val="24"/>
                <w:szCs w:val="24"/>
                <w:highlight w:val="none"/>
                <w:lang w:val="en-US" w:eastAsia="zh-CN"/>
              </w:rPr>
              <w:t>河道两岸修建。按照</w:t>
            </w:r>
            <w:r>
              <w:rPr>
                <w:rFonts w:hint="default" w:ascii="Times New Roman" w:hAnsi="Times New Roman" w:cs="Times New Roman"/>
                <w:color w:val="auto"/>
                <w:spacing w:val="0"/>
                <w:position w:val="0"/>
                <w:sz w:val="24"/>
                <w:szCs w:val="24"/>
                <w:highlight w:val="none"/>
                <w:lang w:val="en-US" w:eastAsia="zh-CN"/>
              </w:rPr>
              <w:t>库尔阿根河</w:t>
            </w:r>
            <w:r>
              <w:rPr>
                <w:rFonts w:hint="default" w:ascii="Times New Roman" w:hAnsi="Times New Roman" w:eastAsia="宋体" w:cs="Times New Roman"/>
                <w:color w:val="auto"/>
                <w:spacing w:val="0"/>
                <w:position w:val="0"/>
                <w:sz w:val="24"/>
                <w:szCs w:val="24"/>
                <w:highlight w:val="none"/>
                <w:lang w:val="en-US" w:eastAsia="zh-CN"/>
              </w:rPr>
              <w:t>防洪规划确定的工程布局原则，本次</w:t>
            </w:r>
            <w:r>
              <w:rPr>
                <w:rFonts w:hint="default" w:ascii="Times New Roman" w:hAnsi="Times New Roman" w:cs="Times New Roman"/>
                <w:color w:val="auto"/>
                <w:spacing w:val="0"/>
                <w:position w:val="0"/>
                <w:sz w:val="24"/>
                <w:szCs w:val="24"/>
                <w:highlight w:val="none"/>
                <w:lang w:val="en-US" w:eastAsia="zh-CN"/>
              </w:rPr>
              <w:t>库尔阿根河</w:t>
            </w:r>
            <w:r>
              <w:rPr>
                <w:rFonts w:hint="default" w:ascii="Times New Roman" w:hAnsi="Times New Roman" w:eastAsia="宋体" w:cs="Times New Roman"/>
                <w:color w:val="auto"/>
                <w:spacing w:val="0"/>
                <w:position w:val="0"/>
                <w:sz w:val="24"/>
                <w:szCs w:val="24"/>
                <w:highlight w:val="none"/>
                <w:lang w:val="en-US" w:eastAsia="zh-CN"/>
              </w:rPr>
              <w:t>项目治理河道两岸的工程布置方案采用两岸以顺坝为主的河岸防护措施。</w:t>
            </w:r>
          </w:p>
          <w:p w14:paraId="4136FF49">
            <w:pPr>
              <w:shd w:val="clear"/>
              <w:spacing w:line="360" w:lineRule="auto"/>
              <w:ind w:firstLine="560"/>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工程总体布局是：根据河势修建护岸工程，疏浚河道，增强河道行洪能力，提高设防标准，防止洪水冲毁造成两岸坍塌，进而冲毁两岸村庄、农田及道路。</w:t>
            </w:r>
          </w:p>
          <w:p w14:paraId="553F773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spacing w:val="0"/>
                <w:position w:val="0"/>
                <w:highlight w:val="none"/>
                <w:lang w:val="en-US" w:eastAsia="zh-CN"/>
              </w:rPr>
            </w:pPr>
            <w:r>
              <w:rPr>
                <w:rFonts w:hint="default" w:ascii="Times New Roman" w:hAnsi="Times New Roman" w:eastAsia="宋体" w:cs="Times New Roman"/>
                <w:color w:val="auto"/>
                <w:spacing w:val="0"/>
                <w:kern w:val="0"/>
                <w:sz w:val="24"/>
                <w:szCs w:val="24"/>
                <w:highlight w:val="none"/>
                <w:lang w:val="en-US" w:eastAsia="zh-CN" w:bidi="ar"/>
              </w:rPr>
              <w:t>工程占地均在河道管理范围内，不涉及征地及移民安置问题。施工生产区临时用地主要占用河道两侧滩地。本项目工程总平面图见附图3、附图4。</w:t>
            </w:r>
          </w:p>
        </w:tc>
      </w:tr>
      <w:tr w14:paraId="5A1D79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5" w:type="pct"/>
            <w:tcBorders>
              <w:tl2br w:val="nil"/>
              <w:tr2bl w:val="nil"/>
            </w:tcBorders>
            <w:noWrap w:val="0"/>
            <w:vAlign w:val="center"/>
          </w:tcPr>
          <w:p w14:paraId="3E410D9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firstLine="0" w:firstLineChars="0"/>
              <w:jc w:val="center"/>
              <w:textAlignment w:val="auto"/>
              <w:rPr>
                <w:rFonts w:hint="default" w:ascii="Times New Roman" w:hAnsi="Times New Roman" w:eastAsia="宋体" w:cs="Times New Roman"/>
                <w:color w:val="auto"/>
                <w:spacing w:val="0"/>
                <w:w w:val="100"/>
                <w:kern w:val="0"/>
                <w:position w:val="0"/>
                <w:sz w:val="24"/>
                <w:szCs w:val="24"/>
                <w:highlight w:val="none"/>
              </w:rPr>
            </w:pPr>
            <w:r>
              <w:rPr>
                <w:rFonts w:hint="default" w:ascii="Times New Roman" w:hAnsi="Times New Roman" w:eastAsia="宋体" w:cs="Times New Roman"/>
                <w:color w:val="auto"/>
                <w:spacing w:val="0"/>
                <w:w w:val="100"/>
                <w:kern w:val="0"/>
                <w:position w:val="0"/>
                <w:sz w:val="24"/>
                <w:szCs w:val="24"/>
                <w:highlight w:val="none"/>
              </w:rPr>
              <w:t>施</w:t>
            </w:r>
          </w:p>
          <w:p w14:paraId="56882AA8">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firstLine="0" w:firstLineChars="0"/>
              <w:jc w:val="center"/>
              <w:textAlignment w:val="auto"/>
              <w:rPr>
                <w:rFonts w:hint="default" w:ascii="Times New Roman" w:hAnsi="Times New Roman" w:eastAsia="宋体" w:cs="Times New Roman"/>
                <w:color w:val="auto"/>
                <w:spacing w:val="0"/>
                <w:w w:val="100"/>
                <w:kern w:val="0"/>
                <w:position w:val="0"/>
                <w:sz w:val="24"/>
                <w:szCs w:val="24"/>
                <w:highlight w:val="none"/>
              </w:rPr>
            </w:pPr>
            <w:r>
              <w:rPr>
                <w:rFonts w:hint="default" w:ascii="Times New Roman" w:hAnsi="Times New Roman" w:eastAsia="宋体" w:cs="Times New Roman"/>
                <w:color w:val="auto"/>
                <w:spacing w:val="0"/>
                <w:w w:val="100"/>
                <w:kern w:val="0"/>
                <w:position w:val="0"/>
                <w:sz w:val="24"/>
                <w:szCs w:val="24"/>
                <w:highlight w:val="none"/>
              </w:rPr>
              <w:t>工</w:t>
            </w:r>
          </w:p>
          <w:p w14:paraId="1C7DC791">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firstLine="0" w:firstLineChars="0"/>
              <w:jc w:val="center"/>
              <w:textAlignment w:val="auto"/>
              <w:rPr>
                <w:rFonts w:hint="default" w:ascii="Times New Roman" w:hAnsi="Times New Roman" w:eastAsia="宋体" w:cs="Times New Roman"/>
                <w:color w:val="auto"/>
                <w:spacing w:val="0"/>
                <w:w w:val="100"/>
                <w:kern w:val="0"/>
                <w:position w:val="0"/>
                <w:sz w:val="24"/>
                <w:szCs w:val="24"/>
                <w:highlight w:val="none"/>
              </w:rPr>
            </w:pPr>
            <w:r>
              <w:rPr>
                <w:rFonts w:hint="default" w:ascii="Times New Roman" w:hAnsi="Times New Roman" w:eastAsia="宋体" w:cs="Times New Roman"/>
                <w:color w:val="auto"/>
                <w:spacing w:val="0"/>
                <w:w w:val="100"/>
                <w:kern w:val="0"/>
                <w:position w:val="0"/>
                <w:sz w:val="24"/>
                <w:szCs w:val="24"/>
                <w:highlight w:val="none"/>
              </w:rPr>
              <w:t>方</w:t>
            </w:r>
          </w:p>
          <w:p w14:paraId="11C2F4E0">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firstLine="0" w:firstLineChars="0"/>
              <w:jc w:val="center"/>
              <w:textAlignment w:val="auto"/>
              <w:rPr>
                <w:rFonts w:hint="default" w:ascii="Times New Roman" w:hAnsi="Times New Roman" w:eastAsia="宋体" w:cs="Times New Roman"/>
                <w:color w:val="auto"/>
                <w:spacing w:val="0"/>
                <w:w w:val="100"/>
                <w:kern w:val="0"/>
                <w:position w:val="0"/>
                <w:sz w:val="24"/>
                <w:szCs w:val="24"/>
                <w:highlight w:val="none"/>
              </w:rPr>
            </w:pPr>
            <w:r>
              <w:rPr>
                <w:rFonts w:hint="default" w:ascii="Times New Roman" w:hAnsi="Times New Roman" w:eastAsia="宋体" w:cs="Times New Roman"/>
                <w:color w:val="auto"/>
                <w:spacing w:val="0"/>
                <w:w w:val="100"/>
                <w:kern w:val="0"/>
                <w:position w:val="0"/>
                <w:sz w:val="24"/>
                <w:szCs w:val="24"/>
                <w:highlight w:val="none"/>
              </w:rPr>
              <w:t>案</w:t>
            </w:r>
          </w:p>
        </w:tc>
        <w:tc>
          <w:tcPr>
            <w:tcW w:w="4594" w:type="pct"/>
            <w:tcBorders>
              <w:tl2br w:val="nil"/>
              <w:tr2bl w:val="nil"/>
            </w:tcBorders>
            <w:noWrap w:val="0"/>
            <w:vAlign w:val="center"/>
          </w:tcPr>
          <w:p w14:paraId="5226061A">
            <w:pPr>
              <w:pStyle w:val="2"/>
              <w:shd w:val="clear"/>
              <w:spacing w:line="360" w:lineRule="auto"/>
              <w:rPr>
                <w:rFonts w:hint="default" w:ascii="Times New Roman" w:hAnsi="Times New Roman" w:eastAsia="宋体" w:cs="Times New Roman"/>
                <w:color w:val="auto"/>
                <w:spacing w:val="0"/>
                <w:position w:val="0"/>
                <w:sz w:val="24"/>
                <w:szCs w:val="24"/>
                <w:highlight w:val="none"/>
              </w:rPr>
            </w:pPr>
            <w:bookmarkStart w:id="4" w:name="_Toc485645144"/>
            <w:r>
              <w:rPr>
                <w:rFonts w:hint="default" w:ascii="Times New Roman" w:hAnsi="Times New Roman" w:eastAsia="宋体" w:cs="Times New Roman"/>
                <w:color w:val="auto"/>
                <w:spacing w:val="0"/>
                <w:position w:val="0"/>
                <w:sz w:val="24"/>
                <w:szCs w:val="24"/>
                <w:highlight w:val="none"/>
              </w:rPr>
              <w:t>1</w:t>
            </w:r>
            <w:r>
              <w:rPr>
                <w:rFonts w:hint="default" w:ascii="Times New Roman" w:hAnsi="Times New Roman" w:eastAsia="宋体"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rPr>
              <w:t>工程地理位置及对外交通条件</w:t>
            </w:r>
            <w:bookmarkEnd w:id="4"/>
          </w:p>
          <w:p w14:paraId="5A14C0CD">
            <w:pPr>
              <w:shd w:val="clear"/>
              <w:spacing w:line="360" w:lineRule="auto"/>
              <w:ind w:firstLine="560"/>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eastAsia="zh-CN"/>
              </w:rPr>
              <w:t>库尔阿根河</w:t>
            </w:r>
            <w:r>
              <w:rPr>
                <w:rFonts w:hint="default" w:ascii="Times New Roman" w:hAnsi="Times New Roman" w:eastAsia="宋体" w:cs="Times New Roman"/>
                <w:color w:val="auto"/>
                <w:spacing w:val="0"/>
                <w:position w:val="0"/>
                <w:sz w:val="24"/>
                <w:szCs w:val="24"/>
                <w:highlight w:val="none"/>
              </w:rPr>
              <w:t>位于</w:t>
            </w:r>
            <w:r>
              <w:rPr>
                <w:rFonts w:hint="default" w:ascii="Times New Roman" w:hAnsi="Times New Roman" w:eastAsia="宋体" w:cs="Times New Roman"/>
                <w:color w:val="auto"/>
                <w:spacing w:val="0"/>
                <w:position w:val="0"/>
                <w:sz w:val="24"/>
                <w:szCs w:val="24"/>
                <w:highlight w:val="none"/>
                <w:lang w:eastAsia="zh-CN"/>
              </w:rPr>
              <w:t>昌吉市</w:t>
            </w:r>
            <w:r>
              <w:rPr>
                <w:rFonts w:hint="default" w:ascii="Times New Roman" w:hAnsi="Times New Roman" w:eastAsia="宋体" w:cs="Times New Roman"/>
                <w:color w:val="auto"/>
                <w:spacing w:val="0"/>
                <w:position w:val="0"/>
                <w:sz w:val="24"/>
                <w:szCs w:val="24"/>
                <w:highlight w:val="none"/>
              </w:rPr>
              <w:t>境内，通往工程区有</w:t>
            </w:r>
            <w:r>
              <w:rPr>
                <w:rFonts w:hint="default" w:ascii="Times New Roman" w:hAnsi="Times New Roman" w:eastAsia="宋体" w:cs="Times New Roman"/>
                <w:color w:val="auto"/>
                <w:spacing w:val="0"/>
                <w:position w:val="0"/>
                <w:sz w:val="24"/>
                <w:szCs w:val="24"/>
                <w:highlight w:val="none"/>
                <w:lang w:eastAsia="zh-CN"/>
              </w:rPr>
              <w:t>G312国道和</w:t>
            </w:r>
            <w:r>
              <w:rPr>
                <w:rFonts w:hint="default" w:ascii="Times New Roman" w:hAnsi="Times New Roman" w:cs="Times New Roman"/>
                <w:color w:val="auto"/>
                <w:spacing w:val="0"/>
                <w:position w:val="0"/>
                <w:sz w:val="24"/>
                <w:szCs w:val="24"/>
                <w:highlight w:val="none"/>
                <w:lang w:eastAsia="zh-CN"/>
              </w:rPr>
              <w:t>连霍高速</w:t>
            </w:r>
            <w:r>
              <w:rPr>
                <w:rFonts w:hint="default" w:ascii="Times New Roman" w:hAnsi="Times New Roman" w:eastAsia="宋体" w:cs="Times New Roman"/>
                <w:color w:val="auto"/>
                <w:spacing w:val="0"/>
                <w:position w:val="0"/>
                <w:sz w:val="24"/>
                <w:szCs w:val="24"/>
                <w:highlight w:val="none"/>
              </w:rPr>
              <w:t>，交通、通讯条件十分便利。</w:t>
            </w:r>
          </w:p>
          <w:p w14:paraId="5B559EA2">
            <w:pPr>
              <w:shd w:val="clear"/>
              <w:spacing w:line="360" w:lineRule="auto"/>
              <w:ind w:firstLine="560"/>
              <w:rPr>
                <w:rFonts w:hint="default" w:ascii="Times New Roman" w:hAnsi="Times New Roman" w:eastAsia="宋体" w:cs="Times New Roman"/>
                <w:color w:val="auto"/>
                <w:spacing w:val="0"/>
                <w:position w:val="0"/>
                <w:highlight w:val="none"/>
              </w:rPr>
            </w:pPr>
            <w:r>
              <w:rPr>
                <w:rFonts w:hint="default" w:ascii="Times New Roman" w:hAnsi="Times New Roman" w:eastAsia="宋体" w:cs="Times New Roman"/>
                <w:color w:val="auto"/>
                <w:spacing w:val="0"/>
                <w:position w:val="0"/>
                <w:sz w:val="24"/>
                <w:szCs w:val="24"/>
                <w:highlight w:val="none"/>
                <w:lang w:val="en-US" w:eastAsia="zh-CN"/>
              </w:rPr>
              <w:t>项目区现状防洪堤治导线外河滩地可通行中型汽车，经乡村道路可直接开进河道内，施工期间利用现状道路作为临时道路，即可连接各个施工作业点，对内交通较为方便。</w:t>
            </w:r>
          </w:p>
          <w:p w14:paraId="08C0B058">
            <w:pPr>
              <w:pStyle w:val="2"/>
              <w:shd w:val="clear"/>
              <w:spacing w:line="360" w:lineRule="auto"/>
              <w:rPr>
                <w:rFonts w:hint="default" w:ascii="Times New Roman" w:hAnsi="Times New Roman" w:eastAsia="宋体" w:cs="Times New Roman"/>
                <w:color w:val="auto"/>
                <w:spacing w:val="0"/>
                <w:position w:val="0"/>
                <w:sz w:val="24"/>
                <w:szCs w:val="24"/>
                <w:highlight w:val="none"/>
              </w:rPr>
            </w:pPr>
            <w:bookmarkStart w:id="5" w:name="_Toc485645145"/>
            <w:r>
              <w:rPr>
                <w:rFonts w:hint="default" w:ascii="Times New Roman" w:hAnsi="Times New Roman" w:eastAsia="宋体" w:cs="Times New Roman"/>
                <w:color w:val="auto"/>
                <w:spacing w:val="0"/>
                <w:position w:val="0"/>
                <w:sz w:val="24"/>
                <w:szCs w:val="24"/>
                <w:highlight w:val="none"/>
              </w:rPr>
              <w:t>2</w:t>
            </w:r>
            <w:r>
              <w:rPr>
                <w:rFonts w:hint="default" w:ascii="Times New Roman" w:hAnsi="Times New Roman" w:eastAsia="宋体"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rPr>
              <w:t>主材供应条件</w:t>
            </w:r>
            <w:bookmarkEnd w:id="5"/>
          </w:p>
          <w:p w14:paraId="501EE814">
            <w:pPr>
              <w:shd w:val="clear"/>
              <w:spacing w:line="360" w:lineRule="auto"/>
              <w:ind w:firstLine="560"/>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w:t>
            </w:r>
            <w:r>
              <w:rPr>
                <w:rFonts w:hint="default" w:ascii="Times New Roman" w:hAnsi="Times New Roman" w:eastAsia="宋体" w:cs="Times New Roman"/>
                <w:color w:val="auto"/>
                <w:spacing w:val="0"/>
                <w:position w:val="0"/>
                <w:sz w:val="24"/>
                <w:szCs w:val="24"/>
                <w:highlight w:val="none"/>
                <w:lang w:val="en-US" w:eastAsia="zh-CN"/>
              </w:rPr>
              <w:t>1</w:t>
            </w:r>
            <w:r>
              <w:rPr>
                <w:rFonts w:hint="default" w:ascii="Times New Roman" w:hAnsi="Times New Roman" w:eastAsia="宋体" w:cs="Times New Roman"/>
                <w:color w:val="auto"/>
                <w:spacing w:val="0"/>
                <w:position w:val="0"/>
                <w:sz w:val="24"/>
                <w:szCs w:val="24"/>
                <w:highlight w:val="none"/>
              </w:rPr>
              <w:t>）木材：本着节约木材的原则，本工程尽量多用钢模，木材主要用在难以采用钢模进行浇筑的施工部位。施工所需木材由</w:t>
            </w:r>
            <w:r>
              <w:rPr>
                <w:rFonts w:hint="default" w:ascii="Times New Roman" w:hAnsi="Times New Roman" w:eastAsia="宋体" w:cs="Times New Roman"/>
                <w:color w:val="auto"/>
                <w:spacing w:val="0"/>
                <w:position w:val="0"/>
                <w:sz w:val="24"/>
                <w:szCs w:val="24"/>
                <w:highlight w:val="none"/>
                <w:lang w:eastAsia="zh-CN"/>
              </w:rPr>
              <w:t>昌吉市</w:t>
            </w:r>
            <w:r>
              <w:rPr>
                <w:rFonts w:hint="default" w:ascii="Times New Roman" w:hAnsi="Times New Roman" w:eastAsia="宋体" w:cs="Times New Roman"/>
                <w:color w:val="auto"/>
                <w:spacing w:val="0"/>
                <w:position w:val="0"/>
                <w:sz w:val="24"/>
                <w:szCs w:val="24"/>
                <w:highlight w:val="none"/>
              </w:rPr>
              <w:t>提供。</w:t>
            </w:r>
          </w:p>
          <w:p w14:paraId="2983E294">
            <w:pPr>
              <w:shd w:val="clear"/>
              <w:spacing w:line="360" w:lineRule="auto"/>
              <w:ind w:firstLine="560"/>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w:t>
            </w:r>
            <w:r>
              <w:rPr>
                <w:rFonts w:hint="default" w:ascii="Times New Roman" w:hAnsi="Times New Roman" w:eastAsia="宋体" w:cs="Times New Roman"/>
                <w:color w:val="auto"/>
                <w:spacing w:val="0"/>
                <w:position w:val="0"/>
                <w:sz w:val="24"/>
                <w:szCs w:val="24"/>
                <w:highlight w:val="none"/>
                <w:lang w:val="en-US" w:eastAsia="zh-CN"/>
              </w:rPr>
              <w:t>2</w:t>
            </w:r>
            <w:r>
              <w:rPr>
                <w:rFonts w:hint="default" w:ascii="Times New Roman" w:hAnsi="Times New Roman" w:eastAsia="宋体" w:cs="Times New Roman"/>
                <w:color w:val="auto"/>
                <w:spacing w:val="0"/>
                <w:position w:val="0"/>
                <w:sz w:val="24"/>
                <w:szCs w:val="24"/>
                <w:highlight w:val="none"/>
              </w:rPr>
              <w:t>）</w:t>
            </w:r>
            <w:r>
              <w:rPr>
                <w:rFonts w:hint="default" w:ascii="Times New Roman" w:hAnsi="Times New Roman" w:eastAsia="宋体" w:cs="Times New Roman"/>
                <w:color w:val="auto"/>
                <w:spacing w:val="0"/>
                <w:position w:val="0"/>
                <w:sz w:val="24"/>
                <w:szCs w:val="24"/>
                <w:highlight w:val="none"/>
                <w:lang w:val="en-US" w:eastAsia="zh-CN"/>
              </w:rPr>
              <w:t>混凝土</w:t>
            </w:r>
            <w:r>
              <w:rPr>
                <w:rFonts w:hint="default" w:ascii="Times New Roman" w:hAnsi="Times New Roman" w:eastAsia="宋体" w:cs="Times New Roman"/>
                <w:color w:val="auto"/>
                <w:spacing w:val="0"/>
                <w:position w:val="0"/>
                <w:sz w:val="24"/>
                <w:szCs w:val="24"/>
                <w:highlight w:val="none"/>
              </w:rPr>
              <w:t>：护岸工程混凝土总量</w:t>
            </w:r>
            <w:r>
              <w:rPr>
                <w:rFonts w:hint="default" w:ascii="Times New Roman" w:hAnsi="Times New Roman" w:cs="Times New Roman"/>
                <w:color w:val="auto"/>
                <w:spacing w:val="0"/>
                <w:position w:val="0"/>
                <w:sz w:val="24"/>
                <w:szCs w:val="24"/>
                <w:highlight w:val="none"/>
                <w:lang w:eastAsia="zh-CN"/>
              </w:rPr>
              <w:t>6000</w:t>
            </w:r>
            <w:r>
              <w:rPr>
                <w:rFonts w:hint="default" w:ascii="Times New Roman" w:hAnsi="Times New Roman" w:eastAsia="宋体" w:cs="Times New Roman"/>
                <w:color w:val="auto"/>
                <w:spacing w:val="0"/>
                <w:position w:val="0"/>
                <w:sz w:val="24"/>
                <w:szCs w:val="24"/>
                <w:highlight w:val="none"/>
              </w:rPr>
              <w:t>m</w:t>
            </w:r>
            <w:r>
              <w:rPr>
                <w:rFonts w:hint="default" w:ascii="Times New Roman" w:hAnsi="Times New Roman" w:eastAsia="宋体" w:cs="Times New Roman"/>
                <w:color w:val="auto"/>
                <w:spacing w:val="0"/>
                <w:position w:val="0"/>
                <w:sz w:val="24"/>
                <w:szCs w:val="24"/>
                <w:highlight w:val="none"/>
                <w:vertAlign w:val="superscript"/>
              </w:rPr>
              <w:t>3</w:t>
            </w:r>
            <w:r>
              <w:rPr>
                <w:rFonts w:hint="default" w:ascii="Times New Roman" w:hAnsi="Times New Roman" w:eastAsia="宋体" w:cs="Times New Roman"/>
                <w:color w:val="auto"/>
                <w:spacing w:val="0"/>
                <w:position w:val="0"/>
                <w:sz w:val="24"/>
                <w:szCs w:val="24"/>
                <w:highlight w:val="none"/>
              </w:rPr>
              <w:t>，</w:t>
            </w:r>
            <w:r>
              <w:rPr>
                <w:rFonts w:hint="default" w:ascii="Times New Roman" w:hAnsi="Times New Roman" w:eastAsia="宋体" w:cs="Times New Roman"/>
                <w:color w:val="auto"/>
                <w:spacing w:val="0"/>
                <w:position w:val="0"/>
                <w:sz w:val="24"/>
                <w:szCs w:val="24"/>
                <w:highlight w:val="none"/>
                <w:lang w:val="en-US" w:eastAsia="zh-CN"/>
              </w:rPr>
              <w:t>本项目所需混凝土均为外购，经出场检验合格后进行浇筑</w:t>
            </w:r>
            <w:r>
              <w:rPr>
                <w:rFonts w:hint="default" w:ascii="Times New Roman" w:hAnsi="Times New Roman" w:eastAsia="宋体" w:cs="Times New Roman"/>
                <w:color w:val="auto"/>
                <w:spacing w:val="0"/>
                <w:position w:val="0"/>
                <w:sz w:val="24"/>
                <w:szCs w:val="24"/>
                <w:highlight w:val="none"/>
              </w:rPr>
              <w:t>。</w:t>
            </w:r>
          </w:p>
          <w:p w14:paraId="2FADD9AF">
            <w:pPr>
              <w:shd w:val="clear"/>
              <w:spacing w:line="360" w:lineRule="auto"/>
              <w:ind w:firstLine="560"/>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w:t>
            </w:r>
            <w:r>
              <w:rPr>
                <w:rFonts w:hint="default" w:ascii="Times New Roman" w:hAnsi="Times New Roman" w:eastAsia="宋体" w:cs="Times New Roman"/>
                <w:color w:val="auto"/>
                <w:spacing w:val="0"/>
                <w:position w:val="0"/>
                <w:sz w:val="24"/>
                <w:szCs w:val="24"/>
                <w:highlight w:val="none"/>
                <w:lang w:val="en-US" w:eastAsia="zh-CN"/>
              </w:rPr>
              <w:t>3</w:t>
            </w:r>
            <w:r>
              <w:rPr>
                <w:rFonts w:hint="default" w:ascii="Times New Roman" w:hAnsi="Times New Roman" w:eastAsia="宋体" w:cs="Times New Roman"/>
                <w:color w:val="auto"/>
                <w:spacing w:val="0"/>
                <w:position w:val="0"/>
                <w:sz w:val="24"/>
                <w:szCs w:val="24"/>
                <w:highlight w:val="none"/>
              </w:rPr>
              <w:t>）油料及零星建材：由</w:t>
            </w:r>
            <w:r>
              <w:rPr>
                <w:rFonts w:hint="default" w:ascii="Times New Roman" w:hAnsi="Times New Roman" w:eastAsia="宋体" w:cs="Times New Roman"/>
                <w:color w:val="auto"/>
                <w:spacing w:val="0"/>
                <w:position w:val="0"/>
                <w:sz w:val="24"/>
                <w:szCs w:val="24"/>
                <w:highlight w:val="none"/>
                <w:lang w:eastAsia="zh-CN"/>
              </w:rPr>
              <w:t>昌吉市</w:t>
            </w:r>
            <w:r>
              <w:rPr>
                <w:rFonts w:hint="default" w:ascii="Times New Roman" w:hAnsi="Times New Roman" w:eastAsia="宋体" w:cs="Times New Roman"/>
                <w:color w:val="auto"/>
                <w:spacing w:val="0"/>
                <w:position w:val="0"/>
                <w:sz w:val="24"/>
                <w:szCs w:val="24"/>
                <w:highlight w:val="none"/>
              </w:rPr>
              <w:t>提供。</w:t>
            </w:r>
          </w:p>
          <w:p w14:paraId="65C403D1">
            <w:pPr>
              <w:shd w:val="clear"/>
              <w:spacing w:line="360" w:lineRule="auto"/>
              <w:ind w:firstLine="560"/>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w:t>
            </w:r>
            <w:r>
              <w:rPr>
                <w:rFonts w:hint="default" w:ascii="Times New Roman" w:hAnsi="Times New Roman" w:eastAsia="宋体" w:cs="Times New Roman"/>
                <w:color w:val="auto"/>
                <w:spacing w:val="0"/>
                <w:position w:val="0"/>
                <w:sz w:val="24"/>
                <w:szCs w:val="24"/>
                <w:highlight w:val="none"/>
                <w:lang w:val="en-US" w:eastAsia="zh-CN"/>
              </w:rPr>
              <w:t>4</w:t>
            </w:r>
            <w:r>
              <w:rPr>
                <w:rFonts w:hint="default" w:ascii="Times New Roman" w:hAnsi="Times New Roman" w:eastAsia="宋体" w:cs="Times New Roman"/>
                <w:color w:val="auto"/>
                <w:spacing w:val="0"/>
                <w:position w:val="0"/>
                <w:sz w:val="24"/>
                <w:szCs w:val="24"/>
                <w:highlight w:val="none"/>
              </w:rPr>
              <w:t>）生产生活物资：主要由当地供应，当地无法供应的物资外购解决。</w:t>
            </w:r>
          </w:p>
          <w:p w14:paraId="1ECE0301">
            <w:pPr>
              <w:pStyle w:val="2"/>
              <w:shd w:val="clear"/>
              <w:spacing w:line="360" w:lineRule="auto"/>
              <w:rPr>
                <w:rFonts w:hint="default" w:ascii="Times New Roman" w:hAnsi="Times New Roman" w:eastAsia="宋体" w:cs="Times New Roman"/>
                <w:color w:val="auto"/>
                <w:spacing w:val="0"/>
                <w:position w:val="0"/>
                <w:sz w:val="24"/>
                <w:szCs w:val="24"/>
                <w:highlight w:val="none"/>
              </w:rPr>
            </w:pPr>
            <w:bookmarkStart w:id="6" w:name="_Toc485645146"/>
            <w:r>
              <w:rPr>
                <w:rFonts w:hint="default" w:ascii="Times New Roman" w:hAnsi="Times New Roman" w:eastAsia="宋体" w:cs="Times New Roman"/>
                <w:color w:val="auto"/>
                <w:spacing w:val="0"/>
                <w:position w:val="0"/>
                <w:sz w:val="24"/>
                <w:szCs w:val="24"/>
                <w:highlight w:val="none"/>
              </w:rPr>
              <w:t>3</w:t>
            </w:r>
            <w:r>
              <w:rPr>
                <w:rFonts w:hint="default" w:ascii="Times New Roman" w:hAnsi="Times New Roman" w:eastAsia="宋体"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rPr>
              <w:t>主体工程施工</w:t>
            </w:r>
            <w:bookmarkEnd w:id="6"/>
          </w:p>
          <w:p w14:paraId="23BD90F6">
            <w:pPr>
              <w:pStyle w:val="7"/>
              <w:shd w:val="clear"/>
              <w:spacing w:line="360" w:lineRule="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工程中护岸施工包括土方开挖、砂砾石方回填、现浇砼板衬砌等内容。各工程的施工分述如下：</w:t>
            </w:r>
          </w:p>
          <w:p w14:paraId="5835DBE4">
            <w:pPr>
              <w:shd w:val="clear"/>
              <w:spacing w:line="360" w:lineRule="auto"/>
              <w:ind w:firstLine="560"/>
              <w:rPr>
                <w:rFonts w:hint="default" w:ascii="Times New Roman" w:hAnsi="Times New Roman" w:eastAsia="宋体" w:cs="Times New Roman"/>
                <w:color w:val="auto"/>
                <w:spacing w:val="0"/>
                <w:position w:val="0"/>
                <w:sz w:val="24"/>
                <w:szCs w:val="24"/>
                <w:highlight w:val="none"/>
              </w:rPr>
            </w:pPr>
            <w:bookmarkStart w:id="7" w:name="_Toc485645147"/>
            <w:r>
              <w:rPr>
                <w:rFonts w:hint="default" w:ascii="Times New Roman" w:hAnsi="Times New Roman" w:eastAsia="宋体" w:cs="Times New Roman"/>
                <w:bCs/>
                <w:color w:val="auto"/>
                <w:spacing w:val="0"/>
                <w:position w:val="0"/>
                <w:sz w:val="24"/>
                <w:szCs w:val="24"/>
                <w:highlight w:val="none"/>
              </w:rPr>
              <w:t>（1）</w:t>
            </w:r>
            <w:r>
              <w:rPr>
                <w:rFonts w:hint="default" w:ascii="Times New Roman" w:hAnsi="Times New Roman" w:eastAsia="宋体" w:cs="Times New Roman"/>
                <w:color w:val="auto"/>
                <w:spacing w:val="0"/>
                <w:position w:val="0"/>
                <w:sz w:val="24"/>
                <w:szCs w:val="24"/>
                <w:highlight w:val="none"/>
              </w:rPr>
              <w:t>土方施工</w:t>
            </w:r>
          </w:p>
          <w:p w14:paraId="7A5AC95C">
            <w:pPr>
              <w:shd w:val="clear"/>
              <w:spacing w:line="360" w:lineRule="auto"/>
              <w:ind w:firstLine="560"/>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根据实地勘察，项目区部分护岸基础覆黄土，厚度为0.5～1.5m。设计覆盖层清除为表层0.5m左右土层富含植物根系等杂物，施工过程中可根据实际情况适当增加，护岸沿线两侧均为耕地段，且河道狭窄处，覆盖层清除土方由1m³挖掘机挖甩，74KW推土机推运</w:t>
            </w:r>
            <w:r>
              <w:rPr>
                <w:rFonts w:hint="default" w:ascii="Times New Roman" w:hAnsi="Times New Roman" w:eastAsia="宋体" w:cs="Times New Roman"/>
                <w:color w:val="auto"/>
                <w:spacing w:val="0"/>
                <w:position w:val="0"/>
                <w:sz w:val="24"/>
                <w:szCs w:val="24"/>
                <w:highlight w:val="none"/>
                <w:lang w:val="en-US" w:eastAsia="zh-CN"/>
              </w:rPr>
              <w:t>5</w:t>
            </w:r>
            <w:r>
              <w:rPr>
                <w:rFonts w:hint="default" w:ascii="Times New Roman" w:hAnsi="Times New Roman" w:eastAsia="宋体" w:cs="Times New Roman"/>
                <w:color w:val="auto"/>
                <w:spacing w:val="0"/>
                <w:position w:val="0"/>
                <w:sz w:val="24"/>
                <w:szCs w:val="24"/>
                <w:highlight w:val="none"/>
              </w:rPr>
              <w:t>0m。</w:t>
            </w:r>
          </w:p>
          <w:p w14:paraId="4EAFD387">
            <w:pPr>
              <w:shd w:val="clear"/>
              <w:spacing w:line="360" w:lineRule="auto"/>
              <w:ind w:firstLine="560"/>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砂砾石垫层料共4.05万m³，防冻胀层换填砾砂料由10t自卸车由附近C1砂砾石料料场至施工现场，</w:t>
            </w:r>
            <w:r>
              <w:rPr>
                <w:rFonts w:hint="default" w:ascii="Times New Roman" w:hAnsi="Times New Roman" w:eastAsia="宋体" w:cs="Times New Roman"/>
                <w:snapToGrid w:val="0"/>
                <w:color w:val="auto"/>
                <w:spacing w:val="0"/>
                <w:position w:val="0"/>
                <w:sz w:val="24"/>
                <w:szCs w:val="24"/>
                <w:highlight w:val="none"/>
              </w:rPr>
              <w:t>运距5km</w:t>
            </w:r>
            <w:r>
              <w:rPr>
                <w:rFonts w:hint="default" w:ascii="Times New Roman" w:hAnsi="Times New Roman" w:eastAsia="宋体" w:cs="Times New Roman"/>
                <w:color w:val="auto"/>
                <w:spacing w:val="0"/>
                <w:position w:val="0"/>
                <w:sz w:val="24"/>
                <w:szCs w:val="24"/>
                <w:highlight w:val="none"/>
              </w:rPr>
              <w:t>，人工摊铺，辅助修坡、整平，采用2.8kw蛙式打夯机夯实，砂砾石回填压实标准：Dr≥0.75，粒径小于0.075颗粒含量不大于总质量10%。</w:t>
            </w:r>
          </w:p>
          <w:p w14:paraId="35E65FA1">
            <w:pPr>
              <w:shd w:val="clear"/>
              <w:spacing w:line="360" w:lineRule="auto"/>
              <w:ind w:firstLine="560"/>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坡脚土方填筑共14.94万m</w:t>
            </w:r>
            <w:r>
              <w:rPr>
                <w:rFonts w:hint="default" w:ascii="Times New Roman" w:hAnsi="Times New Roman" w:eastAsia="宋体" w:cs="Times New Roman"/>
                <w:color w:val="auto"/>
                <w:spacing w:val="0"/>
                <w:position w:val="0"/>
                <w:sz w:val="24"/>
                <w:szCs w:val="24"/>
                <w:highlight w:val="none"/>
                <w:vertAlign w:val="superscript"/>
              </w:rPr>
              <w:t>3</w:t>
            </w:r>
            <w:r>
              <w:rPr>
                <w:rFonts w:hint="default" w:ascii="Times New Roman" w:hAnsi="Times New Roman" w:eastAsia="宋体" w:cs="Times New Roman"/>
                <w:color w:val="auto"/>
                <w:spacing w:val="0"/>
                <w:position w:val="0"/>
                <w:sz w:val="24"/>
                <w:szCs w:val="24"/>
                <w:highlight w:val="none"/>
              </w:rPr>
              <w:t>，采用74kw推土机将开挖料推至护岸坡脚。护岸坡脚回填时，采用推土机推运河床中的土包，将土包土料用于护岸坡脚回填，推运60m，同时满足河道疏浚要求。</w:t>
            </w:r>
          </w:p>
          <w:p w14:paraId="1C301BEC">
            <w:pPr>
              <w:shd w:val="clear"/>
              <w:spacing w:line="360" w:lineRule="auto"/>
              <w:ind w:firstLine="560"/>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（2）混凝土施工</w:t>
            </w:r>
          </w:p>
          <w:p w14:paraId="38D4F396">
            <w:pPr>
              <w:shd w:val="clear"/>
              <w:spacing w:line="360" w:lineRule="auto"/>
              <w:ind w:firstLine="560"/>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护岸工程混凝土总量</w:t>
            </w:r>
            <w:r>
              <w:rPr>
                <w:rFonts w:hint="default" w:ascii="Times New Roman" w:hAnsi="Times New Roman" w:cs="Times New Roman"/>
                <w:color w:val="auto"/>
                <w:spacing w:val="0"/>
                <w:position w:val="0"/>
                <w:sz w:val="24"/>
                <w:szCs w:val="24"/>
                <w:highlight w:val="none"/>
                <w:lang w:eastAsia="zh-CN"/>
              </w:rPr>
              <w:t>6000</w:t>
            </w:r>
            <w:r>
              <w:rPr>
                <w:rFonts w:hint="default" w:ascii="Times New Roman" w:hAnsi="Times New Roman" w:eastAsia="宋体" w:cs="Times New Roman"/>
                <w:color w:val="auto"/>
                <w:spacing w:val="0"/>
                <w:position w:val="0"/>
                <w:sz w:val="24"/>
                <w:szCs w:val="24"/>
                <w:highlight w:val="none"/>
              </w:rPr>
              <w:t>m</w:t>
            </w:r>
            <w:r>
              <w:rPr>
                <w:rFonts w:hint="default" w:ascii="Times New Roman" w:hAnsi="Times New Roman" w:eastAsia="宋体" w:cs="Times New Roman"/>
                <w:color w:val="auto"/>
                <w:spacing w:val="0"/>
                <w:position w:val="0"/>
                <w:sz w:val="24"/>
                <w:szCs w:val="24"/>
                <w:highlight w:val="none"/>
                <w:vertAlign w:val="superscript"/>
              </w:rPr>
              <w:t>3</w:t>
            </w:r>
            <w:r>
              <w:rPr>
                <w:rFonts w:hint="default" w:ascii="Times New Roman" w:hAnsi="Times New Roman" w:eastAsia="宋体" w:cs="Times New Roman"/>
                <w:color w:val="auto"/>
                <w:spacing w:val="0"/>
                <w:position w:val="0"/>
                <w:sz w:val="24"/>
                <w:szCs w:val="24"/>
                <w:highlight w:val="none"/>
              </w:rPr>
              <w:t>，混凝土</w:t>
            </w:r>
            <w:r>
              <w:rPr>
                <w:rFonts w:hint="default" w:ascii="Times New Roman" w:hAnsi="Times New Roman" w:cs="Times New Roman"/>
                <w:color w:val="auto"/>
                <w:spacing w:val="0"/>
                <w:position w:val="0"/>
                <w:sz w:val="24"/>
                <w:szCs w:val="24"/>
                <w:highlight w:val="none"/>
                <w:lang w:val="en-US" w:eastAsia="zh-CN"/>
              </w:rPr>
              <w:t>采用商品混凝土</w:t>
            </w:r>
            <w:r>
              <w:rPr>
                <w:rFonts w:hint="default" w:ascii="Times New Roman" w:hAnsi="Times New Roman" w:eastAsia="宋体" w:cs="Times New Roman"/>
                <w:color w:val="auto"/>
                <w:spacing w:val="0"/>
                <w:position w:val="0"/>
                <w:sz w:val="24"/>
                <w:szCs w:val="24"/>
                <w:highlight w:val="none"/>
              </w:rPr>
              <w:t>，平均运距35km，拌和站附近堆存，0.4m</w:t>
            </w:r>
            <w:r>
              <w:rPr>
                <w:rFonts w:hint="default" w:ascii="Times New Roman" w:hAnsi="Times New Roman" w:eastAsia="宋体" w:cs="Times New Roman"/>
                <w:color w:val="auto"/>
                <w:spacing w:val="0"/>
                <w:position w:val="0"/>
                <w:sz w:val="24"/>
                <w:szCs w:val="24"/>
                <w:highlight w:val="none"/>
                <w:vertAlign w:val="superscript"/>
              </w:rPr>
              <w:t>3</w:t>
            </w:r>
            <w:r>
              <w:rPr>
                <w:rFonts w:hint="default" w:ascii="Times New Roman" w:hAnsi="Times New Roman" w:eastAsia="宋体" w:cs="Times New Roman"/>
                <w:color w:val="auto"/>
                <w:spacing w:val="0"/>
                <w:position w:val="0"/>
                <w:sz w:val="24"/>
                <w:szCs w:val="24"/>
                <w:highlight w:val="none"/>
              </w:rPr>
              <w:t>移动式</w:t>
            </w:r>
            <w:r>
              <w:rPr>
                <w:rFonts w:hint="default" w:ascii="Times New Roman" w:hAnsi="Times New Roman" w:eastAsia="宋体" w:cs="Times New Roman"/>
                <w:color w:val="auto"/>
                <w:spacing w:val="0"/>
                <w:position w:val="0"/>
                <w:sz w:val="24"/>
                <w:szCs w:val="24"/>
                <w:highlight w:val="none"/>
                <w:lang w:eastAsia="zh-CN"/>
              </w:rPr>
              <w:t>拌和机</w:t>
            </w:r>
            <w:r>
              <w:rPr>
                <w:rFonts w:hint="default" w:ascii="Times New Roman" w:hAnsi="Times New Roman" w:eastAsia="宋体" w:cs="Times New Roman"/>
                <w:color w:val="auto"/>
                <w:spacing w:val="0"/>
                <w:position w:val="0"/>
                <w:sz w:val="24"/>
                <w:szCs w:val="24"/>
                <w:highlight w:val="none"/>
              </w:rPr>
              <w:t>拌制，混凝土板护坡采用平板振捣器振捣，挡土墙混凝土采用插入式振捣器振捣，人工洒水养护。</w:t>
            </w:r>
          </w:p>
          <w:p w14:paraId="3DC8DC86">
            <w:pPr>
              <w:pStyle w:val="2"/>
              <w:shd w:val="clear"/>
              <w:spacing w:line="360" w:lineRule="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4</w:t>
            </w:r>
            <w:r>
              <w:rPr>
                <w:rFonts w:hint="default" w:ascii="Times New Roman" w:hAnsi="Times New Roman" w:eastAsia="宋体"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rPr>
              <w:t>施工进度</w:t>
            </w:r>
            <w:bookmarkEnd w:id="7"/>
          </w:p>
          <w:p w14:paraId="2CB09162">
            <w:pPr>
              <w:shd w:val="clear"/>
              <w:spacing w:line="360" w:lineRule="auto"/>
              <w:ind w:firstLine="560"/>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根据《水利水电工程施工组织设计规范》（SL303-2017）、参照《水利水电工程建设工期定额》以及结合工程施工条件，初步拟定本工程总工期4个月，由第一年7月初至当年10月底。其中工程准备期为1个月，主体工程施工期3个月，工程完建期为0.5个月（与主体工程重叠）。</w:t>
            </w:r>
          </w:p>
          <w:p w14:paraId="684F88EE">
            <w:pPr>
              <w:keepNext w:val="0"/>
              <w:keepLines w:val="0"/>
              <w:widowControl/>
              <w:suppressLineNumbers w:val="0"/>
              <w:shd w:val="clear"/>
              <w:jc w:val="center"/>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position w:val="0"/>
                <w:highlight w:val="none"/>
              </w:rPr>
              <w:drawing>
                <wp:inline distT="0" distB="0" distL="114300" distR="114300">
                  <wp:extent cx="4656455" cy="2350770"/>
                  <wp:effectExtent l="0" t="0" r="10795" b="1143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1"/>
                          <a:stretch>
                            <a:fillRect/>
                          </a:stretch>
                        </pic:blipFill>
                        <pic:spPr>
                          <a:xfrm>
                            <a:off x="0" y="0"/>
                            <a:ext cx="4656455" cy="2350770"/>
                          </a:xfrm>
                          <a:prstGeom prst="rect">
                            <a:avLst/>
                          </a:prstGeom>
                          <a:noFill/>
                          <a:ln>
                            <a:noFill/>
                          </a:ln>
                        </pic:spPr>
                      </pic:pic>
                    </a:graphicData>
                  </a:graphic>
                </wp:inline>
              </w:drawing>
            </w:r>
          </w:p>
          <w:p w14:paraId="69F32648">
            <w:pPr>
              <w:keepNext w:val="0"/>
              <w:keepLines w:val="0"/>
              <w:widowControl/>
              <w:suppressLineNumbers w:val="0"/>
              <w:shd w:val="clear"/>
              <w:jc w:val="center"/>
              <w:rPr>
                <w:rFonts w:hint="default" w:ascii="Times New Roman" w:hAnsi="Times New Roman" w:eastAsia="宋体" w:cs="Times New Roman"/>
                <w:color w:val="auto"/>
                <w:spacing w:val="0"/>
                <w:position w:val="0"/>
                <w:highlight w:val="none"/>
              </w:rPr>
            </w:pPr>
            <w:r>
              <w:rPr>
                <w:rFonts w:hint="default" w:ascii="Times New Roman" w:hAnsi="Times New Roman" w:eastAsia="宋体" w:cs="Times New Roman"/>
                <w:b/>
                <w:bCs/>
                <w:color w:val="auto"/>
                <w:spacing w:val="0"/>
                <w:kern w:val="0"/>
                <w:position w:val="0"/>
                <w:sz w:val="24"/>
                <w:szCs w:val="24"/>
                <w:highlight w:val="none"/>
                <w:lang w:val="en-US" w:eastAsia="zh-CN" w:bidi="ar"/>
              </w:rPr>
              <w:t>图2   项目工艺流程及排污节点图</w:t>
            </w:r>
          </w:p>
          <w:p w14:paraId="00F42436">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E1"/>
                <w:spacing w:val="0"/>
                <w:position w:val="0"/>
                <w:highlight w:val="none"/>
              </w:rPr>
            </w:pPr>
            <w:r>
              <w:rPr>
                <w:rFonts w:hint="default" w:ascii="Times New Roman" w:hAnsi="Times New Roman" w:eastAsia="宋体" w:cs="Times New Roman"/>
                <w:color w:val="0000E1"/>
                <w:spacing w:val="0"/>
                <w:kern w:val="0"/>
                <w:position w:val="0"/>
                <w:sz w:val="24"/>
                <w:szCs w:val="24"/>
                <w:highlight w:val="none"/>
                <w:lang w:val="en-US" w:eastAsia="zh-CN" w:bidi="ar"/>
              </w:rPr>
              <w:t>（1）清废</w:t>
            </w:r>
          </w:p>
          <w:p w14:paraId="0E9AB5E8">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E1"/>
                <w:spacing w:val="0"/>
                <w:position w:val="0"/>
                <w:highlight w:val="none"/>
              </w:rPr>
            </w:pPr>
            <w:r>
              <w:rPr>
                <w:rFonts w:hint="default" w:ascii="Times New Roman" w:hAnsi="Times New Roman" w:eastAsia="宋体" w:cs="Times New Roman"/>
                <w:color w:val="0000E1"/>
                <w:spacing w:val="0"/>
                <w:kern w:val="0"/>
                <w:position w:val="0"/>
                <w:sz w:val="24"/>
                <w:szCs w:val="24"/>
                <w:highlight w:val="none"/>
                <w:lang w:val="en-US" w:eastAsia="zh-CN" w:bidi="ar"/>
              </w:rPr>
              <w:t>堤防基础范围内的表层废弃土，该部分土料含有大量植物根系及垃圾。清基厚度0.5m，采用1m</w:t>
            </w:r>
            <w:r>
              <w:rPr>
                <w:rFonts w:hint="default" w:ascii="Times New Roman" w:hAnsi="Times New Roman" w:eastAsia="宋体" w:cs="Times New Roman"/>
                <w:color w:val="0000E1"/>
                <w:spacing w:val="0"/>
                <w:kern w:val="0"/>
                <w:position w:val="0"/>
                <w:sz w:val="24"/>
                <w:szCs w:val="24"/>
                <w:highlight w:val="none"/>
                <w:vertAlign w:val="superscript"/>
                <w:lang w:val="en-US" w:eastAsia="zh-CN" w:bidi="ar"/>
              </w:rPr>
              <w:t>3</w:t>
            </w:r>
            <w:r>
              <w:rPr>
                <w:rFonts w:hint="default" w:ascii="Times New Roman" w:hAnsi="Times New Roman" w:eastAsia="宋体" w:cs="Times New Roman"/>
                <w:color w:val="0000E1"/>
                <w:spacing w:val="0"/>
                <w:kern w:val="0"/>
                <w:position w:val="0"/>
                <w:sz w:val="24"/>
                <w:szCs w:val="24"/>
                <w:highlight w:val="none"/>
                <w:lang w:val="en-US" w:eastAsia="zh-CN" w:bidi="ar"/>
              </w:rPr>
              <w:t>挖掘机挖装，5t自卸汽车配合运输50m。表层土予以收集保存，施工结束后及时清理、松土、覆盖收集的表层土，</w:t>
            </w:r>
            <w:r>
              <w:rPr>
                <w:rFonts w:hint="default" w:ascii="Times New Roman" w:hAnsi="Times New Roman" w:eastAsia="宋体" w:cs="Times New Roman"/>
                <w:color w:val="0000FF"/>
                <w:spacing w:val="0"/>
                <w:sz w:val="24"/>
                <w:szCs w:val="32"/>
                <w:highlight w:val="none"/>
              </w:rPr>
              <w:t>施工结束后尽快进行迹地恢复复垦，</w:t>
            </w:r>
            <w:r>
              <w:rPr>
                <w:rFonts w:hint="eastAsia" w:cs="Times New Roman"/>
                <w:color w:val="0000FF"/>
                <w:spacing w:val="0"/>
                <w:sz w:val="24"/>
                <w:szCs w:val="32"/>
                <w:highlight w:val="none"/>
                <w:lang w:val="en-US" w:eastAsia="zh-CN"/>
              </w:rPr>
              <w:t xml:space="preserve">  </w:t>
            </w:r>
            <w:r>
              <w:rPr>
                <w:rFonts w:hint="default" w:ascii="Times New Roman" w:hAnsi="Times New Roman" w:eastAsia="宋体" w:cs="Times New Roman"/>
                <w:color w:val="0000E1"/>
                <w:spacing w:val="0"/>
                <w:kern w:val="0"/>
                <w:position w:val="0"/>
                <w:sz w:val="24"/>
                <w:szCs w:val="24"/>
                <w:highlight w:val="none"/>
                <w:lang w:val="en-US" w:eastAsia="zh-CN" w:bidi="ar"/>
              </w:rPr>
              <w:t>，以保持与周边原生植被和景观的一致性、防止外来物种入侵。</w:t>
            </w:r>
            <w:r>
              <w:rPr>
                <w:rFonts w:hint="eastAsia" w:cs="Times New Roman"/>
                <w:color w:val="0000E1"/>
                <w:spacing w:val="0"/>
                <w:kern w:val="0"/>
                <w:position w:val="0"/>
                <w:sz w:val="24"/>
                <w:szCs w:val="24"/>
                <w:highlight w:val="none"/>
                <w:lang w:val="en-US" w:eastAsia="zh-CN" w:bidi="ar"/>
              </w:rPr>
              <w:t>将河道内的垃圾进行</w:t>
            </w:r>
            <w:r>
              <w:rPr>
                <w:rFonts w:hint="default" w:ascii="Times New Roman" w:hAnsi="Times New Roman" w:eastAsia="宋体" w:cs="Times New Roman"/>
                <w:color w:val="0000E1"/>
                <w:spacing w:val="0"/>
                <w:kern w:val="0"/>
                <w:position w:val="0"/>
                <w:sz w:val="24"/>
                <w:szCs w:val="24"/>
                <w:highlight w:val="none"/>
                <w:lang w:val="en-US" w:eastAsia="zh-CN" w:bidi="ar"/>
              </w:rPr>
              <w:t>清理</w:t>
            </w:r>
            <w:r>
              <w:rPr>
                <w:rFonts w:hint="eastAsia" w:cs="Times New Roman"/>
                <w:color w:val="0000E1"/>
                <w:spacing w:val="0"/>
                <w:kern w:val="0"/>
                <w:position w:val="0"/>
                <w:sz w:val="24"/>
                <w:szCs w:val="24"/>
                <w:highlight w:val="none"/>
                <w:lang w:val="en-US" w:eastAsia="zh-CN" w:bidi="ar"/>
              </w:rPr>
              <w:t>，清理后</w:t>
            </w:r>
            <w:r>
              <w:rPr>
                <w:rFonts w:hint="default" w:ascii="Times New Roman" w:hAnsi="Times New Roman" w:eastAsia="宋体" w:cs="Times New Roman"/>
                <w:color w:val="0000E1"/>
                <w:spacing w:val="0"/>
                <w:kern w:val="0"/>
                <w:position w:val="0"/>
                <w:sz w:val="24"/>
                <w:szCs w:val="24"/>
                <w:highlight w:val="none"/>
                <w:lang w:val="en-US" w:eastAsia="zh-CN" w:bidi="ar"/>
              </w:rPr>
              <w:t>的垃圾集中收集后送至昌吉市生活垃圾</w:t>
            </w:r>
            <w:r>
              <w:rPr>
                <w:rFonts w:hint="eastAsia" w:cs="Times New Roman"/>
                <w:color w:val="0000E1"/>
                <w:spacing w:val="0"/>
                <w:kern w:val="0"/>
                <w:position w:val="0"/>
                <w:sz w:val="24"/>
                <w:szCs w:val="24"/>
                <w:highlight w:val="none"/>
                <w:lang w:val="en-US" w:eastAsia="zh-CN" w:bidi="ar"/>
              </w:rPr>
              <w:t>填埋场</w:t>
            </w:r>
            <w:r>
              <w:rPr>
                <w:rFonts w:hint="default" w:ascii="Times New Roman" w:hAnsi="Times New Roman" w:eastAsia="宋体" w:cs="Times New Roman"/>
                <w:color w:val="0000E1"/>
                <w:spacing w:val="0"/>
                <w:kern w:val="0"/>
                <w:position w:val="0"/>
                <w:sz w:val="24"/>
                <w:szCs w:val="24"/>
                <w:highlight w:val="none"/>
                <w:lang w:val="en-US" w:eastAsia="zh-CN" w:bidi="ar"/>
              </w:rPr>
              <w:t>。</w:t>
            </w:r>
          </w:p>
          <w:p w14:paraId="5352D50E">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position w:val="0"/>
                <w:highlight w:val="none"/>
              </w:rPr>
            </w:pPr>
            <w:r>
              <w:rPr>
                <w:rFonts w:hint="default" w:ascii="Times New Roman" w:hAnsi="Times New Roman" w:eastAsia="宋体" w:cs="Times New Roman"/>
                <w:color w:val="auto"/>
                <w:spacing w:val="0"/>
                <w:kern w:val="0"/>
                <w:position w:val="0"/>
                <w:sz w:val="24"/>
                <w:szCs w:val="24"/>
                <w:highlight w:val="none"/>
                <w:lang w:val="en-US" w:eastAsia="zh-CN" w:bidi="ar"/>
              </w:rPr>
              <w:t>（2）土石方开挖</w:t>
            </w:r>
          </w:p>
          <w:p w14:paraId="61AE9E65">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position w:val="0"/>
                <w:highlight w:val="none"/>
              </w:rPr>
            </w:pPr>
            <w:r>
              <w:rPr>
                <w:rFonts w:hint="default" w:ascii="Times New Roman" w:hAnsi="Times New Roman" w:eastAsia="宋体" w:cs="Times New Roman"/>
                <w:color w:val="auto"/>
                <w:spacing w:val="0"/>
                <w:kern w:val="0"/>
                <w:position w:val="0"/>
                <w:sz w:val="24"/>
                <w:szCs w:val="24"/>
                <w:highlight w:val="none"/>
                <w:lang w:val="en-US" w:eastAsia="zh-CN" w:bidi="ar"/>
              </w:rPr>
              <w:t>土石方开挖采用分步分层开挖、自上而下、确保重点的原则进行。本次工程土方开挖采用1m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
              </w:rPr>
              <w:t>3</w:t>
            </w:r>
            <w:r>
              <w:rPr>
                <w:rFonts w:hint="default" w:ascii="Times New Roman" w:hAnsi="Times New Roman" w:eastAsia="宋体" w:cs="Times New Roman"/>
                <w:color w:val="auto"/>
                <w:spacing w:val="0"/>
                <w:kern w:val="0"/>
                <w:position w:val="0"/>
                <w:sz w:val="24"/>
                <w:szCs w:val="24"/>
                <w:highlight w:val="none"/>
                <w:lang w:val="en-US" w:eastAsia="zh-CN" w:bidi="ar"/>
              </w:rPr>
              <w:t>挖掘机开挖，5t自卸汽车拉运0.5km，沿河道右岸堆存，74kW推土机配合，经土方利用后就近拉运至主体建筑物管理区范围内平整堆放。</w:t>
            </w:r>
          </w:p>
          <w:p w14:paraId="7AE24C41">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position w:val="0"/>
                <w:highlight w:val="none"/>
              </w:rPr>
            </w:pPr>
            <w:r>
              <w:rPr>
                <w:rFonts w:hint="default" w:ascii="Times New Roman" w:hAnsi="Times New Roman" w:eastAsia="宋体" w:cs="Times New Roman"/>
                <w:color w:val="auto"/>
                <w:spacing w:val="0"/>
                <w:kern w:val="0"/>
                <w:position w:val="0"/>
                <w:sz w:val="24"/>
                <w:szCs w:val="24"/>
                <w:highlight w:val="none"/>
                <w:lang w:val="en-US" w:eastAsia="zh-CN" w:bidi="ar"/>
              </w:rPr>
              <w:t>（3）土方填筑</w:t>
            </w:r>
          </w:p>
          <w:p w14:paraId="32CA2508">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position w:val="0"/>
                <w:highlight w:val="none"/>
              </w:rPr>
            </w:pPr>
            <w:r>
              <w:rPr>
                <w:rFonts w:hint="default" w:ascii="Times New Roman" w:hAnsi="Times New Roman" w:eastAsia="宋体" w:cs="Times New Roman"/>
                <w:color w:val="auto"/>
                <w:spacing w:val="0"/>
                <w:kern w:val="0"/>
                <w:position w:val="0"/>
                <w:sz w:val="24"/>
                <w:szCs w:val="24"/>
                <w:highlight w:val="none"/>
                <w:lang w:val="en-US" w:eastAsia="zh-CN" w:bidi="ar"/>
              </w:rPr>
              <w:t>土方回填工作根据现场地形地质条件进行回填，护坡填筑采用分层填筑，分层铺料厚度控制在0.40m，74kw推土机配合，12t振动碾和手扶式平板夯分层碾压密实，按照施工程序、时空衔接、工序配合和挖填平衡的要求进行，其中碾压过程中进行洒水以达到设计压实标准。设计压实指标：土料填筑标准控制相对密实度Dr≥0.95。筑堤土料可利用现场开挖料，采用振动碾压实。土料填筑应分层进行，层厚不宜超过30cm，需要机械压实的遍数，应通过填筑前期的压实试验来确定。土堤填筑土应分层现场取样试验，并做好验收签证工作，严格按照《堤防工程施工规范》（SL260-2014）的有关规定来执行。在堤身填筑完成，并对边坡进行修整夯实后，可进行阻滑墙及堤身护坡砼板的浇筑工作。</w:t>
            </w:r>
          </w:p>
          <w:p w14:paraId="6A6A977F">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position w:val="0"/>
                <w:highlight w:val="none"/>
              </w:rPr>
            </w:pPr>
            <w:r>
              <w:rPr>
                <w:rFonts w:hint="default" w:ascii="Times New Roman" w:hAnsi="Times New Roman" w:eastAsia="宋体" w:cs="Times New Roman"/>
                <w:color w:val="auto"/>
                <w:spacing w:val="0"/>
                <w:kern w:val="0"/>
                <w:position w:val="0"/>
                <w:sz w:val="24"/>
                <w:szCs w:val="24"/>
                <w:highlight w:val="none"/>
                <w:lang w:val="en-US" w:eastAsia="zh-CN" w:bidi="ar"/>
              </w:rPr>
              <w:t>（4）砂砾石垫层施工</w:t>
            </w:r>
          </w:p>
          <w:p w14:paraId="1E03F913">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position w:val="0"/>
                <w:highlight w:val="none"/>
              </w:rPr>
            </w:pPr>
            <w:r>
              <w:rPr>
                <w:rFonts w:hint="default" w:ascii="Times New Roman" w:hAnsi="Times New Roman" w:eastAsia="宋体" w:cs="Times New Roman"/>
                <w:color w:val="auto"/>
                <w:spacing w:val="0"/>
                <w:kern w:val="0"/>
                <w:position w:val="0"/>
                <w:sz w:val="24"/>
                <w:szCs w:val="24"/>
                <w:highlight w:val="none"/>
                <w:lang w:val="en-US" w:eastAsia="zh-CN" w:bidi="ar"/>
              </w:rPr>
              <w:t>砂砾石垫层采用直接从砂砾石料场购买成品，自卸汽车运输至回填部位，人工铺料。要求砂砾石垫层相对密度不小于0.75。</w:t>
            </w:r>
          </w:p>
          <w:p w14:paraId="2E21F221">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position w:val="0"/>
                <w:highlight w:val="none"/>
              </w:rPr>
            </w:pPr>
            <w:r>
              <w:rPr>
                <w:rFonts w:hint="default" w:ascii="Times New Roman" w:hAnsi="Times New Roman" w:eastAsia="宋体" w:cs="Times New Roman"/>
                <w:color w:val="auto"/>
                <w:spacing w:val="0"/>
                <w:kern w:val="0"/>
                <w:position w:val="0"/>
                <w:sz w:val="24"/>
                <w:szCs w:val="24"/>
                <w:highlight w:val="none"/>
                <w:lang w:val="en-US" w:eastAsia="zh-CN" w:bidi="ar"/>
              </w:rPr>
              <w:t>（5）混凝土施工</w:t>
            </w:r>
          </w:p>
          <w:p w14:paraId="3319D2D9">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kern w:val="0"/>
                <w:position w:val="0"/>
                <w:sz w:val="24"/>
                <w:szCs w:val="24"/>
                <w:highlight w:val="none"/>
                <w:lang w:val="en-US" w:eastAsia="zh-CN" w:bidi="ar"/>
              </w:rPr>
              <w:t>砼护坡现浇板尺寸3m×3m，嵌缝材料为L-600型聚乙烯高压闭孔塑料板，板与板之间要错缝，分块跳仓施工，跳仓浇注混凝土前先放入止水材料，顶部比板低2cm，待本块收浆时缝表面2cm用聚氨酯砂浆抹平。</w:t>
            </w:r>
          </w:p>
        </w:tc>
      </w:tr>
      <w:tr w14:paraId="2A1CC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05" w:type="pct"/>
            <w:tcBorders>
              <w:tl2br w:val="nil"/>
              <w:tr2bl w:val="nil"/>
            </w:tcBorders>
            <w:noWrap w:val="0"/>
            <w:vAlign w:val="center"/>
          </w:tcPr>
          <w:p w14:paraId="789FBAAC">
            <w:pPr>
              <w:keepNext w:val="0"/>
              <w:keepLines w:val="0"/>
              <w:pageBreakBefore w:val="0"/>
              <w:shd w:val="clear"/>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kern w:val="0"/>
                <w:position w:val="0"/>
                <w:sz w:val="24"/>
                <w:szCs w:val="24"/>
                <w:highlight w:val="none"/>
              </w:rPr>
            </w:pPr>
            <w:r>
              <w:rPr>
                <w:rFonts w:hint="default" w:ascii="Times New Roman" w:hAnsi="Times New Roman" w:eastAsia="宋体" w:cs="Times New Roman"/>
                <w:color w:val="auto"/>
                <w:spacing w:val="0"/>
                <w:w w:val="100"/>
                <w:kern w:val="0"/>
                <w:position w:val="0"/>
                <w:sz w:val="24"/>
                <w:szCs w:val="24"/>
                <w:highlight w:val="none"/>
              </w:rPr>
              <w:t>其他</w:t>
            </w:r>
          </w:p>
        </w:tc>
        <w:tc>
          <w:tcPr>
            <w:tcW w:w="4594" w:type="pct"/>
            <w:tcBorders>
              <w:tl2br w:val="nil"/>
              <w:tr2bl w:val="nil"/>
            </w:tcBorders>
            <w:noWrap w:val="0"/>
            <w:vAlign w:val="center"/>
          </w:tcPr>
          <w:p w14:paraId="479B2C7F">
            <w:pPr>
              <w:keepNext w:val="0"/>
              <w:keepLines w:val="0"/>
              <w:widowControl/>
              <w:suppressLineNumbers w:val="0"/>
              <w:shd w:val="clear"/>
              <w:spacing w:line="360" w:lineRule="auto"/>
              <w:jc w:val="left"/>
              <w:rPr>
                <w:rFonts w:hint="default" w:ascii="Times New Roman" w:hAnsi="Times New Roman" w:eastAsia="宋体" w:cs="Times New Roman"/>
                <w:color w:val="0000FF"/>
                <w:spacing w:val="0"/>
                <w:position w:val="0"/>
                <w:sz w:val="24"/>
                <w:szCs w:val="24"/>
                <w:highlight w:val="none"/>
              </w:rPr>
            </w:pPr>
            <w:r>
              <w:rPr>
                <w:rFonts w:hint="default" w:ascii="Times New Roman" w:hAnsi="Times New Roman" w:eastAsia="宋体" w:cs="Times New Roman"/>
                <w:b/>
                <w:bCs/>
                <w:color w:val="0000FF"/>
                <w:spacing w:val="0"/>
                <w:kern w:val="0"/>
                <w:position w:val="0"/>
                <w:sz w:val="24"/>
                <w:szCs w:val="24"/>
                <w:highlight w:val="none"/>
                <w:lang w:val="en-US" w:eastAsia="zh-CN" w:bidi="ar"/>
              </w:rPr>
              <w:t>1.工程占地范围</w:t>
            </w:r>
          </w:p>
          <w:p w14:paraId="26DFE949">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FF"/>
                <w:spacing w:val="0"/>
                <w:kern w:val="0"/>
                <w:position w:val="0"/>
                <w:sz w:val="24"/>
                <w:szCs w:val="24"/>
                <w:highlight w:val="none"/>
                <w:lang w:val="en-US" w:eastAsia="zh-CN" w:bidi="ar"/>
              </w:rPr>
            </w:pPr>
            <w:r>
              <w:rPr>
                <w:rFonts w:hint="default" w:ascii="Times New Roman" w:hAnsi="Times New Roman" w:eastAsia="宋体" w:cs="Times New Roman"/>
                <w:color w:val="0000FF"/>
                <w:spacing w:val="0"/>
                <w:kern w:val="0"/>
                <w:position w:val="0"/>
                <w:sz w:val="24"/>
                <w:szCs w:val="24"/>
                <w:highlight w:val="none"/>
                <w:lang w:val="en-US" w:eastAsia="zh-CN" w:bidi="ar"/>
              </w:rPr>
              <w:t>根据工程设计提供的资料，防洪工程区占地为22.70hm</w:t>
            </w:r>
            <w:r>
              <w:rPr>
                <w:rFonts w:hint="default" w:ascii="Times New Roman" w:hAnsi="Times New Roman" w:eastAsia="宋体" w:cs="Times New Roman"/>
                <w:color w:val="0000FF"/>
                <w:spacing w:val="0"/>
                <w:kern w:val="0"/>
                <w:position w:val="0"/>
                <w:sz w:val="24"/>
                <w:szCs w:val="24"/>
                <w:highlight w:val="none"/>
                <w:vertAlign w:val="superscript"/>
                <w:lang w:val="en-US" w:eastAsia="zh-CN" w:bidi="ar"/>
              </w:rPr>
              <w:t>2</w:t>
            </w:r>
            <w:r>
              <w:rPr>
                <w:rFonts w:hint="default" w:ascii="Times New Roman" w:hAnsi="Times New Roman" w:eastAsia="宋体" w:cs="Times New Roman"/>
                <w:color w:val="0000FF"/>
                <w:spacing w:val="0"/>
                <w:kern w:val="0"/>
                <w:position w:val="0"/>
                <w:sz w:val="24"/>
                <w:szCs w:val="24"/>
                <w:highlight w:val="none"/>
                <w:lang w:val="en-US" w:eastAsia="zh-CN" w:bidi="ar"/>
              </w:rPr>
              <w:t>，河道疏浚区占地42.20hm</w:t>
            </w:r>
            <w:r>
              <w:rPr>
                <w:rFonts w:hint="default" w:ascii="Times New Roman" w:hAnsi="Times New Roman" w:eastAsia="宋体" w:cs="Times New Roman"/>
                <w:color w:val="0000FF"/>
                <w:spacing w:val="0"/>
                <w:kern w:val="0"/>
                <w:position w:val="0"/>
                <w:sz w:val="24"/>
                <w:szCs w:val="24"/>
                <w:highlight w:val="none"/>
                <w:vertAlign w:val="superscript"/>
                <w:lang w:val="en-US" w:eastAsia="zh-CN" w:bidi="ar"/>
              </w:rPr>
              <w:t>2</w:t>
            </w:r>
            <w:r>
              <w:rPr>
                <w:rFonts w:hint="default" w:ascii="Times New Roman" w:hAnsi="Times New Roman" w:eastAsia="宋体" w:cs="Times New Roman"/>
                <w:color w:val="0000FF"/>
                <w:spacing w:val="0"/>
                <w:kern w:val="0"/>
                <w:position w:val="0"/>
                <w:sz w:val="24"/>
                <w:szCs w:val="24"/>
                <w:highlight w:val="none"/>
                <w:lang w:val="en-US" w:eastAsia="zh-CN" w:bidi="ar"/>
              </w:rPr>
              <w:t>，道路区占地5.39hm</w:t>
            </w:r>
            <w:r>
              <w:rPr>
                <w:rFonts w:hint="default" w:ascii="Times New Roman" w:hAnsi="Times New Roman" w:eastAsia="宋体" w:cs="Times New Roman"/>
                <w:color w:val="0000FF"/>
                <w:spacing w:val="0"/>
                <w:kern w:val="0"/>
                <w:position w:val="0"/>
                <w:sz w:val="24"/>
                <w:szCs w:val="24"/>
                <w:highlight w:val="none"/>
                <w:vertAlign w:val="superscript"/>
                <w:lang w:val="en-US" w:eastAsia="zh-CN" w:bidi="ar"/>
              </w:rPr>
              <w:t>2</w:t>
            </w:r>
            <w:r>
              <w:rPr>
                <w:rFonts w:hint="default" w:ascii="Times New Roman" w:hAnsi="Times New Roman" w:eastAsia="宋体" w:cs="Times New Roman"/>
                <w:color w:val="0000FF"/>
                <w:spacing w:val="0"/>
                <w:kern w:val="0"/>
                <w:position w:val="0"/>
                <w:sz w:val="24"/>
                <w:szCs w:val="24"/>
                <w:highlight w:val="none"/>
                <w:lang w:val="en-US" w:eastAsia="zh-CN" w:bidi="ar"/>
              </w:rPr>
              <w:t>，施工生产生活区占地0.50hm</w:t>
            </w:r>
            <w:r>
              <w:rPr>
                <w:rFonts w:hint="default" w:ascii="Times New Roman" w:hAnsi="Times New Roman" w:eastAsia="宋体" w:cs="Times New Roman"/>
                <w:color w:val="0000FF"/>
                <w:spacing w:val="0"/>
                <w:kern w:val="0"/>
                <w:position w:val="0"/>
                <w:sz w:val="24"/>
                <w:szCs w:val="24"/>
                <w:highlight w:val="none"/>
                <w:vertAlign w:val="superscript"/>
                <w:lang w:val="en-US" w:eastAsia="zh-CN" w:bidi="ar"/>
              </w:rPr>
              <w:t>2</w:t>
            </w:r>
            <w:r>
              <w:rPr>
                <w:rFonts w:hint="default" w:ascii="Times New Roman" w:hAnsi="Times New Roman" w:eastAsia="宋体" w:cs="Times New Roman"/>
                <w:color w:val="0000FF"/>
                <w:spacing w:val="0"/>
                <w:kern w:val="0"/>
                <w:position w:val="0"/>
                <w:sz w:val="24"/>
                <w:szCs w:val="24"/>
                <w:highlight w:val="none"/>
                <w:lang w:val="en-US" w:eastAsia="zh-CN" w:bidi="ar"/>
              </w:rPr>
              <w:t>，</w:t>
            </w:r>
            <w:r>
              <w:rPr>
                <w:rFonts w:hint="eastAsia" w:ascii="Times New Roman" w:hAnsi="Times New Roman" w:eastAsia="宋体" w:cs="Times New Roman"/>
                <w:color w:val="0000FF"/>
                <w:spacing w:val="0"/>
                <w:kern w:val="0"/>
                <w:position w:val="0"/>
                <w:sz w:val="24"/>
                <w:szCs w:val="24"/>
                <w:highlight w:val="none"/>
                <w:lang w:val="en-US" w:eastAsia="zh-CN" w:bidi="ar"/>
              </w:rPr>
              <w:t>临时堆土场</w:t>
            </w:r>
            <w:r>
              <w:rPr>
                <w:rFonts w:hint="default" w:ascii="Times New Roman" w:hAnsi="Times New Roman" w:eastAsia="宋体" w:cs="Times New Roman"/>
                <w:color w:val="0000FF"/>
                <w:spacing w:val="0"/>
                <w:kern w:val="0"/>
                <w:position w:val="0"/>
                <w:sz w:val="24"/>
                <w:szCs w:val="24"/>
                <w:highlight w:val="none"/>
                <w:lang w:val="en-US" w:eastAsia="zh-CN" w:bidi="ar"/>
              </w:rPr>
              <w:t>区占地3.56hm</w:t>
            </w:r>
            <w:r>
              <w:rPr>
                <w:rFonts w:hint="default" w:ascii="Times New Roman" w:hAnsi="Times New Roman" w:eastAsia="宋体" w:cs="Times New Roman"/>
                <w:color w:val="0000FF"/>
                <w:spacing w:val="0"/>
                <w:kern w:val="0"/>
                <w:position w:val="0"/>
                <w:sz w:val="24"/>
                <w:szCs w:val="24"/>
                <w:highlight w:val="none"/>
                <w:vertAlign w:val="superscript"/>
                <w:lang w:val="en-US" w:eastAsia="zh-CN" w:bidi="ar"/>
              </w:rPr>
              <w:t>2</w:t>
            </w:r>
            <w:r>
              <w:rPr>
                <w:rFonts w:hint="default" w:ascii="Times New Roman" w:hAnsi="Times New Roman" w:eastAsia="宋体" w:cs="Times New Roman"/>
                <w:color w:val="0000FF"/>
                <w:spacing w:val="0"/>
                <w:kern w:val="0"/>
                <w:position w:val="0"/>
                <w:sz w:val="24"/>
                <w:szCs w:val="24"/>
                <w:highlight w:val="none"/>
                <w:lang w:val="en-US" w:eastAsia="zh-CN" w:bidi="ar"/>
              </w:rPr>
              <w:t>，本工程防治责任范围面积为73.46hm</w:t>
            </w:r>
            <w:r>
              <w:rPr>
                <w:rFonts w:hint="default" w:ascii="Times New Roman" w:hAnsi="Times New Roman" w:eastAsia="宋体" w:cs="Times New Roman"/>
                <w:color w:val="0000FF"/>
                <w:spacing w:val="0"/>
                <w:kern w:val="0"/>
                <w:position w:val="0"/>
                <w:sz w:val="24"/>
                <w:szCs w:val="24"/>
                <w:highlight w:val="none"/>
                <w:vertAlign w:val="superscript"/>
                <w:lang w:val="en-US" w:eastAsia="zh-CN" w:bidi="ar"/>
              </w:rPr>
              <w:t>2</w:t>
            </w:r>
            <w:r>
              <w:rPr>
                <w:rFonts w:hint="default" w:ascii="Times New Roman" w:hAnsi="Times New Roman" w:eastAsia="宋体" w:cs="Times New Roman"/>
                <w:color w:val="0000FF"/>
                <w:spacing w:val="0"/>
                <w:kern w:val="0"/>
                <w:position w:val="0"/>
                <w:sz w:val="24"/>
                <w:szCs w:val="24"/>
                <w:highlight w:val="none"/>
                <w:lang w:val="en-US" w:eastAsia="zh-CN" w:bidi="ar"/>
              </w:rPr>
              <w:t>。行政区划属昌吉市。</w:t>
            </w:r>
          </w:p>
          <w:p w14:paraId="6FCDECA6">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FF"/>
                <w:spacing w:val="0"/>
                <w:position w:val="0"/>
                <w:sz w:val="24"/>
                <w:szCs w:val="24"/>
                <w:highlight w:val="none"/>
              </w:rPr>
            </w:pPr>
            <w:r>
              <w:rPr>
                <w:rFonts w:hint="default" w:ascii="Times New Roman" w:hAnsi="Times New Roman" w:eastAsia="宋体" w:cs="Times New Roman"/>
                <w:color w:val="0000FF"/>
                <w:spacing w:val="0"/>
                <w:kern w:val="0"/>
                <w:position w:val="0"/>
                <w:sz w:val="24"/>
                <w:szCs w:val="24"/>
                <w:highlight w:val="none"/>
                <w:lang w:val="en-US" w:eastAsia="zh-CN" w:bidi="ar"/>
              </w:rPr>
              <w:t>主体工程区占</w:t>
            </w:r>
            <w:r>
              <w:rPr>
                <w:rFonts w:hint="default" w:ascii="Times New Roman" w:hAnsi="Times New Roman" w:eastAsia="宋体" w:cs="Times New Roman"/>
                <w:color w:val="0000FF"/>
                <w:spacing w:val="0"/>
                <w:position w:val="0"/>
                <w:sz w:val="24"/>
                <w:szCs w:val="24"/>
                <w:highlight w:val="none"/>
              </w:rPr>
              <w:t>地总面积为</w:t>
            </w:r>
            <w:r>
              <w:rPr>
                <w:rFonts w:hint="default" w:ascii="Times New Roman" w:hAnsi="Times New Roman" w:eastAsia="宋体" w:cs="Times New Roman"/>
                <w:color w:val="0000FF"/>
                <w:spacing w:val="0"/>
                <w:kern w:val="0"/>
                <w:position w:val="0"/>
                <w:sz w:val="24"/>
                <w:szCs w:val="24"/>
                <w:highlight w:val="none"/>
                <w:lang w:val="en-US" w:eastAsia="zh-CN" w:bidi="ar"/>
              </w:rPr>
              <w:t>22.70</w:t>
            </w:r>
            <w:r>
              <w:rPr>
                <w:rFonts w:hint="default" w:ascii="Times New Roman" w:hAnsi="Times New Roman" w:eastAsia="宋体" w:cs="Times New Roman"/>
                <w:color w:val="0000FF"/>
                <w:spacing w:val="0"/>
                <w:position w:val="0"/>
                <w:sz w:val="24"/>
                <w:szCs w:val="24"/>
                <w:highlight w:val="none"/>
              </w:rPr>
              <w:t>hm²，全部为永久占地，占地类型为水域及水利设施用地。</w:t>
            </w:r>
          </w:p>
          <w:p w14:paraId="63EA0D5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FF"/>
                <w:spacing w:val="0"/>
                <w:position w:val="0"/>
                <w:sz w:val="24"/>
                <w:szCs w:val="24"/>
                <w:highlight w:val="none"/>
              </w:rPr>
            </w:pPr>
            <w:r>
              <w:rPr>
                <w:rFonts w:hint="default" w:ascii="Times New Roman" w:hAnsi="Times New Roman" w:eastAsia="宋体" w:cs="Times New Roman"/>
                <w:color w:val="0000FF"/>
                <w:spacing w:val="0"/>
                <w:position w:val="0"/>
                <w:sz w:val="24"/>
                <w:szCs w:val="24"/>
                <w:highlight w:val="none"/>
                <w:lang w:val="en-US" w:eastAsia="zh-CN"/>
              </w:rPr>
              <w:t>河道疏浚区</w:t>
            </w:r>
            <w:r>
              <w:rPr>
                <w:rFonts w:hint="default" w:ascii="Times New Roman" w:hAnsi="Times New Roman" w:eastAsia="宋体" w:cs="Times New Roman"/>
                <w:color w:val="0000FF"/>
                <w:spacing w:val="0"/>
                <w:position w:val="0"/>
                <w:sz w:val="24"/>
                <w:szCs w:val="24"/>
                <w:highlight w:val="none"/>
              </w:rPr>
              <w:t>位于防洪堤</w:t>
            </w:r>
            <w:r>
              <w:rPr>
                <w:rFonts w:hint="default" w:ascii="Times New Roman" w:hAnsi="Times New Roman" w:cs="Times New Roman"/>
                <w:color w:val="0000FF"/>
                <w:spacing w:val="0"/>
                <w:position w:val="0"/>
                <w:sz w:val="24"/>
                <w:szCs w:val="24"/>
                <w:highlight w:val="none"/>
                <w:lang w:val="en-US" w:eastAsia="zh-CN"/>
              </w:rPr>
              <w:t>河道内</w:t>
            </w:r>
            <w:r>
              <w:rPr>
                <w:rFonts w:hint="default" w:ascii="Times New Roman" w:hAnsi="Times New Roman" w:eastAsia="宋体" w:cs="Times New Roman"/>
                <w:color w:val="0000FF"/>
                <w:spacing w:val="0"/>
                <w:position w:val="0"/>
                <w:sz w:val="24"/>
                <w:szCs w:val="24"/>
                <w:highlight w:val="none"/>
              </w:rPr>
              <w:t>侧，占地面积</w:t>
            </w:r>
            <w:r>
              <w:rPr>
                <w:rFonts w:hint="default" w:ascii="Times New Roman" w:hAnsi="Times New Roman" w:cs="Times New Roman"/>
                <w:color w:val="0000FF"/>
                <w:spacing w:val="0"/>
                <w:position w:val="0"/>
                <w:sz w:val="24"/>
                <w:szCs w:val="24"/>
                <w:highlight w:val="none"/>
                <w:lang w:val="en-US" w:eastAsia="zh-CN"/>
              </w:rPr>
              <w:t>42.2</w:t>
            </w:r>
            <w:r>
              <w:rPr>
                <w:rFonts w:hint="default" w:ascii="Times New Roman" w:hAnsi="Times New Roman" w:eastAsia="宋体" w:cs="Times New Roman"/>
                <w:color w:val="0000FF"/>
                <w:spacing w:val="0"/>
                <w:kern w:val="0"/>
                <w:position w:val="0"/>
                <w:sz w:val="24"/>
                <w:szCs w:val="24"/>
                <w:highlight w:val="none"/>
                <w:lang w:val="en-US" w:eastAsia="zh-CN" w:bidi="ar"/>
              </w:rPr>
              <w:t>h</w:t>
            </w:r>
            <w:r>
              <w:rPr>
                <w:rFonts w:hint="default" w:ascii="Times New Roman" w:hAnsi="Times New Roman" w:eastAsia="宋体" w:cs="Times New Roman"/>
                <w:color w:val="0000FF"/>
                <w:spacing w:val="0"/>
                <w:position w:val="0"/>
                <w:sz w:val="24"/>
                <w:szCs w:val="24"/>
                <w:highlight w:val="none"/>
              </w:rPr>
              <w:t>m²，最大堆高为3米，占地类型为水域及水利设施用地。</w:t>
            </w:r>
          </w:p>
          <w:p w14:paraId="1350090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FF"/>
                <w:spacing w:val="0"/>
                <w:position w:val="0"/>
                <w:sz w:val="24"/>
                <w:szCs w:val="24"/>
                <w:highlight w:val="none"/>
              </w:rPr>
            </w:pPr>
            <w:r>
              <w:rPr>
                <w:rFonts w:hint="default" w:ascii="Times New Roman" w:hAnsi="Times New Roman" w:cs="Times New Roman"/>
                <w:color w:val="0000FF"/>
                <w:spacing w:val="0"/>
                <w:position w:val="0"/>
                <w:sz w:val="24"/>
                <w:szCs w:val="24"/>
                <w:highlight w:val="none"/>
                <w:lang w:val="en-US" w:eastAsia="zh-CN"/>
              </w:rPr>
              <w:t>临时</w:t>
            </w:r>
            <w:r>
              <w:rPr>
                <w:rFonts w:hint="eastAsia" w:ascii="Times New Roman" w:hAnsi="Times New Roman" w:cs="Times New Roman"/>
                <w:color w:val="0000FF"/>
                <w:spacing w:val="0"/>
                <w:position w:val="0"/>
                <w:sz w:val="24"/>
                <w:szCs w:val="24"/>
                <w:highlight w:val="none"/>
                <w:lang w:val="en-US" w:eastAsia="zh-CN"/>
              </w:rPr>
              <w:t>临时堆土场</w:t>
            </w:r>
            <w:r>
              <w:rPr>
                <w:rFonts w:hint="default" w:ascii="Times New Roman" w:hAnsi="Times New Roman" w:eastAsia="宋体" w:cs="Times New Roman"/>
                <w:color w:val="0000FF"/>
                <w:spacing w:val="0"/>
                <w:position w:val="0"/>
                <w:sz w:val="24"/>
                <w:szCs w:val="24"/>
                <w:highlight w:val="none"/>
                <w:lang w:val="en-US" w:eastAsia="zh-CN"/>
              </w:rPr>
              <w:t>区</w:t>
            </w:r>
            <w:r>
              <w:rPr>
                <w:rFonts w:hint="default" w:ascii="Times New Roman" w:hAnsi="Times New Roman" w:eastAsia="宋体" w:cs="Times New Roman"/>
                <w:color w:val="0000FF"/>
                <w:spacing w:val="0"/>
                <w:position w:val="0"/>
                <w:sz w:val="24"/>
                <w:szCs w:val="24"/>
                <w:highlight w:val="none"/>
              </w:rPr>
              <w:t>位于防洪堤背水侧，占地面积</w:t>
            </w:r>
            <w:r>
              <w:rPr>
                <w:rFonts w:hint="default" w:ascii="Times New Roman" w:hAnsi="Times New Roman" w:cs="Times New Roman"/>
                <w:color w:val="0000FF"/>
                <w:spacing w:val="0"/>
                <w:position w:val="0"/>
                <w:sz w:val="24"/>
                <w:szCs w:val="24"/>
                <w:highlight w:val="none"/>
                <w:lang w:eastAsia="zh-CN"/>
              </w:rPr>
              <w:t>3.56</w:t>
            </w:r>
            <w:r>
              <w:rPr>
                <w:rFonts w:hint="default" w:ascii="Times New Roman" w:hAnsi="Times New Roman" w:eastAsia="宋体" w:cs="Times New Roman"/>
                <w:color w:val="0000FF"/>
                <w:spacing w:val="0"/>
                <w:position w:val="0"/>
                <w:sz w:val="24"/>
                <w:szCs w:val="24"/>
                <w:highlight w:val="none"/>
              </w:rPr>
              <w:t>hm²，宽度为4米，占地类型为水域及水利设施用地</w:t>
            </w:r>
            <w:r>
              <w:rPr>
                <w:rFonts w:hint="default" w:ascii="Times New Roman" w:hAnsi="Times New Roman" w:cs="Times New Roman"/>
                <w:color w:val="0000FF"/>
                <w:spacing w:val="0"/>
                <w:position w:val="0"/>
                <w:sz w:val="24"/>
                <w:szCs w:val="24"/>
                <w:highlight w:val="none"/>
                <w:lang w:eastAsia="zh-CN"/>
              </w:rPr>
              <w:t>，</w:t>
            </w:r>
            <w:r>
              <w:rPr>
                <w:rFonts w:hint="default" w:ascii="Times New Roman" w:hAnsi="Times New Roman" w:eastAsia="宋体" w:cs="Times New Roman"/>
                <w:color w:val="0000FF"/>
                <w:spacing w:val="0"/>
                <w:position w:val="0"/>
                <w:sz w:val="24"/>
                <w:szCs w:val="24"/>
                <w:highlight w:val="none"/>
              </w:rPr>
              <w:t>。</w:t>
            </w:r>
          </w:p>
          <w:p w14:paraId="21A5187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FF"/>
                <w:spacing w:val="0"/>
                <w:position w:val="0"/>
                <w:sz w:val="24"/>
                <w:szCs w:val="24"/>
                <w:highlight w:val="none"/>
              </w:rPr>
            </w:pPr>
            <w:r>
              <w:rPr>
                <w:rFonts w:hint="default" w:ascii="Times New Roman" w:hAnsi="Times New Roman" w:eastAsia="宋体" w:cs="Times New Roman"/>
                <w:color w:val="0000FF"/>
                <w:spacing w:val="0"/>
                <w:position w:val="0"/>
                <w:sz w:val="24"/>
                <w:szCs w:val="24"/>
                <w:highlight w:val="none"/>
              </w:rPr>
              <w:t>施工生产生活</w:t>
            </w:r>
            <w:r>
              <w:rPr>
                <w:rFonts w:hint="default" w:ascii="Times New Roman" w:hAnsi="Times New Roman" w:eastAsia="宋体" w:cs="Times New Roman"/>
                <w:color w:val="0000FF"/>
                <w:spacing w:val="0"/>
                <w:position w:val="0"/>
                <w:sz w:val="24"/>
                <w:szCs w:val="24"/>
                <w:highlight w:val="none"/>
                <w:lang w:eastAsia="zh-CN"/>
              </w:rPr>
              <w:t>区</w:t>
            </w:r>
            <w:r>
              <w:rPr>
                <w:rFonts w:hint="default" w:ascii="Times New Roman" w:hAnsi="Times New Roman" w:eastAsia="宋体" w:cs="Times New Roman"/>
                <w:color w:val="0000FF"/>
                <w:spacing w:val="0"/>
                <w:position w:val="0"/>
                <w:sz w:val="24"/>
                <w:szCs w:val="24"/>
                <w:highlight w:val="none"/>
              </w:rPr>
              <w:t>共设1处，位于主体工程区附近空地处，占地0.50hm²，占地类型为其他土地。</w:t>
            </w:r>
          </w:p>
          <w:p w14:paraId="56FB2FF4">
            <w:pPr>
              <w:shd w:val="clear"/>
              <w:ind w:firstLine="211" w:firstLineChars="100"/>
              <w:jc w:val="center"/>
              <w:rPr>
                <w:rFonts w:hint="default" w:ascii="Times New Roman" w:hAnsi="Times New Roman" w:eastAsia="宋体" w:cs="Times New Roman"/>
                <w:b/>
                <w:bCs/>
                <w:color w:val="0000FF"/>
                <w:spacing w:val="0"/>
                <w:position w:val="0"/>
                <w:highlight w:val="none"/>
                <w:vertAlign w:val="superscript"/>
              </w:rPr>
            </w:pPr>
            <w:r>
              <w:rPr>
                <w:rFonts w:hint="default" w:ascii="Times New Roman" w:hAnsi="Times New Roman" w:eastAsia="宋体" w:cs="Times New Roman"/>
                <w:b/>
                <w:bCs/>
                <w:color w:val="0000FF"/>
                <w:spacing w:val="0"/>
                <w:position w:val="0"/>
                <w:highlight w:val="none"/>
                <w:lang w:val="en-US" w:eastAsia="zh-CN"/>
              </w:rPr>
              <w:t xml:space="preserve">表2-8   项目占地情况一览表   </w:t>
            </w:r>
            <w:r>
              <w:rPr>
                <w:rFonts w:hint="default" w:ascii="Times New Roman" w:hAnsi="Times New Roman" w:eastAsia="宋体" w:cs="Times New Roman"/>
                <w:b/>
                <w:bCs/>
                <w:color w:val="0000FF"/>
                <w:spacing w:val="0"/>
                <w:position w:val="0"/>
                <w:highlight w:val="none"/>
              </w:rPr>
              <w:t>单位：</w:t>
            </w:r>
            <w:r>
              <w:rPr>
                <w:rFonts w:hint="default" w:ascii="Times New Roman" w:hAnsi="Times New Roman" w:eastAsia="宋体" w:cs="Times New Roman"/>
                <w:color w:val="0000FF"/>
                <w:spacing w:val="0"/>
                <w:kern w:val="0"/>
                <w:position w:val="0"/>
                <w:sz w:val="24"/>
                <w:szCs w:val="24"/>
                <w:highlight w:val="none"/>
                <w:lang w:val="en-US" w:eastAsia="zh-CN" w:bidi="ar"/>
              </w:rPr>
              <w:t>hm</w:t>
            </w:r>
            <w:r>
              <w:rPr>
                <w:rFonts w:hint="default" w:ascii="Times New Roman" w:hAnsi="Times New Roman" w:eastAsia="宋体" w:cs="Times New Roman"/>
                <w:color w:val="0000FF"/>
                <w:spacing w:val="0"/>
                <w:kern w:val="0"/>
                <w:position w:val="0"/>
                <w:sz w:val="24"/>
                <w:szCs w:val="24"/>
                <w:highlight w:val="none"/>
                <w:vertAlign w:val="superscript"/>
                <w:lang w:val="en-US" w:eastAsia="zh-CN" w:bidi="ar"/>
              </w:rPr>
              <w:t>2</w:t>
            </w:r>
          </w:p>
          <w:tbl>
            <w:tblPr>
              <w:tblStyle w:val="31"/>
              <w:tblW w:w="494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233"/>
              <w:gridCol w:w="1168"/>
              <w:gridCol w:w="1026"/>
              <w:gridCol w:w="2220"/>
            </w:tblGrid>
            <w:tr w14:paraId="4BB212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jc w:val="center"/>
              </w:trPr>
              <w:tc>
                <w:tcPr>
                  <w:tcW w:w="1145" w:type="pct"/>
                  <w:vMerge w:val="restart"/>
                  <w:shd w:val="clear" w:color="auto" w:fill="auto"/>
                  <w:noWrap/>
                  <w:vAlign w:val="center"/>
                </w:tcPr>
                <w:p w14:paraId="1B2F2736">
                  <w:pPr>
                    <w:pStyle w:val="94"/>
                    <w:shd w:val="clear"/>
                    <w:rPr>
                      <w:rFonts w:hint="default" w:ascii="Times New Roman" w:hAnsi="Times New Roman" w:eastAsia="宋体" w:cs="Times New Roman"/>
                      <w:b/>
                      <w:bCs/>
                      <w:color w:val="0000FF"/>
                      <w:spacing w:val="0"/>
                      <w:position w:val="0"/>
                      <w:sz w:val="21"/>
                      <w:szCs w:val="21"/>
                      <w:highlight w:val="none"/>
                    </w:rPr>
                  </w:pPr>
                  <w:r>
                    <w:rPr>
                      <w:rFonts w:hint="default" w:ascii="Times New Roman" w:hAnsi="Times New Roman" w:eastAsia="宋体" w:cs="Times New Roman"/>
                      <w:b/>
                      <w:bCs/>
                      <w:color w:val="0000FF"/>
                      <w:spacing w:val="0"/>
                      <w:position w:val="0"/>
                      <w:sz w:val="21"/>
                      <w:szCs w:val="21"/>
                      <w:highlight w:val="none"/>
                    </w:rPr>
                    <w:t>项目分区</w:t>
                  </w:r>
                </w:p>
              </w:tc>
              <w:tc>
                <w:tcPr>
                  <w:tcW w:w="2338" w:type="pct"/>
                  <w:gridSpan w:val="3"/>
                  <w:shd w:val="clear" w:color="auto" w:fill="auto"/>
                  <w:noWrap/>
                  <w:vAlign w:val="center"/>
                </w:tcPr>
                <w:p w14:paraId="35D9B573">
                  <w:pPr>
                    <w:pStyle w:val="94"/>
                    <w:shd w:val="clear"/>
                    <w:rPr>
                      <w:rFonts w:hint="default" w:ascii="Times New Roman" w:hAnsi="Times New Roman" w:eastAsia="宋体" w:cs="Times New Roman"/>
                      <w:b/>
                      <w:bCs/>
                      <w:color w:val="0000FF"/>
                      <w:spacing w:val="0"/>
                      <w:position w:val="0"/>
                      <w:sz w:val="21"/>
                      <w:szCs w:val="21"/>
                      <w:highlight w:val="none"/>
                    </w:rPr>
                  </w:pPr>
                  <w:r>
                    <w:rPr>
                      <w:rFonts w:hint="default" w:ascii="Times New Roman" w:hAnsi="Times New Roman" w:eastAsia="宋体" w:cs="Times New Roman"/>
                      <w:b/>
                      <w:bCs/>
                      <w:color w:val="0000FF"/>
                      <w:spacing w:val="0"/>
                      <w:position w:val="0"/>
                      <w:sz w:val="21"/>
                      <w:szCs w:val="21"/>
                      <w:highlight w:val="none"/>
                    </w:rPr>
                    <w:t>占地面积</w:t>
                  </w:r>
                </w:p>
              </w:tc>
              <w:tc>
                <w:tcPr>
                  <w:tcW w:w="1515" w:type="pct"/>
                  <w:vMerge w:val="restart"/>
                  <w:shd w:val="clear" w:color="auto" w:fill="auto"/>
                  <w:noWrap/>
                  <w:vAlign w:val="center"/>
                </w:tcPr>
                <w:p w14:paraId="2B7D7AA9">
                  <w:pPr>
                    <w:pStyle w:val="94"/>
                    <w:shd w:val="clear"/>
                    <w:rPr>
                      <w:rFonts w:hint="default" w:ascii="Times New Roman" w:hAnsi="Times New Roman" w:eastAsia="宋体" w:cs="Times New Roman"/>
                      <w:b/>
                      <w:bCs/>
                      <w:color w:val="0000FF"/>
                      <w:spacing w:val="0"/>
                      <w:position w:val="0"/>
                      <w:sz w:val="21"/>
                      <w:szCs w:val="21"/>
                      <w:highlight w:val="none"/>
                    </w:rPr>
                  </w:pPr>
                  <w:r>
                    <w:rPr>
                      <w:rFonts w:hint="default" w:ascii="Times New Roman" w:hAnsi="Times New Roman" w:eastAsia="宋体" w:cs="Times New Roman"/>
                      <w:b/>
                      <w:bCs/>
                      <w:color w:val="0000FF"/>
                      <w:spacing w:val="0"/>
                      <w:position w:val="0"/>
                      <w:sz w:val="21"/>
                      <w:szCs w:val="21"/>
                      <w:highlight w:val="none"/>
                    </w:rPr>
                    <w:t>占地类型</w:t>
                  </w:r>
                </w:p>
              </w:tc>
            </w:tr>
            <w:tr w14:paraId="6B3CBC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5" w:type="pct"/>
                  <w:vMerge w:val="continue"/>
                  <w:tcBorders>
                    <w:bottom w:val="single" w:color="auto" w:sz="12" w:space="0"/>
                  </w:tcBorders>
                  <w:shd w:val="clear" w:color="auto" w:fill="auto"/>
                  <w:noWrap/>
                  <w:vAlign w:val="center"/>
                </w:tcPr>
                <w:p w14:paraId="5654BB4C">
                  <w:pPr>
                    <w:pStyle w:val="94"/>
                    <w:shd w:val="clear"/>
                    <w:rPr>
                      <w:rFonts w:hint="default" w:ascii="Times New Roman" w:hAnsi="Times New Roman" w:eastAsia="宋体" w:cs="Times New Roman"/>
                      <w:b/>
                      <w:bCs/>
                      <w:color w:val="0000FF"/>
                      <w:spacing w:val="0"/>
                      <w:position w:val="0"/>
                      <w:sz w:val="21"/>
                      <w:szCs w:val="21"/>
                      <w:highlight w:val="none"/>
                    </w:rPr>
                  </w:pPr>
                </w:p>
              </w:tc>
              <w:tc>
                <w:tcPr>
                  <w:tcW w:w="841" w:type="pct"/>
                  <w:tcBorders>
                    <w:bottom w:val="single" w:color="auto" w:sz="12" w:space="0"/>
                  </w:tcBorders>
                  <w:shd w:val="clear" w:color="auto" w:fill="auto"/>
                  <w:noWrap/>
                  <w:vAlign w:val="center"/>
                </w:tcPr>
                <w:p w14:paraId="04C96E43">
                  <w:pPr>
                    <w:pStyle w:val="94"/>
                    <w:shd w:val="clear"/>
                    <w:rPr>
                      <w:rFonts w:hint="default" w:ascii="Times New Roman" w:hAnsi="Times New Roman" w:eastAsia="宋体" w:cs="Times New Roman"/>
                      <w:b/>
                      <w:bCs/>
                      <w:color w:val="0000FF"/>
                      <w:spacing w:val="0"/>
                      <w:position w:val="0"/>
                      <w:sz w:val="21"/>
                      <w:szCs w:val="21"/>
                      <w:highlight w:val="none"/>
                    </w:rPr>
                  </w:pPr>
                  <w:r>
                    <w:rPr>
                      <w:rFonts w:hint="default" w:ascii="Times New Roman" w:hAnsi="Times New Roman" w:eastAsia="宋体" w:cs="Times New Roman"/>
                      <w:b/>
                      <w:bCs/>
                      <w:color w:val="0000FF"/>
                      <w:spacing w:val="0"/>
                      <w:position w:val="0"/>
                      <w:sz w:val="21"/>
                      <w:szCs w:val="21"/>
                      <w:highlight w:val="none"/>
                    </w:rPr>
                    <w:t>永久占地</w:t>
                  </w:r>
                </w:p>
              </w:tc>
              <w:tc>
                <w:tcPr>
                  <w:tcW w:w="797" w:type="pct"/>
                  <w:tcBorders>
                    <w:bottom w:val="single" w:color="auto" w:sz="12" w:space="0"/>
                  </w:tcBorders>
                  <w:shd w:val="clear" w:color="auto" w:fill="auto"/>
                  <w:noWrap/>
                  <w:vAlign w:val="center"/>
                </w:tcPr>
                <w:p w14:paraId="001CE5C5">
                  <w:pPr>
                    <w:pStyle w:val="94"/>
                    <w:shd w:val="clear"/>
                    <w:rPr>
                      <w:rFonts w:hint="default" w:ascii="Times New Roman" w:hAnsi="Times New Roman" w:eastAsia="宋体" w:cs="Times New Roman"/>
                      <w:b/>
                      <w:bCs/>
                      <w:color w:val="0000FF"/>
                      <w:spacing w:val="0"/>
                      <w:position w:val="0"/>
                      <w:sz w:val="21"/>
                      <w:szCs w:val="21"/>
                      <w:highlight w:val="none"/>
                    </w:rPr>
                  </w:pPr>
                  <w:r>
                    <w:rPr>
                      <w:rFonts w:hint="default" w:ascii="Times New Roman" w:hAnsi="Times New Roman" w:eastAsia="宋体" w:cs="Times New Roman"/>
                      <w:b/>
                      <w:bCs/>
                      <w:color w:val="0000FF"/>
                      <w:spacing w:val="0"/>
                      <w:position w:val="0"/>
                      <w:sz w:val="21"/>
                      <w:szCs w:val="21"/>
                      <w:highlight w:val="none"/>
                    </w:rPr>
                    <w:t>临时占地</w:t>
                  </w:r>
                </w:p>
              </w:tc>
              <w:tc>
                <w:tcPr>
                  <w:tcW w:w="699" w:type="pct"/>
                  <w:tcBorders>
                    <w:bottom w:val="single" w:color="auto" w:sz="12" w:space="0"/>
                  </w:tcBorders>
                  <w:shd w:val="clear" w:color="auto" w:fill="auto"/>
                  <w:noWrap/>
                  <w:vAlign w:val="center"/>
                </w:tcPr>
                <w:p w14:paraId="075C3D38">
                  <w:pPr>
                    <w:pStyle w:val="94"/>
                    <w:shd w:val="clear"/>
                    <w:rPr>
                      <w:rFonts w:hint="default" w:ascii="Times New Roman" w:hAnsi="Times New Roman" w:eastAsia="宋体" w:cs="Times New Roman"/>
                      <w:b/>
                      <w:bCs/>
                      <w:color w:val="0000FF"/>
                      <w:spacing w:val="0"/>
                      <w:position w:val="0"/>
                      <w:sz w:val="21"/>
                      <w:szCs w:val="21"/>
                      <w:highlight w:val="none"/>
                    </w:rPr>
                  </w:pPr>
                  <w:r>
                    <w:rPr>
                      <w:rFonts w:hint="default" w:ascii="Times New Roman" w:hAnsi="Times New Roman" w:eastAsia="宋体" w:cs="Times New Roman"/>
                      <w:b/>
                      <w:bCs/>
                      <w:color w:val="0000FF"/>
                      <w:spacing w:val="0"/>
                      <w:position w:val="0"/>
                      <w:sz w:val="21"/>
                      <w:szCs w:val="21"/>
                      <w:highlight w:val="none"/>
                    </w:rPr>
                    <w:t>合计</w:t>
                  </w:r>
                </w:p>
              </w:tc>
              <w:tc>
                <w:tcPr>
                  <w:tcW w:w="1515" w:type="pct"/>
                  <w:vMerge w:val="continue"/>
                  <w:tcBorders>
                    <w:bottom w:val="single" w:color="auto" w:sz="12" w:space="0"/>
                  </w:tcBorders>
                  <w:shd w:val="clear" w:color="auto" w:fill="auto"/>
                  <w:noWrap/>
                  <w:vAlign w:val="center"/>
                </w:tcPr>
                <w:p w14:paraId="4ED118D5">
                  <w:pPr>
                    <w:pStyle w:val="94"/>
                    <w:shd w:val="clear"/>
                    <w:rPr>
                      <w:rFonts w:hint="default" w:ascii="Times New Roman" w:hAnsi="Times New Roman" w:eastAsia="宋体" w:cs="Times New Roman"/>
                      <w:color w:val="0000FF"/>
                      <w:spacing w:val="0"/>
                      <w:position w:val="0"/>
                      <w:sz w:val="21"/>
                      <w:szCs w:val="21"/>
                      <w:highlight w:val="none"/>
                    </w:rPr>
                  </w:pPr>
                </w:p>
              </w:tc>
            </w:tr>
            <w:tr w14:paraId="3E609F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5" w:type="pct"/>
                  <w:tcBorders>
                    <w:top w:val="single" w:color="auto" w:sz="12" w:space="0"/>
                    <w:tl2br w:val="nil"/>
                    <w:tr2bl w:val="nil"/>
                  </w:tcBorders>
                  <w:shd w:val="clear" w:color="auto" w:fill="auto"/>
                  <w:noWrap/>
                  <w:vAlign w:val="center"/>
                </w:tcPr>
                <w:p w14:paraId="05D2D9AC">
                  <w:pPr>
                    <w:pStyle w:val="94"/>
                    <w:shd w:val="clear"/>
                    <w:rPr>
                      <w:rFonts w:hint="default" w:ascii="Times New Roman" w:hAnsi="Times New Roman" w:eastAsia="宋体" w:cs="Times New Roman"/>
                      <w:color w:val="0000FF"/>
                      <w:spacing w:val="0"/>
                      <w:position w:val="0"/>
                      <w:sz w:val="21"/>
                      <w:szCs w:val="21"/>
                      <w:highlight w:val="none"/>
                    </w:rPr>
                  </w:pPr>
                  <w:r>
                    <w:rPr>
                      <w:rFonts w:hint="default" w:ascii="Times New Roman" w:hAnsi="Times New Roman" w:eastAsia="宋体" w:cs="Times New Roman"/>
                      <w:color w:val="0000FF"/>
                      <w:spacing w:val="0"/>
                      <w:position w:val="0"/>
                      <w:sz w:val="21"/>
                      <w:szCs w:val="21"/>
                      <w:highlight w:val="none"/>
                    </w:rPr>
                    <w:t>主体工程区</w:t>
                  </w:r>
                </w:p>
              </w:tc>
              <w:tc>
                <w:tcPr>
                  <w:tcW w:w="841" w:type="pct"/>
                  <w:tcBorders>
                    <w:top w:val="single" w:color="auto" w:sz="12" w:space="0"/>
                    <w:tl2br w:val="nil"/>
                    <w:tr2bl w:val="nil"/>
                  </w:tcBorders>
                  <w:shd w:val="clear" w:color="auto" w:fill="auto"/>
                  <w:noWrap/>
                  <w:vAlign w:val="center"/>
                </w:tcPr>
                <w:p w14:paraId="22F6A5B3">
                  <w:pPr>
                    <w:pStyle w:val="94"/>
                    <w:shd w:val="clear"/>
                    <w:rPr>
                      <w:rFonts w:hint="default" w:ascii="Times New Roman" w:hAnsi="Times New Roman" w:eastAsia="宋体" w:cs="Times New Roman"/>
                      <w:color w:val="0000FF"/>
                      <w:spacing w:val="0"/>
                      <w:position w:val="0"/>
                      <w:sz w:val="21"/>
                      <w:szCs w:val="21"/>
                      <w:highlight w:val="none"/>
                      <w:lang w:eastAsia="zh-CN"/>
                    </w:rPr>
                  </w:pPr>
                  <w:r>
                    <w:rPr>
                      <w:rFonts w:hint="default" w:ascii="Times New Roman" w:hAnsi="Times New Roman" w:cs="Times New Roman"/>
                      <w:color w:val="0000FF"/>
                      <w:spacing w:val="0"/>
                      <w:position w:val="0"/>
                      <w:sz w:val="21"/>
                      <w:szCs w:val="21"/>
                      <w:highlight w:val="none"/>
                      <w:lang w:eastAsia="zh-CN"/>
                    </w:rPr>
                    <w:t>22.70</w:t>
                  </w:r>
                </w:p>
              </w:tc>
              <w:tc>
                <w:tcPr>
                  <w:tcW w:w="797" w:type="pct"/>
                  <w:tcBorders>
                    <w:top w:val="single" w:color="auto" w:sz="12" w:space="0"/>
                    <w:tl2br w:val="nil"/>
                    <w:tr2bl w:val="nil"/>
                  </w:tcBorders>
                  <w:shd w:val="clear" w:color="auto" w:fill="auto"/>
                  <w:noWrap/>
                  <w:vAlign w:val="center"/>
                </w:tcPr>
                <w:p w14:paraId="7AC84110">
                  <w:pPr>
                    <w:pStyle w:val="94"/>
                    <w:shd w:val="clear"/>
                    <w:rPr>
                      <w:rFonts w:hint="default" w:ascii="Times New Roman" w:hAnsi="Times New Roman" w:eastAsia="宋体" w:cs="Times New Roman"/>
                      <w:color w:val="0000FF"/>
                      <w:spacing w:val="0"/>
                      <w:position w:val="0"/>
                      <w:sz w:val="21"/>
                      <w:szCs w:val="21"/>
                      <w:highlight w:val="none"/>
                      <w:lang w:val="en-US" w:eastAsia="zh-CN"/>
                    </w:rPr>
                  </w:pPr>
                  <w:r>
                    <w:rPr>
                      <w:rFonts w:hint="default" w:ascii="Times New Roman" w:hAnsi="Times New Roman" w:eastAsia="宋体" w:cs="Times New Roman"/>
                      <w:color w:val="0000FF"/>
                      <w:spacing w:val="0"/>
                      <w:position w:val="0"/>
                      <w:sz w:val="21"/>
                      <w:szCs w:val="21"/>
                      <w:highlight w:val="none"/>
                      <w:lang w:val="en-US" w:eastAsia="zh-CN"/>
                    </w:rPr>
                    <w:t>/</w:t>
                  </w:r>
                </w:p>
              </w:tc>
              <w:tc>
                <w:tcPr>
                  <w:tcW w:w="699" w:type="pct"/>
                  <w:tcBorders>
                    <w:top w:val="single" w:color="auto" w:sz="12" w:space="0"/>
                    <w:tl2br w:val="nil"/>
                    <w:tr2bl w:val="nil"/>
                  </w:tcBorders>
                  <w:shd w:val="clear" w:color="auto" w:fill="auto"/>
                  <w:noWrap/>
                  <w:vAlign w:val="center"/>
                </w:tcPr>
                <w:p w14:paraId="7E820CE8">
                  <w:pPr>
                    <w:pStyle w:val="94"/>
                    <w:shd w:val="clear"/>
                    <w:rPr>
                      <w:rFonts w:hint="default" w:ascii="Times New Roman" w:hAnsi="Times New Roman" w:eastAsia="宋体" w:cs="Times New Roman"/>
                      <w:color w:val="0000FF"/>
                      <w:spacing w:val="0"/>
                      <w:position w:val="0"/>
                      <w:sz w:val="21"/>
                      <w:szCs w:val="21"/>
                      <w:highlight w:val="none"/>
                      <w:lang w:eastAsia="zh-CN"/>
                    </w:rPr>
                  </w:pPr>
                  <w:r>
                    <w:rPr>
                      <w:rFonts w:hint="default" w:ascii="Times New Roman" w:hAnsi="Times New Roman" w:cs="Times New Roman"/>
                      <w:color w:val="0000FF"/>
                      <w:spacing w:val="0"/>
                      <w:position w:val="0"/>
                      <w:sz w:val="21"/>
                      <w:szCs w:val="21"/>
                      <w:highlight w:val="none"/>
                      <w:lang w:eastAsia="zh-CN"/>
                    </w:rPr>
                    <w:t>22.70</w:t>
                  </w:r>
                </w:p>
              </w:tc>
              <w:tc>
                <w:tcPr>
                  <w:tcW w:w="1515" w:type="pct"/>
                  <w:tcBorders>
                    <w:top w:val="single" w:color="auto" w:sz="12" w:space="0"/>
                    <w:tl2br w:val="nil"/>
                    <w:tr2bl w:val="nil"/>
                  </w:tcBorders>
                  <w:shd w:val="clear" w:color="auto" w:fill="auto"/>
                  <w:noWrap/>
                  <w:vAlign w:val="center"/>
                </w:tcPr>
                <w:p w14:paraId="5A327E63">
                  <w:pPr>
                    <w:pStyle w:val="94"/>
                    <w:shd w:val="clear"/>
                    <w:rPr>
                      <w:rFonts w:hint="default" w:ascii="Times New Roman" w:hAnsi="Times New Roman" w:eastAsia="宋体" w:cs="Times New Roman"/>
                      <w:color w:val="0000FF"/>
                      <w:spacing w:val="0"/>
                      <w:position w:val="0"/>
                      <w:sz w:val="21"/>
                      <w:szCs w:val="21"/>
                      <w:highlight w:val="none"/>
                    </w:rPr>
                  </w:pPr>
                  <w:r>
                    <w:rPr>
                      <w:rFonts w:hint="default" w:ascii="Times New Roman" w:hAnsi="Times New Roman" w:eastAsia="宋体" w:cs="Times New Roman"/>
                      <w:color w:val="0000FF"/>
                      <w:spacing w:val="0"/>
                      <w:position w:val="0"/>
                      <w:sz w:val="21"/>
                      <w:szCs w:val="21"/>
                      <w:highlight w:val="none"/>
                    </w:rPr>
                    <w:t>水利设施用地</w:t>
                  </w:r>
                </w:p>
              </w:tc>
            </w:tr>
            <w:tr w14:paraId="758DCB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5" w:type="pct"/>
                  <w:tcBorders>
                    <w:tl2br w:val="nil"/>
                    <w:tr2bl w:val="nil"/>
                  </w:tcBorders>
                  <w:shd w:val="clear" w:color="auto" w:fill="auto"/>
                  <w:noWrap/>
                  <w:vAlign w:val="center"/>
                </w:tcPr>
                <w:p w14:paraId="2F21E1A2">
                  <w:pPr>
                    <w:keepNext w:val="0"/>
                    <w:keepLines w:val="0"/>
                    <w:widowControl/>
                    <w:suppressLineNumbers w:val="0"/>
                    <w:shd w:val="clear"/>
                    <w:jc w:val="center"/>
                    <w:rPr>
                      <w:rFonts w:hint="default" w:ascii="Times New Roman" w:hAnsi="Times New Roman" w:eastAsia="宋体" w:cs="Times New Roman"/>
                      <w:color w:val="0000FF"/>
                      <w:spacing w:val="0"/>
                      <w:position w:val="0"/>
                      <w:sz w:val="21"/>
                      <w:szCs w:val="21"/>
                      <w:highlight w:val="none"/>
                    </w:rPr>
                  </w:pPr>
                  <w:r>
                    <w:rPr>
                      <w:rFonts w:hint="default" w:ascii="Times New Roman" w:hAnsi="Times New Roman" w:eastAsia="宋体" w:cs="Times New Roman"/>
                      <w:color w:val="0000FF"/>
                      <w:kern w:val="0"/>
                      <w:sz w:val="21"/>
                      <w:szCs w:val="21"/>
                      <w:lang w:val="en-US" w:eastAsia="zh-CN" w:bidi="ar"/>
                    </w:rPr>
                    <w:t>河道疏浚区</w:t>
                  </w:r>
                </w:p>
              </w:tc>
              <w:tc>
                <w:tcPr>
                  <w:tcW w:w="841" w:type="pct"/>
                  <w:tcBorders>
                    <w:tl2br w:val="nil"/>
                    <w:tr2bl w:val="nil"/>
                  </w:tcBorders>
                  <w:shd w:val="clear" w:color="auto" w:fill="auto"/>
                  <w:noWrap/>
                  <w:vAlign w:val="center"/>
                </w:tcPr>
                <w:p w14:paraId="7154003A">
                  <w:pPr>
                    <w:pStyle w:val="94"/>
                    <w:shd w:val="clear"/>
                    <w:rPr>
                      <w:rFonts w:hint="default" w:ascii="Times New Roman" w:hAnsi="Times New Roman" w:eastAsia="宋体" w:cs="Times New Roman"/>
                      <w:color w:val="0000FF"/>
                      <w:spacing w:val="0"/>
                      <w:position w:val="0"/>
                      <w:sz w:val="21"/>
                      <w:szCs w:val="21"/>
                      <w:highlight w:val="none"/>
                      <w:lang w:val="en-US" w:eastAsia="zh-CN"/>
                    </w:rPr>
                  </w:pPr>
                  <w:r>
                    <w:rPr>
                      <w:rFonts w:hint="default" w:ascii="Times New Roman" w:hAnsi="Times New Roman" w:eastAsia="宋体" w:cs="Times New Roman"/>
                      <w:color w:val="0000FF"/>
                      <w:spacing w:val="0"/>
                      <w:position w:val="0"/>
                      <w:sz w:val="21"/>
                      <w:szCs w:val="21"/>
                      <w:highlight w:val="none"/>
                      <w:lang w:val="en-US" w:eastAsia="zh-CN"/>
                    </w:rPr>
                    <w:t>/</w:t>
                  </w:r>
                </w:p>
              </w:tc>
              <w:tc>
                <w:tcPr>
                  <w:tcW w:w="797" w:type="pct"/>
                  <w:tcBorders>
                    <w:tl2br w:val="nil"/>
                    <w:tr2bl w:val="nil"/>
                  </w:tcBorders>
                  <w:shd w:val="clear" w:color="auto" w:fill="auto"/>
                  <w:noWrap/>
                  <w:vAlign w:val="center"/>
                </w:tcPr>
                <w:p w14:paraId="7151BAEE">
                  <w:pPr>
                    <w:pStyle w:val="94"/>
                    <w:shd w:val="clear"/>
                    <w:rPr>
                      <w:rFonts w:hint="default" w:ascii="Times New Roman" w:hAnsi="Times New Roman" w:eastAsia="宋体" w:cs="Times New Roman"/>
                      <w:color w:val="0000FF"/>
                      <w:spacing w:val="0"/>
                      <w:position w:val="0"/>
                      <w:sz w:val="21"/>
                      <w:szCs w:val="21"/>
                      <w:highlight w:val="none"/>
                      <w:lang w:val="en-US" w:eastAsia="zh-CN"/>
                    </w:rPr>
                  </w:pPr>
                  <w:r>
                    <w:rPr>
                      <w:rFonts w:hint="default" w:ascii="Times New Roman" w:hAnsi="Times New Roman" w:cs="Times New Roman"/>
                      <w:color w:val="0000FF"/>
                      <w:spacing w:val="0"/>
                      <w:position w:val="0"/>
                      <w:sz w:val="21"/>
                      <w:szCs w:val="21"/>
                      <w:highlight w:val="none"/>
                      <w:lang w:val="en-US" w:eastAsia="zh-CN"/>
                    </w:rPr>
                    <w:t>42.2</w:t>
                  </w:r>
                </w:p>
              </w:tc>
              <w:tc>
                <w:tcPr>
                  <w:tcW w:w="699" w:type="pct"/>
                  <w:tcBorders>
                    <w:tl2br w:val="nil"/>
                    <w:tr2bl w:val="nil"/>
                  </w:tcBorders>
                  <w:shd w:val="clear" w:color="auto" w:fill="auto"/>
                  <w:noWrap/>
                  <w:vAlign w:val="center"/>
                </w:tcPr>
                <w:p w14:paraId="04A68109">
                  <w:pPr>
                    <w:pStyle w:val="94"/>
                    <w:shd w:val="clear"/>
                    <w:ind w:firstLine="0" w:firstLineChars="0"/>
                    <w:rPr>
                      <w:rFonts w:hint="default" w:ascii="Times New Roman" w:hAnsi="Times New Roman" w:eastAsia="宋体" w:cs="Times New Roman"/>
                      <w:color w:val="0000FF"/>
                      <w:spacing w:val="0"/>
                      <w:position w:val="0"/>
                      <w:sz w:val="21"/>
                      <w:szCs w:val="21"/>
                      <w:highlight w:val="none"/>
                      <w:lang w:eastAsia="zh-CN"/>
                    </w:rPr>
                  </w:pPr>
                  <w:r>
                    <w:rPr>
                      <w:rFonts w:hint="default" w:ascii="Times New Roman" w:hAnsi="Times New Roman" w:cs="Times New Roman"/>
                      <w:color w:val="0000FF"/>
                      <w:spacing w:val="0"/>
                      <w:position w:val="0"/>
                      <w:sz w:val="21"/>
                      <w:szCs w:val="21"/>
                      <w:highlight w:val="none"/>
                      <w:lang w:val="en-US" w:eastAsia="zh-CN"/>
                    </w:rPr>
                    <w:t>42.2</w:t>
                  </w:r>
                </w:p>
              </w:tc>
              <w:tc>
                <w:tcPr>
                  <w:tcW w:w="1515" w:type="pct"/>
                  <w:tcBorders>
                    <w:tl2br w:val="nil"/>
                    <w:tr2bl w:val="nil"/>
                  </w:tcBorders>
                  <w:shd w:val="clear" w:color="auto" w:fill="auto"/>
                  <w:noWrap/>
                  <w:vAlign w:val="center"/>
                </w:tcPr>
                <w:p w14:paraId="5523F49F">
                  <w:pPr>
                    <w:pStyle w:val="94"/>
                    <w:shd w:val="clear"/>
                    <w:rPr>
                      <w:rFonts w:hint="default" w:ascii="Times New Roman" w:hAnsi="Times New Roman" w:eastAsia="宋体" w:cs="Times New Roman"/>
                      <w:color w:val="0000FF"/>
                      <w:spacing w:val="0"/>
                      <w:position w:val="0"/>
                      <w:sz w:val="21"/>
                      <w:szCs w:val="21"/>
                      <w:highlight w:val="none"/>
                    </w:rPr>
                  </w:pPr>
                  <w:r>
                    <w:rPr>
                      <w:rFonts w:hint="default" w:ascii="Times New Roman" w:hAnsi="Times New Roman" w:eastAsia="宋体" w:cs="Times New Roman"/>
                      <w:color w:val="0000FF"/>
                      <w:spacing w:val="0"/>
                      <w:position w:val="0"/>
                      <w:sz w:val="21"/>
                      <w:szCs w:val="21"/>
                      <w:highlight w:val="none"/>
                    </w:rPr>
                    <w:t>水利设施用地</w:t>
                  </w:r>
                </w:p>
              </w:tc>
            </w:tr>
            <w:tr w14:paraId="3F6318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5" w:type="pct"/>
                  <w:tcBorders>
                    <w:tl2br w:val="nil"/>
                    <w:tr2bl w:val="nil"/>
                  </w:tcBorders>
                  <w:shd w:val="clear" w:color="auto" w:fill="auto"/>
                  <w:noWrap/>
                  <w:vAlign w:val="center"/>
                </w:tcPr>
                <w:p w14:paraId="3BFC2BE1">
                  <w:pPr>
                    <w:keepNext w:val="0"/>
                    <w:keepLines w:val="0"/>
                    <w:widowControl/>
                    <w:suppressLineNumbers w:val="0"/>
                    <w:shd w:val="clear"/>
                    <w:jc w:val="center"/>
                    <w:rPr>
                      <w:rFonts w:hint="default" w:ascii="Times New Roman" w:hAnsi="Times New Roman" w:eastAsia="宋体" w:cs="Times New Roman"/>
                      <w:color w:val="0000FF"/>
                      <w:spacing w:val="0"/>
                      <w:position w:val="0"/>
                      <w:sz w:val="21"/>
                      <w:szCs w:val="21"/>
                      <w:highlight w:val="none"/>
                    </w:rPr>
                  </w:pPr>
                  <w:r>
                    <w:rPr>
                      <w:rFonts w:hint="eastAsia" w:ascii="Times New Roman" w:hAnsi="Times New Roman" w:cs="Times New Roman"/>
                      <w:color w:val="0000FF"/>
                      <w:kern w:val="0"/>
                      <w:sz w:val="21"/>
                      <w:szCs w:val="21"/>
                      <w:lang w:val="en-US" w:eastAsia="zh-CN" w:bidi="ar"/>
                    </w:rPr>
                    <w:t>临时堆土场</w:t>
                  </w:r>
                  <w:r>
                    <w:rPr>
                      <w:rFonts w:hint="default" w:ascii="Times New Roman" w:hAnsi="Times New Roman" w:eastAsia="宋体" w:cs="Times New Roman"/>
                      <w:color w:val="0000FF"/>
                      <w:kern w:val="0"/>
                      <w:sz w:val="21"/>
                      <w:szCs w:val="21"/>
                      <w:lang w:val="en-US" w:eastAsia="zh-CN" w:bidi="ar"/>
                    </w:rPr>
                    <w:t>区</w:t>
                  </w:r>
                </w:p>
              </w:tc>
              <w:tc>
                <w:tcPr>
                  <w:tcW w:w="841" w:type="pct"/>
                  <w:tcBorders>
                    <w:tl2br w:val="nil"/>
                    <w:tr2bl w:val="nil"/>
                  </w:tcBorders>
                  <w:shd w:val="clear" w:color="auto" w:fill="auto"/>
                  <w:noWrap/>
                  <w:vAlign w:val="center"/>
                </w:tcPr>
                <w:p w14:paraId="070EC83E">
                  <w:pPr>
                    <w:pStyle w:val="94"/>
                    <w:shd w:val="clear"/>
                    <w:rPr>
                      <w:rFonts w:hint="default" w:ascii="Times New Roman" w:hAnsi="Times New Roman" w:eastAsia="宋体" w:cs="Times New Roman"/>
                      <w:color w:val="0000FF"/>
                      <w:spacing w:val="0"/>
                      <w:position w:val="0"/>
                      <w:sz w:val="21"/>
                      <w:szCs w:val="21"/>
                      <w:highlight w:val="none"/>
                      <w:lang w:val="en-US" w:eastAsia="zh-CN"/>
                    </w:rPr>
                  </w:pPr>
                  <w:r>
                    <w:rPr>
                      <w:rFonts w:hint="default" w:ascii="Times New Roman" w:hAnsi="Times New Roman" w:eastAsia="宋体" w:cs="Times New Roman"/>
                      <w:color w:val="0000FF"/>
                      <w:spacing w:val="0"/>
                      <w:position w:val="0"/>
                      <w:sz w:val="21"/>
                      <w:szCs w:val="21"/>
                      <w:highlight w:val="none"/>
                      <w:lang w:val="en-US" w:eastAsia="zh-CN"/>
                    </w:rPr>
                    <w:t>/</w:t>
                  </w:r>
                </w:p>
              </w:tc>
              <w:tc>
                <w:tcPr>
                  <w:tcW w:w="797" w:type="pct"/>
                  <w:tcBorders>
                    <w:tl2br w:val="nil"/>
                    <w:tr2bl w:val="nil"/>
                  </w:tcBorders>
                  <w:shd w:val="clear" w:color="auto" w:fill="auto"/>
                  <w:noWrap/>
                  <w:vAlign w:val="center"/>
                </w:tcPr>
                <w:p w14:paraId="5FFB8219">
                  <w:pPr>
                    <w:pStyle w:val="94"/>
                    <w:shd w:val="clear"/>
                    <w:rPr>
                      <w:rFonts w:hint="default" w:ascii="Times New Roman" w:hAnsi="Times New Roman" w:eastAsia="宋体" w:cs="Times New Roman"/>
                      <w:color w:val="0000FF"/>
                      <w:spacing w:val="0"/>
                      <w:position w:val="0"/>
                      <w:sz w:val="21"/>
                      <w:szCs w:val="21"/>
                      <w:highlight w:val="none"/>
                      <w:lang w:val="en-US" w:eastAsia="zh-CN"/>
                    </w:rPr>
                  </w:pPr>
                  <w:r>
                    <w:rPr>
                      <w:rFonts w:hint="default" w:ascii="Times New Roman" w:hAnsi="Times New Roman" w:cs="Times New Roman"/>
                      <w:color w:val="0000FF"/>
                      <w:spacing w:val="0"/>
                      <w:position w:val="0"/>
                      <w:sz w:val="21"/>
                      <w:szCs w:val="21"/>
                      <w:highlight w:val="none"/>
                      <w:lang w:val="en-US" w:eastAsia="zh-CN"/>
                    </w:rPr>
                    <w:t>3.56</w:t>
                  </w:r>
                </w:p>
              </w:tc>
              <w:tc>
                <w:tcPr>
                  <w:tcW w:w="699" w:type="pct"/>
                  <w:tcBorders>
                    <w:tl2br w:val="nil"/>
                    <w:tr2bl w:val="nil"/>
                  </w:tcBorders>
                  <w:shd w:val="clear" w:color="auto" w:fill="auto"/>
                  <w:noWrap/>
                  <w:vAlign w:val="center"/>
                </w:tcPr>
                <w:p w14:paraId="739C8251">
                  <w:pPr>
                    <w:pStyle w:val="94"/>
                    <w:shd w:val="clear"/>
                    <w:ind w:firstLine="0" w:firstLineChars="0"/>
                    <w:rPr>
                      <w:rFonts w:hint="default" w:ascii="Times New Roman" w:hAnsi="Times New Roman" w:eastAsia="宋体" w:cs="Times New Roman"/>
                      <w:color w:val="0000FF"/>
                      <w:spacing w:val="0"/>
                      <w:position w:val="0"/>
                      <w:sz w:val="21"/>
                      <w:szCs w:val="21"/>
                      <w:highlight w:val="none"/>
                      <w:lang w:eastAsia="zh-CN"/>
                    </w:rPr>
                  </w:pPr>
                  <w:r>
                    <w:rPr>
                      <w:rFonts w:hint="default" w:ascii="Times New Roman" w:hAnsi="Times New Roman" w:cs="Times New Roman"/>
                      <w:color w:val="0000FF"/>
                      <w:spacing w:val="0"/>
                      <w:position w:val="0"/>
                      <w:sz w:val="21"/>
                      <w:szCs w:val="21"/>
                      <w:highlight w:val="none"/>
                      <w:lang w:val="en-US" w:eastAsia="zh-CN"/>
                    </w:rPr>
                    <w:t>3.56</w:t>
                  </w:r>
                </w:p>
              </w:tc>
              <w:tc>
                <w:tcPr>
                  <w:tcW w:w="1515" w:type="pct"/>
                  <w:tcBorders>
                    <w:tl2br w:val="nil"/>
                    <w:tr2bl w:val="nil"/>
                  </w:tcBorders>
                  <w:shd w:val="clear" w:color="auto" w:fill="auto"/>
                  <w:noWrap/>
                  <w:vAlign w:val="center"/>
                </w:tcPr>
                <w:p w14:paraId="0D6EFE4F">
                  <w:pPr>
                    <w:pStyle w:val="94"/>
                    <w:shd w:val="clear"/>
                    <w:rPr>
                      <w:rFonts w:hint="default" w:ascii="Times New Roman" w:hAnsi="Times New Roman" w:eastAsia="宋体" w:cs="Times New Roman"/>
                      <w:color w:val="0000FF"/>
                      <w:spacing w:val="0"/>
                      <w:position w:val="0"/>
                      <w:sz w:val="21"/>
                      <w:szCs w:val="21"/>
                      <w:highlight w:val="none"/>
                    </w:rPr>
                  </w:pPr>
                  <w:r>
                    <w:rPr>
                      <w:rFonts w:hint="default" w:ascii="Times New Roman" w:hAnsi="Times New Roman" w:eastAsia="宋体" w:cs="Times New Roman"/>
                      <w:color w:val="0000FF"/>
                      <w:spacing w:val="0"/>
                      <w:position w:val="0"/>
                      <w:sz w:val="21"/>
                      <w:szCs w:val="21"/>
                      <w:highlight w:val="none"/>
                    </w:rPr>
                    <w:t>水利设施用地</w:t>
                  </w:r>
                </w:p>
              </w:tc>
            </w:tr>
            <w:tr w14:paraId="52A3E3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5" w:type="pct"/>
                  <w:tcBorders>
                    <w:tl2br w:val="nil"/>
                    <w:tr2bl w:val="nil"/>
                  </w:tcBorders>
                  <w:shd w:val="clear" w:color="auto" w:fill="auto"/>
                  <w:noWrap/>
                  <w:vAlign w:val="center"/>
                </w:tcPr>
                <w:p w14:paraId="68F126D2">
                  <w:pPr>
                    <w:pStyle w:val="94"/>
                    <w:shd w:val="clear"/>
                    <w:rPr>
                      <w:rFonts w:hint="default" w:ascii="Times New Roman" w:hAnsi="Times New Roman" w:eastAsia="宋体" w:cs="Times New Roman"/>
                      <w:color w:val="0000FF"/>
                      <w:spacing w:val="0"/>
                      <w:position w:val="0"/>
                      <w:sz w:val="21"/>
                      <w:szCs w:val="21"/>
                      <w:highlight w:val="none"/>
                    </w:rPr>
                  </w:pPr>
                  <w:r>
                    <w:rPr>
                      <w:rFonts w:hint="default" w:ascii="Times New Roman" w:hAnsi="Times New Roman" w:eastAsia="宋体" w:cs="Times New Roman"/>
                      <w:color w:val="0000FF"/>
                      <w:spacing w:val="0"/>
                      <w:position w:val="0"/>
                      <w:sz w:val="21"/>
                      <w:szCs w:val="21"/>
                      <w:highlight w:val="none"/>
                    </w:rPr>
                    <w:t>施工生产区</w:t>
                  </w:r>
                </w:p>
              </w:tc>
              <w:tc>
                <w:tcPr>
                  <w:tcW w:w="841" w:type="pct"/>
                  <w:tcBorders>
                    <w:tl2br w:val="nil"/>
                    <w:tr2bl w:val="nil"/>
                  </w:tcBorders>
                  <w:shd w:val="clear" w:color="auto" w:fill="auto"/>
                  <w:noWrap/>
                  <w:vAlign w:val="center"/>
                </w:tcPr>
                <w:p w14:paraId="43CE712B">
                  <w:pPr>
                    <w:pStyle w:val="94"/>
                    <w:shd w:val="clear"/>
                    <w:rPr>
                      <w:rFonts w:hint="default" w:ascii="Times New Roman" w:hAnsi="Times New Roman" w:eastAsia="宋体" w:cs="Times New Roman"/>
                      <w:color w:val="0000FF"/>
                      <w:spacing w:val="0"/>
                      <w:position w:val="0"/>
                      <w:sz w:val="21"/>
                      <w:szCs w:val="21"/>
                      <w:highlight w:val="none"/>
                      <w:lang w:val="en-US" w:eastAsia="zh-CN"/>
                    </w:rPr>
                  </w:pPr>
                  <w:r>
                    <w:rPr>
                      <w:rFonts w:hint="default" w:ascii="Times New Roman" w:hAnsi="Times New Roman" w:eastAsia="宋体" w:cs="Times New Roman"/>
                      <w:color w:val="0000FF"/>
                      <w:spacing w:val="0"/>
                      <w:position w:val="0"/>
                      <w:sz w:val="21"/>
                      <w:szCs w:val="21"/>
                      <w:highlight w:val="none"/>
                      <w:lang w:val="en-US" w:eastAsia="zh-CN"/>
                    </w:rPr>
                    <w:t>/</w:t>
                  </w:r>
                </w:p>
              </w:tc>
              <w:tc>
                <w:tcPr>
                  <w:tcW w:w="797" w:type="pct"/>
                  <w:tcBorders>
                    <w:tl2br w:val="nil"/>
                    <w:tr2bl w:val="nil"/>
                  </w:tcBorders>
                  <w:shd w:val="clear" w:color="auto" w:fill="auto"/>
                  <w:noWrap/>
                  <w:vAlign w:val="center"/>
                </w:tcPr>
                <w:p w14:paraId="0A405E55">
                  <w:pPr>
                    <w:pStyle w:val="94"/>
                    <w:shd w:val="clear"/>
                    <w:rPr>
                      <w:rFonts w:hint="default" w:ascii="Times New Roman" w:hAnsi="Times New Roman" w:eastAsia="宋体" w:cs="Times New Roman"/>
                      <w:color w:val="0000FF"/>
                      <w:spacing w:val="0"/>
                      <w:position w:val="0"/>
                      <w:sz w:val="21"/>
                      <w:szCs w:val="21"/>
                      <w:highlight w:val="none"/>
                      <w:lang w:eastAsia="zh-CN"/>
                    </w:rPr>
                  </w:pPr>
                  <w:r>
                    <w:rPr>
                      <w:rFonts w:hint="default" w:ascii="Times New Roman" w:hAnsi="Times New Roman" w:eastAsia="宋体" w:cs="Times New Roman"/>
                      <w:color w:val="0000FF"/>
                      <w:spacing w:val="0"/>
                      <w:position w:val="0"/>
                      <w:sz w:val="21"/>
                      <w:szCs w:val="21"/>
                      <w:highlight w:val="none"/>
                    </w:rPr>
                    <w:t>0.</w:t>
                  </w:r>
                  <w:r>
                    <w:rPr>
                      <w:rFonts w:hint="default" w:ascii="Times New Roman" w:hAnsi="Times New Roman" w:cs="Times New Roman"/>
                      <w:color w:val="0000FF"/>
                      <w:spacing w:val="0"/>
                      <w:position w:val="0"/>
                      <w:sz w:val="21"/>
                      <w:szCs w:val="21"/>
                      <w:highlight w:val="none"/>
                      <w:lang w:val="en-US" w:eastAsia="zh-CN"/>
                    </w:rPr>
                    <w:t>5</w:t>
                  </w:r>
                  <w:r>
                    <w:rPr>
                      <w:rFonts w:hint="default" w:ascii="Times New Roman" w:hAnsi="Times New Roman" w:eastAsia="宋体" w:cs="Times New Roman"/>
                      <w:color w:val="0000FF"/>
                      <w:spacing w:val="0"/>
                      <w:position w:val="0"/>
                      <w:sz w:val="21"/>
                      <w:szCs w:val="21"/>
                      <w:highlight w:val="none"/>
                    </w:rPr>
                    <w:t>0</w:t>
                  </w:r>
                </w:p>
              </w:tc>
              <w:tc>
                <w:tcPr>
                  <w:tcW w:w="699" w:type="pct"/>
                  <w:tcBorders>
                    <w:tl2br w:val="nil"/>
                    <w:tr2bl w:val="nil"/>
                  </w:tcBorders>
                  <w:shd w:val="clear" w:color="auto" w:fill="auto"/>
                  <w:noWrap/>
                  <w:vAlign w:val="center"/>
                </w:tcPr>
                <w:p w14:paraId="65ADF06C">
                  <w:pPr>
                    <w:pStyle w:val="94"/>
                    <w:shd w:val="clear"/>
                    <w:ind w:firstLine="0" w:firstLineChars="0"/>
                    <w:rPr>
                      <w:rFonts w:hint="default" w:ascii="Times New Roman" w:hAnsi="Times New Roman" w:eastAsia="宋体" w:cs="Times New Roman"/>
                      <w:color w:val="0000FF"/>
                      <w:spacing w:val="0"/>
                      <w:position w:val="0"/>
                      <w:sz w:val="21"/>
                      <w:szCs w:val="21"/>
                      <w:highlight w:val="none"/>
                      <w:lang w:eastAsia="zh-CN"/>
                    </w:rPr>
                  </w:pPr>
                  <w:r>
                    <w:rPr>
                      <w:rFonts w:hint="default" w:ascii="Times New Roman" w:hAnsi="Times New Roman" w:eastAsia="宋体" w:cs="Times New Roman"/>
                      <w:color w:val="0000FF"/>
                      <w:spacing w:val="0"/>
                      <w:position w:val="0"/>
                      <w:sz w:val="21"/>
                      <w:szCs w:val="21"/>
                      <w:highlight w:val="none"/>
                    </w:rPr>
                    <w:t>0.</w:t>
                  </w:r>
                  <w:r>
                    <w:rPr>
                      <w:rFonts w:hint="default" w:ascii="Times New Roman" w:hAnsi="Times New Roman" w:cs="Times New Roman"/>
                      <w:color w:val="0000FF"/>
                      <w:spacing w:val="0"/>
                      <w:position w:val="0"/>
                      <w:sz w:val="21"/>
                      <w:szCs w:val="21"/>
                      <w:highlight w:val="none"/>
                      <w:lang w:val="en-US" w:eastAsia="zh-CN"/>
                    </w:rPr>
                    <w:t>5</w:t>
                  </w:r>
                  <w:r>
                    <w:rPr>
                      <w:rFonts w:hint="default" w:ascii="Times New Roman" w:hAnsi="Times New Roman" w:eastAsia="宋体" w:cs="Times New Roman"/>
                      <w:color w:val="0000FF"/>
                      <w:spacing w:val="0"/>
                      <w:position w:val="0"/>
                      <w:sz w:val="21"/>
                      <w:szCs w:val="21"/>
                      <w:highlight w:val="none"/>
                    </w:rPr>
                    <w:t>0</w:t>
                  </w:r>
                </w:p>
              </w:tc>
              <w:tc>
                <w:tcPr>
                  <w:tcW w:w="1515" w:type="pct"/>
                  <w:tcBorders>
                    <w:tl2br w:val="nil"/>
                    <w:tr2bl w:val="nil"/>
                  </w:tcBorders>
                  <w:shd w:val="clear" w:color="auto" w:fill="auto"/>
                  <w:noWrap/>
                  <w:vAlign w:val="center"/>
                </w:tcPr>
                <w:p w14:paraId="4ED6F717">
                  <w:pPr>
                    <w:keepNext w:val="0"/>
                    <w:keepLines w:val="0"/>
                    <w:widowControl/>
                    <w:suppressLineNumbers w:val="0"/>
                    <w:shd w:val="clear"/>
                    <w:jc w:val="center"/>
                    <w:rPr>
                      <w:rFonts w:hint="default" w:ascii="Times New Roman" w:hAnsi="Times New Roman" w:eastAsia="宋体" w:cs="Times New Roman"/>
                      <w:color w:val="0000FF"/>
                      <w:spacing w:val="0"/>
                      <w:position w:val="0"/>
                      <w:sz w:val="21"/>
                      <w:szCs w:val="21"/>
                      <w:highlight w:val="none"/>
                    </w:rPr>
                  </w:pPr>
                  <w:r>
                    <w:rPr>
                      <w:rFonts w:hint="default" w:ascii="Times New Roman" w:hAnsi="Times New Roman" w:eastAsia="宋体" w:cs="Times New Roman"/>
                      <w:color w:val="0000FF"/>
                      <w:spacing w:val="0"/>
                      <w:position w:val="0"/>
                      <w:sz w:val="21"/>
                      <w:szCs w:val="21"/>
                      <w:highlight w:val="none"/>
                    </w:rPr>
                    <w:t>水利设施用地</w:t>
                  </w:r>
                </w:p>
              </w:tc>
            </w:tr>
            <w:tr w14:paraId="0B5421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5" w:type="pct"/>
                  <w:tcBorders>
                    <w:tl2br w:val="nil"/>
                    <w:tr2bl w:val="nil"/>
                  </w:tcBorders>
                  <w:shd w:val="clear" w:color="auto" w:fill="auto"/>
                  <w:noWrap/>
                  <w:vAlign w:val="center"/>
                </w:tcPr>
                <w:p w14:paraId="6185FCEA">
                  <w:pPr>
                    <w:pStyle w:val="94"/>
                    <w:shd w:val="clear"/>
                    <w:rPr>
                      <w:rFonts w:hint="default" w:ascii="Times New Roman" w:hAnsi="Times New Roman" w:eastAsia="宋体" w:cs="Times New Roman"/>
                      <w:color w:val="0000FF"/>
                      <w:spacing w:val="0"/>
                      <w:position w:val="0"/>
                      <w:sz w:val="21"/>
                      <w:szCs w:val="21"/>
                      <w:highlight w:val="none"/>
                    </w:rPr>
                  </w:pPr>
                  <w:r>
                    <w:rPr>
                      <w:rFonts w:hint="default" w:ascii="Times New Roman" w:hAnsi="Times New Roman" w:eastAsia="宋体" w:cs="Times New Roman"/>
                      <w:color w:val="0000FF"/>
                      <w:spacing w:val="0"/>
                      <w:position w:val="0"/>
                      <w:sz w:val="21"/>
                      <w:szCs w:val="21"/>
                      <w:highlight w:val="none"/>
                    </w:rPr>
                    <w:t>小计</w:t>
                  </w:r>
                </w:p>
              </w:tc>
              <w:tc>
                <w:tcPr>
                  <w:tcW w:w="841" w:type="pct"/>
                  <w:tcBorders>
                    <w:tl2br w:val="nil"/>
                    <w:tr2bl w:val="nil"/>
                  </w:tcBorders>
                  <w:shd w:val="clear" w:color="auto" w:fill="auto"/>
                  <w:noWrap/>
                  <w:vAlign w:val="center"/>
                </w:tcPr>
                <w:p w14:paraId="27EAC43C">
                  <w:pPr>
                    <w:pStyle w:val="94"/>
                    <w:shd w:val="clear"/>
                    <w:rPr>
                      <w:rFonts w:hint="default" w:ascii="Times New Roman" w:hAnsi="Times New Roman" w:eastAsia="宋体" w:cs="Times New Roman"/>
                      <w:color w:val="0000FF"/>
                      <w:spacing w:val="0"/>
                      <w:position w:val="0"/>
                      <w:sz w:val="21"/>
                      <w:szCs w:val="21"/>
                      <w:highlight w:val="none"/>
                      <w:lang w:eastAsia="zh-CN"/>
                    </w:rPr>
                  </w:pPr>
                  <w:r>
                    <w:rPr>
                      <w:rFonts w:hint="default" w:ascii="Times New Roman" w:hAnsi="Times New Roman" w:cs="Times New Roman"/>
                      <w:color w:val="0000FF"/>
                      <w:spacing w:val="0"/>
                      <w:position w:val="0"/>
                      <w:sz w:val="21"/>
                      <w:szCs w:val="21"/>
                      <w:highlight w:val="none"/>
                      <w:lang w:eastAsia="zh-CN"/>
                    </w:rPr>
                    <w:t>22.70</w:t>
                  </w:r>
                </w:p>
              </w:tc>
              <w:tc>
                <w:tcPr>
                  <w:tcW w:w="797" w:type="pct"/>
                  <w:tcBorders>
                    <w:tl2br w:val="nil"/>
                    <w:tr2bl w:val="nil"/>
                  </w:tcBorders>
                  <w:shd w:val="clear" w:color="auto" w:fill="auto"/>
                  <w:noWrap/>
                  <w:vAlign w:val="center"/>
                </w:tcPr>
                <w:p w14:paraId="68CFF82C">
                  <w:pPr>
                    <w:pStyle w:val="94"/>
                    <w:shd w:val="clear"/>
                    <w:rPr>
                      <w:rFonts w:hint="default" w:ascii="Times New Roman" w:hAnsi="Times New Roman" w:eastAsia="宋体" w:cs="Times New Roman"/>
                      <w:color w:val="0000FF"/>
                      <w:spacing w:val="0"/>
                      <w:position w:val="0"/>
                      <w:sz w:val="21"/>
                      <w:szCs w:val="21"/>
                      <w:highlight w:val="none"/>
                      <w:lang w:val="en-US" w:eastAsia="zh-CN"/>
                    </w:rPr>
                  </w:pPr>
                  <w:r>
                    <w:rPr>
                      <w:rFonts w:hint="default" w:ascii="Times New Roman" w:hAnsi="Times New Roman" w:eastAsia="宋体" w:cs="Times New Roman"/>
                      <w:color w:val="0000FF"/>
                      <w:spacing w:val="0"/>
                      <w:position w:val="0"/>
                      <w:sz w:val="21"/>
                      <w:szCs w:val="21"/>
                      <w:highlight w:val="none"/>
                      <w:lang w:val="en-US" w:eastAsia="zh-CN"/>
                    </w:rPr>
                    <w:fldChar w:fldCharType="begin"/>
                  </w:r>
                  <w:r>
                    <w:rPr>
                      <w:rFonts w:hint="default" w:ascii="Times New Roman" w:hAnsi="Times New Roman" w:eastAsia="宋体" w:cs="Times New Roman"/>
                      <w:color w:val="0000FF"/>
                      <w:spacing w:val="0"/>
                      <w:position w:val="0"/>
                      <w:sz w:val="21"/>
                      <w:szCs w:val="21"/>
                      <w:highlight w:val="none"/>
                      <w:lang w:val="en-US" w:eastAsia="zh-CN"/>
                    </w:rPr>
                    <w:instrText xml:space="preserve"> = sum(C4:C6) \* MERGEFORMAT </w:instrText>
                  </w:r>
                  <w:r>
                    <w:rPr>
                      <w:rFonts w:hint="default" w:ascii="Times New Roman" w:hAnsi="Times New Roman" w:eastAsia="宋体" w:cs="Times New Roman"/>
                      <w:color w:val="0000FF"/>
                      <w:spacing w:val="0"/>
                      <w:position w:val="0"/>
                      <w:sz w:val="21"/>
                      <w:szCs w:val="21"/>
                      <w:highlight w:val="none"/>
                      <w:lang w:val="en-US" w:eastAsia="zh-CN"/>
                    </w:rPr>
                    <w:fldChar w:fldCharType="separate"/>
                  </w:r>
                  <w:r>
                    <w:rPr>
                      <w:rFonts w:hint="default" w:ascii="Times New Roman" w:hAnsi="Times New Roman" w:cs="Times New Roman"/>
                      <w:color w:val="0000FF"/>
                      <w:spacing w:val="0"/>
                      <w:position w:val="0"/>
                      <w:sz w:val="21"/>
                      <w:szCs w:val="21"/>
                      <w:highlight w:val="none"/>
                      <w:lang w:val="en-US" w:eastAsia="zh-CN"/>
                    </w:rPr>
                    <w:t>46.26</w:t>
                  </w:r>
                  <w:r>
                    <w:rPr>
                      <w:rFonts w:hint="default" w:ascii="Times New Roman" w:hAnsi="Times New Roman" w:eastAsia="宋体" w:cs="Times New Roman"/>
                      <w:color w:val="0000FF"/>
                      <w:spacing w:val="0"/>
                      <w:position w:val="0"/>
                      <w:sz w:val="21"/>
                      <w:szCs w:val="21"/>
                      <w:highlight w:val="none"/>
                      <w:lang w:val="en-US" w:eastAsia="zh-CN"/>
                    </w:rPr>
                    <w:fldChar w:fldCharType="end"/>
                  </w:r>
                </w:p>
              </w:tc>
              <w:tc>
                <w:tcPr>
                  <w:tcW w:w="699" w:type="pct"/>
                  <w:tcBorders>
                    <w:tl2br w:val="nil"/>
                    <w:tr2bl w:val="nil"/>
                  </w:tcBorders>
                  <w:shd w:val="clear" w:color="auto" w:fill="auto"/>
                  <w:noWrap/>
                  <w:vAlign w:val="center"/>
                </w:tcPr>
                <w:p w14:paraId="5D59F18D">
                  <w:pPr>
                    <w:pStyle w:val="94"/>
                    <w:shd w:val="clear"/>
                    <w:rPr>
                      <w:rFonts w:hint="default" w:ascii="Times New Roman" w:hAnsi="Times New Roman" w:eastAsia="宋体" w:cs="Times New Roman"/>
                      <w:color w:val="0000FF"/>
                      <w:spacing w:val="0"/>
                      <w:position w:val="0"/>
                      <w:sz w:val="21"/>
                      <w:szCs w:val="21"/>
                      <w:highlight w:val="none"/>
                      <w:lang w:eastAsia="zh-CN"/>
                    </w:rPr>
                  </w:pPr>
                  <w:r>
                    <w:rPr>
                      <w:rFonts w:hint="default" w:ascii="Times New Roman" w:hAnsi="Times New Roman" w:eastAsia="宋体" w:cs="Times New Roman"/>
                      <w:color w:val="0000FF"/>
                      <w:spacing w:val="0"/>
                      <w:position w:val="0"/>
                      <w:sz w:val="21"/>
                      <w:szCs w:val="21"/>
                      <w:highlight w:val="none"/>
                      <w:lang w:eastAsia="zh-CN"/>
                    </w:rPr>
                    <w:fldChar w:fldCharType="begin"/>
                  </w:r>
                  <w:r>
                    <w:rPr>
                      <w:rFonts w:hint="default" w:ascii="Times New Roman" w:hAnsi="Times New Roman" w:eastAsia="宋体" w:cs="Times New Roman"/>
                      <w:color w:val="0000FF"/>
                      <w:spacing w:val="0"/>
                      <w:position w:val="0"/>
                      <w:sz w:val="21"/>
                      <w:szCs w:val="21"/>
                      <w:highlight w:val="none"/>
                      <w:lang w:eastAsia="zh-CN"/>
                    </w:rPr>
                    <w:instrText xml:space="preserve"> = sum(D3:D6) \* MERGEFORMAT </w:instrText>
                  </w:r>
                  <w:r>
                    <w:rPr>
                      <w:rFonts w:hint="default" w:ascii="Times New Roman" w:hAnsi="Times New Roman" w:eastAsia="宋体" w:cs="Times New Roman"/>
                      <w:color w:val="0000FF"/>
                      <w:spacing w:val="0"/>
                      <w:position w:val="0"/>
                      <w:sz w:val="21"/>
                      <w:szCs w:val="21"/>
                      <w:highlight w:val="none"/>
                      <w:lang w:eastAsia="zh-CN"/>
                    </w:rPr>
                    <w:fldChar w:fldCharType="separate"/>
                  </w:r>
                  <w:r>
                    <w:rPr>
                      <w:rFonts w:hint="default" w:ascii="Times New Roman" w:hAnsi="Times New Roman" w:cs="Times New Roman"/>
                      <w:color w:val="0000FF"/>
                      <w:spacing w:val="0"/>
                      <w:position w:val="0"/>
                      <w:sz w:val="21"/>
                      <w:szCs w:val="21"/>
                      <w:highlight w:val="none"/>
                      <w:lang w:eastAsia="zh-CN"/>
                    </w:rPr>
                    <w:t>68.96</w:t>
                  </w:r>
                  <w:r>
                    <w:rPr>
                      <w:rFonts w:hint="default" w:ascii="Times New Roman" w:hAnsi="Times New Roman" w:eastAsia="宋体" w:cs="Times New Roman"/>
                      <w:color w:val="0000FF"/>
                      <w:spacing w:val="0"/>
                      <w:position w:val="0"/>
                      <w:sz w:val="21"/>
                      <w:szCs w:val="21"/>
                      <w:highlight w:val="none"/>
                      <w:lang w:eastAsia="zh-CN"/>
                    </w:rPr>
                    <w:fldChar w:fldCharType="end"/>
                  </w:r>
                </w:p>
              </w:tc>
              <w:tc>
                <w:tcPr>
                  <w:tcW w:w="1515" w:type="pct"/>
                  <w:tcBorders>
                    <w:tl2br w:val="nil"/>
                    <w:tr2bl w:val="nil"/>
                  </w:tcBorders>
                  <w:shd w:val="clear" w:color="auto" w:fill="auto"/>
                  <w:noWrap/>
                  <w:vAlign w:val="center"/>
                </w:tcPr>
                <w:p w14:paraId="52E953F0">
                  <w:pPr>
                    <w:pStyle w:val="94"/>
                    <w:shd w:val="clear"/>
                    <w:rPr>
                      <w:rFonts w:hint="default" w:ascii="Times New Roman" w:hAnsi="Times New Roman" w:eastAsia="宋体" w:cs="Times New Roman"/>
                      <w:color w:val="0000FF"/>
                      <w:spacing w:val="0"/>
                      <w:position w:val="0"/>
                      <w:sz w:val="21"/>
                      <w:szCs w:val="21"/>
                      <w:highlight w:val="none"/>
                    </w:rPr>
                  </w:pPr>
                </w:p>
              </w:tc>
            </w:tr>
          </w:tbl>
          <w:p w14:paraId="2DDB922C">
            <w:pPr>
              <w:keepNext w:val="0"/>
              <w:keepLines w:val="0"/>
              <w:pageBreakBefore w:val="0"/>
              <w:shd w:val="clear"/>
              <w:kinsoku/>
              <w:overflowPunct/>
              <w:topLinePunct w:val="0"/>
              <w:bidi w:val="0"/>
              <w:adjustRightInd w:val="0"/>
              <w:snapToGrid w:val="0"/>
              <w:spacing w:beforeAutospacing="0" w:afterAutospacing="0"/>
              <w:ind w:left="0" w:leftChars="0" w:right="0"/>
              <w:jc w:val="left"/>
              <w:rPr>
                <w:rFonts w:hint="default" w:ascii="Times New Roman" w:hAnsi="Times New Roman" w:eastAsia="宋体" w:cs="Times New Roman"/>
                <w:color w:val="0000FF"/>
                <w:spacing w:val="0"/>
                <w:position w:val="0"/>
                <w:highlight w:val="none"/>
                <w:lang w:val="en-US" w:eastAsia="zh-CN"/>
              </w:rPr>
            </w:pPr>
          </w:p>
          <w:p w14:paraId="09B5F1FB">
            <w:pPr>
              <w:keepNext w:val="0"/>
              <w:keepLines w:val="0"/>
              <w:pageBreakBefore w:val="0"/>
              <w:shd w:val="clear"/>
              <w:kinsoku/>
              <w:overflowPunct/>
              <w:topLinePunct w:val="0"/>
              <w:bidi w:val="0"/>
              <w:adjustRightInd w:val="0"/>
              <w:snapToGrid w:val="0"/>
              <w:spacing w:beforeAutospacing="0" w:afterAutospacing="0" w:line="360" w:lineRule="auto"/>
              <w:ind w:left="0" w:leftChars="0" w:right="0"/>
              <w:jc w:val="left"/>
              <w:rPr>
                <w:rFonts w:hint="default" w:ascii="Times New Roman" w:hAnsi="Times New Roman" w:eastAsia="宋体" w:cs="Times New Roman"/>
                <w:color w:val="0000FF"/>
                <w:spacing w:val="0"/>
                <w:position w:val="0"/>
                <w:highlight w:val="none"/>
                <w:lang w:val="en-US" w:eastAsia="zh-CN"/>
              </w:rPr>
            </w:pPr>
          </w:p>
          <w:p w14:paraId="140F52C0">
            <w:pPr>
              <w:keepNext w:val="0"/>
              <w:keepLines w:val="0"/>
              <w:pageBreakBefore w:val="0"/>
              <w:shd w:val="clear"/>
              <w:kinsoku/>
              <w:overflowPunct/>
              <w:topLinePunct w:val="0"/>
              <w:bidi w:val="0"/>
              <w:adjustRightInd w:val="0"/>
              <w:snapToGrid w:val="0"/>
              <w:spacing w:beforeAutospacing="0" w:afterAutospacing="0" w:line="360" w:lineRule="auto"/>
              <w:ind w:left="0" w:leftChars="0" w:right="0"/>
              <w:jc w:val="both"/>
              <w:rPr>
                <w:rFonts w:hint="default" w:ascii="Times New Roman" w:hAnsi="Times New Roman" w:eastAsia="宋体" w:cs="Times New Roman"/>
                <w:color w:val="auto"/>
                <w:spacing w:val="0"/>
                <w:position w:val="0"/>
                <w:highlight w:val="none"/>
                <w:lang w:val="en-US" w:eastAsia="zh-CN"/>
              </w:rPr>
            </w:pPr>
          </w:p>
          <w:p w14:paraId="4157B905">
            <w:pPr>
              <w:pStyle w:val="38"/>
              <w:shd w:val="clear"/>
              <w:spacing w:line="360" w:lineRule="auto"/>
              <w:ind w:left="0" w:leftChars="0" w:firstLine="0" w:firstLineChars="0"/>
              <w:rPr>
                <w:rFonts w:hint="default" w:ascii="Times New Roman" w:hAnsi="Times New Roman" w:eastAsia="宋体" w:cs="Times New Roman"/>
                <w:color w:val="auto"/>
                <w:spacing w:val="0"/>
                <w:position w:val="0"/>
                <w:highlight w:val="none"/>
                <w:lang w:val="en-US" w:eastAsia="zh-CN"/>
              </w:rPr>
            </w:pPr>
          </w:p>
          <w:p w14:paraId="07D943AD">
            <w:pPr>
              <w:shd w:val="clear"/>
              <w:spacing w:line="360" w:lineRule="auto"/>
              <w:rPr>
                <w:rFonts w:hint="default" w:ascii="Times New Roman" w:hAnsi="Times New Roman" w:eastAsia="宋体" w:cs="Times New Roman"/>
                <w:color w:val="auto"/>
                <w:spacing w:val="0"/>
                <w:position w:val="0"/>
                <w:highlight w:val="none"/>
                <w:lang w:val="en-US" w:eastAsia="zh-CN"/>
              </w:rPr>
            </w:pPr>
          </w:p>
          <w:p w14:paraId="1A1F440F">
            <w:pPr>
              <w:pStyle w:val="38"/>
              <w:shd w:val="clear"/>
              <w:spacing w:line="360" w:lineRule="auto"/>
              <w:ind w:left="0" w:leftChars="0" w:firstLine="0" w:firstLineChars="0"/>
              <w:rPr>
                <w:rFonts w:hint="default" w:ascii="Times New Roman" w:hAnsi="Times New Roman" w:eastAsia="宋体" w:cs="Times New Roman"/>
                <w:color w:val="auto"/>
                <w:spacing w:val="0"/>
                <w:position w:val="0"/>
                <w:highlight w:val="none"/>
                <w:lang w:val="en-US" w:eastAsia="zh-CN"/>
              </w:rPr>
            </w:pPr>
          </w:p>
          <w:p w14:paraId="6416D4B8">
            <w:pPr>
              <w:shd w:val="clear"/>
              <w:spacing w:line="360" w:lineRule="auto"/>
              <w:rPr>
                <w:rFonts w:hint="default" w:ascii="Times New Roman" w:hAnsi="Times New Roman" w:eastAsia="宋体" w:cs="Times New Roman"/>
                <w:color w:val="auto"/>
                <w:spacing w:val="0"/>
                <w:position w:val="0"/>
                <w:highlight w:val="none"/>
                <w:lang w:val="en-US" w:eastAsia="zh-CN"/>
              </w:rPr>
            </w:pPr>
          </w:p>
          <w:p w14:paraId="0D81367E">
            <w:pPr>
              <w:pStyle w:val="38"/>
              <w:shd w:val="clear"/>
              <w:spacing w:line="360" w:lineRule="auto"/>
              <w:ind w:left="0" w:leftChars="0" w:firstLine="0" w:firstLineChars="0"/>
              <w:rPr>
                <w:rFonts w:hint="default" w:ascii="Times New Roman" w:hAnsi="Times New Roman" w:eastAsia="宋体" w:cs="Times New Roman"/>
                <w:color w:val="auto"/>
                <w:spacing w:val="0"/>
                <w:position w:val="0"/>
                <w:highlight w:val="none"/>
                <w:lang w:val="en-US" w:eastAsia="zh-CN"/>
              </w:rPr>
            </w:pPr>
          </w:p>
          <w:p w14:paraId="59F97C5C">
            <w:pPr>
              <w:shd w:val="clear"/>
              <w:spacing w:line="360" w:lineRule="auto"/>
              <w:rPr>
                <w:rFonts w:hint="default" w:ascii="Times New Roman" w:hAnsi="Times New Roman" w:eastAsia="宋体" w:cs="Times New Roman"/>
                <w:color w:val="auto"/>
                <w:spacing w:val="0"/>
                <w:position w:val="0"/>
                <w:highlight w:val="none"/>
                <w:lang w:val="en-US" w:eastAsia="zh-CN"/>
              </w:rPr>
            </w:pPr>
          </w:p>
          <w:p w14:paraId="500E2163">
            <w:pPr>
              <w:pStyle w:val="38"/>
              <w:shd w:val="clear"/>
              <w:spacing w:line="360" w:lineRule="auto"/>
              <w:ind w:left="0" w:leftChars="0" w:firstLine="0" w:firstLineChars="0"/>
              <w:rPr>
                <w:rFonts w:hint="default" w:ascii="Times New Roman" w:hAnsi="Times New Roman" w:eastAsia="宋体" w:cs="Times New Roman"/>
                <w:color w:val="auto"/>
                <w:spacing w:val="0"/>
                <w:position w:val="0"/>
                <w:highlight w:val="none"/>
                <w:lang w:val="en-US" w:eastAsia="zh-CN"/>
              </w:rPr>
            </w:pPr>
          </w:p>
          <w:p w14:paraId="2E06F257">
            <w:pPr>
              <w:shd w:val="clear"/>
              <w:spacing w:line="360" w:lineRule="auto"/>
              <w:rPr>
                <w:rFonts w:hint="default" w:ascii="Times New Roman" w:hAnsi="Times New Roman" w:eastAsia="宋体" w:cs="Times New Roman"/>
                <w:color w:val="auto"/>
                <w:spacing w:val="0"/>
                <w:position w:val="0"/>
                <w:highlight w:val="none"/>
                <w:lang w:val="en-US" w:eastAsia="zh-CN"/>
              </w:rPr>
            </w:pPr>
          </w:p>
          <w:p w14:paraId="44E29612">
            <w:pPr>
              <w:pStyle w:val="38"/>
              <w:shd w:val="clear"/>
              <w:spacing w:line="360" w:lineRule="auto"/>
              <w:ind w:left="0" w:leftChars="0" w:firstLine="0" w:firstLineChars="0"/>
              <w:rPr>
                <w:rFonts w:hint="default" w:ascii="Times New Roman" w:hAnsi="Times New Roman" w:eastAsia="宋体" w:cs="Times New Roman"/>
                <w:color w:val="auto"/>
                <w:spacing w:val="0"/>
                <w:position w:val="0"/>
                <w:highlight w:val="none"/>
                <w:lang w:val="en-US" w:eastAsia="zh-CN"/>
              </w:rPr>
            </w:pPr>
          </w:p>
          <w:p w14:paraId="079F4116">
            <w:pPr>
              <w:shd w:val="clear"/>
              <w:spacing w:line="360" w:lineRule="auto"/>
              <w:rPr>
                <w:rFonts w:hint="default" w:ascii="Times New Roman" w:hAnsi="Times New Roman" w:eastAsia="宋体" w:cs="Times New Roman"/>
                <w:color w:val="auto"/>
                <w:spacing w:val="0"/>
                <w:position w:val="0"/>
                <w:highlight w:val="none"/>
                <w:lang w:val="en-US" w:eastAsia="zh-CN"/>
              </w:rPr>
            </w:pPr>
          </w:p>
          <w:p w14:paraId="6BC7DAED">
            <w:pPr>
              <w:pStyle w:val="38"/>
              <w:shd w:val="clear"/>
              <w:spacing w:line="360" w:lineRule="auto"/>
              <w:ind w:left="0" w:leftChars="0" w:firstLine="0" w:firstLineChars="0"/>
              <w:rPr>
                <w:rFonts w:hint="default" w:ascii="Times New Roman" w:hAnsi="Times New Roman" w:eastAsia="宋体" w:cs="Times New Roman"/>
                <w:color w:val="auto"/>
                <w:spacing w:val="0"/>
                <w:position w:val="0"/>
                <w:highlight w:val="none"/>
                <w:lang w:val="en-US" w:eastAsia="zh-CN"/>
              </w:rPr>
            </w:pPr>
          </w:p>
          <w:p w14:paraId="51E68060">
            <w:pPr>
              <w:shd w:val="clear"/>
              <w:spacing w:line="360" w:lineRule="auto"/>
              <w:rPr>
                <w:rFonts w:hint="default" w:ascii="Times New Roman" w:hAnsi="Times New Roman" w:eastAsia="宋体" w:cs="Times New Roman"/>
                <w:color w:val="auto"/>
                <w:spacing w:val="0"/>
                <w:position w:val="0"/>
                <w:highlight w:val="none"/>
                <w:lang w:val="en-US" w:eastAsia="zh-CN"/>
              </w:rPr>
            </w:pPr>
          </w:p>
          <w:p w14:paraId="76B66D3F">
            <w:pPr>
              <w:pStyle w:val="38"/>
              <w:shd w:val="clear"/>
              <w:spacing w:line="360" w:lineRule="auto"/>
              <w:ind w:left="0" w:leftChars="0" w:firstLine="0" w:firstLineChars="0"/>
              <w:rPr>
                <w:rFonts w:hint="default" w:ascii="Times New Roman" w:hAnsi="Times New Roman" w:eastAsia="宋体" w:cs="Times New Roman"/>
                <w:color w:val="auto"/>
                <w:spacing w:val="0"/>
                <w:position w:val="0"/>
                <w:highlight w:val="none"/>
                <w:lang w:val="en-US" w:eastAsia="zh-CN"/>
              </w:rPr>
            </w:pPr>
          </w:p>
          <w:p w14:paraId="2D8F82EF">
            <w:pPr>
              <w:shd w:val="clear"/>
              <w:spacing w:line="360" w:lineRule="auto"/>
              <w:rPr>
                <w:rFonts w:hint="default" w:ascii="Times New Roman" w:hAnsi="Times New Roman" w:eastAsia="宋体" w:cs="Times New Roman"/>
                <w:color w:val="auto"/>
                <w:spacing w:val="0"/>
                <w:position w:val="0"/>
                <w:highlight w:val="none"/>
                <w:lang w:val="en-US" w:eastAsia="zh-CN"/>
              </w:rPr>
            </w:pPr>
          </w:p>
          <w:p w14:paraId="4FF0953C">
            <w:pPr>
              <w:pStyle w:val="38"/>
              <w:shd w:val="clear"/>
              <w:spacing w:line="360" w:lineRule="auto"/>
              <w:ind w:left="0" w:leftChars="0" w:firstLine="0" w:firstLineChars="0"/>
              <w:rPr>
                <w:rFonts w:hint="default" w:ascii="Times New Roman" w:hAnsi="Times New Roman" w:eastAsia="宋体" w:cs="Times New Roman"/>
                <w:color w:val="auto"/>
                <w:spacing w:val="0"/>
                <w:position w:val="0"/>
                <w:highlight w:val="none"/>
                <w:lang w:val="en-US" w:eastAsia="zh-CN"/>
              </w:rPr>
            </w:pPr>
          </w:p>
          <w:p w14:paraId="71D3D1A5">
            <w:pPr>
              <w:shd w:val="clear"/>
              <w:spacing w:line="360" w:lineRule="auto"/>
              <w:rPr>
                <w:rFonts w:hint="default" w:ascii="Times New Roman" w:hAnsi="Times New Roman" w:eastAsia="宋体" w:cs="Times New Roman"/>
                <w:color w:val="auto"/>
                <w:spacing w:val="0"/>
                <w:position w:val="0"/>
                <w:highlight w:val="none"/>
                <w:lang w:val="en-US" w:eastAsia="zh-CN"/>
              </w:rPr>
            </w:pPr>
          </w:p>
          <w:p w14:paraId="0EF1F368">
            <w:pPr>
              <w:pStyle w:val="38"/>
              <w:shd w:val="clear"/>
              <w:spacing w:line="360" w:lineRule="auto"/>
              <w:ind w:left="0" w:leftChars="0" w:firstLine="0" w:firstLineChars="0"/>
              <w:rPr>
                <w:rFonts w:hint="default" w:ascii="Times New Roman" w:hAnsi="Times New Roman" w:eastAsia="宋体" w:cs="Times New Roman"/>
                <w:color w:val="auto"/>
                <w:spacing w:val="0"/>
                <w:position w:val="0"/>
                <w:highlight w:val="none"/>
                <w:lang w:val="en-US" w:eastAsia="zh-CN"/>
              </w:rPr>
            </w:pPr>
          </w:p>
          <w:p w14:paraId="4BC6E549">
            <w:pPr>
              <w:shd w:val="clear"/>
              <w:spacing w:line="360" w:lineRule="auto"/>
              <w:rPr>
                <w:rFonts w:hint="default" w:ascii="Times New Roman" w:hAnsi="Times New Roman" w:eastAsia="宋体" w:cs="Times New Roman"/>
                <w:color w:val="auto"/>
                <w:spacing w:val="0"/>
                <w:position w:val="0"/>
                <w:highlight w:val="none"/>
                <w:lang w:val="en-US" w:eastAsia="zh-CN"/>
              </w:rPr>
            </w:pPr>
          </w:p>
          <w:p w14:paraId="38123EBC">
            <w:pPr>
              <w:pStyle w:val="38"/>
              <w:shd w:val="clear"/>
              <w:spacing w:line="360" w:lineRule="auto"/>
              <w:ind w:left="0" w:leftChars="0" w:firstLine="0" w:firstLineChars="0"/>
              <w:rPr>
                <w:rFonts w:hint="default" w:ascii="Times New Roman" w:hAnsi="Times New Roman" w:eastAsia="宋体" w:cs="Times New Roman"/>
                <w:color w:val="auto"/>
                <w:spacing w:val="0"/>
                <w:position w:val="0"/>
                <w:highlight w:val="none"/>
                <w:lang w:val="en-US" w:eastAsia="zh-CN"/>
              </w:rPr>
            </w:pPr>
          </w:p>
          <w:p w14:paraId="0129E1D9">
            <w:pPr>
              <w:shd w:val="clear"/>
              <w:spacing w:line="360" w:lineRule="auto"/>
              <w:rPr>
                <w:rFonts w:hint="default" w:ascii="Times New Roman" w:hAnsi="Times New Roman" w:eastAsia="宋体" w:cs="Times New Roman"/>
                <w:color w:val="auto"/>
                <w:spacing w:val="0"/>
                <w:position w:val="0"/>
                <w:highlight w:val="none"/>
                <w:lang w:val="en-US" w:eastAsia="zh-CN"/>
              </w:rPr>
            </w:pPr>
          </w:p>
          <w:p w14:paraId="70128850">
            <w:pPr>
              <w:pStyle w:val="38"/>
              <w:shd w:val="clear"/>
              <w:spacing w:line="360" w:lineRule="auto"/>
              <w:ind w:left="0" w:leftChars="0" w:firstLine="0" w:firstLineChars="0"/>
              <w:rPr>
                <w:rFonts w:hint="default" w:ascii="Times New Roman" w:hAnsi="Times New Roman" w:eastAsia="宋体" w:cs="Times New Roman"/>
                <w:color w:val="auto"/>
                <w:spacing w:val="0"/>
                <w:position w:val="0"/>
                <w:highlight w:val="none"/>
                <w:lang w:val="en-US" w:eastAsia="zh-CN"/>
              </w:rPr>
            </w:pPr>
          </w:p>
          <w:p w14:paraId="3FFB8C01">
            <w:pPr>
              <w:keepNext w:val="0"/>
              <w:keepLines w:val="0"/>
              <w:pageBreakBefore w:val="0"/>
              <w:shd w:val="clear"/>
              <w:kinsoku/>
              <w:overflowPunct/>
              <w:topLinePunct w:val="0"/>
              <w:bidi w:val="0"/>
              <w:adjustRightInd w:val="0"/>
              <w:snapToGrid w:val="0"/>
              <w:spacing w:beforeAutospacing="0" w:afterAutospacing="0"/>
              <w:ind w:left="0" w:leftChars="0" w:right="0"/>
              <w:jc w:val="both"/>
              <w:rPr>
                <w:rFonts w:hint="default" w:ascii="Times New Roman" w:hAnsi="Times New Roman" w:eastAsia="宋体" w:cs="Times New Roman"/>
                <w:color w:val="auto"/>
                <w:spacing w:val="0"/>
                <w:position w:val="0"/>
                <w:highlight w:val="none"/>
                <w:lang w:val="en-US" w:eastAsia="zh-CN"/>
              </w:rPr>
            </w:pPr>
          </w:p>
        </w:tc>
      </w:tr>
    </w:tbl>
    <w:p w14:paraId="3ACDAD44">
      <w:pPr>
        <w:pStyle w:val="28"/>
        <w:keepNext w:val="0"/>
        <w:keepLines w:val="0"/>
        <w:pageBreakBefore w:val="0"/>
        <w:shd w:val="clear"/>
        <w:kinsoku/>
        <w:overflowPunct/>
        <w:topLinePunct w:val="0"/>
        <w:bidi w:val="0"/>
        <w:spacing w:before="0" w:beforeAutospacing="0" w:after="0" w:afterAutospacing="0" w:line="360" w:lineRule="auto"/>
        <w:ind w:left="0" w:leftChars="0" w:right="0"/>
        <w:jc w:val="center"/>
        <w:outlineLvl w:val="0"/>
        <w:rPr>
          <w:rFonts w:hint="default" w:ascii="Times New Roman" w:hAnsi="Times New Roman" w:eastAsia="宋体" w:cs="Times New Roman"/>
          <w:snapToGrid w:val="0"/>
          <w:color w:val="auto"/>
          <w:spacing w:val="0"/>
          <w:w w:val="100"/>
          <w:position w:val="0"/>
          <w:sz w:val="30"/>
          <w:szCs w:val="30"/>
          <w:highlight w:val="none"/>
        </w:rPr>
      </w:pPr>
      <w:r>
        <w:rPr>
          <w:rFonts w:hint="default" w:ascii="Times New Roman" w:hAnsi="Times New Roman" w:eastAsia="宋体" w:cs="Times New Roman"/>
          <w:b/>
          <w:bCs/>
          <w:color w:val="auto"/>
          <w:spacing w:val="0"/>
          <w:w w:val="100"/>
          <w:position w:val="0"/>
          <w:highlight w:val="none"/>
        </w:rPr>
        <w:br w:type="page"/>
      </w:r>
      <w:r>
        <w:rPr>
          <w:rFonts w:hint="default" w:ascii="Times New Roman" w:hAnsi="Times New Roman" w:eastAsia="黑体" w:cs="Times New Roman"/>
          <w:snapToGrid w:val="0"/>
          <w:color w:val="auto"/>
          <w:spacing w:val="0"/>
          <w:w w:val="100"/>
          <w:position w:val="0"/>
          <w:sz w:val="30"/>
          <w:szCs w:val="30"/>
          <w:highlight w:val="none"/>
        </w:rPr>
        <w:t>三、生态环境现状、保护目标及评价标准</w:t>
      </w:r>
    </w:p>
    <w:tbl>
      <w:tblPr>
        <w:tblStyle w:val="31"/>
        <w:tblW w:w="490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7545"/>
      </w:tblGrid>
      <w:tr w14:paraId="3D80A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85" w:type="pct"/>
            <w:tcBorders>
              <w:tl2br w:val="nil"/>
              <w:tr2bl w:val="nil"/>
            </w:tcBorders>
            <w:noWrap w:val="0"/>
            <w:vAlign w:val="center"/>
          </w:tcPr>
          <w:p w14:paraId="4D6A89A5">
            <w:pPr>
              <w:keepNext w:val="0"/>
              <w:keepLines w:val="0"/>
              <w:pageBreakBefore w:val="0"/>
              <w:shd w:val="clear"/>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kern w:val="0"/>
                <w:position w:val="0"/>
                <w:szCs w:val="21"/>
                <w:highlight w:val="none"/>
              </w:rPr>
            </w:pPr>
            <w:r>
              <w:rPr>
                <w:rFonts w:hint="default" w:ascii="Times New Roman" w:hAnsi="Times New Roman" w:eastAsia="宋体" w:cs="Times New Roman"/>
                <w:color w:val="auto"/>
                <w:spacing w:val="0"/>
                <w:w w:val="100"/>
                <w:kern w:val="0"/>
                <w:position w:val="0"/>
                <w:sz w:val="24"/>
                <w:szCs w:val="24"/>
                <w:highlight w:val="none"/>
              </w:rPr>
              <w:t>生态环境现状</w:t>
            </w:r>
          </w:p>
        </w:tc>
        <w:tc>
          <w:tcPr>
            <w:tcW w:w="4514" w:type="pct"/>
            <w:tcBorders>
              <w:tl2br w:val="nil"/>
              <w:tr2bl w:val="nil"/>
            </w:tcBorders>
            <w:noWrap w:val="0"/>
            <w:vAlign w:val="center"/>
          </w:tcPr>
          <w:p w14:paraId="365CF492">
            <w:pPr>
              <w:pStyle w:val="39"/>
              <w:keepNext w:val="0"/>
              <w:keepLines w:val="0"/>
              <w:pageBreakBefore w:val="0"/>
              <w:numPr>
                <w:ilvl w:val="0"/>
                <w:numId w:val="0"/>
              </w:numPr>
              <w:shd w:val="clear"/>
              <w:kinsoku/>
              <w:overflowPunct/>
              <w:topLinePunct w:val="0"/>
              <w:autoSpaceDE w:val="0"/>
              <w:autoSpaceDN w:val="0"/>
              <w:bidi w:val="0"/>
              <w:adjustRightInd w:val="0"/>
              <w:spacing w:beforeAutospacing="0" w:afterAutospacing="0" w:line="360" w:lineRule="auto"/>
              <w:ind w:left="0" w:leftChars="0" w:right="0" w:firstLine="0" w:firstLineChars="0"/>
              <w:jc w:val="left"/>
              <w:textAlignment w:val="baseline"/>
              <w:rPr>
                <w:rFonts w:hint="default" w:ascii="Times New Roman" w:hAnsi="Times New Roman" w:eastAsia="宋体" w:cs="Times New Roman"/>
                <w:b/>
                <w:bCs/>
                <w:color w:val="auto"/>
                <w:spacing w:val="0"/>
                <w:w w:val="100"/>
                <w:kern w:val="0"/>
                <w:position w:val="0"/>
                <w:sz w:val="24"/>
                <w:szCs w:val="24"/>
                <w:highlight w:val="none"/>
                <w:lang w:val="en-US" w:eastAsia="zh-CN"/>
              </w:rPr>
            </w:pPr>
            <w:r>
              <w:rPr>
                <w:rFonts w:hint="default" w:ascii="Times New Roman" w:hAnsi="Times New Roman" w:eastAsia="宋体" w:cs="Times New Roman"/>
                <w:b/>
                <w:bCs/>
                <w:color w:val="auto"/>
                <w:spacing w:val="0"/>
                <w:w w:val="100"/>
                <w:kern w:val="0"/>
                <w:position w:val="0"/>
                <w:sz w:val="24"/>
                <w:szCs w:val="24"/>
                <w:highlight w:val="none"/>
                <w:lang w:val="en-US" w:eastAsia="zh-CN"/>
              </w:rPr>
              <w:t>1.生态环境现状</w:t>
            </w:r>
          </w:p>
          <w:p w14:paraId="76A3A124">
            <w:pPr>
              <w:pStyle w:val="39"/>
              <w:keepNext w:val="0"/>
              <w:keepLines w:val="0"/>
              <w:pageBreakBefore w:val="0"/>
              <w:numPr>
                <w:ilvl w:val="0"/>
                <w:numId w:val="0"/>
              </w:numPr>
              <w:shd w:val="clear"/>
              <w:kinsoku/>
              <w:overflowPunct/>
              <w:topLinePunct w:val="0"/>
              <w:autoSpaceDE w:val="0"/>
              <w:autoSpaceDN w:val="0"/>
              <w:bidi w:val="0"/>
              <w:adjustRightInd w:val="0"/>
              <w:spacing w:beforeAutospacing="0" w:afterAutospacing="0" w:line="360" w:lineRule="auto"/>
              <w:ind w:left="0" w:leftChars="0" w:right="0" w:firstLine="0" w:firstLineChars="0"/>
              <w:jc w:val="left"/>
              <w:textAlignment w:val="baseline"/>
              <w:rPr>
                <w:rFonts w:hint="default" w:ascii="Times New Roman" w:hAnsi="Times New Roman" w:eastAsia="宋体" w:cs="Times New Roman"/>
                <w:bCs/>
                <w:color w:val="auto"/>
                <w:spacing w:val="0"/>
                <w:w w:val="100"/>
                <w:position w:val="0"/>
                <w:sz w:val="24"/>
                <w:highlight w:val="none"/>
                <w:lang w:val="en-US" w:eastAsia="zh-CN"/>
              </w:rPr>
            </w:pPr>
            <w:r>
              <w:rPr>
                <w:rFonts w:hint="default" w:ascii="Times New Roman" w:hAnsi="Times New Roman" w:eastAsia="宋体" w:cs="Times New Roman"/>
                <w:b/>
                <w:bCs/>
                <w:color w:val="auto"/>
                <w:spacing w:val="0"/>
                <w:w w:val="100"/>
                <w:kern w:val="0"/>
                <w:position w:val="0"/>
                <w:sz w:val="24"/>
                <w:szCs w:val="24"/>
                <w:highlight w:val="none"/>
                <w:lang w:val="en-US" w:eastAsia="zh-CN"/>
              </w:rPr>
              <w:t>1.1主体功能区划</w:t>
            </w:r>
          </w:p>
          <w:p w14:paraId="03A606CB">
            <w:pPr>
              <w:pStyle w:val="39"/>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left"/>
              <w:textAlignment w:val="baseline"/>
              <w:rPr>
                <w:rFonts w:hint="default" w:ascii="Times New Roman" w:hAnsi="Times New Roman" w:eastAsia="宋体" w:cs="Times New Roman"/>
                <w:bCs/>
                <w:color w:val="auto"/>
                <w:spacing w:val="0"/>
                <w:w w:val="100"/>
                <w:position w:val="0"/>
                <w:sz w:val="24"/>
                <w:highlight w:val="none"/>
                <w:lang w:val="en-US" w:eastAsia="zh-CN"/>
              </w:rPr>
            </w:pPr>
            <w:r>
              <w:rPr>
                <w:rFonts w:hint="default" w:ascii="Times New Roman" w:hAnsi="Times New Roman" w:eastAsia="宋体" w:cs="Times New Roman"/>
                <w:bCs/>
                <w:color w:val="auto"/>
                <w:spacing w:val="0"/>
                <w:sz w:val="24"/>
                <w:highlight w:val="none"/>
                <w:lang w:val="en-US" w:eastAsia="zh-CN"/>
              </w:rPr>
              <w:t>根据《全国主体功能区规划》，项目所在区域不涉及国家级限制开发区和禁止开发区。</w:t>
            </w:r>
          </w:p>
          <w:p w14:paraId="4AE6A483">
            <w:pPr>
              <w:pStyle w:val="39"/>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left"/>
              <w:textAlignment w:val="baseline"/>
              <w:rPr>
                <w:rFonts w:hint="default" w:ascii="Times New Roman" w:hAnsi="Times New Roman" w:eastAsia="宋体" w:cs="Times New Roman"/>
                <w:bCs/>
                <w:color w:val="auto"/>
                <w:spacing w:val="0"/>
                <w:sz w:val="24"/>
                <w:highlight w:val="none"/>
                <w:lang w:val="en-US" w:eastAsia="zh-CN"/>
              </w:rPr>
            </w:pPr>
            <w:r>
              <w:rPr>
                <w:rFonts w:hint="default" w:ascii="Times New Roman" w:hAnsi="Times New Roman" w:eastAsia="宋体" w:cs="Times New Roman"/>
                <w:bCs/>
                <w:color w:val="auto"/>
                <w:spacing w:val="0"/>
                <w:w w:val="100"/>
                <w:position w:val="0"/>
                <w:sz w:val="24"/>
                <w:highlight w:val="none"/>
                <w:lang w:val="en-US" w:eastAsia="zh-CN"/>
              </w:rPr>
              <w:t>对照《新疆维吾尔自治区主体功能区规划》中将新疆国土空间分为重点开发区域、限制开发区域和禁止开发区域三类主体功能区，</w:t>
            </w:r>
            <w:r>
              <w:rPr>
                <w:rFonts w:hint="default" w:ascii="Times New Roman" w:hAnsi="Times New Roman" w:eastAsia="宋体" w:cs="Times New Roman"/>
                <w:bCs/>
                <w:color w:val="auto"/>
                <w:spacing w:val="0"/>
                <w:sz w:val="24"/>
                <w:highlight w:val="none"/>
                <w:lang w:val="en-US" w:eastAsia="zh-CN"/>
              </w:rPr>
              <w:t>对照</w:t>
            </w:r>
            <w:r>
              <w:rPr>
                <w:rFonts w:hint="default" w:ascii="Times New Roman" w:hAnsi="Times New Roman" w:eastAsia="宋体" w:cs="Times New Roman"/>
                <w:bCs/>
                <w:color w:val="auto"/>
                <w:spacing w:val="0"/>
                <w:w w:val="100"/>
                <w:position w:val="0"/>
                <w:sz w:val="24"/>
                <w:highlight w:val="none"/>
                <w:lang w:val="en-US" w:eastAsia="zh-CN"/>
              </w:rPr>
              <w:t>《新疆维吾尔自治区主体功能区规划》</w:t>
            </w:r>
            <w:r>
              <w:rPr>
                <w:rFonts w:hint="default" w:ascii="Times New Roman" w:hAnsi="Times New Roman" w:eastAsia="宋体" w:cs="Times New Roman"/>
                <w:bCs/>
                <w:color w:val="auto"/>
                <w:spacing w:val="0"/>
                <w:sz w:val="24"/>
                <w:highlight w:val="none"/>
                <w:lang w:val="en-US" w:eastAsia="zh-CN"/>
              </w:rPr>
              <w:t>，本项目位于新疆维吾尔自治区昌吉回族自治州昌吉市西南部，不属于主体功能区划中确定的国家和自治区层面的禁止开发区域。</w:t>
            </w:r>
          </w:p>
          <w:p w14:paraId="0186F32B">
            <w:pPr>
              <w:pStyle w:val="39"/>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left"/>
              <w:textAlignment w:val="baseline"/>
              <w:rPr>
                <w:rFonts w:hint="default" w:ascii="Times New Roman" w:hAnsi="Times New Roman" w:eastAsia="宋体" w:cs="Times New Roman"/>
                <w:bCs/>
                <w:color w:val="auto"/>
                <w:spacing w:val="0"/>
                <w:w w:val="100"/>
                <w:position w:val="0"/>
                <w:sz w:val="24"/>
                <w:highlight w:val="none"/>
                <w:lang w:val="en-US" w:eastAsia="zh-CN"/>
              </w:rPr>
            </w:pPr>
            <w:r>
              <w:rPr>
                <w:rFonts w:hint="default" w:ascii="Times New Roman" w:hAnsi="Times New Roman" w:eastAsia="宋体" w:cs="Times New Roman"/>
                <w:bCs/>
                <w:color w:val="auto"/>
                <w:spacing w:val="0"/>
                <w:sz w:val="24"/>
                <w:highlight w:val="none"/>
                <w:lang w:val="en-US" w:eastAsia="zh-CN"/>
              </w:rPr>
              <w:t>对照《新疆维吾尔自治区主体功能区规划》的划分，昌吉市属于限制开发区域(重点生态功能区)</w:t>
            </w:r>
            <w:r>
              <w:rPr>
                <w:rFonts w:hint="default" w:ascii="Times New Roman" w:hAnsi="Times New Roman" w:eastAsia="宋体" w:cs="Times New Roman"/>
                <w:bCs/>
                <w:color w:val="auto"/>
                <w:spacing w:val="0"/>
                <w:w w:val="100"/>
                <w:position w:val="0"/>
                <w:sz w:val="24"/>
                <w:highlight w:val="none"/>
                <w:lang w:val="en-US" w:eastAsia="zh-CN"/>
              </w:rPr>
              <w:t>中的：天山北坡农产品主产区，即耕地较多、农业发展条件较好，尽管也适宜工业化城镇化开发，但从保障农产品安全以及永续发展的需要出发，必须把增强农业综合生产能力作为发展的首要任务，从而应该限制进行大规模高强度工业化与城镇化开发的区域。</w:t>
            </w:r>
          </w:p>
          <w:p w14:paraId="6F72FA3D">
            <w:pPr>
              <w:pStyle w:val="39"/>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left"/>
              <w:textAlignment w:val="baseline"/>
              <w:rPr>
                <w:rFonts w:hint="default" w:ascii="Times New Roman" w:hAnsi="Times New Roman" w:eastAsia="宋体" w:cs="Times New Roman"/>
                <w:bCs/>
                <w:color w:val="auto"/>
                <w:spacing w:val="0"/>
                <w:w w:val="100"/>
                <w:position w:val="0"/>
                <w:sz w:val="24"/>
                <w:highlight w:val="none"/>
                <w:lang w:val="en-US" w:eastAsia="zh-CN"/>
              </w:rPr>
            </w:pPr>
            <w:r>
              <w:rPr>
                <w:rFonts w:hint="default" w:ascii="Times New Roman" w:hAnsi="Times New Roman" w:eastAsia="宋体" w:cs="Times New Roman"/>
                <w:bCs/>
                <w:color w:val="auto"/>
                <w:spacing w:val="0"/>
                <w:w w:val="100"/>
                <w:position w:val="0"/>
                <w:sz w:val="24"/>
                <w:highlight w:val="none"/>
                <w:lang w:val="en-US" w:eastAsia="zh-CN"/>
              </w:rPr>
              <w:t>本项目为河湖整治工程，此项目的实施可以防洪，提高农业用水效率，提高供水保障水平，保障粮食安全，满足天山北坡农产品主产区要求，因此本项目的建设与《新疆维吾尔自治区主体功能区规划》是相符的。本项目的建设符合《新疆维吾尔自治区主体功能区规划》对于工程区块的开发原则。</w:t>
            </w:r>
          </w:p>
          <w:p w14:paraId="3B039A7E">
            <w:pPr>
              <w:pStyle w:val="39"/>
              <w:keepNext w:val="0"/>
              <w:keepLines w:val="0"/>
              <w:pageBreakBefore w:val="0"/>
              <w:widowControl w:val="0"/>
              <w:numPr>
                <w:ilvl w:val="0"/>
                <w:numId w:val="0"/>
              </w:numPr>
              <w:shd w:val="clear"/>
              <w:kinsoku/>
              <w:overflowPunct/>
              <w:topLinePunct w:val="0"/>
              <w:autoSpaceDE w:val="0"/>
              <w:autoSpaceDN w:val="0"/>
              <w:bidi w:val="0"/>
              <w:adjustRightInd w:val="0"/>
              <w:spacing w:beforeAutospacing="0" w:afterAutospacing="0" w:line="360" w:lineRule="auto"/>
              <w:ind w:right="0"/>
              <w:jc w:val="left"/>
              <w:textAlignment w:val="baseline"/>
              <w:rPr>
                <w:rFonts w:hint="default" w:ascii="Times New Roman" w:hAnsi="Times New Roman" w:eastAsia="宋体" w:cs="Times New Roman"/>
                <w:b/>
                <w:bCs/>
                <w:color w:val="auto"/>
                <w:spacing w:val="0"/>
                <w:w w:val="100"/>
                <w:kern w:val="0"/>
                <w:position w:val="0"/>
                <w:sz w:val="24"/>
                <w:szCs w:val="24"/>
                <w:highlight w:val="none"/>
                <w:lang w:val="en-US" w:eastAsia="zh-CN" w:bidi="ar"/>
              </w:rPr>
            </w:pPr>
            <w:r>
              <w:rPr>
                <w:rFonts w:hint="default" w:ascii="Times New Roman" w:hAnsi="Times New Roman" w:eastAsia="宋体" w:cs="Times New Roman"/>
                <w:b/>
                <w:bCs/>
                <w:color w:val="auto"/>
                <w:spacing w:val="0"/>
                <w:w w:val="100"/>
                <w:kern w:val="0"/>
                <w:position w:val="0"/>
                <w:sz w:val="24"/>
                <w:szCs w:val="24"/>
                <w:highlight w:val="none"/>
                <w:lang w:val="en-US" w:eastAsia="zh-CN" w:bidi="ar"/>
              </w:rPr>
              <w:t>1.2项目所在区域生态功能区划</w:t>
            </w:r>
          </w:p>
          <w:p w14:paraId="01E3FE4D">
            <w:pPr>
              <w:pStyle w:val="39"/>
              <w:keepNext w:val="0"/>
              <w:keepLines w:val="0"/>
              <w:pageBreakBefore w:val="0"/>
              <w:widowControl w:val="0"/>
              <w:numPr>
                <w:ilvl w:val="0"/>
                <w:numId w:val="0"/>
              </w:numPr>
              <w:shd w:val="clear"/>
              <w:kinsoku/>
              <w:overflowPunct/>
              <w:topLinePunct w:val="0"/>
              <w:autoSpaceDE w:val="0"/>
              <w:autoSpaceDN w:val="0"/>
              <w:bidi w:val="0"/>
              <w:adjustRightInd w:val="0"/>
              <w:spacing w:beforeAutospacing="0" w:afterAutospacing="0" w:line="360" w:lineRule="auto"/>
              <w:ind w:left="0" w:leftChars="0" w:right="0" w:firstLine="480" w:firstLineChars="200"/>
              <w:jc w:val="both"/>
              <w:textAlignment w:val="baseline"/>
              <w:rPr>
                <w:rFonts w:hint="default" w:ascii="Times New Roman" w:hAnsi="Times New Roman" w:eastAsia="宋体" w:cs="Times New Roman"/>
                <w:bCs/>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kern w:val="0"/>
                <w:position w:val="0"/>
                <w:sz w:val="24"/>
                <w:szCs w:val="24"/>
                <w:highlight w:val="none"/>
                <w:lang w:val="en-US" w:eastAsia="zh-CN" w:bidi="ar"/>
              </w:rPr>
              <w:t>根据《新疆生态功能区划》，</w:t>
            </w:r>
            <w:r>
              <w:rPr>
                <w:rFonts w:hint="default" w:ascii="Times New Roman" w:hAnsi="Times New Roman" w:eastAsia="宋体" w:cs="Times New Roman"/>
                <w:color w:val="auto"/>
                <w:spacing w:val="0"/>
                <w:w w:val="100"/>
                <w:position w:val="0"/>
                <w:sz w:val="24"/>
                <w:highlight w:val="none"/>
                <w:lang w:val="en-US" w:eastAsia="zh-CN"/>
              </w:rPr>
              <w:t>本项目</w:t>
            </w:r>
            <w:r>
              <w:rPr>
                <w:rFonts w:hint="default" w:ascii="Times New Roman" w:hAnsi="Times New Roman" w:eastAsia="宋体" w:cs="Times New Roman"/>
                <w:color w:val="auto"/>
                <w:spacing w:val="0"/>
                <w:w w:val="100"/>
                <w:position w:val="0"/>
                <w:sz w:val="24"/>
                <w:highlight w:val="none"/>
              </w:rPr>
              <w:t>位于</w:t>
            </w:r>
            <w:r>
              <w:rPr>
                <w:rFonts w:hint="default" w:ascii="Times New Roman" w:hAnsi="Times New Roman" w:eastAsia="宋体" w:cs="Times New Roman"/>
                <w:color w:val="auto"/>
                <w:spacing w:val="0"/>
                <w:w w:val="100"/>
                <w:position w:val="0"/>
                <w:sz w:val="24"/>
                <w:highlight w:val="none"/>
                <w:lang w:eastAsia="zh-CN"/>
              </w:rPr>
              <w:t>准噶尔盆地</w:t>
            </w:r>
            <w:r>
              <w:rPr>
                <w:rFonts w:hint="default" w:ascii="Times New Roman" w:hAnsi="Times New Roman" w:eastAsia="宋体" w:cs="Times New Roman"/>
                <w:color w:val="auto"/>
                <w:spacing w:val="0"/>
                <w:w w:val="100"/>
                <w:position w:val="0"/>
                <w:sz w:val="24"/>
                <w:highlight w:val="none"/>
              </w:rPr>
              <w:t>温性荒漠与绿洲农业生态区—</w:t>
            </w:r>
            <w:r>
              <w:rPr>
                <w:rFonts w:hint="eastAsia" w:ascii="Times New Roman" w:hAnsi="Times New Roman" w:cs="Times New Roman"/>
                <w:color w:val="auto"/>
                <w:spacing w:val="0"/>
                <w:w w:val="100"/>
                <w:position w:val="0"/>
                <w:sz w:val="24"/>
                <w:highlight w:val="none"/>
                <w:lang w:eastAsia="zh-CN"/>
              </w:rPr>
              <w:t>准噶尔</w:t>
            </w:r>
            <w:r>
              <w:rPr>
                <w:rFonts w:hint="default" w:ascii="Times New Roman" w:hAnsi="Times New Roman" w:eastAsia="宋体" w:cs="Times New Roman"/>
                <w:color w:val="auto"/>
                <w:spacing w:val="0"/>
                <w:w w:val="100"/>
                <w:position w:val="0"/>
                <w:sz w:val="24"/>
                <w:highlight w:val="none"/>
              </w:rPr>
              <w:t>盆地西部荒漠及绿洲农业生态亚区—</w:t>
            </w:r>
            <w:r>
              <w:rPr>
                <w:rFonts w:hint="default" w:ascii="Times New Roman" w:hAnsi="Times New Roman" w:eastAsia="宋体" w:cs="Times New Roman"/>
                <w:color w:val="auto"/>
                <w:spacing w:val="0"/>
                <w:w w:val="100"/>
                <w:position w:val="0"/>
                <w:sz w:val="24"/>
                <w:highlight w:val="none"/>
                <w:lang w:eastAsia="zh-CN"/>
              </w:rPr>
              <w:t>昌吉回族自治州</w:t>
            </w:r>
            <w:r>
              <w:rPr>
                <w:rFonts w:hint="default" w:ascii="Times New Roman" w:hAnsi="Times New Roman" w:eastAsia="宋体" w:cs="Times New Roman"/>
                <w:color w:val="auto"/>
                <w:spacing w:val="0"/>
                <w:w w:val="100"/>
                <w:position w:val="0"/>
                <w:sz w:val="24"/>
                <w:highlight w:val="none"/>
              </w:rPr>
              <w:t>城市及城郊农业生态功能区。矿区不在水源涵养区内。典型的温带半干旱气候，导致植物积累有机物质缓慢，物种单一，植被覆盖度较低，生态系统较为脆弱。</w:t>
            </w:r>
            <w:r>
              <w:rPr>
                <w:rFonts w:hint="default" w:ascii="Times New Roman" w:hAnsi="Times New Roman" w:eastAsia="宋体" w:cs="Times New Roman"/>
                <w:color w:val="auto"/>
                <w:spacing w:val="0"/>
                <w:w w:val="100"/>
                <w:kern w:val="0"/>
                <w:position w:val="0"/>
                <w:sz w:val="24"/>
                <w:szCs w:val="24"/>
                <w:highlight w:val="none"/>
                <w:lang w:val="en-US" w:eastAsia="zh-CN" w:bidi="ar"/>
              </w:rPr>
              <w:t>项目所在区域生态功能区划见表3-1。</w:t>
            </w:r>
          </w:p>
          <w:p w14:paraId="25CC817C">
            <w:pPr>
              <w:pStyle w:val="39"/>
              <w:keepNext w:val="0"/>
              <w:keepLines w:val="0"/>
              <w:pageBreakBefore w:val="0"/>
              <w:numPr>
                <w:ilvl w:val="0"/>
                <w:numId w:val="0"/>
              </w:numPr>
              <w:shd w:val="clear"/>
              <w:kinsoku/>
              <w:overflowPunct/>
              <w:topLinePunct w:val="0"/>
              <w:autoSpaceDE w:val="0"/>
              <w:autoSpaceDN w:val="0"/>
              <w:bidi w:val="0"/>
              <w:adjustRightInd w:val="0"/>
              <w:spacing w:beforeAutospacing="0" w:afterAutospacing="0" w:line="240" w:lineRule="auto"/>
              <w:ind w:left="0" w:leftChars="0" w:right="0" w:firstLine="422" w:firstLineChars="200"/>
              <w:jc w:val="center"/>
              <w:rPr>
                <w:rFonts w:hint="default" w:ascii="Times New Roman" w:hAnsi="Times New Roman" w:eastAsia="宋体" w:cs="Times New Roman"/>
                <w:b/>
                <w:bCs/>
                <w:color w:val="auto"/>
                <w:spacing w:val="0"/>
                <w:w w:val="100"/>
                <w:position w:val="0"/>
                <w:sz w:val="21"/>
                <w:szCs w:val="16"/>
                <w:highlight w:val="none"/>
                <w:lang w:val="en-US" w:eastAsia="zh-CN"/>
              </w:rPr>
            </w:pPr>
            <w:r>
              <w:rPr>
                <w:rFonts w:hint="default" w:ascii="Times New Roman" w:hAnsi="Times New Roman" w:eastAsia="宋体" w:cs="Times New Roman"/>
                <w:b/>
                <w:bCs/>
                <w:color w:val="auto"/>
                <w:spacing w:val="0"/>
                <w:w w:val="100"/>
                <w:position w:val="0"/>
                <w:sz w:val="21"/>
                <w:szCs w:val="16"/>
                <w:highlight w:val="none"/>
                <w:lang w:val="en-US" w:eastAsia="zh-CN"/>
              </w:rPr>
              <w:t>表3-1   项目所属生态功能区主要特征</w:t>
            </w:r>
          </w:p>
          <w:tbl>
            <w:tblPr>
              <w:tblStyle w:val="31"/>
              <w:tblW w:w="4998"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48"/>
              <w:gridCol w:w="1092"/>
              <w:gridCol w:w="5556"/>
            </w:tblGrid>
            <w:tr w14:paraId="7B54A4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44" w:type="pct"/>
                  <w:vMerge w:val="restart"/>
                  <w:tcBorders>
                    <w:left w:val="nil"/>
                    <w:bottom w:val="single" w:color="000000" w:sz="4" w:space="0"/>
                    <w:right w:val="single" w:color="000000" w:sz="4" w:space="0"/>
                  </w:tcBorders>
                  <w:noWrap w:val="0"/>
                  <w:vAlign w:val="center"/>
                </w:tcPr>
                <w:p w14:paraId="5BFCFB21">
                  <w:pPr>
                    <w:pStyle w:val="39"/>
                    <w:keepNext w:val="0"/>
                    <w:keepLines w:val="0"/>
                    <w:pageBreakBefore w:val="0"/>
                    <w:numPr>
                      <w:ilvl w:val="0"/>
                      <w:numId w:val="0"/>
                    </w:numPr>
                    <w:shd w:val="clear"/>
                    <w:kinsoku/>
                    <w:overflowPunct/>
                    <w:topLinePunct w:val="0"/>
                    <w:autoSpaceDE w:val="0"/>
                    <w:autoSpaceDN w:val="0"/>
                    <w:bidi w:val="0"/>
                    <w:adjustRightInd w:val="0"/>
                    <w:spacing w:beforeAutospacing="0" w:afterAutospacing="0" w:line="240" w:lineRule="auto"/>
                    <w:ind w:left="0" w:leftChars="0" w:right="0" w:firstLine="0" w:firstLineChars="0"/>
                    <w:jc w:val="center"/>
                    <w:textAlignment w:val="baseline"/>
                    <w:rPr>
                      <w:rFonts w:hint="default" w:ascii="Times New Roman" w:hAnsi="Times New Roman" w:eastAsia="宋体" w:cs="Times New Roman"/>
                      <w:b/>
                      <w:bCs/>
                      <w:color w:val="auto"/>
                      <w:spacing w:val="0"/>
                      <w:w w:val="100"/>
                      <w:position w:val="0"/>
                      <w:sz w:val="21"/>
                      <w:szCs w:val="21"/>
                      <w:highlight w:val="none"/>
                    </w:rPr>
                  </w:pPr>
                  <w:r>
                    <w:rPr>
                      <w:rFonts w:hint="default" w:ascii="Times New Roman" w:hAnsi="Times New Roman" w:eastAsia="宋体" w:cs="Times New Roman"/>
                      <w:b/>
                      <w:bCs/>
                      <w:color w:val="auto"/>
                      <w:spacing w:val="0"/>
                      <w:w w:val="100"/>
                      <w:position w:val="0"/>
                      <w:sz w:val="21"/>
                      <w:szCs w:val="21"/>
                      <w:highlight w:val="none"/>
                    </w:rPr>
                    <w:t>生态功能分区单元</w:t>
                  </w:r>
                </w:p>
              </w:tc>
              <w:tc>
                <w:tcPr>
                  <w:tcW w:w="747" w:type="pct"/>
                  <w:tcBorders>
                    <w:left w:val="single" w:color="000000" w:sz="4" w:space="0"/>
                    <w:bottom w:val="single" w:color="000000" w:sz="4" w:space="0"/>
                    <w:right w:val="single" w:color="000000" w:sz="4" w:space="0"/>
                  </w:tcBorders>
                  <w:noWrap w:val="0"/>
                  <w:vAlign w:val="center"/>
                </w:tcPr>
                <w:p w14:paraId="38189504">
                  <w:pPr>
                    <w:pStyle w:val="39"/>
                    <w:keepNext w:val="0"/>
                    <w:keepLines w:val="0"/>
                    <w:pageBreakBefore w:val="0"/>
                    <w:numPr>
                      <w:ilvl w:val="0"/>
                      <w:numId w:val="0"/>
                    </w:numPr>
                    <w:shd w:val="clear"/>
                    <w:kinsoku/>
                    <w:overflowPunct/>
                    <w:topLinePunct w:val="0"/>
                    <w:autoSpaceDE w:val="0"/>
                    <w:autoSpaceDN w:val="0"/>
                    <w:bidi w:val="0"/>
                    <w:adjustRightInd w:val="0"/>
                    <w:spacing w:beforeAutospacing="0" w:afterAutospacing="0" w:line="240" w:lineRule="auto"/>
                    <w:ind w:left="0" w:leftChars="0" w:right="0" w:firstLine="0" w:firstLineChars="0"/>
                    <w:jc w:val="center"/>
                    <w:textAlignment w:val="baseline"/>
                    <w:rPr>
                      <w:rFonts w:hint="default" w:ascii="Times New Roman" w:hAnsi="Times New Roman" w:eastAsia="宋体" w:cs="Times New Roman"/>
                      <w:b/>
                      <w:bCs/>
                      <w:color w:val="auto"/>
                      <w:spacing w:val="0"/>
                      <w:w w:val="100"/>
                      <w:position w:val="0"/>
                      <w:sz w:val="21"/>
                      <w:szCs w:val="21"/>
                      <w:highlight w:val="none"/>
                    </w:rPr>
                  </w:pPr>
                  <w:r>
                    <w:rPr>
                      <w:rFonts w:hint="default" w:ascii="Times New Roman" w:hAnsi="Times New Roman" w:eastAsia="宋体" w:cs="Times New Roman"/>
                      <w:b/>
                      <w:bCs/>
                      <w:color w:val="auto"/>
                      <w:spacing w:val="0"/>
                      <w:w w:val="100"/>
                      <w:position w:val="0"/>
                      <w:sz w:val="21"/>
                      <w:szCs w:val="21"/>
                      <w:highlight w:val="none"/>
                    </w:rPr>
                    <w:t>生态区</w:t>
                  </w:r>
                </w:p>
              </w:tc>
              <w:tc>
                <w:tcPr>
                  <w:tcW w:w="3807" w:type="pct"/>
                  <w:tcBorders>
                    <w:left w:val="single" w:color="000000" w:sz="4" w:space="0"/>
                    <w:bottom w:val="single" w:color="000000" w:sz="4" w:space="0"/>
                    <w:right w:val="nil"/>
                  </w:tcBorders>
                  <w:noWrap w:val="0"/>
                  <w:vAlign w:val="center"/>
                </w:tcPr>
                <w:p w14:paraId="73573037">
                  <w:pPr>
                    <w:pStyle w:val="39"/>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both"/>
                    <w:textAlignment w:val="baseline"/>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0"/>
                      <w:w w:val="100"/>
                      <w:position w:val="0"/>
                      <w:sz w:val="21"/>
                      <w:szCs w:val="21"/>
                      <w:highlight w:val="none"/>
                    </w:rPr>
                    <w:t>II准噶尔盆地温性荒漠与绿洲农业生态区</w:t>
                  </w:r>
                </w:p>
              </w:tc>
            </w:tr>
            <w:tr w14:paraId="6A0321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44" w:type="pct"/>
                  <w:vMerge w:val="continue"/>
                  <w:tcBorders>
                    <w:top w:val="nil"/>
                    <w:left w:val="nil"/>
                    <w:bottom w:val="single" w:color="000000" w:sz="4" w:space="0"/>
                    <w:right w:val="single" w:color="000000" w:sz="4" w:space="0"/>
                  </w:tcBorders>
                  <w:noWrap w:val="0"/>
                  <w:vAlign w:val="center"/>
                </w:tcPr>
                <w:p w14:paraId="24070F7F">
                  <w:pPr>
                    <w:pStyle w:val="39"/>
                    <w:keepNext w:val="0"/>
                    <w:keepLines w:val="0"/>
                    <w:pageBreakBefore w:val="0"/>
                    <w:numPr>
                      <w:ilvl w:val="0"/>
                      <w:numId w:val="0"/>
                    </w:numPr>
                    <w:shd w:val="clear"/>
                    <w:kinsoku/>
                    <w:overflowPunct/>
                    <w:topLinePunct w:val="0"/>
                    <w:autoSpaceDE w:val="0"/>
                    <w:autoSpaceDN w:val="0"/>
                    <w:bidi w:val="0"/>
                    <w:adjustRightInd w:val="0"/>
                    <w:spacing w:beforeAutospacing="0" w:afterAutospacing="0" w:line="240" w:lineRule="auto"/>
                    <w:ind w:left="0" w:leftChars="0" w:right="0" w:firstLine="0" w:firstLineChars="0"/>
                    <w:jc w:val="center"/>
                    <w:textAlignment w:val="baseline"/>
                    <w:rPr>
                      <w:rFonts w:hint="default" w:ascii="Times New Roman" w:hAnsi="Times New Roman" w:eastAsia="宋体" w:cs="Times New Roman"/>
                      <w:b/>
                      <w:bCs/>
                      <w:color w:val="auto"/>
                      <w:spacing w:val="0"/>
                      <w:w w:val="100"/>
                      <w:position w:val="0"/>
                      <w:sz w:val="21"/>
                      <w:szCs w:val="21"/>
                      <w:highlight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14:paraId="6209BBDA">
                  <w:pPr>
                    <w:pStyle w:val="39"/>
                    <w:keepNext w:val="0"/>
                    <w:keepLines w:val="0"/>
                    <w:pageBreakBefore w:val="0"/>
                    <w:numPr>
                      <w:ilvl w:val="0"/>
                      <w:numId w:val="0"/>
                    </w:numPr>
                    <w:shd w:val="clear"/>
                    <w:kinsoku/>
                    <w:overflowPunct/>
                    <w:topLinePunct w:val="0"/>
                    <w:autoSpaceDE w:val="0"/>
                    <w:autoSpaceDN w:val="0"/>
                    <w:bidi w:val="0"/>
                    <w:adjustRightInd w:val="0"/>
                    <w:spacing w:beforeAutospacing="0" w:afterAutospacing="0" w:line="240" w:lineRule="auto"/>
                    <w:ind w:left="0" w:leftChars="0" w:right="0" w:firstLine="0" w:firstLineChars="0"/>
                    <w:jc w:val="center"/>
                    <w:textAlignment w:val="baseline"/>
                    <w:rPr>
                      <w:rFonts w:hint="default" w:ascii="Times New Roman" w:hAnsi="Times New Roman" w:eastAsia="宋体" w:cs="Times New Roman"/>
                      <w:b/>
                      <w:bCs/>
                      <w:color w:val="auto"/>
                      <w:spacing w:val="0"/>
                      <w:w w:val="100"/>
                      <w:position w:val="0"/>
                      <w:sz w:val="21"/>
                      <w:szCs w:val="21"/>
                      <w:highlight w:val="none"/>
                    </w:rPr>
                  </w:pPr>
                  <w:r>
                    <w:rPr>
                      <w:rFonts w:hint="default" w:ascii="Times New Roman" w:hAnsi="Times New Roman" w:eastAsia="宋体" w:cs="Times New Roman"/>
                      <w:b/>
                      <w:bCs/>
                      <w:color w:val="auto"/>
                      <w:spacing w:val="0"/>
                      <w:w w:val="100"/>
                      <w:position w:val="0"/>
                      <w:sz w:val="21"/>
                      <w:szCs w:val="21"/>
                      <w:highlight w:val="none"/>
                    </w:rPr>
                    <w:t>生态亚区</w:t>
                  </w:r>
                </w:p>
              </w:tc>
              <w:tc>
                <w:tcPr>
                  <w:tcW w:w="3807" w:type="pct"/>
                  <w:tcBorders>
                    <w:top w:val="single" w:color="000000" w:sz="4" w:space="0"/>
                    <w:left w:val="single" w:color="000000" w:sz="4" w:space="0"/>
                    <w:bottom w:val="single" w:color="000000" w:sz="4" w:space="0"/>
                    <w:right w:val="nil"/>
                  </w:tcBorders>
                  <w:noWrap w:val="0"/>
                  <w:vAlign w:val="center"/>
                </w:tcPr>
                <w:p w14:paraId="31F68C01">
                  <w:pPr>
                    <w:pStyle w:val="39"/>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both"/>
                    <w:textAlignment w:val="baseline"/>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0"/>
                      <w:w w:val="100"/>
                      <w:position w:val="0"/>
                      <w:sz w:val="21"/>
                      <w:szCs w:val="21"/>
                      <w:highlight w:val="none"/>
                    </w:rPr>
                    <w:t>II</w:t>
                  </w:r>
                  <w:r>
                    <w:rPr>
                      <w:rFonts w:hint="default" w:ascii="Times New Roman" w:hAnsi="Times New Roman" w:eastAsia="宋体" w:cs="Times New Roman"/>
                      <w:color w:val="auto"/>
                      <w:spacing w:val="0"/>
                      <w:w w:val="100"/>
                      <w:position w:val="0"/>
                      <w:sz w:val="21"/>
                      <w:szCs w:val="21"/>
                      <w:highlight w:val="none"/>
                      <w:vertAlign w:val="subscript"/>
                    </w:rPr>
                    <w:t>5</w:t>
                  </w:r>
                  <w:r>
                    <w:rPr>
                      <w:rFonts w:hint="default" w:ascii="Times New Roman" w:hAnsi="Times New Roman" w:eastAsia="宋体" w:cs="Times New Roman"/>
                      <w:color w:val="auto"/>
                      <w:spacing w:val="0"/>
                      <w:w w:val="100"/>
                      <w:position w:val="0"/>
                      <w:sz w:val="21"/>
                      <w:szCs w:val="21"/>
                      <w:highlight w:val="none"/>
                      <w:vertAlign w:val="baseline"/>
                    </w:rPr>
                    <w:t>准噶尔盆地南部荒漠绿洲农业生态亚区</w:t>
                  </w:r>
                </w:p>
              </w:tc>
            </w:tr>
            <w:tr w14:paraId="7976E3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444" w:type="pct"/>
                  <w:vMerge w:val="continue"/>
                  <w:tcBorders>
                    <w:top w:val="nil"/>
                    <w:left w:val="nil"/>
                    <w:bottom w:val="single" w:color="000000" w:sz="4" w:space="0"/>
                    <w:right w:val="single" w:color="000000" w:sz="4" w:space="0"/>
                  </w:tcBorders>
                  <w:noWrap w:val="0"/>
                  <w:vAlign w:val="center"/>
                </w:tcPr>
                <w:p w14:paraId="7C46CA29">
                  <w:pPr>
                    <w:pStyle w:val="39"/>
                    <w:keepNext w:val="0"/>
                    <w:keepLines w:val="0"/>
                    <w:pageBreakBefore w:val="0"/>
                    <w:numPr>
                      <w:ilvl w:val="0"/>
                      <w:numId w:val="0"/>
                    </w:numPr>
                    <w:shd w:val="clear"/>
                    <w:kinsoku/>
                    <w:overflowPunct/>
                    <w:topLinePunct w:val="0"/>
                    <w:autoSpaceDE w:val="0"/>
                    <w:autoSpaceDN w:val="0"/>
                    <w:bidi w:val="0"/>
                    <w:adjustRightInd w:val="0"/>
                    <w:spacing w:beforeAutospacing="0" w:afterAutospacing="0" w:line="240" w:lineRule="auto"/>
                    <w:ind w:left="0" w:leftChars="0" w:right="0" w:firstLine="0" w:firstLineChars="0"/>
                    <w:jc w:val="center"/>
                    <w:textAlignment w:val="baseline"/>
                    <w:rPr>
                      <w:rFonts w:hint="default" w:ascii="Times New Roman" w:hAnsi="Times New Roman" w:eastAsia="宋体" w:cs="Times New Roman"/>
                      <w:b/>
                      <w:bCs/>
                      <w:color w:val="auto"/>
                      <w:spacing w:val="0"/>
                      <w:w w:val="100"/>
                      <w:position w:val="0"/>
                      <w:sz w:val="21"/>
                      <w:szCs w:val="21"/>
                      <w:highlight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14:paraId="10E49CBA">
                  <w:pPr>
                    <w:pStyle w:val="39"/>
                    <w:keepNext w:val="0"/>
                    <w:keepLines w:val="0"/>
                    <w:pageBreakBefore w:val="0"/>
                    <w:numPr>
                      <w:ilvl w:val="0"/>
                      <w:numId w:val="0"/>
                    </w:numPr>
                    <w:shd w:val="clear"/>
                    <w:kinsoku/>
                    <w:overflowPunct/>
                    <w:topLinePunct w:val="0"/>
                    <w:autoSpaceDE w:val="0"/>
                    <w:autoSpaceDN w:val="0"/>
                    <w:bidi w:val="0"/>
                    <w:adjustRightInd w:val="0"/>
                    <w:spacing w:beforeAutospacing="0" w:afterAutospacing="0" w:line="240" w:lineRule="auto"/>
                    <w:ind w:left="0" w:leftChars="0" w:right="0" w:firstLine="0" w:firstLineChars="0"/>
                    <w:jc w:val="center"/>
                    <w:textAlignment w:val="baseline"/>
                    <w:rPr>
                      <w:rFonts w:hint="default" w:ascii="Times New Roman" w:hAnsi="Times New Roman" w:eastAsia="宋体" w:cs="Times New Roman"/>
                      <w:b/>
                      <w:bCs/>
                      <w:color w:val="auto"/>
                      <w:spacing w:val="0"/>
                      <w:w w:val="100"/>
                      <w:position w:val="0"/>
                      <w:sz w:val="21"/>
                      <w:szCs w:val="21"/>
                      <w:highlight w:val="none"/>
                    </w:rPr>
                  </w:pPr>
                  <w:r>
                    <w:rPr>
                      <w:rFonts w:hint="default" w:ascii="Times New Roman" w:hAnsi="Times New Roman" w:eastAsia="宋体" w:cs="Times New Roman"/>
                      <w:b/>
                      <w:bCs/>
                      <w:color w:val="auto"/>
                      <w:spacing w:val="0"/>
                      <w:w w:val="100"/>
                      <w:position w:val="0"/>
                      <w:sz w:val="21"/>
                      <w:szCs w:val="21"/>
                      <w:highlight w:val="none"/>
                    </w:rPr>
                    <w:t>生态功能区</w:t>
                  </w:r>
                </w:p>
              </w:tc>
              <w:tc>
                <w:tcPr>
                  <w:tcW w:w="3807" w:type="pct"/>
                  <w:tcBorders>
                    <w:top w:val="single" w:color="000000" w:sz="4" w:space="0"/>
                    <w:left w:val="single" w:color="000000" w:sz="4" w:space="0"/>
                    <w:bottom w:val="single" w:color="000000" w:sz="4" w:space="0"/>
                    <w:right w:val="nil"/>
                  </w:tcBorders>
                  <w:noWrap w:val="0"/>
                  <w:vAlign w:val="center"/>
                </w:tcPr>
                <w:p w14:paraId="5433FD1E">
                  <w:pPr>
                    <w:pStyle w:val="39"/>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both"/>
                    <w:textAlignment w:val="baseline"/>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0"/>
                      <w:position w:val="0"/>
                      <w:sz w:val="21"/>
                      <w:szCs w:val="21"/>
                      <w:highlight w:val="none"/>
                    </w:rPr>
                    <w:t>26．乌苏—石河子—昌吉城镇与绿洲农业生态功能区</w:t>
                  </w:r>
                </w:p>
              </w:tc>
            </w:tr>
            <w:tr w14:paraId="7AE733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1192" w:type="pct"/>
                  <w:gridSpan w:val="2"/>
                  <w:tcBorders>
                    <w:top w:val="single" w:color="000000" w:sz="4" w:space="0"/>
                    <w:left w:val="nil"/>
                    <w:bottom w:val="single" w:color="000000" w:sz="4" w:space="0"/>
                    <w:right w:val="single" w:color="000000" w:sz="4" w:space="0"/>
                  </w:tcBorders>
                  <w:noWrap w:val="0"/>
                  <w:vAlign w:val="center"/>
                </w:tcPr>
                <w:p w14:paraId="35E5F5AE">
                  <w:pPr>
                    <w:pStyle w:val="39"/>
                    <w:keepNext w:val="0"/>
                    <w:keepLines w:val="0"/>
                    <w:pageBreakBefore w:val="0"/>
                    <w:numPr>
                      <w:ilvl w:val="0"/>
                      <w:numId w:val="0"/>
                    </w:numPr>
                    <w:shd w:val="clear"/>
                    <w:kinsoku/>
                    <w:overflowPunct/>
                    <w:topLinePunct w:val="0"/>
                    <w:autoSpaceDE w:val="0"/>
                    <w:autoSpaceDN w:val="0"/>
                    <w:bidi w:val="0"/>
                    <w:adjustRightInd w:val="0"/>
                    <w:spacing w:beforeAutospacing="0" w:afterAutospacing="0" w:line="240" w:lineRule="auto"/>
                    <w:ind w:left="0" w:leftChars="0" w:right="0" w:firstLine="0" w:firstLineChars="0"/>
                    <w:jc w:val="center"/>
                    <w:textAlignment w:val="baseline"/>
                    <w:rPr>
                      <w:rFonts w:hint="default" w:ascii="Times New Roman" w:hAnsi="Times New Roman" w:eastAsia="宋体" w:cs="Times New Roman"/>
                      <w:b/>
                      <w:bCs/>
                      <w:color w:val="auto"/>
                      <w:spacing w:val="0"/>
                      <w:w w:val="100"/>
                      <w:position w:val="0"/>
                      <w:sz w:val="21"/>
                      <w:szCs w:val="21"/>
                      <w:highlight w:val="none"/>
                    </w:rPr>
                  </w:pPr>
                  <w:r>
                    <w:rPr>
                      <w:rFonts w:hint="default" w:ascii="Times New Roman" w:hAnsi="Times New Roman" w:eastAsia="宋体" w:cs="Times New Roman"/>
                      <w:b/>
                      <w:bCs/>
                      <w:color w:val="auto"/>
                      <w:spacing w:val="0"/>
                      <w:w w:val="100"/>
                      <w:position w:val="0"/>
                      <w:sz w:val="21"/>
                      <w:szCs w:val="21"/>
                      <w:highlight w:val="none"/>
                    </w:rPr>
                    <w:t>隶属行政区</w:t>
                  </w:r>
                </w:p>
              </w:tc>
              <w:tc>
                <w:tcPr>
                  <w:tcW w:w="3807" w:type="pct"/>
                  <w:tcBorders>
                    <w:top w:val="single" w:color="000000" w:sz="4" w:space="0"/>
                    <w:left w:val="single" w:color="000000" w:sz="4" w:space="0"/>
                    <w:bottom w:val="single" w:color="000000" w:sz="4" w:space="0"/>
                    <w:right w:val="nil"/>
                  </w:tcBorders>
                  <w:noWrap w:val="0"/>
                  <w:vAlign w:val="center"/>
                </w:tcPr>
                <w:p w14:paraId="61DC5899">
                  <w:pPr>
                    <w:pStyle w:val="39"/>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both"/>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昌吉回族自治州昌吉市</w:t>
                  </w:r>
                </w:p>
              </w:tc>
            </w:tr>
            <w:tr w14:paraId="50043A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1192" w:type="pct"/>
                  <w:gridSpan w:val="2"/>
                  <w:tcBorders>
                    <w:top w:val="single" w:color="000000" w:sz="4" w:space="0"/>
                    <w:left w:val="nil"/>
                    <w:bottom w:val="single" w:color="000000" w:sz="4" w:space="0"/>
                    <w:right w:val="single" w:color="000000" w:sz="4" w:space="0"/>
                  </w:tcBorders>
                  <w:noWrap w:val="0"/>
                  <w:vAlign w:val="center"/>
                </w:tcPr>
                <w:p w14:paraId="703F1AB9">
                  <w:pPr>
                    <w:pStyle w:val="39"/>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center"/>
                    <w:textAlignment w:val="baseline"/>
                    <w:rPr>
                      <w:rFonts w:hint="default" w:ascii="Times New Roman" w:hAnsi="Times New Roman" w:eastAsia="宋体" w:cs="Times New Roman"/>
                      <w:b/>
                      <w:bCs/>
                      <w:color w:val="auto"/>
                      <w:spacing w:val="0"/>
                      <w:w w:val="100"/>
                      <w:position w:val="0"/>
                      <w:sz w:val="21"/>
                      <w:szCs w:val="21"/>
                      <w:highlight w:val="none"/>
                    </w:rPr>
                  </w:pPr>
                  <w:r>
                    <w:rPr>
                      <w:rFonts w:hint="default" w:ascii="Times New Roman" w:hAnsi="Times New Roman" w:eastAsia="宋体" w:cs="Times New Roman"/>
                      <w:b/>
                      <w:bCs/>
                      <w:color w:val="auto"/>
                      <w:spacing w:val="0"/>
                      <w:w w:val="100"/>
                      <w:position w:val="0"/>
                      <w:sz w:val="21"/>
                      <w:szCs w:val="21"/>
                      <w:highlight w:val="none"/>
                    </w:rPr>
                    <w:t>主要生态服务功能</w:t>
                  </w:r>
                </w:p>
              </w:tc>
              <w:tc>
                <w:tcPr>
                  <w:tcW w:w="3807" w:type="pct"/>
                  <w:tcBorders>
                    <w:top w:val="single" w:color="000000" w:sz="4" w:space="0"/>
                    <w:left w:val="single" w:color="000000" w:sz="4" w:space="0"/>
                    <w:bottom w:val="single" w:color="000000" w:sz="4" w:space="0"/>
                    <w:right w:val="nil"/>
                  </w:tcBorders>
                  <w:noWrap w:val="0"/>
                  <w:vAlign w:val="center"/>
                </w:tcPr>
                <w:p w14:paraId="4847489F">
                  <w:pPr>
                    <w:keepNext w:val="0"/>
                    <w:keepLines w:val="0"/>
                    <w:pageBreakBefore w:val="0"/>
                    <w:widowControl w:val="0"/>
                    <w:shd w:val="clear"/>
                    <w:kinsoku/>
                    <w:wordWrap/>
                    <w:overflowPunct/>
                    <w:topLinePunct w:val="0"/>
                    <w:bidi w:val="0"/>
                    <w:snapToGrid/>
                    <w:spacing w:line="240" w:lineRule="auto"/>
                    <w:ind w:left="0" w:leftChars="0" w:right="0" w:firstLine="0"/>
                    <w:jc w:val="both"/>
                    <w:rPr>
                      <w:rFonts w:hint="default" w:ascii="Times New Roman" w:hAnsi="Times New Roman" w:eastAsia="宋体" w:cs="Times New Roman"/>
                      <w:color w:val="auto"/>
                      <w:spacing w:val="0"/>
                      <w:w w:val="100"/>
                      <w:kern w:val="2"/>
                      <w:position w:val="0"/>
                      <w:sz w:val="21"/>
                      <w:szCs w:val="21"/>
                      <w:highlight w:val="none"/>
                      <w:lang w:val="en-US" w:eastAsia="zh-CN" w:bidi="ar-SA"/>
                    </w:rPr>
                  </w:pPr>
                  <w:r>
                    <w:rPr>
                      <w:rFonts w:hint="default" w:ascii="Times New Roman" w:hAnsi="Times New Roman" w:eastAsia="宋体" w:cs="Times New Roman"/>
                      <w:color w:val="auto"/>
                      <w:spacing w:val="0"/>
                      <w:w w:val="100"/>
                      <w:kern w:val="2"/>
                      <w:position w:val="0"/>
                      <w:sz w:val="21"/>
                      <w:szCs w:val="21"/>
                      <w:highlight w:val="none"/>
                      <w:lang w:val="en-US" w:eastAsia="zh-CN" w:bidi="ar-SA"/>
                    </w:rPr>
                    <w:t>工农畜产品生产、人居环境、荒漠化控制</w:t>
                  </w:r>
                </w:p>
              </w:tc>
            </w:tr>
            <w:tr w14:paraId="1E4173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1192" w:type="pct"/>
                  <w:gridSpan w:val="2"/>
                  <w:tcBorders>
                    <w:top w:val="single" w:color="000000" w:sz="4" w:space="0"/>
                    <w:left w:val="nil"/>
                    <w:bottom w:val="single" w:color="000000" w:sz="4" w:space="0"/>
                    <w:right w:val="single" w:color="000000" w:sz="4" w:space="0"/>
                  </w:tcBorders>
                  <w:noWrap w:val="0"/>
                  <w:vAlign w:val="center"/>
                </w:tcPr>
                <w:p w14:paraId="2F10656B">
                  <w:pPr>
                    <w:pStyle w:val="39"/>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center"/>
                    <w:textAlignment w:val="baseline"/>
                    <w:rPr>
                      <w:rFonts w:hint="default" w:ascii="Times New Roman" w:hAnsi="Times New Roman" w:eastAsia="宋体" w:cs="Times New Roman"/>
                      <w:b/>
                      <w:bCs/>
                      <w:color w:val="auto"/>
                      <w:spacing w:val="0"/>
                      <w:w w:val="100"/>
                      <w:position w:val="0"/>
                      <w:sz w:val="21"/>
                      <w:szCs w:val="21"/>
                      <w:highlight w:val="none"/>
                    </w:rPr>
                  </w:pPr>
                  <w:r>
                    <w:rPr>
                      <w:rFonts w:hint="default" w:ascii="Times New Roman" w:hAnsi="Times New Roman" w:eastAsia="宋体" w:cs="Times New Roman"/>
                      <w:b/>
                      <w:bCs/>
                      <w:color w:val="auto"/>
                      <w:spacing w:val="0"/>
                      <w:w w:val="100"/>
                      <w:position w:val="0"/>
                      <w:sz w:val="21"/>
                      <w:szCs w:val="21"/>
                      <w:highlight w:val="none"/>
                    </w:rPr>
                    <w:t>主要生态环境问题</w:t>
                  </w:r>
                </w:p>
              </w:tc>
              <w:tc>
                <w:tcPr>
                  <w:tcW w:w="3807" w:type="pct"/>
                  <w:tcBorders>
                    <w:top w:val="single" w:color="000000" w:sz="4" w:space="0"/>
                    <w:left w:val="single" w:color="000000" w:sz="4" w:space="0"/>
                    <w:bottom w:val="single" w:color="000000" w:sz="4" w:space="0"/>
                    <w:right w:val="nil"/>
                  </w:tcBorders>
                  <w:noWrap w:val="0"/>
                  <w:vAlign w:val="center"/>
                </w:tcPr>
                <w:p w14:paraId="42FFBC86">
                  <w:pPr>
                    <w:keepNext w:val="0"/>
                    <w:keepLines w:val="0"/>
                    <w:pageBreakBefore w:val="0"/>
                    <w:widowControl w:val="0"/>
                    <w:shd w:val="clear"/>
                    <w:kinsoku/>
                    <w:wordWrap/>
                    <w:overflowPunct/>
                    <w:topLinePunct w:val="0"/>
                    <w:bidi w:val="0"/>
                    <w:snapToGrid/>
                    <w:spacing w:line="240" w:lineRule="auto"/>
                    <w:ind w:left="0" w:leftChars="0" w:right="0" w:rightChars="0" w:firstLine="0" w:firstLineChars="0"/>
                    <w:jc w:val="both"/>
                    <w:rPr>
                      <w:rFonts w:hint="default" w:ascii="Times New Roman" w:hAnsi="Times New Roman" w:eastAsia="宋体" w:cs="Times New Roman"/>
                      <w:color w:val="auto"/>
                      <w:spacing w:val="0"/>
                      <w:w w:val="100"/>
                      <w:kern w:val="2"/>
                      <w:position w:val="0"/>
                      <w:sz w:val="21"/>
                      <w:szCs w:val="21"/>
                      <w:highlight w:val="none"/>
                      <w:lang w:val="en-US" w:eastAsia="zh-CN" w:bidi="ar-SA"/>
                    </w:rPr>
                  </w:pPr>
                  <w:r>
                    <w:rPr>
                      <w:rFonts w:hint="default" w:ascii="Times New Roman" w:hAnsi="Times New Roman" w:eastAsia="宋体" w:cs="Times New Roman"/>
                      <w:color w:val="auto"/>
                      <w:spacing w:val="0"/>
                      <w:w w:val="100"/>
                      <w:kern w:val="2"/>
                      <w:position w:val="0"/>
                      <w:sz w:val="21"/>
                      <w:szCs w:val="21"/>
                      <w:highlight w:val="none"/>
                      <w:lang w:val="en-US" w:eastAsia="zh-CN" w:bidi="ar-SA"/>
                    </w:rPr>
                    <w:t>地下水超采、荒漠植被退化、土地荒漠化与盐渍化、大气和水质及土壤污染、良田减少、绿洲外围受到沙漠化威胁</w:t>
                  </w:r>
                </w:p>
              </w:tc>
            </w:tr>
            <w:tr w14:paraId="62E888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5" w:hRule="atLeast"/>
              </w:trPr>
              <w:tc>
                <w:tcPr>
                  <w:tcW w:w="1192" w:type="pct"/>
                  <w:gridSpan w:val="2"/>
                  <w:tcBorders>
                    <w:top w:val="single" w:color="000000" w:sz="4" w:space="0"/>
                    <w:left w:val="nil"/>
                    <w:bottom w:val="single" w:color="000000" w:sz="4" w:space="0"/>
                    <w:right w:val="single" w:color="000000" w:sz="4" w:space="0"/>
                  </w:tcBorders>
                  <w:noWrap w:val="0"/>
                  <w:vAlign w:val="center"/>
                </w:tcPr>
                <w:p w14:paraId="4E086E69">
                  <w:pPr>
                    <w:pStyle w:val="39"/>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center"/>
                    <w:textAlignment w:val="baseline"/>
                    <w:rPr>
                      <w:rFonts w:hint="default" w:ascii="Times New Roman" w:hAnsi="Times New Roman" w:eastAsia="宋体" w:cs="Times New Roman"/>
                      <w:b/>
                      <w:bCs/>
                      <w:color w:val="auto"/>
                      <w:spacing w:val="0"/>
                      <w:w w:val="100"/>
                      <w:position w:val="0"/>
                      <w:sz w:val="21"/>
                      <w:szCs w:val="21"/>
                      <w:highlight w:val="none"/>
                    </w:rPr>
                  </w:pPr>
                  <w:r>
                    <w:rPr>
                      <w:rFonts w:hint="default" w:ascii="Times New Roman" w:hAnsi="Times New Roman" w:eastAsia="宋体" w:cs="Times New Roman"/>
                      <w:b/>
                      <w:bCs/>
                      <w:color w:val="auto"/>
                      <w:spacing w:val="0"/>
                      <w:w w:val="100"/>
                      <w:position w:val="0"/>
                      <w:sz w:val="21"/>
                      <w:szCs w:val="21"/>
                      <w:highlight w:val="none"/>
                    </w:rPr>
                    <w:t>主要生态敏感因子、敏感程度</w:t>
                  </w:r>
                </w:p>
              </w:tc>
              <w:tc>
                <w:tcPr>
                  <w:tcW w:w="3807" w:type="pct"/>
                  <w:tcBorders>
                    <w:top w:val="single" w:color="000000" w:sz="4" w:space="0"/>
                    <w:left w:val="single" w:color="000000" w:sz="4" w:space="0"/>
                    <w:bottom w:val="single" w:color="000000" w:sz="4" w:space="0"/>
                    <w:right w:val="nil"/>
                  </w:tcBorders>
                  <w:noWrap w:val="0"/>
                  <w:vAlign w:val="center"/>
                </w:tcPr>
                <w:p w14:paraId="6D173D21">
                  <w:pPr>
                    <w:keepNext w:val="0"/>
                    <w:keepLines w:val="0"/>
                    <w:pageBreakBefore w:val="0"/>
                    <w:widowControl w:val="0"/>
                    <w:shd w:val="clear"/>
                    <w:kinsoku/>
                    <w:wordWrap/>
                    <w:overflowPunct/>
                    <w:topLinePunct w:val="0"/>
                    <w:bidi w:val="0"/>
                    <w:snapToGrid/>
                    <w:spacing w:line="240" w:lineRule="auto"/>
                    <w:ind w:left="0" w:leftChars="0" w:right="0" w:rightChars="0" w:firstLine="0" w:firstLineChars="0"/>
                    <w:jc w:val="both"/>
                    <w:rPr>
                      <w:rFonts w:hint="default" w:ascii="Times New Roman" w:hAnsi="Times New Roman" w:eastAsia="宋体" w:cs="Times New Roman"/>
                      <w:color w:val="auto"/>
                      <w:spacing w:val="0"/>
                      <w:w w:val="100"/>
                      <w:kern w:val="2"/>
                      <w:position w:val="0"/>
                      <w:sz w:val="21"/>
                      <w:szCs w:val="21"/>
                      <w:highlight w:val="none"/>
                      <w:lang w:val="en-US" w:eastAsia="zh-CN" w:bidi="ar-SA"/>
                    </w:rPr>
                  </w:pPr>
                  <w:r>
                    <w:rPr>
                      <w:rFonts w:hint="default" w:ascii="Times New Roman" w:hAnsi="Times New Roman" w:eastAsia="宋体" w:cs="Times New Roman"/>
                      <w:color w:val="auto"/>
                      <w:spacing w:val="0"/>
                      <w:w w:val="100"/>
                      <w:kern w:val="2"/>
                      <w:position w:val="0"/>
                      <w:sz w:val="21"/>
                      <w:szCs w:val="21"/>
                      <w:highlight w:val="none"/>
                      <w:lang w:val="en-US" w:eastAsia="zh-CN" w:bidi="ar-SA"/>
                    </w:rPr>
                    <w:t>生物多样性及其生境中度敏感，土壤盐渍化轻度敏感</w:t>
                  </w:r>
                </w:p>
              </w:tc>
            </w:tr>
            <w:tr w14:paraId="20227A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1192" w:type="pct"/>
                  <w:gridSpan w:val="2"/>
                  <w:tcBorders>
                    <w:top w:val="single" w:color="000000" w:sz="4" w:space="0"/>
                    <w:left w:val="nil"/>
                    <w:bottom w:val="single" w:color="000000" w:sz="4" w:space="0"/>
                    <w:right w:val="single" w:color="000000" w:sz="4" w:space="0"/>
                  </w:tcBorders>
                  <w:noWrap w:val="0"/>
                  <w:vAlign w:val="center"/>
                </w:tcPr>
                <w:p w14:paraId="2137A949">
                  <w:pPr>
                    <w:pStyle w:val="39"/>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center"/>
                    <w:textAlignment w:val="baseline"/>
                    <w:rPr>
                      <w:rFonts w:hint="default" w:ascii="Times New Roman" w:hAnsi="Times New Roman" w:eastAsia="宋体" w:cs="Times New Roman"/>
                      <w:b/>
                      <w:bCs/>
                      <w:color w:val="auto"/>
                      <w:spacing w:val="0"/>
                      <w:w w:val="100"/>
                      <w:position w:val="0"/>
                      <w:sz w:val="21"/>
                      <w:szCs w:val="21"/>
                      <w:highlight w:val="none"/>
                    </w:rPr>
                  </w:pPr>
                  <w:r>
                    <w:rPr>
                      <w:rFonts w:hint="default" w:ascii="Times New Roman" w:hAnsi="Times New Roman" w:eastAsia="宋体" w:cs="Times New Roman"/>
                      <w:b/>
                      <w:bCs/>
                      <w:color w:val="auto"/>
                      <w:spacing w:val="0"/>
                      <w:w w:val="100"/>
                      <w:position w:val="0"/>
                      <w:sz w:val="21"/>
                      <w:szCs w:val="21"/>
                      <w:highlight w:val="none"/>
                    </w:rPr>
                    <w:t>主要保护目标</w:t>
                  </w:r>
                </w:p>
              </w:tc>
              <w:tc>
                <w:tcPr>
                  <w:tcW w:w="3807" w:type="pct"/>
                  <w:tcBorders>
                    <w:top w:val="single" w:color="000000" w:sz="4" w:space="0"/>
                    <w:left w:val="single" w:color="000000" w:sz="4" w:space="0"/>
                    <w:bottom w:val="single" w:color="000000" w:sz="4" w:space="0"/>
                    <w:right w:val="nil"/>
                  </w:tcBorders>
                  <w:noWrap w:val="0"/>
                  <w:vAlign w:val="center"/>
                </w:tcPr>
                <w:p w14:paraId="48860DDB">
                  <w:pPr>
                    <w:keepNext w:val="0"/>
                    <w:keepLines w:val="0"/>
                    <w:pageBreakBefore w:val="0"/>
                    <w:widowControl w:val="0"/>
                    <w:shd w:val="clear"/>
                    <w:kinsoku/>
                    <w:wordWrap/>
                    <w:overflowPunct/>
                    <w:topLinePunct w:val="0"/>
                    <w:bidi w:val="0"/>
                    <w:snapToGrid/>
                    <w:spacing w:line="240" w:lineRule="auto"/>
                    <w:ind w:left="0" w:leftChars="0" w:right="0" w:firstLine="0"/>
                    <w:jc w:val="both"/>
                    <w:rPr>
                      <w:rFonts w:hint="default" w:ascii="Times New Roman" w:hAnsi="Times New Roman" w:eastAsia="宋体" w:cs="Times New Roman"/>
                      <w:color w:val="auto"/>
                      <w:spacing w:val="0"/>
                      <w:w w:val="100"/>
                      <w:kern w:val="2"/>
                      <w:position w:val="0"/>
                      <w:sz w:val="21"/>
                      <w:szCs w:val="21"/>
                      <w:highlight w:val="none"/>
                      <w:lang w:val="en-US" w:eastAsia="zh-CN" w:bidi="ar-SA"/>
                    </w:rPr>
                  </w:pPr>
                  <w:r>
                    <w:rPr>
                      <w:rFonts w:hint="default" w:ascii="Times New Roman" w:hAnsi="Times New Roman" w:eastAsia="宋体" w:cs="Times New Roman"/>
                      <w:color w:val="auto"/>
                      <w:spacing w:val="0"/>
                      <w:w w:val="100"/>
                      <w:kern w:val="2"/>
                      <w:position w:val="0"/>
                      <w:sz w:val="21"/>
                      <w:szCs w:val="21"/>
                      <w:highlight w:val="none"/>
                      <w:lang w:val="en-US" w:eastAsia="zh-CN" w:bidi="ar-SA"/>
                    </w:rPr>
                    <w:t>保护绿洲农田、保护城市大气和水环境质量、保护荒漠植被、保护农田土壤环境质量</w:t>
                  </w:r>
                </w:p>
              </w:tc>
            </w:tr>
            <w:tr w14:paraId="788111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1192" w:type="pct"/>
                  <w:gridSpan w:val="2"/>
                  <w:tcBorders>
                    <w:top w:val="single" w:color="000000" w:sz="4" w:space="0"/>
                    <w:left w:val="nil"/>
                    <w:bottom w:val="single" w:color="000000" w:sz="4" w:space="0"/>
                    <w:right w:val="single" w:color="000000" w:sz="4" w:space="0"/>
                  </w:tcBorders>
                  <w:noWrap w:val="0"/>
                  <w:vAlign w:val="center"/>
                </w:tcPr>
                <w:p w14:paraId="79CB493E">
                  <w:pPr>
                    <w:pStyle w:val="39"/>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center"/>
                    <w:textAlignment w:val="baseline"/>
                    <w:rPr>
                      <w:rFonts w:hint="default" w:ascii="Times New Roman" w:hAnsi="Times New Roman" w:eastAsia="宋体" w:cs="Times New Roman"/>
                      <w:b/>
                      <w:bCs/>
                      <w:color w:val="auto"/>
                      <w:spacing w:val="0"/>
                      <w:w w:val="100"/>
                      <w:position w:val="0"/>
                      <w:sz w:val="21"/>
                      <w:szCs w:val="21"/>
                      <w:highlight w:val="none"/>
                    </w:rPr>
                  </w:pPr>
                  <w:r>
                    <w:rPr>
                      <w:rFonts w:hint="default" w:ascii="Times New Roman" w:hAnsi="Times New Roman" w:eastAsia="宋体" w:cs="Times New Roman"/>
                      <w:b/>
                      <w:bCs/>
                      <w:color w:val="auto"/>
                      <w:spacing w:val="0"/>
                      <w:w w:val="100"/>
                      <w:position w:val="0"/>
                      <w:sz w:val="21"/>
                      <w:szCs w:val="21"/>
                      <w:highlight w:val="none"/>
                    </w:rPr>
                    <w:t>主要保护措施</w:t>
                  </w:r>
                </w:p>
              </w:tc>
              <w:tc>
                <w:tcPr>
                  <w:tcW w:w="3807" w:type="pct"/>
                  <w:tcBorders>
                    <w:top w:val="single" w:color="000000" w:sz="4" w:space="0"/>
                    <w:left w:val="single" w:color="000000" w:sz="4" w:space="0"/>
                    <w:bottom w:val="single" w:color="000000" w:sz="4" w:space="0"/>
                    <w:right w:val="nil"/>
                  </w:tcBorders>
                  <w:noWrap w:val="0"/>
                  <w:vAlign w:val="center"/>
                </w:tcPr>
                <w:p w14:paraId="3BE38409">
                  <w:pPr>
                    <w:keepNext w:val="0"/>
                    <w:keepLines w:val="0"/>
                    <w:pageBreakBefore w:val="0"/>
                    <w:widowControl w:val="0"/>
                    <w:shd w:val="clear"/>
                    <w:kinsoku/>
                    <w:wordWrap/>
                    <w:overflowPunct/>
                    <w:topLinePunct w:val="0"/>
                    <w:bidi w:val="0"/>
                    <w:snapToGrid/>
                    <w:spacing w:line="240" w:lineRule="auto"/>
                    <w:ind w:left="0" w:leftChars="0" w:right="0" w:firstLine="0"/>
                    <w:jc w:val="both"/>
                    <w:rPr>
                      <w:rFonts w:hint="default" w:ascii="Times New Roman" w:hAnsi="Times New Roman" w:eastAsia="宋体" w:cs="Times New Roman"/>
                      <w:color w:val="auto"/>
                      <w:spacing w:val="0"/>
                      <w:w w:val="100"/>
                      <w:kern w:val="2"/>
                      <w:position w:val="0"/>
                      <w:sz w:val="21"/>
                      <w:szCs w:val="21"/>
                      <w:highlight w:val="none"/>
                      <w:lang w:val="en-US" w:eastAsia="zh-CN" w:bidi="ar-SA"/>
                    </w:rPr>
                  </w:pPr>
                  <w:r>
                    <w:rPr>
                      <w:rFonts w:hint="default" w:ascii="Times New Roman" w:hAnsi="Times New Roman" w:eastAsia="宋体" w:cs="Times New Roman"/>
                      <w:color w:val="auto"/>
                      <w:spacing w:val="0"/>
                      <w:w w:val="100"/>
                      <w:kern w:val="2"/>
                      <w:position w:val="0"/>
                      <w:sz w:val="21"/>
                      <w:szCs w:val="21"/>
                      <w:highlight w:val="none"/>
                      <w:lang w:val="en-US" w:eastAsia="zh-CN" w:bidi="ar-SA"/>
                    </w:rPr>
                    <w:t>节水灌溉、严格控制地下水开采、污染物达标排放、提高城镇建设规划水平、控制城镇建设用地、荒漠草场禁牧休牧 、完善防护林体系、加强农田投入品的使用管理</w:t>
                  </w:r>
                </w:p>
              </w:tc>
            </w:tr>
            <w:tr w14:paraId="295D8E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1192" w:type="pct"/>
                  <w:gridSpan w:val="2"/>
                  <w:tcBorders>
                    <w:top w:val="single" w:color="000000" w:sz="4" w:space="0"/>
                    <w:left w:val="nil"/>
                    <w:right w:val="single" w:color="000000" w:sz="4" w:space="0"/>
                  </w:tcBorders>
                  <w:noWrap w:val="0"/>
                  <w:vAlign w:val="center"/>
                </w:tcPr>
                <w:p w14:paraId="1C9228BB">
                  <w:pPr>
                    <w:pStyle w:val="39"/>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center"/>
                    <w:textAlignment w:val="baseline"/>
                    <w:rPr>
                      <w:rFonts w:hint="default" w:ascii="Times New Roman" w:hAnsi="Times New Roman" w:eastAsia="宋体" w:cs="Times New Roman"/>
                      <w:b/>
                      <w:bCs/>
                      <w:color w:val="auto"/>
                      <w:spacing w:val="0"/>
                      <w:w w:val="100"/>
                      <w:position w:val="0"/>
                      <w:sz w:val="21"/>
                      <w:szCs w:val="21"/>
                      <w:highlight w:val="none"/>
                    </w:rPr>
                  </w:pPr>
                  <w:r>
                    <w:rPr>
                      <w:rFonts w:hint="default" w:ascii="Times New Roman" w:hAnsi="Times New Roman" w:eastAsia="宋体" w:cs="Times New Roman"/>
                      <w:b/>
                      <w:bCs/>
                      <w:color w:val="auto"/>
                      <w:spacing w:val="0"/>
                      <w:w w:val="100"/>
                      <w:position w:val="0"/>
                      <w:sz w:val="21"/>
                      <w:szCs w:val="21"/>
                      <w:highlight w:val="none"/>
                    </w:rPr>
                    <w:t>适宜发展方向</w:t>
                  </w:r>
                </w:p>
              </w:tc>
              <w:tc>
                <w:tcPr>
                  <w:tcW w:w="3807" w:type="pct"/>
                  <w:tcBorders>
                    <w:top w:val="single" w:color="000000" w:sz="4" w:space="0"/>
                    <w:left w:val="single" w:color="000000" w:sz="4" w:space="0"/>
                    <w:right w:val="nil"/>
                  </w:tcBorders>
                  <w:noWrap w:val="0"/>
                  <w:vAlign w:val="center"/>
                </w:tcPr>
                <w:p w14:paraId="2B77A169">
                  <w:pPr>
                    <w:keepNext w:val="0"/>
                    <w:keepLines w:val="0"/>
                    <w:pageBreakBefore w:val="0"/>
                    <w:widowControl w:val="0"/>
                    <w:shd w:val="clear"/>
                    <w:kinsoku/>
                    <w:wordWrap/>
                    <w:overflowPunct/>
                    <w:topLinePunct w:val="0"/>
                    <w:bidi w:val="0"/>
                    <w:snapToGrid/>
                    <w:spacing w:line="240" w:lineRule="auto"/>
                    <w:ind w:left="0" w:leftChars="0" w:right="0" w:firstLine="0"/>
                    <w:jc w:val="both"/>
                    <w:rPr>
                      <w:rFonts w:hint="default" w:ascii="Times New Roman" w:hAnsi="Times New Roman" w:eastAsia="宋体" w:cs="Times New Roman"/>
                      <w:color w:val="auto"/>
                      <w:spacing w:val="0"/>
                      <w:w w:val="100"/>
                      <w:kern w:val="2"/>
                      <w:position w:val="0"/>
                      <w:sz w:val="21"/>
                      <w:szCs w:val="21"/>
                      <w:highlight w:val="none"/>
                      <w:lang w:val="en-US" w:eastAsia="zh-CN" w:bidi="ar-SA"/>
                    </w:rPr>
                  </w:pPr>
                  <w:r>
                    <w:rPr>
                      <w:rFonts w:hint="default" w:ascii="Times New Roman" w:hAnsi="Times New Roman" w:eastAsia="宋体" w:cs="Times New Roman"/>
                      <w:color w:val="auto"/>
                      <w:spacing w:val="0"/>
                      <w:w w:val="100"/>
                      <w:kern w:val="2"/>
                      <w:position w:val="0"/>
                      <w:sz w:val="21"/>
                      <w:szCs w:val="21"/>
                      <w:highlight w:val="none"/>
                      <w:lang w:val="en-US" w:eastAsia="zh-CN" w:bidi="ar-SA"/>
                    </w:rPr>
                    <w:t>发展优质高效农牧业，美化城市环境，建设健康、稳定的城乡生态系统与人居环境</w:t>
                  </w:r>
                </w:p>
              </w:tc>
            </w:tr>
          </w:tbl>
          <w:p w14:paraId="7C3C1367">
            <w:pPr>
              <w:pStyle w:val="39"/>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highlight w:val="none"/>
                <w:lang w:val="en-US" w:eastAsia="zh-CN"/>
              </w:rPr>
              <w:t>本</w:t>
            </w:r>
            <w:r>
              <w:rPr>
                <w:rFonts w:hint="default" w:ascii="Times New Roman" w:hAnsi="Times New Roman" w:eastAsia="宋体" w:cs="Times New Roman"/>
                <w:color w:val="auto"/>
                <w:spacing w:val="0"/>
                <w:w w:val="100"/>
                <w:position w:val="0"/>
                <w:sz w:val="24"/>
                <w:szCs w:val="24"/>
                <w:highlight w:val="none"/>
                <w:lang w:val="en-US" w:eastAsia="zh-CN"/>
              </w:rPr>
              <w:t>项目位于新疆维吾尔自治区昌吉回族自治州昌吉市</w:t>
            </w:r>
            <w:r>
              <w:rPr>
                <w:rFonts w:hint="default" w:ascii="Times New Roman" w:hAnsi="Times New Roman" w:cs="Times New Roman"/>
                <w:color w:val="auto"/>
                <w:spacing w:val="0"/>
                <w:w w:val="100"/>
                <w:position w:val="0"/>
                <w:sz w:val="24"/>
                <w:szCs w:val="24"/>
                <w:highlight w:val="none"/>
                <w:lang w:val="en-US" w:eastAsia="zh-CN"/>
              </w:rPr>
              <w:t>库尔阿根河</w:t>
            </w:r>
            <w:r>
              <w:rPr>
                <w:rFonts w:hint="default" w:ascii="Times New Roman" w:hAnsi="Times New Roman" w:eastAsia="宋体" w:cs="Times New Roman"/>
                <w:color w:val="auto"/>
                <w:spacing w:val="0"/>
                <w:w w:val="100"/>
                <w:position w:val="0"/>
                <w:sz w:val="24"/>
                <w:szCs w:val="24"/>
                <w:highlight w:val="none"/>
                <w:lang w:val="en-US" w:eastAsia="zh-CN"/>
              </w:rPr>
              <w:t>流域南距昌吉市中心约</w:t>
            </w:r>
            <w:r>
              <w:rPr>
                <w:rFonts w:hint="default" w:ascii="Times New Roman" w:hAnsi="Times New Roman" w:cs="Times New Roman"/>
                <w:color w:val="auto"/>
                <w:spacing w:val="0"/>
                <w:w w:val="100"/>
                <w:position w:val="0"/>
                <w:sz w:val="24"/>
                <w:szCs w:val="24"/>
                <w:highlight w:val="none"/>
                <w:lang w:val="en-US" w:eastAsia="zh-CN"/>
              </w:rPr>
              <w:t>25km</w:t>
            </w:r>
            <w:r>
              <w:rPr>
                <w:rFonts w:hint="default" w:ascii="Times New Roman" w:hAnsi="Times New Roman" w:eastAsia="宋体" w:cs="Times New Roman"/>
                <w:color w:val="auto"/>
                <w:spacing w:val="0"/>
                <w:w w:val="100"/>
                <w:position w:val="0"/>
                <w:sz w:val="24"/>
                <w:szCs w:val="24"/>
                <w:highlight w:val="none"/>
                <w:lang w:val="en-US" w:eastAsia="zh-CN"/>
              </w:rPr>
              <w:t>，项目区卫星图片见附图1。</w:t>
            </w:r>
          </w:p>
          <w:p w14:paraId="0A11B042">
            <w:pPr>
              <w:keepNext w:val="0"/>
              <w:keepLines w:val="0"/>
              <w:pageBreakBefore w:val="0"/>
              <w:widowControl/>
              <w:numPr>
                <w:ilvl w:val="0"/>
                <w:numId w:val="0"/>
              </w:numPr>
              <w:suppressLineNumbers w:val="0"/>
              <w:shd w:val="clear"/>
              <w:kinsoku/>
              <w:wordWrap/>
              <w:overflowPunct/>
              <w:topLinePunct w:val="0"/>
              <w:bidi w:val="0"/>
              <w:snapToGrid/>
              <w:spacing w:line="360" w:lineRule="auto"/>
              <w:jc w:val="left"/>
              <w:rPr>
                <w:rFonts w:hint="default" w:ascii="Times New Roman" w:hAnsi="Times New Roman" w:eastAsia="宋体" w:cs="Times New Roman"/>
                <w:b/>
                <w:bCs/>
                <w:color w:val="auto"/>
                <w:spacing w:val="0"/>
                <w:kern w:val="0"/>
                <w:position w:val="0"/>
                <w:sz w:val="24"/>
                <w:szCs w:val="24"/>
                <w:highlight w:val="none"/>
                <w:lang w:val="en-US" w:eastAsia="zh-CN" w:bidi="ar"/>
              </w:rPr>
            </w:pPr>
            <w:r>
              <w:rPr>
                <w:rFonts w:hint="default" w:ascii="Times New Roman" w:hAnsi="Times New Roman" w:eastAsia="宋体" w:cs="Times New Roman"/>
                <w:b/>
                <w:bCs/>
                <w:color w:val="auto"/>
                <w:spacing w:val="0"/>
                <w:kern w:val="0"/>
                <w:position w:val="0"/>
                <w:sz w:val="24"/>
                <w:szCs w:val="24"/>
                <w:highlight w:val="none"/>
                <w:lang w:val="en-US" w:eastAsia="zh-CN" w:bidi="ar"/>
              </w:rPr>
              <w:t>1.3生态环境现状</w:t>
            </w:r>
          </w:p>
          <w:p w14:paraId="0681EC8D">
            <w:pPr>
              <w:shd w:val="clear"/>
              <w:spacing w:line="360" w:lineRule="auto"/>
              <w:rPr>
                <w:rFonts w:hint="default" w:ascii="Times New Roman" w:hAnsi="Times New Roman" w:eastAsia="宋体" w:cs="Times New Roman"/>
                <w:b/>
                <w:bCs/>
                <w:color w:val="auto"/>
                <w:spacing w:val="0"/>
                <w:w w:val="100"/>
                <w:sz w:val="24"/>
                <w:highlight w:val="none"/>
              </w:rPr>
            </w:pPr>
            <w:r>
              <w:rPr>
                <w:rFonts w:hint="default" w:ascii="Times New Roman" w:hAnsi="Times New Roman" w:eastAsia="宋体" w:cs="Times New Roman"/>
                <w:b/>
                <w:bCs/>
                <w:color w:val="auto"/>
                <w:spacing w:val="0"/>
                <w:w w:val="100"/>
                <w:sz w:val="24"/>
                <w:highlight w:val="none"/>
                <w:lang w:val="en-US" w:eastAsia="zh-CN"/>
              </w:rPr>
              <w:t>1.3.1</w:t>
            </w:r>
            <w:r>
              <w:rPr>
                <w:rFonts w:hint="default" w:ascii="Times New Roman" w:hAnsi="Times New Roman" w:eastAsia="宋体" w:cs="Times New Roman"/>
                <w:b/>
                <w:bCs/>
                <w:color w:val="auto"/>
                <w:spacing w:val="0"/>
                <w:w w:val="100"/>
                <w:sz w:val="24"/>
                <w:highlight w:val="none"/>
              </w:rPr>
              <w:t>土地利用现状调查</w:t>
            </w:r>
          </w:p>
          <w:p w14:paraId="789627A9">
            <w:pPr>
              <w:widowControl/>
              <w:shd w:val="clear"/>
              <w:spacing w:line="360" w:lineRule="auto"/>
              <w:ind w:firstLine="480" w:firstLineChars="200"/>
              <w:jc w:val="left"/>
              <w:rPr>
                <w:rFonts w:hint="default" w:ascii="Times New Roman" w:hAnsi="Times New Roman" w:eastAsia="宋体" w:cs="Times New Roman"/>
                <w:bCs/>
                <w:color w:val="auto"/>
                <w:spacing w:val="0"/>
                <w:sz w:val="24"/>
                <w:highlight w:val="none"/>
                <w:lang w:val="en-US" w:eastAsia="zh-CN"/>
              </w:rPr>
            </w:pPr>
            <w:r>
              <w:rPr>
                <w:rFonts w:hint="default" w:ascii="Times New Roman" w:hAnsi="Times New Roman" w:eastAsia="宋体" w:cs="Times New Roman"/>
                <w:bCs/>
                <w:color w:val="auto"/>
                <w:spacing w:val="0"/>
                <w:w w:val="100"/>
                <w:sz w:val="24"/>
                <w:highlight w:val="none"/>
              </w:rPr>
              <w:t>项目位于</w:t>
            </w:r>
            <w:r>
              <w:rPr>
                <w:rFonts w:hint="default" w:ascii="Times New Roman" w:hAnsi="Times New Roman" w:eastAsia="宋体" w:cs="Times New Roman"/>
                <w:color w:val="auto"/>
                <w:spacing w:val="0"/>
                <w:w w:val="100"/>
                <w:kern w:val="0"/>
                <w:sz w:val="24"/>
                <w:highlight w:val="none"/>
                <w:lang w:eastAsia="zh-CN" w:bidi="ar"/>
              </w:rPr>
              <w:t>昌吉市三工镇</w:t>
            </w:r>
            <w:r>
              <w:rPr>
                <w:rFonts w:hint="default" w:ascii="Times New Roman" w:hAnsi="Times New Roman" w:eastAsia="宋体" w:cs="Times New Roman"/>
                <w:color w:val="auto"/>
                <w:spacing w:val="0"/>
                <w:w w:val="100"/>
                <w:kern w:val="0"/>
                <w:sz w:val="24"/>
                <w:highlight w:val="none"/>
                <w:lang w:bidi="ar"/>
              </w:rPr>
              <w:t>，</w:t>
            </w:r>
            <w:r>
              <w:rPr>
                <w:rFonts w:hint="default" w:ascii="Times New Roman" w:hAnsi="Times New Roman" w:eastAsia="宋体" w:cs="Times New Roman"/>
                <w:color w:val="auto"/>
                <w:spacing w:val="0"/>
                <w:w w:val="100"/>
                <w:position w:val="0"/>
                <w:sz w:val="24"/>
                <w:szCs w:val="24"/>
                <w:highlight w:val="none"/>
              </w:rPr>
              <w:t>工程区域位于天山北麓，</w:t>
            </w:r>
            <w:r>
              <w:rPr>
                <w:rFonts w:hint="eastAsia" w:cs="Times New Roman"/>
                <w:color w:val="auto"/>
                <w:spacing w:val="0"/>
                <w:w w:val="100"/>
                <w:position w:val="0"/>
                <w:sz w:val="24"/>
                <w:szCs w:val="24"/>
                <w:highlight w:val="none"/>
                <w:lang w:eastAsia="zh-CN"/>
              </w:rPr>
              <w:t>准噶尔</w:t>
            </w:r>
            <w:r>
              <w:rPr>
                <w:rFonts w:hint="default" w:ascii="Times New Roman" w:hAnsi="Times New Roman" w:eastAsia="宋体" w:cs="Times New Roman"/>
                <w:color w:val="auto"/>
                <w:spacing w:val="0"/>
                <w:w w:val="100"/>
                <w:position w:val="0"/>
                <w:sz w:val="24"/>
                <w:szCs w:val="24"/>
                <w:highlight w:val="none"/>
              </w:rPr>
              <w:t>盆地南缘，受南部天山的影响，地势南高北低，纵坡较大，总体地势由南西倾向北东，呈阶梯状，受</w:t>
            </w:r>
            <w:r>
              <w:rPr>
                <w:rFonts w:hint="default" w:ascii="Times New Roman" w:hAnsi="Times New Roman" w:cs="Times New Roman"/>
                <w:color w:val="auto"/>
                <w:spacing w:val="0"/>
                <w:w w:val="100"/>
                <w:position w:val="0"/>
                <w:sz w:val="24"/>
                <w:szCs w:val="24"/>
                <w:highlight w:val="none"/>
                <w:lang w:eastAsia="zh-CN"/>
              </w:rPr>
              <w:t>库尔阿根河</w:t>
            </w:r>
            <w:r>
              <w:rPr>
                <w:rFonts w:hint="default" w:ascii="Times New Roman" w:hAnsi="Times New Roman" w:eastAsia="宋体" w:cs="Times New Roman"/>
                <w:color w:val="auto"/>
                <w:spacing w:val="0"/>
                <w:w w:val="100"/>
                <w:position w:val="0"/>
                <w:sz w:val="24"/>
                <w:szCs w:val="24"/>
                <w:highlight w:val="none"/>
              </w:rPr>
              <w:t>对河道下切影响，山区沟梁相间，地形复杂，区内气候、植被及水文等要素，垂直分带十分明显</w:t>
            </w:r>
            <w:r>
              <w:rPr>
                <w:rFonts w:hint="default" w:ascii="Times New Roman" w:hAnsi="Times New Roman" w:eastAsia="宋体" w:cs="Times New Roman"/>
                <w:bCs/>
                <w:color w:val="auto"/>
                <w:spacing w:val="0"/>
                <w:sz w:val="24"/>
                <w:highlight w:val="none"/>
                <w:lang w:val="en-US" w:eastAsia="zh-CN"/>
              </w:rPr>
              <w:t>东邻</w:t>
            </w:r>
            <w:r>
              <w:rPr>
                <w:rFonts w:hint="default" w:ascii="Times New Roman" w:hAnsi="Times New Roman" w:eastAsia="宋体" w:cs="Times New Roman"/>
                <w:bCs/>
                <w:color w:val="auto"/>
                <w:spacing w:val="0"/>
                <w:sz w:val="24"/>
                <w:highlight w:val="none"/>
                <w:lang w:val="en-US" w:eastAsia="zh-CN"/>
              </w:rPr>
              <w:fldChar w:fldCharType="begin"/>
            </w:r>
            <w:r>
              <w:rPr>
                <w:rFonts w:hint="default" w:ascii="Times New Roman" w:hAnsi="Times New Roman" w:eastAsia="宋体" w:cs="Times New Roman"/>
                <w:bCs/>
                <w:color w:val="auto"/>
                <w:spacing w:val="0"/>
                <w:sz w:val="24"/>
                <w:highlight w:val="none"/>
                <w:lang w:val="en-US" w:eastAsia="zh-CN"/>
              </w:rPr>
              <w:instrText xml:space="preserve"> HYPERLINK "https://baike.baidu.com/item/%E6%98%8C%E5%90%89%E5%B8%82/0?fromModule=lemma_inlink" \t "https://baike.baidu.com/item/%E5%91%BC%E5%9B%BE%E5%A3%81%E5%8E%BF/_blank" </w:instrText>
            </w:r>
            <w:r>
              <w:rPr>
                <w:rFonts w:hint="default" w:ascii="Times New Roman" w:hAnsi="Times New Roman" w:eastAsia="宋体" w:cs="Times New Roman"/>
                <w:bCs/>
                <w:color w:val="auto"/>
                <w:spacing w:val="0"/>
                <w:sz w:val="24"/>
                <w:highlight w:val="none"/>
                <w:lang w:val="en-US" w:eastAsia="zh-CN"/>
              </w:rPr>
              <w:fldChar w:fldCharType="separate"/>
            </w:r>
            <w:r>
              <w:rPr>
                <w:rFonts w:hint="default" w:ascii="Times New Roman" w:hAnsi="Times New Roman" w:eastAsia="宋体" w:cs="Times New Roman"/>
                <w:bCs/>
                <w:color w:val="auto"/>
                <w:spacing w:val="0"/>
                <w:sz w:val="24"/>
                <w:highlight w:val="none"/>
                <w:lang w:val="en-US" w:eastAsia="zh-CN"/>
              </w:rPr>
              <w:t>乌鲁木齐市</w:t>
            </w:r>
            <w:r>
              <w:rPr>
                <w:rFonts w:hint="default" w:ascii="Times New Roman" w:hAnsi="Times New Roman" w:eastAsia="宋体" w:cs="Times New Roman"/>
                <w:bCs/>
                <w:color w:val="auto"/>
                <w:spacing w:val="0"/>
                <w:sz w:val="24"/>
                <w:highlight w:val="none"/>
                <w:lang w:val="en-US" w:eastAsia="zh-CN"/>
              </w:rPr>
              <w:fldChar w:fldCharType="end"/>
            </w:r>
            <w:r>
              <w:rPr>
                <w:rFonts w:hint="default" w:ascii="Times New Roman" w:hAnsi="Times New Roman" w:eastAsia="宋体" w:cs="Times New Roman"/>
                <w:bCs/>
                <w:color w:val="auto"/>
                <w:spacing w:val="0"/>
                <w:sz w:val="24"/>
                <w:highlight w:val="none"/>
                <w:lang w:val="en-US" w:eastAsia="zh-CN"/>
              </w:rPr>
              <w:t>，西接</w:t>
            </w:r>
            <w:r>
              <w:rPr>
                <w:rFonts w:hint="default" w:ascii="Times New Roman" w:hAnsi="Times New Roman" w:eastAsia="宋体" w:cs="Times New Roman"/>
                <w:bCs/>
                <w:color w:val="auto"/>
                <w:spacing w:val="0"/>
                <w:sz w:val="24"/>
                <w:highlight w:val="none"/>
                <w:lang w:val="en-US" w:eastAsia="zh-CN"/>
              </w:rPr>
              <w:fldChar w:fldCharType="begin"/>
            </w:r>
            <w:r>
              <w:rPr>
                <w:rFonts w:hint="default" w:ascii="Times New Roman" w:hAnsi="Times New Roman" w:eastAsia="宋体" w:cs="Times New Roman"/>
                <w:bCs/>
                <w:color w:val="auto"/>
                <w:spacing w:val="0"/>
                <w:sz w:val="24"/>
                <w:highlight w:val="none"/>
                <w:lang w:val="en-US" w:eastAsia="zh-CN"/>
              </w:rPr>
              <w:instrText xml:space="preserve"> HYPERLINK "https://baike.baidu.com/item/%E7%8E%9B%E7%BA%B3%E6%96%AF%E5%8E%BF/0?fromModule=lemma_inlink" \t "https://baike.baidu.com/item/%E5%91%BC%E5%9B%BE%E5%A3%81%E5%8E%BF/_blank" </w:instrText>
            </w:r>
            <w:r>
              <w:rPr>
                <w:rFonts w:hint="default" w:ascii="Times New Roman" w:hAnsi="Times New Roman" w:eastAsia="宋体" w:cs="Times New Roman"/>
                <w:bCs/>
                <w:color w:val="auto"/>
                <w:spacing w:val="0"/>
                <w:sz w:val="24"/>
                <w:highlight w:val="none"/>
                <w:lang w:val="en-US" w:eastAsia="zh-CN"/>
              </w:rPr>
              <w:fldChar w:fldCharType="separate"/>
            </w:r>
            <w:r>
              <w:rPr>
                <w:rFonts w:hint="default" w:ascii="Times New Roman" w:hAnsi="Times New Roman" w:eastAsia="宋体" w:cs="Times New Roman"/>
                <w:bCs/>
                <w:color w:val="auto"/>
                <w:spacing w:val="0"/>
                <w:sz w:val="24"/>
                <w:highlight w:val="none"/>
                <w:lang w:val="en-US" w:eastAsia="zh-CN"/>
              </w:rPr>
              <w:t>呼图壁县</w:t>
            </w:r>
            <w:r>
              <w:rPr>
                <w:rFonts w:hint="default" w:ascii="Times New Roman" w:hAnsi="Times New Roman" w:eastAsia="宋体" w:cs="Times New Roman"/>
                <w:bCs/>
                <w:color w:val="auto"/>
                <w:spacing w:val="0"/>
                <w:sz w:val="24"/>
                <w:highlight w:val="none"/>
                <w:lang w:val="en-US" w:eastAsia="zh-CN"/>
              </w:rPr>
              <w:fldChar w:fldCharType="end"/>
            </w:r>
            <w:r>
              <w:rPr>
                <w:rFonts w:hint="default" w:ascii="Times New Roman" w:hAnsi="Times New Roman" w:eastAsia="宋体" w:cs="Times New Roman"/>
                <w:bCs/>
                <w:color w:val="auto"/>
                <w:spacing w:val="0"/>
                <w:sz w:val="24"/>
                <w:highlight w:val="none"/>
                <w:lang w:val="en-US" w:eastAsia="zh-CN"/>
              </w:rPr>
              <w:t>。本项目土地利用现状为滩地。</w:t>
            </w:r>
          </w:p>
          <w:p w14:paraId="63D409F4">
            <w:pPr>
              <w:shd w:val="clear"/>
              <w:spacing w:line="360" w:lineRule="auto"/>
              <w:rPr>
                <w:rFonts w:hint="default" w:ascii="Times New Roman" w:hAnsi="Times New Roman" w:eastAsia="宋体" w:cs="Times New Roman"/>
                <w:b/>
                <w:bCs/>
                <w:color w:val="auto"/>
                <w:spacing w:val="0"/>
                <w:w w:val="100"/>
                <w:sz w:val="24"/>
                <w:highlight w:val="none"/>
              </w:rPr>
            </w:pPr>
            <w:r>
              <w:rPr>
                <w:rFonts w:hint="default" w:ascii="Times New Roman" w:hAnsi="Times New Roman" w:eastAsia="宋体" w:cs="Times New Roman"/>
                <w:b/>
                <w:bCs/>
                <w:color w:val="auto"/>
                <w:spacing w:val="0"/>
                <w:w w:val="100"/>
                <w:sz w:val="24"/>
                <w:highlight w:val="none"/>
                <w:lang w:val="en-US" w:eastAsia="zh-CN"/>
              </w:rPr>
              <w:t>1.</w:t>
            </w:r>
            <w:r>
              <w:rPr>
                <w:rFonts w:hint="default" w:ascii="Times New Roman" w:hAnsi="Times New Roman" w:eastAsia="宋体" w:cs="Times New Roman"/>
                <w:b/>
                <w:bCs/>
                <w:color w:val="auto"/>
                <w:spacing w:val="0"/>
                <w:w w:val="100"/>
                <w:sz w:val="24"/>
                <w:highlight w:val="none"/>
              </w:rPr>
              <w:t>3.2土壤类型现状调查</w:t>
            </w:r>
          </w:p>
          <w:p w14:paraId="1C20F4D3">
            <w:pPr>
              <w:widowControl/>
              <w:shd w:val="clear"/>
              <w:adjustRightInd w:val="0"/>
              <w:snapToGrid w:val="0"/>
              <w:spacing w:line="360" w:lineRule="auto"/>
              <w:ind w:firstLine="480" w:firstLineChars="200"/>
              <w:jc w:val="left"/>
              <w:rPr>
                <w:rFonts w:hint="default" w:ascii="Times New Roman" w:hAnsi="Times New Roman" w:eastAsia="宋体" w:cs="Times New Roman"/>
                <w:color w:val="auto"/>
                <w:spacing w:val="0"/>
                <w:w w:val="100"/>
                <w:sz w:val="24"/>
                <w:highlight w:val="none"/>
                <w:lang w:val="en-US" w:eastAsia="zh-CN"/>
              </w:rPr>
            </w:pPr>
            <w:r>
              <w:rPr>
                <w:rFonts w:hint="default" w:ascii="Times New Roman" w:hAnsi="Times New Roman" w:eastAsia="宋体" w:cs="Times New Roman"/>
                <w:color w:val="auto"/>
                <w:spacing w:val="0"/>
                <w:w w:val="100"/>
                <w:sz w:val="24"/>
                <w:highlight w:val="none"/>
              </w:rPr>
              <w:t>按照《中国土壤》和《新疆土壤》等著述的土壤分类系统，依据《新疆维吾尔自治区土壤类型图》和野外实地调查，本项目土壤类型主要为淡棕钙土</w:t>
            </w:r>
            <w:r>
              <w:rPr>
                <w:rFonts w:hint="default" w:ascii="Times New Roman" w:hAnsi="Times New Roman" w:eastAsia="宋体" w:cs="Times New Roman"/>
                <w:color w:val="auto"/>
                <w:spacing w:val="0"/>
                <w:w w:val="100"/>
                <w:sz w:val="24"/>
                <w:highlight w:val="none"/>
                <w:lang w:eastAsia="zh-CN"/>
              </w:rPr>
              <w:t>。</w:t>
            </w:r>
          </w:p>
          <w:p w14:paraId="630A5AEB">
            <w:pPr>
              <w:widowControl/>
              <w:shd w:val="clear"/>
              <w:adjustRightInd w:val="0"/>
              <w:snapToGrid w:val="0"/>
              <w:spacing w:line="360" w:lineRule="auto"/>
              <w:jc w:val="left"/>
              <w:rPr>
                <w:rFonts w:hint="default" w:ascii="Times New Roman" w:hAnsi="Times New Roman" w:eastAsia="宋体" w:cs="Times New Roman"/>
                <w:color w:val="0000E1"/>
                <w:spacing w:val="0"/>
                <w:w w:val="100"/>
                <w:sz w:val="24"/>
                <w:highlight w:val="none"/>
              </w:rPr>
            </w:pPr>
            <w:r>
              <w:rPr>
                <w:rFonts w:hint="default" w:ascii="Times New Roman" w:hAnsi="Times New Roman" w:eastAsia="宋体" w:cs="Times New Roman"/>
                <w:b/>
                <w:bCs/>
                <w:color w:val="0000E1"/>
                <w:spacing w:val="0"/>
                <w:w w:val="100"/>
                <w:sz w:val="24"/>
                <w:highlight w:val="none"/>
                <w:lang w:val="en-US" w:eastAsia="zh-CN"/>
              </w:rPr>
              <w:t>1.</w:t>
            </w:r>
            <w:r>
              <w:rPr>
                <w:rFonts w:hint="default" w:ascii="Times New Roman" w:hAnsi="Times New Roman" w:eastAsia="宋体" w:cs="Times New Roman"/>
                <w:b/>
                <w:bCs/>
                <w:color w:val="0000E1"/>
                <w:spacing w:val="0"/>
                <w:w w:val="100"/>
                <w:sz w:val="24"/>
                <w:highlight w:val="none"/>
              </w:rPr>
              <w:t>3.3植物资源现状调查</w:t>
            </w:r>
          </w:p>
          <w:p w14:paraId="7C114229">
            <w:pPr>
              <w:shd w:val="clear"/>
              <w:spacing w:line="360" w:lineRule="auto"/>
              <w:ind w:firstLine="480"/>
              <w:rPr>
                <w:rFonts w:hint="default" w:ascii="Times New Roman" w:hAnsi="Times New Roman" w:eastAsia="宋体" w:cs="Times New Roman"/>
                <w:bCs/>
                <w:color w:val="0000E1"/>
                <w:spacing w:val="0"/>
                <w:sz w:val="24"/>
                <w:highlight w:val="none"/>
                <w:lang w:eastAsia="zh-CN"/>
              </w:rPr>
            </w:pPr>
            <w:r>
              <w:rPr>
                <w:rFonts w:hint="default" w:ascii="Times New Roman" w:hAnsi="Times New Roman" w:eastAsia="宋体" w:cs="Times New Roman"/>
                <w:color w:val="0000E1"/>
                <w:spacing w:val="0"/>
                <w:w w:val="100"/>
                <w:sz w:val="24"/>
                <w:highlight w:val="none"/>
                <w:lang w:val="en-US" w:eastAsia="zh-CN"/>
              </w:rPr>
              <w:t>本项目占地为</w:t>
            </w:r>
            <w:r>
              <w:rPr>
                <w:rFonts w:hint="default" w:ascii="Times New Roman" w:hAnsi="Times New Roman" w:eastAsia="宋体" w:cs="Times New Roman"/>
                <w:bCs/>
                <w:color w:val="0000E1"/>
                <w:spacing w:val="0"/>
                <w:sz w:val="24"/>
                <w:highlight w:val="none"/>
                <w:lang w:val="en-US" w:eastAsia="zh-CN"/>
              </w:rPr>
              <w:t>滩地</w:t>
            </w:r>
            <w:r>
              <w:rPr>
                <w:rFonts w:hint="default" w:ascii="Times New Roman" w:hAnsi="Times New Roman" w:eastAsia="宋体" w:cs="Times New Roman"/>
                <w:color w:val="0000E1"/>
                <w:spacing w:val="0"/>
                <w:w w:val="100"/>
                <w:sz w:val="24"/>
                <w:highlight w:val="none"/>
                <w:lang w:val="en-US" w:eastAsia="zh-CN"/>
              </w:rPr>
              <w:t>，</w:t>
            </w:r>
            <w:r>
              <w:rPr>
                <w:rFonts w:hint="default" w:ascii="Times New Roman" w:hAnsi="Times New Roman" w:eastAsia="宋体" w:cs="Times New Roman"/>
                <w:bCs/>
                <w:color w:val="0000E1"/>
                <w:spacing w:val="0"/>
                <w:w w:val="100"/>
                <w:sz w:val="24"/>
                <w:highlight w:val="none"/>
                <w:lang w:val="en-US" w:eastAsia="zh-CN"/>
              </w:rPr>
              <w:t>植被覆盖度约为10%，</w:t>
            </w:r>
            <w:r>
              <w:rPr>
                <w:rStyle w:val="71"/>
                <w:rFonts w:hint="default" w:ascii="Times New Roman" w:hAnsi="Times New Roman" w:eastAsia="宋体" w:cs="Times New Roman"/>
                <w:color w:val="0000E1"/>
                <w:spacing w:val="0"/>
                <w:sz w:val="24"/>
                <w:highlight w:val="none"/>
                <w:lang w:val="en-US" w:eastAsia="zh-CN"/>
              </w:rPr>
              <w:t>根据现状调查和有关资料显示，项目区不涉及国家级和省级保护植物</w:t>
            </w:r>
            <w:r>
              <w:rPr>
                <w:rStyle w:val="71"/>
                <w:rFonts w:hint="eastAsia" w:cs="Times New Roman"/>
                <w:color w:val="0000E1"/>
                <w:spacing w:val="0"/>
                <w:sz w:val="24"/>
                <w:highlight w:val="none"/>
                <w:lang w:val="en-US" w:eastAsia="zh-CN"/>
              </w:rPr>
              <w:t>，项目区沿线道路两侧为农田，主要种植小麦，玉米等作物，本项目建设不占用农田用地</w:t>
            </w:r>
            <w:r>
              <w:rPr>
                <w:rFonts w:hint="default" w:ascii="Times New Roman" w:hAnsi="Times New Roman" w:eastAsia="宋体" w:cs="Times New Roman"/>
                <w:color w:val="0000E1"/>
                <w:spacing w:val="0"/>
                <w:sz w:val="24"/>
                <w:highlight w:val="none"/>
                <w:lang w:eastAsia="zh-CN"/>
              </w:rPr>
              <w:t>。</w:t>
            </w:r>
          </w:p>
          <w:p w14:paraId="42D46B24">
            <w:pPr>
              <w:shd w:val="clear"/>
              <w:adjustRightInd w:val="0"/>
              <w:spacing w:line="360" w:lineRule="auto"/>
              <w:rPr>
                <w:rFonts w:hint="default" w:ascii="Times New Roman" w:hAnsi="Times New Roman" w:eastAsia="宋体" w:cs="Times New Roman"/>
                <w:b/>
                <w:bCs/>
                <w:color w:val="auto"/>
                <w:spacing w:val="0"/>
                <w:w w:val="100"/>
                <w:sz w:val="24"/>
                <w:highlight w:val="none"/>
              </w:rPr>
            </w:pPr>
            <w:r>
              <w:rPr>
                <w:rFonts w:hint="default" w:ascii="Times New Roman" w:hAnsi="Times New Roman" w:eastAsia="宋体" w:cs="Times New Roman"/>
                <w:b/>
                <w:bCs/>
                <w:color w:val="auto"/>
                <w:spacing w:val="0"/>
                <w:w w:val="100"/>
                <w:sz w:val="24"/>
                <w:highlight w:val="none"/>
                <w:lang w:val="en-US" w:eastAsia="zh-CN"/>
              </w:rPr>
              <w:t>1.</w:t>
            </w:r>
            <w:r>
              <w:rPr>
                <w:rFonts w:hint="default" w:ascii="Times New Roman" w:hAnsi="Times New Roman" w:eastAsia="宋体" w:cs="Times New Roman"/>
                <w:b/>
                <w:bCs/>
                <w:color w:val="auto"/>
                <w:spacing w:val="0"/>
                <w:w w:val="100"/>
                <w:sz w:val="24"/>
                <w:highlight w:val="none"/>
              </w:rPr>
              <w:t>3.4野生动物资源现状调查</w:t>
            </w:r>
          </w:p>
          <w:p w14:paraId="5484496B">
            <w:pPr>
              <w:widowControl/>
              <w:shd w:val="clear"/>
              <w:spacing w:line="360" w:lineRule="auto"/>
              <w:ind w:firstLine="480" w:firstLineChars="200"/>
              <w:jc w:val="left"/>
              <w:rPr>
                <w:rFonts w:hint="default" w:ascii="Times New Roman" w:hAnsi="Times New Roman" w:eastAsia="宋体" w:cs="Times New Roman"/>
                <w:b/>
                <w:bCs/>
                <w:color w:val="auto"/>
                <w:spacing w:val="0"/>
                <w:kern w:val="0"/>
                <w:position w:val="0"/>
                <w:sz w:val="24"/>
                <w:szCs w:val="24"/>
                <w:highlight w:val="none"/>
                <w:lang w:val="en-US" w:eastAsia="zh-CN" w:bidi="ar"/>
              </w:rPr>
            </w:pPr>
            <w:r>
              <w:rPr>
                <w:rStyle w:val="71"/>
                <w:rFonts w:hint="default" w:ascii="Times New Roman" w:hAnsi="Times New Roman" w:eastAsia="宋体" w:cs="Times New Roman"/>
                <w:color w:val="auto"/>
                <w:spacing w:val="0"/>
                <w:w w:val="100"/>
                <w:sz w:val="24"/>
                <w:highlight w:val="none"/>
              </w:rPr>
              <w:t>本项目所在区域主要为</w:t>
            </w:r>
            <w:r>
              <w:rPr>
                <w:rFonts w:hint="default" w:ascii="Times New Roman" w:hAnsi="Times New Roman" w:eastAsia="宋体" w:cs="Times New Roman"/>
                <w:bCs/>
                <w:color w:val="auto"/>
                <w:spacing w:val="0"/>
                <w:sz w:val="24"/>
                <w:highlight w:val="none"/>
                <w:lang w:val="en-US" w:eastAsia="zh-CN"/>
              </w:rPr>
              <w:t>滩地</w:t>
            </w:r>
            <w:r>
              <w:rPr>
                <w:rFonts w:hint="default" w:ascii="Times New Roman" w:hAnsi="Times New Roman" w:eastAsia="宋体" w:cs="Times New Roman"/>
                <w:snapToGrid w:val="0"/>
                <w:color w:val="auto"/>
                <w:spacing w:val="0"/>
                <w:w w:val="100"/>
                <w:sz w:val="24"/>
                <w:highlight w:val="none"/>
              </w:rPr>
              <w:t>，</w:t>
            </w:r>
            <w:r>
              <w:rPr>
                <w:rStyle w:val="71"/>
                <w:rFonts w:hint="default" w:ascii="Times New Roman" w:hAnsi="Times New Roman" w:eastAsia="宋体" w:cs="Times New Roman"/>
                <w:color w:val="auto"/>
                <w:spacing w:val="0"/>
                <w:w w:val="100"/>
                <w:sz w:val="24"/>
                <w:highlight w:val="none"/>
              </w:rPr>
              <w:t>由于评价区气候干旱，在此区域分布的野生动物相对数量</w:t>
            </w:r>
            <w:r>
              <w:rPr>
                <w:rStyle w:val="71"/>
                <w:rFonts w:hint="default" w:ascii="Times New Roman" w:hAnsi="Times New Roman" w:eastAsia="宋体" w:cs="Times New Roman"/>
                <w:color w:val="auto"/>
                <w:spacing w:val="0"/>
                <w:w w:val="100"/>
                <w:sz w:val="24"/>
                <w:highlight w:val="none"/>
                <w:lang w:eastAsia="zh-CN"/>
              </w:rPr>
              <w:t>较少</w:t>
            </w:r>
            <w:r>
              <w:rPr>
                <w:rStyle w:val="71"/>
                <w:rFonts w:hint="default" w:ascii="Times New Roman" w:hAnsi="Times New Roman" w:eastAsia="宋体" w:cs="Times New Roman"/>
                <w:color w:val="auto"/>
                <w:spacing w:val="0"/>
                <w:w w:val="100"/>
                <w:sz w:val="24"/>
                <w:highlight w:val="none"/>
              </w:rPr>
              <w:t>，再加上保护对象自身的因素即生态系统和物种种群的脆弱性、人类活动的威胁和干扰，使得此区域的野生动物数量越来越少。根据现状调查和有关资料显示，</w:t>
            </w:r>
            <w:r>
              <w:rPr>
                <w:rFonts w:hint="default" w:ascii="Times New Roman" w:hAnsi="Times New Roman" w:eastAsia="宋体" w:cs="Times New Roman"/>
                <w:color w:val="auto"/>
                <w:spacing w:val="0"/>
                <w:w w:val="100"/>
                <w:sz w:val="24"/>
                <w:highlight w:val="none"/>
              </w:rPr>
              <w:t>项目区</w:t>
            </w:r>
            <w:r>
              <w:rPr>
                <w:rFonts w:hint="default" w:ascii="Times New Roman" w:hAnsi="Times New Roman" w:eastAsia="宋体" w:cs="Times New Roman"/>
                <w:color w:val="auto"/>
                <w:spacing w:val="0"/>
                <w:w w:val="100"/>
                <w:sz w:val="24"/>
                <w:highlight w:val="none"/>
                <w:lang w:val="en-US" w:eastAsia="zh-CN"/>
              </w:rPr>
              <w:t>无</w:t>
            </w:r>
            <w:r>
              <w:rPr>
                <w:rFonts w:hint="default" w:ascii="Times New Roman" w:hAnsi="Times New Roman" w:eastAsia="宋体" w:cs="Times New Roman"/>
                <w:color w:val="auto"/>
                <w:spacing w:val="0"/>
                <w:w w:val="100"/>
                <w:sz w:val="24"/>
                <w:highlight w:val="none"/>
              </w:rPr>
              <w:t>大、中型哺乳动物分布，项目区不涉及珍稀濒危及国家级和省级保护动物</w:t>
            </w:r>
            <w:bookmarkStart w:id="8" w:name="_Toc722"/>
            <w:bookmarkStart w:id="9" w:name="_Toc16289"/>
            <w:r>
              <w:rPr>
                <w:rFonts w:hint="default" w:ascii="Times New Roman" w:hAnsi="Times New Roman" w:eastAsia="宋体" w:cs="Times New Roman"/>
                <w:color w:val="auto"/>
                <w:spacing w:val="0"/>
                <w:w w:val="100"/>
                <w:sz w:val="24"/>
                <w:highlight w:val="none"/>
              </w:rPr>
              <w:t>。</w:t>
            </w:r>
            <w:bookmarkEnd w:id="8"/>
            <w:bookmarkEnd w:id="9"/>
          </w:p>
          <w:p w14:paraId="2555C7E8">
            <w:pPr>
              <w:keepNext w:val="0"/>
              <w:keepLines w:val="0"/>
              <w:pageBreakBefore w:val="0"/>
              <w:widowControl/>
              <w:numPr>
                <w:ilvl w:val="0"/>
                <w:numId w:val="0"/>
              </w:numPr>
              <w:suppressLineNumbers w:val="0"/>
              <w:shd w:val="clear"/>
              <w:kinsoku/>
              <w:wordWrap/>
              <w:overflowPunct/>
              <w:topLinePunct w:val="0"/>
              <w:bidi w:val="0"/>
              <w:snapToGrid/>
              <w:spacing w:line="360" w:lineRule="auto"/>
              <w:jc w:val="left"/>
              <w:rPr>
                <w:rFonts w:hint="default" w:ascii="Times New Roman" w:hAnsi="Times New Roman" w:eastAsia="宋体" w:cs="Times New Roman"/>
                <w:b/>
                <w:bCs/>
                <w:color w:val="0000FF"/>
                <w:spacing w:val="0"/>
                <w:kern w:val="0"/>
                <w:position w:val="0"/>
                <w:sz w:val="24"/>
                <w:szCs w:val="24"/>
                <w:highlight w:val="none"/>
                <w:lang w:val="en-US" w:eastAsia="zh-CN" w:bidi="ar"/>
              </w:rPr>
            </w:pPr>
            <w:r>
              <w:rPr>
                <w:rFonts w:hint="default" w:ascii="Times New Roman" w:hAnsi="Times New Roman" w:cs="Times New Roman"/>
                <w:b/>
                <w:bCs/>
                <w:color w:val="0000FF"/>
                <w:spacing w:val="0"/>
                <w:kern w:val="0"/>
                <w:position w:val="0"/>
                <w:sz w:val="24"/>
                <w:szCs w:val="24"/>
                <w:highlight w:val="none"/>
                <w:lang w:val="en-US" w:eastAsia="zh-CN" w:bidi="ar"/>
              </w:rPr>
              <w:t>1.3.5库尔阿根河</w:t>
            </w:r>
            <w:r>
              <w:rPr>
                <w:rFonts w:hint="default" w:ascii="Times New Roman" w:hAnsi="Times New Roman" w:eastAsia="宋体" w:cs="Times New Roman"/>
                <w:b/>
                <w:bCs/>
                <w:color w:val="0000FF"/>
                <w:spacing w:val="0"/>
                <w:kern w:val="0"/>
                <w:position w:val="0"/>
                <w:sz w:val="24"/>
                <w:szCs w:val="24"/>
                <w:highlight w:val="none"/>
                <w:lang w:val="en-US" w:eastAsia="zh-CN" w:bidi="ar"/>
              </w:rPr>
              <w:t>水文及水生生态现状</w:t>
            </w:r>
          </w:p>
          <w:p w14:paraId="0822FD7A">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FF"/>
                <w:spacing w:val="0"/>
                <w:kern w:val="0"/>
                <w:position w:val="0"/>
                <w:sz w:val="24"/>
                <w:szCs w:val="24"/>
                <w:highlight w:val="none"/>
                <w:lang w:val="en-US" w:eastAsia="zh-CN" w:bidi="ar"/>
              </w:rPr>
            </w:pPr>
            <w:r>
              <w:rPr>
                <w:rFonts w:hint="default" w:ascii="Times New Roman" w:hAnsi="Times New Roman" w:cs="Times New Roman"/>
                <w:color w:val="0000FF"/>
                <w:spacing w:val="0"/>
                <w:kern w:val="0"/>
                <w:position w:val="0"/>
                <w:sz w:val="24"/>
                <w:szCs w:val="24"/>
                <w:highlight w:val="none"/>
                <w:lang w:val="en-US" w:eastAsia="zh-CN" w:bidi="ar"/>
              </w:rPr>
              <w:t>库尔阿根河</w:t>
            </w:r>
            <w:r>
              <w:rPr>
                <w:rFonts w:hint="default" w:ascii="Times New Roman" w:hAnsi="Times New Roman" w:eastAsia="宋体" w:cs="Times New Roman"/>
                <w:color w:val="0000FF"/>
                <w:spacing w:val="0"/>
                <w:kern w:val="0"/>
                <w:position w:val="0"/>
                <w:sz w:val="24"/>
                <w:szCs w:val="24"/>
                <w:highlight w:val="none"/>
                <w:lang w:val="en-US" w:eastAsia="zh-CN" w:bidi="ar"/>
              </w:rPr>
              <w:t>流域地处北半球中纬度地区，属中温带大陆性干旱气候，冬季寒冷而漫长，夏季短暂而凉爽，昼夜温差较大。流域气候垂直地带性分布规律显著，春季升温快，入秋后降温迅速。由西风环流携带大西洋的大量水汽，在</w:t>
            </w:r>
            <w:r>
              <w:rPr>
                <w:rFonts w:hint="default" w:ascii="Times New Roman" w:hAnsi="Times New Roman" w:cs="Times New Roman"/>
                <w:color w:val="0000FF"/>
                <w:spacing w:val="0"/>
                <w:kern w:val="0"/>
                <w:position w:val="0"/>
                <w:sz w:val="24"/>
                <w:szCs w:val="24"/>
                <w:highlight w:val="none"/>
                <w:lang w:val="en-US" w:eastAsia="zh-CN" w:bidi="ar"/>
              </w:rPr>
              <w:t>库尔阿根河</w:t>
            </w:r>
            <w:r>
              <w:rPr>
                <w:rFonts w:hint="default" w:ascii="Times New Roman" w:hAnsi="Times New Roman" w:eastAsia="宋体" w:cs="Times New Roman"/>
                <w:color w:val="0000FF"/>
                <w:spacing w:val="0"/>
                <w:kern w:val="0"/>
                <w:position w:val="0"/>
                <w:sz w:val="24"/>
                <w:szCs w:val="24"/>
                <w:highlight w:val="none"/>
                <w:lang w:val="en-US" w:eastAsia="zh-CN" w:bidi="ar"/>
              </w:rPr>
              <w:t>流域上游山区形成较多的降水。</w:t>
            </w:r>
          </w:p>
          <w:p w14:paraId="55CA9640">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FF"/>
                <w:spacing w:val="0"/>
                <w:kern w:val="0"/>
                <w:position w:val="0"/>
                <w:sz w:val="24"/>
                <w:szCs w:val="24"/>
                <w:highlight w:val="none"/>
                <w:lang w:val="en-US" w:eastAsia="zh-CN" w:bidi="ar"/>
              </w:rPr>
            </w:pPr>
            <w:r>
              <w:rPr>
                <w:rFonts w:hint="default" w:ascii="Times New Roman" w:hAnsi="Times New Roman" w:cs="Times New Roman"/>
                <w:color w:val="0000FF"/>
                <w:spacing w:val="0"/>
                <w:kern w:val="0"/>
                <w:position w:val="0"/>
                <w:sz w:val="24"/>
                <w:szCs w:val="24"/>
                <w:highlight w:val="none"/>
                <w:lang w:val="en-US" w:eastAsia="zh-CN" w:bidi="ar"/>
              </w:rPr>
              <w:t>库尔阿根河</w:t>
            </w:r>
            <w:r>
              <w:rPr>
                <w:rFonts w:hint="default" w:ascii="Times New Roman" w:hAnsi="Times New Roman" w:eastAsia="宋体" w:cs="Times New Roman"/>
                <w:color w:val="0000FF"/>
                <w:spacing w:val="0"/>
                <w:kern w:val="0"/>
                <w:position w:val="0"/>
                <w:sz w:val="24"/>
                <w:szCs w:val="24"/>
                <w:highlight w:val="none"/>
                <w:lang w:val="en-US" w:eastAsia="zh-CN" w:bidi="ar"/>
              </w:rPr>
              <w:t>属于弯延性河段，洪水在河道内来回游荡，对两岸冲刷十分严重，而两岸基本无防洪措施，水土流失严重，当地水管部门在每年洪水期之前在河道内临时推筑土堤导流、防洪，来年洪水到来之前，还需重复此项工作。洪水对两岸的耕地及民房造成严重威胁，洪水时刻威胁着两岸人民的正常生产、生活。</w:t>
            </w:r>
          </w:p>
          <w:p w14:paraId="419D4574">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FF"/>
                <w:spacing w:val="0"/>
                <w:kern w:val="0"/>
                <w:position w:val="0"/>
                <w:sz w:val="24"/>
                <w:szCs w:val="24"/>
                <w:highlight w:val="none"/>
                <w:lang w:val="en-US" w:eastAsia="zh-CN" w:bidi="ar"/>
              </w:rPr>
            </w:pPr>
            <w:r>
              <w:rPr>
                <w:rFonts w:hint="default" w:ascii="Times New Roman" w:hAnsi="Times New Roman" w:cs="Times New Roman"/>
                <w:color w:val="0000FF"/>
                <w:spacing w:val="0"/>
                <w:kern w:val="0"/>
                <w:position w:val="0"/>
                <w:sz w:val="24"/>
                <w:szCs w:val="24"/>
                <w:highlight w:val="none"/>
                <w:lang w:val="en-US" w:eastAsia="zh-CN" w:bidi="ar"/>
              </w:rPr>
              <w:t>项目</w:t>
            </w:r>
            <w:r>
              <w:rPr>
                <w:rFonts w:hint="default" w:ascii="Times New Roman" w:hAnsi="Times New Roman" w:eastAsia="宋体" w:cs="Times New Roman"/>
                <w:b w:val="0"/>
                <w:bCs w:val="0"/>
                <w:color w:val="0000FF"/>
                <w:spacing w:val="0"/>
                <w:kern w:val="0"/>
                <w:sz w:val="24"/>
                <w:szCs w:val="24"/>
                <w:highlight w:val="none"/>
                <w:lang w:val="en-US" w:eastAsia="zh-CN" w:bidi="ar"/>
              </w:rPr>
              <w:t>建设不对河道进行改道和设置施工导流通道，不在现场设置汽柴油储罐，</w:t>
            </w:r>
            <w:r>
              <w:rPr>
                <w:rFonts w:hint="default" w:ascii="Times New Roman" w:hAnsi="Times New Roman" w:cs="Times New Roman"/>
                <w:b w:val="0"/>
                <w:bCs w:val="0"/>
                <w:color w:val="0000FF"/>
                <w:spacing w:val="0"/>
                <w:w w:val="100"/>
                <w:position w:val="0"/>
                <w:sz w:val="24"/>
                <w:szCs w:val="24"/>
                <w:highlight w:val="none"/>
                <w:lang w:eastAsia="zh-CN"/>
              </w:rPr>
              <w:t>库尔阿根河</w:t>
            </w:r>
            <w:r>
              <w:rPr>
                <w:rFonts w:hint="default" w:ascii="Times New Roman" w:hAnsi="Times New Roman" w:eastAsia="宋体" w:cs="Times New Roman"/>
                <w:b w:val="0"/>
                <w:bCs w:val="0"/>
                <w:color w:val="0000FF"/>
                <w:spacing w:val="0"/>
                <w:w w:val="100"/>
                <w:position w:val="0"/>
                <w:sz w:val="24"/>
                <w:szCs w:val="24"/>
                <w:highlight w:val="none"/>
              </w:rPr>
              <w:t>流域夏季雨水多，经过对</w:t>
            </w:r>
            <w:r>
              <w:rPr>
                <w:rFonts w:hint="default" w:ascii="Times New Roman" w:hAnsi="Times New Roman" w:cs="Times New Roman"/>
                <w:b w:val="0"/>
                <w:bCs w:val="0"/>
                <w:color w:val="0000FF"/>
                <w:spacing w:val="0"/>
                <w:w w:val="100"/>
                <w:position w:val="0"/>
                <w:sz w:val="24"/>
                <w:szCs w:val="24"/>
                <w:highlight w:val="none"/>
                <w:lang w:eastAsia="zh-CN"/>
              </w:rPr>
              <w:t>库尔阿根河</w:t>
            </w:r>
            <w:r>
              <w:rPr>
                <w:rFonts w:hint="default" w:ascii="Times New Roman" w:hAnsi="Times New Roman" w:eastAsia="宋体" w:cs="Times New Roman"/>
                <w:b w:val="0"/>
                <w:bCs w:val="0"/>
                <w:color w:val="0000FF"/>
                <w:spacing w:val="0"/>
                <w:w w:val="100"/>
                <w:position w:val="0"/>
                <w:sz w:val="24"/>
                <w:szCs w:val="24"/>
                <w:highlight w:val="none"/>
              </w:rPr>
              <w:t>多年的最大洪峰流量出现时间统计分析之后，可以看出，最大洪峰主要出现在5～8月份。其中，出现在7月份的机率最高为65%；出现在6月和8月的机率分别为18%和4%；5月份出现的机率最小，只有3%，其它月份出现年最大洪峰流量的可能性更小。</w:t>
            </w:r>
            <w:r>
              <w:rPr>
                <w:rFonts w:hint="eastAsia" w:cs="Times New Roman"/>
                <w:b w:val="0"/>
                <w:bCs w:val="0"/>
                <w:color w:val="0000FF"/>
                <w:spacing w:val="0"/>
                <w:w w:val="100"/>
                <w:position w:val="0"/>
                <w:sz w:val="24"/>
                <w:szCs w:val="24"/>
                <w:highlight w:val="none"/>
                <w:lang w:val="en-US" w:eastAsia="zh-CN"/>
              </w:rPr>
              <w:t>根据现场踏勘，</w:t>
            </w:r>
            <w:r>
              <w:rPr>
                <w:rFonts w:hint="default" w:ascii="Times New Roman" w:hAnsi="Times New Roman" w:eastAsia="宋体" w:cs="Times New Roman"/>
                <w:color w:val="FF0000"/>
                <w:spacing w:val="0"/>
                <w:kern w:val="0"/>
                <w:position w:val="0"/>
                <w:sz w:val="24"/>
                <w:szCs w:val="24"/>
                <w:highlight w:val="none"/>
                <w:lang w:val="en-US" w:eastAsia="zh-CN" w:bidi="ar"/>
              </w:rPr>
              <w:t>河道处于枯水期，河道内无地表水体，</w:t>
            </w:r>
            <w:r>
              <w:rPr>
                <w:rFonts w:hint="eastAsia" w:cs="Times New Roman"/>
                <w:color w:val="FF0000"/>
                <w:spacing w:val="0"/>
                <w:kern w:val="0"/>
                <w:position w:val="0"/>
                <w:sz w:val="24"/>
                <w:szCs w:val="24"/>
                <w:highlight w:val="none"/>
                <w:lang w:val="en-US" w:eastAsia="zh-CN" w:bidi="ar"/>
              </w:rPr>
              <w:t>未发现鱼类、两栖类动物生活</w:t>
            </w:r>
            <w:r>
              <w:rPr>
                <w:rFonts w:hint="default" w:ascii="Times New Roman" w:hAnsi="Times New Roman" w:eastAsia="宋体" w:cs="Times New Roman"/>
                <w:color w:val="FF0000"/>
                <w:spacing w:val="0"/>
                <w:kern w:val="0"/>
                <w:position w:val="0"/>
                <w:sz w:val="24"/>
                <w:szCs w:val="24"/>
                <w:highlight w:val="none"/>
                <w:lang w:val="en-US" w:eastAsia="zh-CN" w:bidi="ar"/>
              </w:rPr>
              <w:t>。</w:t>
            </w:r>
          </w:p>
          <w:p w14:paraId="0BA2619A">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FF0000"/>
                <w:spacing w:val="0"/>
                <w:kern w:val="0"/>
                <w:position w:val="0"/>
                <w:sz w:val="24"/>
                <w:szCs w:val="24"/>
                <w:highlight w:val="none"/>
                <w:lang w:val="en-US" w:eastAsia="zh-CN" w:bidi="ar"/>
              </w:rPr>
            </w:pPr>
            <w:r>
              <w:rPr>
                <w:rFonts w:hint="default" w:ascii="Times New Roman" w:hAnsi="Times New Roman" w:eastAsia="宋体" w:cs="Times New Roman"/>
                <w:b/>
                <w:bCs/>
                <w:color w:val="FF0000"/>
                <w:spacing w:val="0"/>
                <w:kern w:val="0"/>
                <w:position w:val="0"/>
                <w:sz w:val="24"/>
                <w:szCs w:val="24"/>
                <w:highlight w:val="none"/>
                <w:lang w:val="en-US" w:eastAsia="zh-CN" w:bidi="ar"/>
              </w:rPr>
              <w:t>1.5项目区生态环境现状</w:t>
            </w:r>
          </w:p>
          <w:p w14:paraId="1A7002E7">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FF0000"/>
                <w:spacing w:val="0"/>
                <w:kern w:val="0"/>
                <w:position w:val="0"/>
                <w:sz w:val="24"/>
                <w:szCs w:val="24"/>
                <w:highlight w:val="none"/>
                <w:lang w:val="en-US" w:eastAsia="zh-CN" w:bidi="ar"/>
              </w:rPr>
            </w:pPr>
            <w:r>
              <w:rPr>
                <w:rFonts w:hint="default" w:ascii="Times New Roman" w:hAnsi="Times New Roman" w:eastAsia="宋体" w:cs="Times New Roman"/>
                <w:color w:val="FF0000"/>
                <w:spacing w:val="0"/>
                <w:kern w:val="0"/>
                <w:position w:val="0"/>
                <w:sz w:val="24"/>
                <w:szCs w:val="24"/>
                <w:highlight w:val="none"/>
                <w:lang w:val="en-US" w:eastAsia="zh-CN" w:bidi="ar"/>
              </w:rPr>
              <w:t>根据现场调查，本工程沿线主要为农村生态系统。根据现场踏勘，项目评价范围内不涉及自然保护区、风景名胜区、森林公园、地质公园、世界遗产地、国家重点文物保护单位、历史文化保护地等敏感区域，不属于生态敏感与脆弱区。评价河段无饮用水取水口，评价范围内无地下水敏感点。</w:t>
            </w:r>
          </w:p>
          <w:p w14:paraId="557CA611">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pacing w:val="0"/>
                <w:kern w:val="0"/>
                <w:position w:val="0"/>
                <w:sz w:val="24"/>
                <w:szCs w:val="24"/>
                <w:highlight w:val="none"/>
                <w:lang w:val="en-US" w:eastAsia="zh-CN" w:bidi="ar"/>
              </w:rPr>
            </w:pPr>
            <w:r>
              <w:rPr>
                <w:rFonts w:hint="default" w:ascii="Times New Roman" w:hAnsi="Times New Roman" w:eastAsia="宋体" w:cs="Times New Roman"/>
                <w:b/>
                <w:bCs/>
                <w:color w:val="auto"/>
                <w:spacing w:val="0"/>
                <w:kern w:val="0"/>
                <w:position w:val="0"/>
                <w:sz w:val="24"/>
                <w:szCs w:val="24"/>
                <w:highlight w:val="none"/>
                <w:lang w:val="en-US" w:eastAsia="zh-CN" w:bidi="ar"/>
              </w:rPr>
              <w:t>1.6项目沿线土地利用现状</w:t>
            </w:r>
          </w:p>
          <w:p w14:paraId="1407F007">
            <w:pPr>
              <w:keepNext w:val="0"/>
              <w:keepLines w:val="0"/>
              <w:pageBreakBefore w:val="0"/>
              <w:shd w:val="clear"/>
              <w:kinsoku/>
              <w:wordWrap/>
              <w:overflowPunct/>
              <w:topLinePunct w:val="0"/>
              <w:bidi w:val="0"/>
              <w:snapToGrid/>
              <w:spacing w:line="360" w:lineRule="auto"/>
              <w:ind w:firstLine="480" w:firstLineChars="200"/>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本项目河道沿线永久占地主要用地类型为水利设施用地，临时占地用地类型为内陆滩涂。项目沿线土地利用现状为滩涂荒地。</w:t>
            </w:r>
          </w:p>
          <w:p w14:paraId="096E3970">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pacing w:val="0"/>
                <w:kern w:val="0"/>
                <w:position w:val="0"/>
                <w:sz w:val="24"/>
                <w:szCs w:val="24"/>
                <w:highlight w:val="none"/>
                <w:lang w:val="en-US" w:eastAsia="zh-CN" w:bidi="ar"/>
              </w:rPr>
            </w:pPr>
            <w:r>
              <w:rPr>
                <w:rFonts w:hint="default" w:ascii="Times New Roman" w:hAnsi="Times New Roman" w:eastAsia="宋体" w:cs="Times New Roman"/>
                <w:b/>
                <w:bCs/>
                <w:color w:val="auto"/>
                <w:spacing w:val="0"/>
                <w:kern w:val="0"/>
                <w:position w:val="0"/>
                <w:sz w:val="24"/>
                <w:szCs w:val="24"/>
                <w:highlight w:val="none"/>
                <w:lang w:val="en-US" w:eastAsia="zh-CN" w:bidi="ar"/>
              </w:rPr>
              <w:t>1.7项目沿线植物及植被现状</w:t>
            </w:r>
          </w:p>
          <w:p w14:paraId="06D6D0D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default" w:ascii="Times New Roman" w:hAnsi="Times New Roman" w:eastAsia="宋体" w:cs="Times New Roman"/>
                <w:color w:val="0000FF"/>
                <w:spacing w:val="0"/>
                <w:kern w:val="0"/>
                <w:position w:val="0"/>
                <w:sz w:val="24"/>
                <w:szCs w:val="24"/>
                <w:highlight w:val="none"/>
                <w:lang w:val="en-US" w:eastAsia="zh-CN" w:bidi="ar"/>
              </w:rPr>
            </w:pPr>
            <w:r>
              <w:rPr>
                <w:rFonts w:hint="default" w:ascii="Times New Roman" w:hAnsi="Times New Roman" w:eastAsia="宋体" w:cs="Times New Roman"/>
                <w:color w:val="0000FF"/>
                <w:spacing w:val="0"/>
                <w:kern w:val="0"/>
                <w:position w:val="0"/>
                <w:sz w:val="24"/>
                <w:szCs w:val="24"/>
                <w:highlight w:val="none"/>
                <w:lang w:val="en-US" w:eastAsia="zh-CN" w:bidi="ar"/>
              </w:rPr>
              <w:t>本项目永久占地面积</w:t>
            </w:r>
            <w:r>
              <w:rPr>
                <w:rFonts w:hint="default" w:ascii="Times New Roman" w:hAnsi="Times New Roman" w:cs="Times New Roman"/>
                <w:color w:val="0000FF"/>
                <w:spacing w:val="0"/>
                <w:kern w:val="0"/>
                <w:position w:val="0"/>
                <w:sz w:val="24"/>
                <w:szCs w:val="24"/>
                <w:highlight w:val="none"/>
                <w:lang w:val="en-US" w:eastAsia="zh-CN" w:bidi="ar"/>
              </w:rPr>
              <w:t>22.70</w:t>
            </w:r>
            <w:r>
              <w:rPr>
                <w:rFonts w:hint="default" w:ascii="Times New Roman" w:hAnsi="Times New Roman" w:eastAsia="宋体" w:cs="Times New Roman"/>
                <w:color w:val="0000FF"/>
                <w:spacing w:val="0"/>
                <w:kern w:val="0"/>
                <w:position w:val="0"/>
                <w:sz w:val="24"/>
                <w:szCs w:val="24"/>
                <w:highlight w:val="none"/>
                <w:lang w:val="en-US" w:eastAsia="zh-CN" w:bidi="ar"/>
              </w:rPr>
              <w:t>hm</w:t>
            </w:r>
            <w:r>
              <w:rPr>
                <w:rFonts w:hint="default" w:ascii="Times New Roman" w:hAnsi="Times New Roman" w:eastAsia="宋体" w:cs="Times New Roman"/>
                <w:color w:val="0000FF"/>
                <w:spacing w:val="0"/>
                <w:kern w:val="0"/>
                <w:position w:val="0"/>
                <w:sz w:val="24"/>
                <w:szCs w:val="24"/>
                <w:highlight w:val="none"/>
                <w:vertAlign w:val="superscript"/>
                <w:lang w:val="en-US" w:eastAsia="zh-CN" w:bidi="ar"/>
              </w:rPr>
              <w:t>2</w:t>
            </w:r>
            <w:r>
              <w:rPr>
                <w:rFonts w:hint="default" w:ascii="Times New Roman" w:hAnsi="Times New Roman" w:eastAsia="宋体" w:cs="Times New Roman"/>
                <w:color w:val="0000FF"/>
                <w:spacing w:val="0"/>
                <w:kern w:val="0"/>
                <w:position w:val="0"/>
                <w:sz w:val="24"/>
                <w:szCs w:val="24"/>
                <w:highlight w:val="none"/>
                <w:lang w:val="en-US" w:eastAsia="zh-CN" w:bidi="ar"/>
              </w:rPr>
              <w:t>，地块现状为水利设施用地。施工区域内地表裸露植被较少，植被覆盖系数＜</w:t>
            </w:r>
            <w:r>
              <w:rPr>
                <w:rFonts w:hint="default" w:ascii="Times New Roman" w:hAnsi="Times New Roman" w:cs="Times New Roman"/>
                <w:color w:val="0000FF"/>
                <w:spacing w:val="0"/>
                <w:kern w:val="0"/>
                <w:position w:val="0"/>
                <w:sz w:val="24"/>
                <w:szCs w:val="24"/>
                <w:highlight w:val="none"/>
                <w:lang w:val="en-US" w:eastAsia="zh-CN" w:bidi="ar"/>
              </w:rPr>
              <w:t>10</w:t>
            </w:r>
            <w:r>
              <w:rPr>
                <w:rFonts w:hint="default" w:ascii="Times New Roman" w:hAnsi="Times New Roman" w:eastAsia="宋体" w:cs="Times New Roman"/>
                <w:color w:val="0000FF"/>
                <w:spacing w:val="0"/>
                <w:kern w:val="0"/>
                <w:position w:val="0"/>
                <w:sz w:val="24"/>
                <w:szCs w:val="24"/>
                <w:highlight w:val="none"/>
                <w:lang w:val="en-US" w:eastAsia="zh-CN" w:bidi="ar"/>
              </w:rPr>
              <w:t>%，施工对区域自燃植被物种数量产生一定影响，但由于上述植被区域分布较广，工程施工不会对植被物种构成及其优势度产生影响。</w:t>
            </w:r>
            <w:r>
              <w:rPr>
                <w:rFonts w:hint="eastAsia" w:ascii="Times New Roman" w:hAnsi="Times New Roman" w:cs="Times New Roman"/>
                <w:color w:val="0000FF"/>
                <w:spacing w:val="0"/>
                <w:kern w:val="0"/>
                <w:position w:val="0"/>
                <w:sz w:val="24"/>
                <w:szCs w:val="24"/>
                <w:highlight w:val="none"/>
                <w:lang w:val="en-US" w:eastAsia="zh-CN" w:bidi="ar"/>
              </w:rPr>
              <w:t>根据现场踏勘，项目区主要分布植被主要为杨树、</w:t>
            </w:r>
            <w:r>
              <w:rPr>
                <w:rFonts w:hint="eastAsia" w:ascii="Arial" w:hAnsi="Arial" w:eastAsia="Arial" w:cs="Arial"/>
                <w:i w:val="0"/>
                <w:iCs w:val="0"/>
                <w:caps w:val="0"/>
                <w:color w:val="0000FF"/>
                <w:spacing w:val="0"/>
                <w:sz w:val="24"/>
                <w:szCs w:val="24"/>
                <w:shd w:val="clear" w:fill="FFFFFF"/>
              </w:rPr>
              <w:t>菵草</w:t>
            </w:r>
            <w:r>
              <w:rPr>
                <w:rFonts w:hint="eastAsia" w:ascii="Arial" w:hAnsi="Arial" w:eastAsia="宋体" w:cs="Arial"/>
                <w:i w:val="0"/>
                <w:iCs w:val="0"/>
                <w:caps w:val="0"/>
                <w:color w:val="0000FF"/>
                <w:spacing w:val="0"/>
                <w:sz w:val="24"/>
                <w:szCs w:val="24"/>
                <w:shd w:val="clear" w:fill="FFFFFF"/>
                <w:lang w:eastAsia="zh-CN"/>
              </w:rPr>
              <w:t>、</w:t>
            </w:r>
            <w:r>
              <w:rPr>
                <w:rFonts w:ascii="Arial" w:hAnsi="Arial" w:cs="Arial"/>
                <w:i w:val="0"/>
                <w:iCs w:val="0"/>
                <w:caps w:val="0"/>
                <w:color w:val="0000FF"/>
                <w:spacing w:val="0"/>
                <w:sz w:val="24"/>
                <w:szCs w:val="24"/>
                <w:shd w:val="clear" w:fill="FFFFFF"/>
              </w:rPr>
              <w:t>狗尾草属植物</w:t>
            </w:r>
            <w:r>
              <w:rPr>
                <w:rFonts w:hint="eastAsia" w:ascii="Arial" w:hAnsi="Arial" w:cs="Arial"/>
                <w:i w:val="0"/>
                <w:iCs w:val="0"/>
                <w:caps w:val="0"/>
                <w:color w:val="0000FF"/>
                <w:spacing w:val="0"/>
                <w:sz w:val="24"/>
                <w:szCs w:val="24"/>
                <w:shd w:val="clear" w:fill="FFFFFF"/>
                <w:lang w:val="en-US" w:eastAsia="zh-CN"/>
              </w:rPr>
              <w:t>等，</w:t>
            </w:r>
            <w:r>
              <w:rPr>
                <w:rFonts w:hint="default" w:ascii="Times New Roman" w:hAnsi="Times New Roman" w:eastAsia="宋体" w:cs="Times New Roman"/>
                <w:color w:val="0000FF"/>
                <w:spacing w:val="0"/>
                <w:kern w:val="0"/>
                <w:position w:val="0"/>
                <w:sz w:val="24"/>
                <w:szCs w:val="24"/>
                <w:highlight w:val="none"/>
                <w:lang w:val="en-US" w:eastAsia="zh-CN" w:bidi="ar"/>
              </w:rPr>
              <w:t>工程区内物种均为当地的常见种和广布种，实地调查过程中，项目占地范围内植被均不属于重点保护植物，工程区内未发现国家重点保护的珍稀濒危动植物。项目区占地范围内生态环境现状基本无生态环境问题。</w:t>
            </w:r>
          </w:p>
          <w:p w14:paraId="32969FC3">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pacing w:val="0"/>
                <w:kern w:val="0"/>
                <w:position w:val="0"/>
                <w:sz w:val="24"/>
                <w:szCs w:val="24"/>
                <w:highlight w:val="none"/>
                <w:lang w:val="en-US" w:eastAsia="zh-CN" w:bidi="ar"/>
              </w:rPr>
            </w:pPr>
            <w:r>
              <w:rPr>
                <w:rFonts w:hint="default" w:ascii="Times New Roman" w:hAnsi="Times New Roman" w:eastAsia="宋体" w:cs="Times New Roman"/>
                <w:b/>
                <w:bCs/>
                <w:color w:val="auto"/>
                <w:spacing w:val="0"/>
                <w:kern w:val="0"/>
                <w:position w:val="0"/>
                <w:sz w:val="24"/>
                <w:szCs w:val="24"/>
                <w:highlight w:val="none"/>
                <w:lang w:val="en-US" w:eastAsia="zh-CN" w:bidi="ar"/>
              </w:rPr>
              <w:t>1.8项目沿线陆生动物现状</w:t>
            </w:r>
          </w:p>
          <w:p w14:paraId="709C4D4C">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color w:val="auto"/>
                <w:spacing w:val="0"/>
                <w:kern w:val="0"/>
                <w:position w:val="0"/>
                <w:sz w:val="24"/>
                <w:szCs w:val="24"/>
                <w:highlight w:val="none"/>
                <w:lang w:val="en-US" w:eastAsia="zh-CN" w:bidi="ar"/>
              </w:rPr>
              <w:t>通过现场调查可知，项目区距离昌吉市较近，人类活动较频繁，经查阅资料和现场调查，发现项目区内没有大型野生动物，主要为一些常见的啮齿类小型动物，如野兔、小家鼠等动物；鸟类主要为麻雀、家燕、小嘴乌鸦等鸟类。项目区评价范围内未发现有国家重点保护动植物、珍稀动物集中分布区和栖息地等。本项目建设不会造成其植物种大面积灭亡。</w:t>
            </w:r>
          </w:p>
          <w:p w14:paraId="43848728">
            <w:pPr>
              <w:pStyle w:val="39"/>
              <w:keepNext w:val="0"/>
              <w:keepLines w:val="0"/>
              <w:pageBreakBefore w:val="0"/>
              <w:widowControl w:val="0"/>
              <w:numPr>
                <w:ilvl w:val="0"/>
                <w:numId w:val="0"/>
              </w:numPr>
              <w:shd w:val="clear"/>
              <w:kinsoku/>
              <w:overflowPunct/>
              <w:topLinePunct w:val="0"/>
              <w:autoSpaceDE w:val="0"/>
              <w:autoSpaceDN w:val="0"/>
              <w:bidi w:val="0"/>
              <w:adjustRightInd w:val="0"/>
              <w:spacing w:beforeAutospacing="0" w:afterAutospacing="0" w:line="360" w:lineRule="auto"/>
              <w:ind w:left="0" w:leftChars="0" w:right="0"/>
              <w:jc w:val="both"/>
              <w:rPr>
                <w:rFonts w:hint="default" w:ascii="Times New Roman" w:hAnsi="Times New Roman" w:eastAsia="宋体" w:cs="Times New Roman"/>
                <w:b/>
                <w:bCs w:val="0"/>
                <w:color w:val="auto"/>
                <w:spacing w:val="0"/>
                <w:w w:val="100"/>
                <w:position w:val="0"/>
                <w:sz w:val="24"/>
                <w:highlight w:val="none"/>
                <w:lang w:val="en-US" w:eastAsia="zh-CN"/>
              </w:rPr>
            </w:pPr>
            <w:r>
              <w:rPr>
                <w:rFonts w:hint="default" w:ascii="Times New Roman" w:hAnsi="Times New Roman" w:eastAsia="宋体" w:cs="Times New Roman"/>
                <w:b/>
                <w:bCs w:val="0"/>
                <w:color w:val="auto"/>
                <w:spacing w:val="0"/>
                <w:w w:val="100"/>
                <w:position w:val="0"/>
                <w:sz w:val="24"/>
                <w:highlight w:val="none"/>
                <w:lang w:val="en-US" w:eastAsia="zh-CN"/>
              </w:rPr>
              <w:t>2.</w:t>
            </w:r>
            <w:r>
              <w:rPr>
                <w:rFonts w:hint="default" w:ascii="Times New Roman" w:hAnsi="Times New Roman" w:eastAsia="宋体" w:cs="Times New Roman"/>
                <w:b/>
                <w:bCs/>
                <w:color w:val="auto"/>
                <w:spacing w:val="0"/>
                <w:kern w:val="0"/>
                <w:position w:val="0"/>
                <w:sz w:val="24"/>
                <w:szCs w:val="24"/>
                <w:highlight w:val="none"/>
                <w:lang w:val="en-US" w:eastAsia="zh-CN"/>
              </w:rPr>
              <w:t>大气环境质量现状</w:t>
            </w:r>
          </w:p>
          <w:p w14:paraId="45D6E7D6">
            <w:pPr>
              <w:pStyle w:val="39"/>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both"/>
              <w:textAlignment w:val="baseline"/>
              <w:rPr>
                <w:rFonts w:hint="default" w:ascii="Times New Roman" w:hAnsi="Times New Roman" w:eastAsia="宋体" w:cs="Times New Roman"/>
                <w:color w:val="auto"/>
                <w:spacing w:val="0"/>
                <w:w w:val="100"/>
                <w:position w:val="0"/>
                <w:sz w:val="24"/>
                <w:highlight w:val="none"/>
                <w:lang w:val="en-US" w:eastAsia="zh-CN"/>
              </w:rPr>
            </w:pPr>
            <w:r>
              <w:rPr>
                <w:rFonts w:hint="default" w:ascii="Times New Roman" w:hAnsi="Times New Roman" w:eastAsia="宋体" w:cs="Times New Roman"/>
                <w:color w:val="auto"/>
                <w:spacing w:val="0"/>
                <w:w w:val="100"/>
                <w:position w:val="0"/>
                <w:sz w:val="24"/>
                <w:highlight w:val="none"/>
              </w:rPr>
              <w:t>（1）</w:t>
            </w:r>
            <w:r>
              <w:rPr>
                <w:rFonts w:hint="default" w:ascii="Times New Roman" w:hAnsi="Times New Roman" w:eastAsia="宋体" w:cs="Times New Roman"/>
                <w:color w:val="auto"/>
                <w:spacing w:val="0"/>
                <w:w w:val="100"/>
                <w:position w:val="0"/>
                <w:sz w:val="24"/>
                <w:highlight w:val="none"/>
                <w:lang w:val="en-US" w:eastAsia="zh-CN"/>
              </w:rPr>
              <w:t>基本污染物</w:t>
            </w:r>
          </w:p>
          <w:p w14:paraId="5657D89C">
            <w:pPr>
              <w:pStyle w:val="39"/>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both"/>
              <w:textAlignment w:val="baseline"/>
              <w:rPr>
                <w:rFonts w:hint="default" w:ascii="Times New Roman" w:hAnsi="Times New Roman" w:eastAsia="宋体" w:cs="Times New Roman"/>
                <w:bCs/>
                <w:color w:val="auto"/>
                <w:spacing w:val="0"/>
                <w:w w:val="100"/>
                <w:position w:val="0"/>
                <w:sz w:val="24"/>
                <w:highlight w:val="none"/>
              </w:rPr>
            </w:pPr>
            <w:r>
              <w:rPr>
                <w:rFonts w:hint="default" w:ascii="Times New Roman" w:hAnsi="Times New Roman" w:eastAsia="宋体" w:cs="Times New Roman"/>
                <w:color w:val="auto"/>
                <w:spacing w:val="0"/>
                <w:w w:val="100"/>
                <w:position w:val="0"/>
                <w:sz w:val="24"/>
                <w:highlight w:val="none"/>
              </w:rPr>
              <w:t>本项目位于</w:t>
            </w:r>
            <w:r>
              <w:rPr>
                <w:rFonts w:hint="default" w:ascii="Times New Roman" w:hAnsi="Times New Roman" w:eastAsia="宋体" w:cs="Times New Roman"/>
                <w:color w:val="auto"/>
                <w:spacing w:val="0"/>
                <w:w w:val="100"/>
                <w:position w:val="0"/>
                <w:sz w:val="24"/>
                <w:szCs w:val="24"/>
                <w:highlight w:val="none"/>
                <w:lang w:val="en-US" w:eastAsia="zh-CN"/>
              </w:rPr>
              <w:t>昌吉市</w:t>
            </w:r>
            <w:r>
              <w:rPr>
                <w:rFonts w:hint="default" w:ascii="Times New Roman" w:hAnsi="Times New Roman" w:eastAsia="宋体" w:cs="Times New Roman"/>
                <w:color w:val="auto"/>
                <w:spacing w:val="0"/>
                <w:w w:val="100"/>
                <w:position w:val="0"/>
                <w:sz w:val="24"/>
                <w:highlight w:val="none"/>
              </w:rPr>
              <w:t>，</w:t>
            </w:r>
            <w:r>
              <w:rPr>
                <w:rFonts w:hint="default" w:ascii="Times New Roman" w:hAnsi="Times New Roman" w:eastAsia="宋体" w:cs="Times New Roman"/>
                <w:bCs/>
                <w:color w:val="auto"/>
                <w:spacing w:val="0"/>
                <w:w w:val="100"/>
                <w:position w:val="0"/>
                <w:sz w:val="24"/>
                <w:highlight w:val="none"/>
              </w:rPr>
              <w:t>参照</w:t>
            </w:r>
            <w:r>
              <w:rPr>
                <w:rFonts w:hint="default" w:ascii="Times New Roman" w:hAnsi="Times New Roman" w:eastAsia="宋体" w:cs="Times New Roman"/>
                <w:color w:val="auto"/>
                <w:spacing w:val="0"/>
                <w:w w:val="100"/>
                <w:position w:val="0"/>
                <w:sz w:val="24"/>
                <w:highlight w:val="none"/>
              </w:rPr>
              <w:t>《</w:t>
            </w:r>
            <w:r>
              <w:rPr>
                <w:rFonts w:hint="default" w:ascii="Times New Roman" w:hAnsi="Times New Roman" w:eastAsia="宋体" w:cs="Times New Roman"/>
                <w:bCs/>
                <w:color w:val="auto"/>
                <w:spacing w:val="0"/>
                <w:w w:val="100"/>
                <w:position w:val="0"/>
                <w:sz w:val="24"/>
                <w:highlight w:val="none"/>
              </w:rPr>
              <w:t>环境空气质量功能区划分原则与技术方法》（HJ14-1996）</w:t>
            </w:r>
            <w:r>
              <w:rPr>
                <w:rFonts w:hint="default" w:ascii="Times New Roman" w:hAnsi="Times New Roman" w:eastAsia="宋体" w:cs="Times New Roman"/>
                <w:bCs/>
                <w:color w:val="auto"/>
                <w:spacing w:val="0"/>
                <w:w w:val="100"/>
                <w:position w:val="0"/>
                <w:sz w:val="24"/>
                <w:highlight w:val="none"/>
                <w:lang w:eastAsia="zh-CN"/>
              </w:rPr>
              <w:t>，</w:t>
            </w:r>
            <w:r>
              <w:rPr>
                <w:rFonts w:hint="default" w:ascii="Times New Roman" w:hAnsi="Times New Roman" w:eastAsia="宋体" w:cs="Times New Roman"/>
                <w:bCs/>
                <w:color w:val="auto"/>
                <w:spacing w:val="0"/>
                <w:w w:val="100"/>
                <w:position w:val="0"/>
                <w:sz w:val="24"/>
                <w:highlight w:val="none"/>
              </w:rPr>
              <w:t>项目所在地环境空气质量功能区属二类区</w:t>
            </w:r>
            <w:r>
              <w:rPr>
                <w:rFonts w:hint="default" w:ascii="Times New Roman" w:hAnsi="Times New Roman" w:eastAsia="宋体" w:cs="Times New Roman"/>
                <w:bCs/>
                <w:color w:val="auto"/>
                <w:spacing w:val="0"/>
                <w:w w:val="100"/>
                <w:position w:val="0"/>
                <w:sz w:val="24"/>
                <w:highlight w:val="none"/>
                <w:lang w:eastAsia="zh-CN"/>
              </w:rPr>
              <w:t>，</w:t>
            </w:r>
            <w:r>
              <w:rPr>
                <w:rFonts w:hint="default" w:ascii="Times New Roman" w:hAnsi="Times New Roman" w:eastAsia="宋体" w:cs="Times New Roman"/>
                <w:bCs/>
                <w:color w:val="auto"/>
                <w:spacing w:val="0"/>
                <w:w w:val="100"/>
                <w:position w:val="0"/>
                <w:sz w:val="24"/>
                <w:highlight w:val="none"/>
              </w:rPr>
              <w:t>执行《环境空气质量标准》（GB3095-2012</w:t>
            </w:r>
            <w:r>
              <w:rPr>
                <w:rFonts w:hint="default" w:ascii="Times New Roman" w:hAnsi="Times New Roman" w:eastAsia="宋体" w:cs="Times New Roman"/>
                <w:bCs/>
                <w:color w:val="auto"/>
                <w:spacing w:val="0"/>
                <w:w w:val="100"/>
                <w:position w:val="0"/>
                <w:sz w:val="24"/>
                <w:highlight w:val="none"/>
                <w:lang w:eastAsia="zh-CN"/>
              </w:rPr>
              <w:t>）</w:t>
            </w:r>
            <w:r>
              <w:rPr>
                <w:rFonts w:hint="default" w:ascii="Times New Roman" w:hAnsi="Times New Roman" w:eastAsia="宋体" w:cs="Times New Roman"/>
                <w:bCs/>
                <w:color w:val="auto"/>
                <w:spacing w:val="0"/>
                <w:w w:val="100"/>
                <w:position w:val="0"/>
                <w:sz w:val="24"/>
                <w:highlight w:val="none"/>
              </w:rPr>
              <w:t>二级标准。</w:t>
            </w:r>
          </w:p>
          <w:p w14:paraId="2A8274D8">
            <w:pPr>
              <w:pStyle w:val="39"/>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both"/>
              <w:textAlignment w:val="baseline"/>
              <w:rPr>
                <w:rFonts w:hint="default" w:ascii="Times New Roman" w:hAnsi="Times New Roman" w:eastAsia="宋体" w:cs="Times New Roman"/>
                <w:color w:val="auto"/>
                <w:spacing w:val="0"/>
                <w:w w:val="100"/>
                <w:position w:val="0"/>
                <w:sz w:val="24"/>
                <w:highlight w:val="none"/>
              </w:rPr>
            </w:pPr>
            <w:r>
              <w:rPr>
                <w:rFonts w:hint="default" w:ascii="Times New Roman" w:hAnsi="Times New Roman" w:eastAsia="宋体" w:cs="Times New Roman"/>
                <w:color w:val="auto"/>
                <w:spacing w:val="0"/>
                <w:w w:val="100"/>
                <w:position w:val="0"/>
                <w:sz w:val="24"/>
                <w:highlight w:val="none"/>
              </w:rPr>
              <w:t>根据《环境影响评价技术</w:t>
            </w:r>
            <w:r>
              <w:rPr>
                <w:rFonts w:hint="default" w:ascii="Times New Roman" w:hAnsi="Times New Roman" w:eastAsia="宋体" w:cs="Times New Roman"/>
                <w:color w:val="auto"/>
                <w:spacing w:val="0"/>
                <w:w w:val="100"/>
                <w:position w:val="0"/>
                <w:sz w:val="24"/>
                <w:highlight w:val="none"/>
                <w:lang w:eastAsia="zh-CN"/>
              </w:rPr>
              <w:t xml:space="preserve">导则 </w:t>
            </w:r>
            <w:r>
              <w:rPr>
                <w:rFonts w:hint="default" w:ascii="Times New Roman" w:hAnsi="Times New Roman" w:eastAsia="宋体" w:cs="Times New Roman"/>
                <w:color w:val="auto"/>
                <w:spacing w:val="0"/>
                <w:w w:val="100"/>
                <w:position w:val="0"/>
                <w:sz w:val="24"/>
                <w:highlight w:val="none"/>
              </w:rPr>
              <w:t>大气环境》（HJ2.2-2018）要求，基本污染物按照</w:t>
            </w:r>
            <w:r>
              <w:rPr>
                <w:rFonts w:hint="default" w:ascii="Times New Roman" w:hAnsi="Times New Roman" w:eastAsia="宋体" w:cs="Times New Roman"/>
                <w:color w:val="auto"/>
                <w:spacing w:val="0"/>
                <w:w w:val="100"/>
                <w:position w:val="0"/>
                <w:sz w:val="24"/>
                <w:szCs w:val="24"/>
                <w:highlight w:val="none"/>
                <w:lang w:val="en-US" w:eastAsia="zh-CN"/>
              </w:rPr>
              <w:t>昌吉市</w:t>
            </w:r>
            <w:r>
              <w:rPr>
                <w:rFonts w:hint="default" w:ascii="Times New Roman" w:hAnsi="Times New Roman" w:eastAsia="宋体" w:cs="Times New Roman"/>
                <w:color w:val="auto"/>
                <w:spacing w:val="0"/>
                <w:w w:val="100"/>
                <w:position w:val="0"/>
                <w:sz w:val="24"/>
                <w:highlight w:val="none"/>
                <w:lang w:val="en-US" w:eastAsia="zh-CN"/>
              </w:rPr>
              <w:t>监测站202</w:t>
            </w:r>
            <w:r>
              <w:rPr>
                <w:rFonts w:hint="default" w:ascii="Times New Roman" w:hAnsi="Times New Roman" w:cs="Times New Roman"/>
                <w:color w:val="auto"/>
                <w:spacing w:val="0"/>
                <w:w w:val="100"/>
                <w:position w:val="0"/>
                <w:sz w:val="24"/>
                <w:highlight w:val="none"/>
                <w:lang w:val="en-US" w:eastAsia="zh-CN"/>
              </w:rPr>
              <w:t>2</w:t>
            </w:r>
            <w:r>
              <w:rPr>
                <w:rFonts w:hint="default" w:ascii="Times New Roman" w:hAnsi="Times New Roman" w:eastAsia="宋体" w:cs="Times New Roman"/>
                <w:color w:val="auto"/>
                <w:spacing w:val="0"/>
                <w:w w:val="100"/>
                <w:position w:val="0"/>
                <w:sz w:val="24"/>
                <w:highlight w:val="none"/>
                <w:lang w:val="en-US" w:eastAsia="zh-CN"/>
              </w:rPr>
              <w:t>年基准年连续1年的监测数据</w:t>
            </w:r>
            <w:r>
              <w:rPr>
                <w:rFonts w:hint="default" w:ascii="Times New Roman" w:hAnsi="Times New Roman" w:eastAsia="宋体" w:cs="Times New Roman"/>
                <w:color w:val="auto"/>
                <w:spacing w:val="0"/>
                <w:w w:val="100"/>
                <w:position w:val="0"/>
                <w:sz w:val="24"/>
                <w:highlight w:val="none"/>
              </w:rPr>
              <w:t>进行判定</w:t>
            </w:r>
            <w:r>
              <w:rPr>
                <w:rFonts w:hint="default" w:ascii="Times New Roman" w:hAnsi="Times New Roman" w:eastAsia="宋体" w:cs="Times New Roman"/>
                <w:color w:val="auto"/>
                <w:spacing w:val="0"/>
                <w:w w:val="100"/>
                <w:position w:val="0"/>
                <w:sz w:val="24"/>
                <w:highlight w:val="none"/>
                <w:lang w:val="en-US" w:eastAsia="zh-CN"/>
              </w:rPr>
              <w:t>，</w:t>
            </w:r>
            <w:r>
              <w:rPr>
                <w:rFonts w:hint="default" w:ascii="Times New Roman" w:hAnsi="Times New Roman" w:eastAsia="宋体" w:cs="Times New Roman"/>
                <w:color w:val="auto"/>
                <w:spacing w:val="0"/>
                <w:w w:val="100"/>
                <w:position w:val="0"/>
                <w:sz w:val="24"/>
                <w:highlight w:val="none"/>
              </w:rPr>
              <w:t>基本污染物包括SO</w:t>
            </w:r>
            <w:r>
              <w:rPr>
                <w:rFonts w:hint="default" w:ascii="Times New Roman" w:hAnsi="Times New Roman" w:eastAsia="宋体" w:cs="Times New Roman"/>
                <w:bCs/>
                <w:color w:val="auto"/>
                <w:spacing w:val="0"/>
                <w:w w:val="100"/>
                <w:position w:val="0"/>
                <w:sz w:val="24"/>
                <w:highlight w:val="none"/>
                <w:vertAlign w:val="subscript"/>
              </w:rPr>
              <w:t>2</w:t>
            </w:r>
            <w:r>
              <w:rPr>
                <w:rFonts w:hint="default" w:ascii="Times New Roman" w:hAnsi="Times New Roman" w:eastAsia="宋体" w:cs="Times New Roman"/>
                <w:color w:val="auto"/>
                <w:spacing w:val="0"/>
                <w:w w:val="100"/>
                <w:position w:val="0"/>
                <w:sz w:val="24"/>
                <w:highlight w:val="none"/>
              </w:rPr>
              <w:t>、NO</w:t>
            </w:r>
            <w:r>
              <w:rPr>
                <w:rFonts w:hint="default" w:ascii="Times New Roman" w:hAnsi="Times New Roman" w:eastAsia="宋体" w:cs="Times New Roman"/>
                <w:bCs/>
                <w:color w:val="auto"/>
                <w:spacing w:val="0"/>
                <w:w w:val="100"/>
                <w:position w:val="0"/>
                <w:sz w:val="24"/>
                <w:highlight w:val="none"/>
                <w:vertAlign w:val="subscript"/>
              </w:rPr>
              <w:t>2</w:t>
            </w:r>
            <w:r>
              <w:rPr>
                <w:rFonts w:hint="default" w:ascii="Times New Roman" w:hAnsi="Times New Roman" w:eastAsia="宋体" w:cs="Times New Roman"/>
                <w:color w:val="auto"/>
                <w:spacing w:val="0"/>
                <w:w w:val="100"/>
                <w:position w:val="0"/>
                <w:sz w:val="24"/>
                <w:highlight w:val="none"/>
              </w:rPr>
              <w:t>、</w:t>
            </w:r>
            <w:r>
              <w:rPr>
                <w:rFonts w:hint="default" w:ascii="Times New Roman" w:hAnsi="Times New Roman" w:eastAsia="宋体" w:cs="Times New Roman"/>
                <w:color w:val="auto"/>
                <w:spacing w:val="0"/>
                <w:position w:val="0"/>
                <w:sz w:val="24"/>
                <w:szCs w:val="24"/>
                <w:highlight w:val="none"/>
                <w:lang w:eastAsia="zh-CN"/>
              </w:rPr>
              <w:t>PM</w:t>
            </w:r>
            <w:r>
              <w:rPr>
                <w:rFonts w:hint="default" w:ascii="Times New Roman" w:hAnsi="Times New Roman" w:eastAsia="宋体" w:cs="Times New Roman"/>
                <w:color w:val="auto"/>
                <w:spacing w:val="0"/>
                <w:position w:val="0"/>
                <w:sz w:val="24"/>
                <w:szCs w:val="24"/>
                <w:highlight w:val="none"/>
                <w:vertAlign w:val="subscript"/>
              </w:rPr>
              <w:t>10</w:t>
            </w:r>
            <w:r>
              <w:rPr>
                <w:rFonts w:hint="default" w:ascii="Times New Roman" w:hAnsi="Times New Roman" w:eastAsia="宋体" w:cs="Times New Roman"/>
                <w:color w:val="auto"/>
                <w:spacing w:val="0"/>
                <w:w w:val="100"/>
                <w:position w:val="0"/>
                <w:sz w:val="24"/>
                <w:highlight w:val="none"/>
              </w:rPr>
              <w:t>、</w:t>
            </w:r>
            <w:r>
              <w:rPr>
                <w:rFonts w:hint="default" w:ascii="Times New Roman" w:hAnsi="Times New Roman" w:eastAsia="宋体" w:cs="Times New Roman"/>
                <w:b w:val="0"/>
                <w:bCs w:val="0"/>
                <w:color w:val="auto"/>
                <w:spacing w:val="0"/>
                <w:position w:val="0"/>
                <w:sz w:val="21"/>
                <w:szCs w:val="21"/>
                <w:highlight w:val="none"/>
                <w:lang w:val="en-US" w:eastAsia="zh-CN"/>
              </w:rPr>
              <w:t>PM</w:t>
            </w:r>
            <w:r>
              <w:rPr>
                <w:rFonts w:hint="default" w:ascii="Times New Roman" w:hAnsi="Times New Roman" w:eastAsia="宋体" w:cs="Times New Roman"/>
                <w:b w:val="0"/>
                <w:bCs w:val="0"/>
                <w:color w:val="auto"/>
                <w:spacing w:val="0"/>
                <w:position w:val="0"/>
                <w:sz w:val="21"/>
                <w:szCs w:val="21"/>
                <w:highlight w:val="none"/>
                <w:vertAlign w:val="subscript"/>
                <w:lang w:val="en-US" w:eastAsia="zh-CN"/>
              </w:rPr>
              <w:t>2.5</w:t>
            </w:r>
            <w:r>
              <w:rPr>
                <w:rFonts w:hint="default" w:ascii="Times New Roman" w:hAnsi="Times New Roman" w:eastAsia="宋体" w:cs="Times New Roman"/>
                <w:color w:val="auto"/>
                <w:spacing w:val="0"/>
                <w:w w:val="100"/>
                <w:position w:val="0"/>
                <w:sz w:val="24"/>
                <w:highlight w:val="none"/>
              </w:rPr>
              <w:t>、CO和O</w:t>
            </w:r>
            <w:r>
              <w:rPr>
                <w:rFonts w:hint="default" w:ascii="Times New Roman" w:hAnsi="Times New Roman" w:eastAsia="宋体" w:cs="Times New Roman"/>
                <w:bCs/>
                <w:color w:val="auto"/>
                <w:spacing w:val="0"/>
                <w:w w:val="100"/>
                <w:position w:val="0"/>
                <w:sz w:val="24"/>
                <w:highlight w:val="none"/>
                <w:vertAlign w:val="subscript"/>
              </w:rPr>
              <w:t>3</w:t>
            </w:r>
            <w:r>
              <w:rPr>
                <w:rFonts w:hint="default" w:ascii="Times New Roman" w:hAnsi="Times New Roman" w:eastAsia="宋体" w:cs="Times New Roman"/>
                <w:color w:val="auto"/>
                <w:spacing w:val="0"/>
                <w:w w:val="100"/>
                <w:position w:val="0"/>
                <w:sz w:val="24"/>
                <w:highlight w:val="none"/>
              </w:rPr>
              <w:t>，进行项目所在区域环境空气达标判定和区域各污染物的环境质量现状评价。</w:t>
            </w:r>
          </w:p>
          <w:p w14:paraId="4E810FDF">
            <w:pPr>
              <w:pStyle w:val="39"/>
              <w:keepNext w:val="0"/>
              <w:keepLines w:val="0"/>
              <w:pageBreakBefore w:val="0"/>
              <w:numPr>
                <w:ilvl w:val="0"/>
                <w:numId w:val="0"/>
              </w:numPr>
              <w:shd w:val="clear"/>
              <w:kinsoku/>
              <w:overflowPunct/>
              <w:topLinePunct w:val="0"/>
              <w:autoSpaceDE w:val="0"/>
              <w:autoSpaceDN w:val="0"/>
              <w:bidi w:val="0"/>
              <w:snapToGrid/>
              <w:spacing w:beforeAutospacing="0" w:afterAutospacing="0" w:line="240" w:lineRule="auto"/>
              <w:ind w:left="0" w:leftChars="0" w:right="0" w:firstLine="480"/>
              <w:jc w:val="center"/>
              <w:rPr>
                <w:rFonts w:hint="default" w:ascii="Times New Roman" w:hAnsi="Times New Roman" w:eastAsia="宋体" w:cs="Times New Roman"/>
                <w:b/>
                <w:bCs w:val="0"/>
                <w:color w:val="auto"/>
                <w:spacing w:val="0"/>
                <w:w w:val="100"/>
                <w:kern w:val="2"/>
                <w:position w:val="0"/>
                <w:sz w:val="21"/>
                <w:szCs w:val="21"/>
                <w:highlight w:val="none"/>
                <w:lang w:val="en-US" w:eastAsia="zh-CN" w:bidi="ar-SA"/>
              </w:rPr>
            </w:pPr>
            <w:r>
              <w:rPr>
                <w:rFonts w:hint="default" w:ascii="Times New Roman" w:hAnsi="Times New Roman" w:eastAsia="宋体" w:cs="Times New Roman"/>
                <w:b/>
                <w:bCs w:val="0"/>
                <w:color w:val="auto"/>
                <w:spacing w:val="0"/>
                <w:w w:val="100"/>
                <w:kern w:val="2"/>
                <w:position w:val="0"/>
                <w:sz w:val="21"/>
                <w:szCs w:val="21"/>
                <w:highlight w:val="none"/>
                <w:lang w:val="en-US" w:eastAsia="zh-CN" w:bidi="ar-SA"/>
              </w:rPr>
              <w:t>表3-2   大气环境质量标准</w:t>
            </w:r>
          </w:p>
          <w:tbl>
            <w:tblPr>
              <w:tblStyle w:val="31"/>
              <w:tblW w:w="496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20"/>
              <w:gridCol w:w="1370"/>
              <w:gridCol w:w="654"/>
              <w:gridCol w:w="978"/>
              <w:gridCol w:w="1380"/>
              <w:gridCol w:w="1065"/>
              <w:gridCol w:w="1084"/>
            </w:tblGrid>
            <w:tr w14:paraId="7677F6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97" w:type="pct"/>
                  <w:tcBorders>
                    <w:top w:val="single" w:color="auto" w:sz="12" w:space="0"/>
                  </w:tcBorders>
                  <w:noWrap w:val="0"/>
                  <w:vAlign w:val="center"/>
                </w:tcPr>
                <w:p w14:paraId="290B706F">
                  <w:pPr>
                    <w:pStyle w:val="20"/>
                    <w:shd w:val="clear"/>
                    <w:adjustRightInd w:val="0"/>
                    <w:snapToGrid w:val="0"/>
                    <w:spacing w:line="240" w:lineRule="auto"/>
                    <w:ind w:firstLine="0" w:firstLineChars="0"/>
                    <w:jc w:val="center"/>
                    <w:rPr>
                      <w:rFonts w:hint="default" w:ascii="Times New Roman" w:hAnsi="Times New Roman" w:eastAsia="宋体" w:cs="Times New Roman"/>
                      <w:b/>
                      <w:bCs w:val="0"/>
                      <w:color w:val="auto"/>
                      <w:spacing w:val="0"/>
                      <w:sz w:val="21"/>
                      <w:szCs w:val="21"/>
                      <w:highlight w:val="none"/>
                    </w:rPr>
                  </w:pPr>
                  <w:r>
                    <w:rPr>
                      <w:rFonts w:hint="default" w:ascii="Times New Roman" w:hAnsi="Times New Roman" w:eastAsia="宋体" w:cs="Times New Roman"/>
                      <w:b/>
                      <w:bCs w:val="0"/>
                      <w:color w:val="auto"/>
                      <w:spacing w:val="0"/>
                      <w:sz w:val="21"/>
                      <w:szCs w:val="21"/>
                      <w:highlight w:val="none"/>
                    </w:rPr>
                    <w:t>评价因子</w:t>
                  </w:r>
                </w:p>
              </w:tc>
              <w:tc>
                <w:tcPr>
                  <w:tcW w:w="944" w:type="pct"/>
                  <w:tcBorders>
                    <w:top w:val="single" w:color="auto" w:sz="12" w:space="0"/>
                  </w:tcBorders>
                  <w:noWrap w:val="0"/>
                  <w:vAlign w:val="center"/>
                </w:tcPr>
                <w:p w14:paraId="6938AD1E">
                  <w:pPr>
                    <w:pStyle w:val="20"/>
                    <w:shd w:val="clear"/>
                    <w:adjustRightInd w:val="0"/>
                    <w:snapToGrid w:val="0"/>
                    <w:spacing w:line="240" w:lineRule="auto"/>
                    <w:ind w:firstLine="0" w:firstLineChars="0"/>
                    <w:jc w:val="center"/>
                    <w:rPr>
                      <w:rFonts w:hint="default" w:ascii="Times New Roman" w:hAnsi="Times New Roman" w:eastAsia="宋体" w:cs="Times New Roman"/>
                      <w:b/>
                      <w:bCs w:val="0"/>
                      <w:color w:val="auto"/>
                      <w:spacing w:val="0"/>
                      <w:sz w:val="21"/>
                      <w:szCs w:val="21"/>
                      <w:highlight w:val="none"/>
                    </w:rPr>
                  </w:pPr>
                  <w:r>
                    <w:rPr>
                      <w:rFonts w:hint="default" w:ascii="Times New Roman" w:hAnsi="Times New Roman" w:eastAsia="宋体" w:cs="Times New Roman"/>
                      <w:b/>
                      <w:bCs w:val="0"/>
                      <w:color w:val="auto"/>
                      <w:spacing w:val="0"/>
                      <w:sz w:val="21"/>
                      <w:szCs w:val="21"/>
                      <w:highlight w:val="none"/>
                    </w:rPr>
                    <w:t>平均时段</w:t>
                  </w:r>
                </w:p>
              </w:tc>
              <w:tc>
                <w:tcPr>
                  <w:tcW w:w="451" w:type="pct"/>
                  <w:tcBorders>
                    <w:top w:val="single" w:color="auto" w:sz="12" w:space="0"/>
                  </w:tcBorders>
                  <w:noWrap w:val="0"/>
                  <w:vAlign w:val="center"/>
                </w:tcPr>
                <w:p w14:paraId="33F3E83E">
                  <w:pPr>
                    <w:pStyle w:val="20"/>
                    <w:shd w:val="clear"/>
                    <w:adjustRightInd w:val="0"/>
                    <w:snapToGrid w:val="0"/>
                    <w:spacing w:line="240" w:lineRule="auto"/>
                    <w:ind w:firstLine="0" w:firstLineChars="0"/>
                    <w:jc w:val="center"/>
                    <w:rPr>
                      <w:rFonts w:hint="default" w:ascii="Times New Roman" w:hAnsi="Times New Roman" w:eastAsia="宋体" w:cs="Times New Roman"/>
                      <w:b/>
                      <w:bCs w:val="0"/>
                      <w:color w:val="auto"/>
                      <w:spacing w:val="0"/>
                      <w:sz w:val="21"/>
                      <w:szCs w:val="21"/>
                      <w:highlight w:val="none"/>
                    </w:rPr>
                  </w:pPr>
                  <w:r>
                    <w:rPr>
                      <w:rFonts w:hint="default" w:ascii="Times New Roman" w:hAnsi="Times New Roman" w:eastAsia="宋体" w:cs="Times New Roman"/>
                      <w:b/>
                      <w:bCs w:val="0"/>
                      <w:color w:val="auto"/>
                      <w:spacing w:val="0"/>
                      <w:sz w:val="21"/>
                      <w:szCs w:val="21"/>
                      <w:highlight w:val="none"/>
                    </w:rPr>
                    <w:t>百分位</w:t>
                  </w:r>
                </w:p>
              </w:tc>
              <w:tc>
                <w:tcPr>
                  <w:tcW w:w="674" w:type="pct"/>
                  <w:tcBorders>
                    <w:top w:val="single" w:color="auto" w:sz="12" w:space="0"/>
                    <w:bottom w:val="single" w:color="auto" w:sz="12" w:space="0"/>
                    <w:right w:val="nil"/>
                  </w:tcBorders>
                  <w:noWrap w:val="0"/>
                  <w:vAlign w:val="center"/>
                </w:tcPr>
                <w:p w14:paraId="7F7C59B5">
                  <w:pPr>
                    <w:pStyle w:val="20"/>
                    <w:shd w:val="clear"/>
                    <w:adjustRightInd w:val="0"/>
                    <w:snapToGrid w:val="0"/>
                    <w:spacing w:line="240" w:lineRule="auto"/>
                    <w:ind w:firstLine="0" w:firstLineChars="0"/>
                    <w:jc w:val="center"/>
                    <w:rPr>
                      <w:rFonts w:hint="default" w:ascii="Times New Roman" w:hAnsi="Times New Roman" w:eastAsia="宋体" w:cs="Times New Roman"/>
                      <w:b/>
                      <w:bCs w:val="0"/>
                      <w:color w:val="auto"/>
                      <w:spacing w:val="0"/>
                      <w:sz w:val="21"/>
                      <w:szCs w:val="21"/>
                      <w:highlight w:val="none"/>
                    </w:rPr>
                  </w:pPr>
                  <w:r>
                    <w:rPr>
                      <w:rFonts w:hint="default" w:ascii="Times New Roman" w:hAnsi="Times New Roman" w:eastAsia="宋体" w:cs="Times New Roman"/>
                      <w:b/>
                      <w:bCs w:val="0"/>
                      <w:color w:val="auto"/>
                      <w:spacing w:val="0"/>
                      <w:sz w:val="21"/>
                      <w:szCs w:val="21"/>
                      <w:highlight w:val="none"/>
                    </w:rPr>
                    <w:t>现状浓度</w:t>
                  </w:r>
                </w:p>
                <w:p w14:paraId="4844DB78">
                  <w:pPr>
                    <w:pStyle w:val="20"/>
                    <w:shd w:val="clear"/>
                    <w:adjustRightInd w:val="0"/>
                    <w:snapToGrid w:val="0"/>
                    <w:spacing w:line="240" w:lineRule="auto"/>
                    <w:ind w:firstLine="0" w:firstLineChars="0"/>
                    <w:jc w:val="center"/>
                    <w:rPr>
                      <w:rFonts w:hint="default" w:ascii="Times New Roman" w:hAnsi="Times New Roman" w:eastAsia="宋体" w:cs="Times New Roman"/>
                      <w:b/>
                      <w:bCs w:val="0"/>
                      <w:color w:val="auto"/>
                      <w:spacing w:val="0"/>
                      <w:sz w:val="21"/>
                      <w:szCs w:val="21"/>
                      <w:highlight w:val="none"/>
                    </w:rPr>
                  </w:pPr>
                  <w:r>
                    <w:rPr>
                      <w:rFonts w:hint="default" w:ascii="Times New Roman" w:hAnsi="Times New Roman" w:eastAsia="宋体" w:cs="Times New Roman"/>
                      <w:color w:val="auto"/>
                      <w:spacing w:val="0"/>
                      <w:sz w:val="24"/>
                      <w:highlight w:val="none"/>
                    </w:rPr>
                    <w:t>µ</w:t>
                  </w:r>
                  <w:r>
                    <w:rPr>
                      <w:rFonts w:hint="default" w:ascii="Times New Roman" w:hAnsi="Times New Roman" w:eastAsia="宋体" w:cs="Times New Roman"/>
                      <w:b/>
                      <w:bCs w:val="0"/>
                      <w:color w:val="auto"/>
                      <w:spacing w:val="0"/>
                      <w:sz w:val="21"/>
                      <w:szCs w:val="21"/>
                      <w:highlight w:val="none"/>
                    </w:rPr>
                    <w:t>g/m</w:t>
                  </w:r>
                  <w:r>
                    <w:rPr>
                      <w:rFonts w:hint="default" w:ascii="Times New Roman" w:hAnsi="Times New Roman" w:eastAsia="宋体" w:cs="Times New Roman"/>
                      <w:b/>
                      <w:bCs w:val="0"/>
                      <w:color w:val="auto"/>
                      <w:spacing w:val="0"/>
                      <w:sz w:val="21"/>
                      <w:szCs w:val="21"/>
                      <w:highlight w:val="none"/>
                      <w:vertAlign w:val="superscript"/>
                    </w:rPr>
                    <w:t>3</w:t>
                  </w:r>
                </w:p>
              </w:tc>
              <w:tc>
                <w:tcPr>
                  <w:tcW w:w="951" w:type="pct"/>
                  <w:tcBorders>
                    <w:top w:val="single" w:color="auto" w:sz="12" w:space="0"/>
                    <w:right w:val="nil"/>
                  </w:tcBorders>
                  <w:noWrap w:val="0"/>
                  <w:vAlign w:val="center"/>
                </w:tcPr>
                <w:p w14:paraId="396F8B8A">
                  <w:pPr>
                    <w:pStyle w:val="20"/>
                    <w:shd w:val="clear"/>
                    <w:adjustRightInd w:val="0"/>
                    <w:snapToGrid w:val="0"/>
                    <w:spacing w:line="240" w:lineRule="auto"/>
                    <w:ind w:firstLine="0" w:firstLineChars="0"/>
                    <w:jc w:val="center"/>
                    <w:rPr>
                      <w:rFonts w:hint="default" w:ascii="Times New Roman" w:hAnsi="Times New Roman" w:eastAsia="宋体" w:cs="Times New Roman"/>
                      <w:b/>
                      <w:bCs w:val="0"/>
                      <w:color w:val="auto"/>
                      <w:spacing w:val="0"/>
                      <w:sz w:val="21"/>
                      <w:szCs w:val="21"/>
                      <w:highlight w:val="none"/>
                    </w:rPr>
                  </w:pPr>
                  <w:r>
                    <w:rPr>
                      <w:rFonts w:hint="default" w:ascii="Times New Roman" w:hAnsi="Times New Roman" w:eastAsia="宋体" w:cs="Times New Roman"/>
                      <w:b/>
                      <w:bCs w:val="0"/>
                      <w:color w:val="auto"/>
                      <w:spacing w:val="0"/>
                      <w:sz w:val="21"/>
                      <w:szCs w:val="21"/>
                      <w:highlight w:val="none"/>
                    </w:rPr>
                    <w:t>标准限值</w:t>
                  </w:r>
                </w:p>
                <w:p w14:paraId="697AA8BA">
                  <w:pPr>
                    <w:pStyle w:val="20"/>
                    <w:shd w:val="clear"/>
                    <w:adjustRightInd w:val="0"/>
                    <w:snapToGrid w:val="0"/>
                    <w:spacing w:line="240" w:lineRule="auto"/>
                    <w:ind w:firstLine="0" w:firstLineChars="0"/>
                    <w:jc w:val="center"/>
                    <w:rPr>
                      <w:rFonts w:hint="default" w:ascii="Times New Roman" w:hAnsi="Times New Roman" w:eastAsia="宋体" w:cs="Times New Roman"/>
                      <w:b/>
                      <w:bCs w:val="0"/>
                      <w:color w:val="auto"/>
                      <w:spacing w:val="0"/>
                      <w:sz w:val="21"/>
                      <w:szCs w:val="21"/>
                      <w:highlight w:val="none"/>
                    </w:rPr>
                  </w:pPr>
                  <w:r>
                    <w:rPr>
                      <w:rFonts w:hint="default" w:ascii="Times New Roman" w:hAnsi="Times New Roman" w:eastAsia="宋体" w:cs="Times New Roman"/>
                      <w:color w:val="auto"/>
                      <w:spacing w:val="0"/>
                      <w:sz w:val="24"/>
                      <w:highlight w:val="none"/>
                    </w:rPr>
                    <w:t>µ</w:t>
                  </w:r>
                  <w:r>
                    <w:rPr>
                      <w:rFonts w:hint="default" w:ascii="Times New Roman" w:hAnsi="Times New Roman" w:eastAsia="宋体" w:cs="Times New Roman"/>
                      <w:b/>
                      <w:bCs w:val="0"/>
                      <w:color w:val="auto"/>
                      <w:spacing w:val="0"/>
                      <w:sz w:val="21"/>
                      <w:szCs w:val="21"/>
                      <w:highlight w:val="none"/>
                    </w:rPr>
                    <w:t>g/m</w:t>
                  </w:r>
                  <w:r>
                    <w:rPr>
                      <w:rFonts w:hint="default" w:ascii="Times New Roman" w:hAnsi="Times New Roman" w:eastAsia="宋体" w:cs="Times New Roman"/>
                      <w:b/>
                      <w:bCs w:val="0"/>
                      <w:color w:val="auto"/>
                      <w:spacing w:val="0"/>
                      <w:sz w:val="21"/>
                      <w:szCs w:val="21"/>
                      <w:highlight w:val="none"/>
                      <w:vertAlign w:val="superscript"/>
                    </w:rPr>
                    <w:t>3</w:t>
                  </w:r>
                </w:p>
              </w:tc>
              <w:tc>
                <w:tcPr>
                  <w:tcW w:w="734" w:type="pct"/>
                  <w:tcBorders>
                    <w:top w:val="single" w:color="auto" w:sz="12" w:space="0"/>
                    <w:right w:val="nil"/>
                  </w:tcBorders>
                  <w:noWrap w:val="0"/>
                  <w:vAlign w:val="center"/>
                </w:tcPr>
                <w:p w14:paraId="2082F42A">
                  <w:pPr>
                    <w:pStyle w:val="20"/>
                    <w:shd w:val="clear"/>
                    <w:adjustRightInd w:val="0"/>
                    <w:snapToGrid w:val="0"/>
                    <w:spacing w:line="240" w:lineRule="auto"/>
                    <w:ind w:firstLine="0" w:firstLineChars="0"/>
                    <w:jc w:val="center"/>
                    <w:rPr>
                      <w:rFonts w:hint="default" w:ascii="Times New Roman" w:hAnsi="Times New Roman" w:eastAsia="宋体" w:cs="Times New Roman"/>
                      <w:b/>
                      <w:bCs w:val="0"/>
                      <w:color w:val="auto"/>
                      <w:spacing w:val="0"/>
                      <w:sz w:val="21"/>
                      <w:szCs w:val="21"/>
                      <w:highlight w:val="none"/>
                    </w:rPr>
                  </w:pPr>
                  <w:r>
                    <w:rPr>
                      <w:rFonts w:hint="default" w:ascii="Times New Roman" w:hAnsi="Times New Roman" w:eastAsia="宋体" w:cs="Times New Roman"/>
                      <w:b/>
                      <w:bCs w:val="0"/>
                      <w:color w:val="auto"/>
                      <w:spacing w:val="0"/>
                      <w:sz w:val="21"/>
                      <w:szCs w:val="21"/>
                      <w:highlight w:val="none"/>
                    </w:rPr>
                    <w:t>占标率%</w:t>
                  </w:r>
                </w:p>
              </w:tc>
              <w:tc>
                <w:tcPr>
                  <w:tcW w:w="747" w:type="pct"/>
                  <w:tcBorders>
                    <w:top w:val="single" w:color="auto" w:sz="12" w:space="0"/>
                    <w:right w:val="nil"/>
                  </w:tcBorders>
                  <w:noWrap w:val="0"/>
                  <w:vAlign w:val="center"/>
                </w:tcPr>
                <w:p w14:paraId="76CE33E4">
                  <w:pPr>
                    <w:pStyle w:val="20"/>
                    <w:shd w:val="clear"/>
                    <w:adjustRightInd w:val="0"/>
                    <w:snapToGrid w:val="0"/>
                    <w:spacing w:line="240" w:lineRule="auto"/>
                    <w:ind w:firstLine="0" w:firstLineChars="0"/>
                    <w:jc w:val="center"/>
                    <w:rPr>
                      <w:rFonts w:hint="default" w:ascii="Times New Roman" w:hAnsi="Times New Roman" w:eastAsia="宋体" w:cs="Times New Roman"/>
                      <w:b/>
                      <w:bCs w:val="0"/>
                      <w:color w:val="auto"/>
                      <w:spacing w:val="0"/>
                      <w:sz w:val="21"/>
                      <w:szCs w:val="21"/>
                      <w:highlight w:val="none"/>
                    </w:rPr>
                  </w:pPr>
                  <w:r>
                    <w:rPr>
                      <w:rFonts w:hint="default" w:ascii="Times New Roman" w:hAnsi="Times New Roman" w:eastAsia="宋体" w:cs="Times New Roman"/>
                      <w:b/>
                      <w:bCs w:val="0"/>
                      <w:color w:val="auto"/>
                      <w:spacing w:val="0"/>
                      <w:sz w:val="21"/>
                      <w:szCs w:val="21"/>
                      <w:highlight w:val="none"/>
                    </w:rPr>
                    <w:t>达标情况</w:t>
                  </w:r>
                </w:p>
              </w:tc>
            </w:tr>
            <w:tr w14:paraId="2EBA88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97" w:type="pct"/>
                  <w:tcBorders>
                    <w:top w:val="single" w:color="auto" w:sz="12" w:space="0"/>
                    <w:left w:val="nil"/>
                  </w:tcBorders>
                  <w:noWrap w:val="0"/>
                  <w:vAlign w:val="center"/>
                </w:tcPr>
                <w:p w14:paraId="0DD3C77E">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SO</w:t>
                  </w:r>
                  <w:r>
                    <w:rPr>
                      <w:rFonts w:hint="default" w:ascii="Times New Roman" w:hAnsi="Times New Roman" w:eastAsia="宋体" w:cs="Times New Roman"/>
                      <w:bCs/>
                      <w:color w:val="auto"/>
                      <w:spacing w:val="0"/>
                      <w:sz w:val="21"/>
                      <w:szCs w:val="21"/>
                      <w:highlight w:val="none"/>
                      <w:vertAlign w:val="subscript"/>
                    </w:rPr>
                    <w:t>2</w:t>
                  </w:r>
                </w:p>
              </w:tc>
              <w:tc>
                <w:tcPr>
                  <w:tcW w:w="944" w:type="pct"/>
                  <w:tcBorders>
                    <w:top w:val="single" w:color="auto" w:sz="12" w:space="0"/>
                  </w:tcBorders>
                  <w:noWrap w:val="0"/>
                  <w:vAlign w:val="center"/>
                </w:tcPr>
                <w:p w14:paraId="73EBB9F8">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年平均浓度</w:t>
                  </w:r>
                </w:p>
              </w:tc>
              <w:tc>
                <w:tcPr>
                  <w:tcW w:w="451" w:type="pct"/>
                  <w:tcBorders>
                    <w:top w:val="single" w:color="auto" w:sz="12" w:space="0"/>
                  </w:tcBorders>
                  <w:noWrap w:val="0"/>
                  <w:vAlign w:val="center"/>
                </w:tcPr>
                <w:p w14:paraId="4036381B">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w:t>
                  </w:r>
                </w:p>
              </w:tc>
              <w:tc>
                <w:tcPr>
                  <w:tcW w:w="674" w:type="pct"/>
                  <w:tcBorders>
                    <w:top w:val="single" w:color="auto" w:sz="12" w:space="0"/>
                  </w:tcBorders>
                  <w:noWrap w:val="0"/>
                  <w:vAlign w:val="center"/>
                </w:tcPr>
                <w:p w14:paraId="22000AC6">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lang w:eastAsia="zh-CN"/>
                    </w:rPr>
                  </w:pPr>
                  <w:r>
                    <w:rPr>
                      <w:rFonts w:hint="default" w:ascii="Times New Roman" w:hAnsi="Times New Roman" w:eastAsia="宋体" w:cs="Times New Roman"/>
                      <w:bCs/>
                      <w:color w:val="auto"/>
                      <w:spacing w:val="0"/>
                      <w:sz w:val="21"/>
                      <w:szCs w:val="21"/>
                      <w:highlight w:val="none"/>
                      <w:lang w:val="en-US" w:eastAsia="zh-CN"/>
                    </w:rPr>
                    <w:t>7</w:t>
                  </w:r>
                </w:p>
              </w:tc>
              <w:tc>
                <w:tcPr>
                  <w:tcW w:w="951" w:type="pct"/>
                  <w:tcBorders>
                    <w:top w:val="single" w:color="auto" w:sz="12" w:space="0"/>
                  </w:tcBorders>
                  <w:noWrap w:val="0"/>
                  <w:vAlign w:val="center"/>
                </w:tcPr>
                <w:p w14:paraId="258E7487">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60</w:t>
                  </w:r>
                </w:p>
              </w:tc>
              <w:tc>
                <w:tcPr>
                  <w:tcW w:w="734" w:type="pct"/>
                  <w:tcBorders>
                    <w:top w:val="single" w:color="auto" w:sz="12" w:space="0"/>
                  </w:tcBorders>
                  <w:noWrap w:val="0"/>
                  <w:vAlign w:val="center"/>
                </w:tcPr>
                <w:p w14:paraId="1E35E007">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lang w:val="en-US" w:eastAsia="zh-CN"/>
                    </w:rPr>
                  </w:pPr>
                  <w:r>
                    <w:rPr>
                      <w:rFonts w:hint="default" w:ascii="Times New Roman" w:hAnsi="Times New Roman" w:eastAsia="宋体" w:cs="Times New Roman"/>
                      <w:bCs/>
                      <w:color w:val="auto"/>
                      <w:spacing w:val="0"/>
                      <w:sz w:val="21"/>
                      <w:szCs w:val="21"/>
                      <w:highlight w:val="none"/>
                      <w:lang w:val="en-US" w:eastAsia="zh-CN"/>
                    </w:rPr>
                    <w:t>11.</w:t>
                  </w:r>
                  <w:r>
                    <w:rPr>
                      <w:rFonts w:hint="default" w:ascii="Times New Roman" w:hAnsi="Times New Roman" w:cs="Times New Roman"/>
                      <w:bCs/>
                      <w:color w:val="auto"/>
                      <w:spacing w:val="0"/>
                      <w:sz w:val="21"/>
                      <w:szCs w:val="21"/>
                      <w:highlight w:val="none"/>
                      <w:lang w:val="en-US" w:eastAsia="zh-CN"/>
                    </w:rPr>
                    <w:t>7</w:t>
                  </w:r>
                </w:p>
              </w:tc>
              <w:tc>
                <w:tcPr>
                  <w:tcW w:w="747" w:type="pct"/>
                  <w:tcBorders>
                    <w:top w:val="single" w:color="auto" w:sz="12" w:space="0"/>
                    <w:right w:val="nil"/>
                  </w:tcBorders>
                  <w:noWrap w:val="0"/>
                  <w:vAlign w:val="center"/>
                </w:tcPr>
                <w:p w14:paraId="4EDB0021">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达标</w:t>
                  </w:r>
                </w:p>
              </w:tc>
            </w:tr>
            <w:tr w14:paraId="598A1F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97" w:type="pct"/>
                  <w:tcBorders>
                    <w:left w:val="nil"/>
                  </w:tcBorders>
                  <w:noWrap w:val="0"/>
                  <w:vAlign w:val="center"/>
                </w:tcPr>
                <w:p w14:paraId="02CA1BF4">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NO</w:t>
                  </w:r>
                  <w:r>
                    <w:rPr>
                      <w:rFonts w:hint="default" w:ascii="Times New Roman" w:hAnsi="Times New Roman" w:eastAsia="宋体" w:cs="Times New Roman"/>
                      <w:bCs/>
                      <w:color w:val="auto"/>
                      <w:spacing w:val="0"/>
                      <w:sz w:val="21"/>
                      <w:szCs w:val="21"/>
                      <w:highlight w:val="none"/>
                      <w:vertAlign w:val="subscript"/>
                    </w:rPr>
                    <w:t>2</w:t>
                  </w:r>
                </w:p>
              </w:tc>
              <w:tc>
                <w:tcPr>
                  <w:tcW w:w="944" w:type="pct"/>
                  <w:noWrap w:val="0"/>
                  <w:vAlign w:val="center"/>
                </w:tcPr>
                <w:p w14:paraId="3956C02B">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年平均浓度</w:t>
                  </w:r>
                </w:p>
              </w:tc>
              <w:tc>
                <w:tcPr>
                  <w:tcW w:w="451" w:type="pct"/>
                  <w:noWrap w:val="0"/>
                  <w:vAlign w:val="center"/>
                </w:tcPr>
                <w:p w14:paraId="41307B13">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w:t>
                  </w:r>
                </w:p>
              </w:tc>
              <w:tc>
                <w:tcPr>
                  <w:tcW w:w="674" w:type="pct"/>
                  <w:noWrap w:val="0"/>
                  <w:vAlign w:val="center"/>
                </w:tcPr>
                <w:p w14:paraId="3DA6D8D8">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lang w:val="en-US" w:eastAsia="zh-CN"/>
                    </w:rPr>
                  </w:pPr>
                  <w:r>
                    <w:rPr>
                      <w:rFonts w:hint="default" w:ascii="Times New Roman" w:hAnsi="Times New Roman" w:cs="Times New Roman"/>
                      <w:bCs/>
                      <w:color w:val="auto"/>
                      <w:spacing w:val="0"/>
                      <w:sz w:val="21"/>
                      <w:szCs w:val="21"/>
                      <w:highlight w:val="none"/>
                      <w:lang w:val="en-US" w:eastAsia="zh-CN"/>
                    </w:rPr>
                    <w:t>32</w:t>
                  </w:r>
                </w:p>
              </w:tc>
              <w:tc>
                <w:tcPr>
                  <w:tcW w:w="951" w:type="pct"/>
                  <w:noWrap w:val="0"/>
                  <w:vAlign w:val="center"/>
                </w:tcPr>
                <w:p w14:paraId="26E455C4">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40</w:t>
                  </w:r>
                </w:p>
              </w:tc>
              <w:tc>
                <w:tcPr>
                  <w:tcW w:w="734" w:type="pct"/>
                  <w:noWrap w:val="0"/>
                  <w:vAlign w:val="center"/>
                </w:tcPr>
                <w:p w14:paraId="3874F274">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lang w:val="en-US" w:eastAsia="zh-CN"/>
                    </w:rPr>
                  </w:pPr>
                  <w:r>
                    <w:rPr>
                      <w:rFonts w:hint="default" w:ascii="Times New Roman" w:hAnsi="Times New Roman" w:cs="Times New Roman"/>
                      <w:bCs/>
                      <w:color w:val="auto"/>
                      <w:spacing w:val="0"/>
                      <w:sz w:val="21"/>
                      <w:szCs w:val="21"/>
                      <w:highlight w:val="none"/>
                      <w:lang w:val="en-US" w:eastAsia="zh-CN"/>
                    </w:rPr>
                    <w:t>80.0</w:t>
                  </w:r>
                </w:p>
              </w:tc>
              <w:tc>
                <w:tcPr>
                  <w:tcW w:w="747" w:type="pct"/>
                  <w:tcBorders>
                    <w:right w:val="nil"/>
                  </w:tcBorders>
                  <w:noWrap w:val="0"/>
                  <w:vAlign w:val="center"/>
                </w:tcPr>
                <w:p w14:paraId="4443E9CD">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达标</w:t>
                  </w:r>
                </w:p>
              </w:tc>
            </w:tr>
            <w:tr w14:paraId="03FEE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97" w:type="pct"/>
                  <w:tcBorders>
                    <w:left w:val="nil"/>
                  </w:tcBorders>
                  <w:noWrap w:val="0"/>
                  <w:vAlign w:val="center"/>
                </w:tcPr>
                <w:p w14:paraId="2986E9D0">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PM</w:t>
                  </w:r>
                  <w:r>
                    <w:rPr>
                      <w:rFonts w:hint="default" w:ascii="Times New Roman" w:hAnsi="Times New Roman" w:eastAsia="宋体" w:cs="Times New Roman"/>
                      <w:bCs/>
                      <w:color w:val="auto"/>
                      <w:spacing w:val="0"/>
                      <w:sz w:val="21"/>
                      <w:szCs w:val="21"/>
                      <w:highlight w:val="none"/>
                      <w:vertAlign w:val="subscript"/>
                    </w:rPr>
                    <w:t>2.5</w:t>
                  </w:r>
                </w:p>
              </w:tc>
              <w:tc>
                <w:tcPr>
                  <w:tcW w:w="944" w:type="pct"/>
                  <w:noWrap w:val="0"/>
                  <w:vAlign w:val="center"/>
                </w:tcPr>
                <w:p w14:paraId="0B8E5599">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年平均浓度</w:t>
                  </w:r>
                </w:p>
              </w:tc>
              <w:tc>
                <w:tcPr>
                  <w:tcW w:w="451" w:type="pct"/>
                  <w:noWrap w:val="0"/>
                  <w:vAlign w:val="center"/>
                </w:tcPr>
                <w:p w14:paraId="24D9F707">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w:t>
                  </w:r>
                </w:p>
              </w:tc>
              <w:tc>
                <w:tcPr>
                  <w:tcW w:w="674" w:type="pct"/>
                  <w:noWrap w:val="0"/>
                  <w:vAlign w:val="center"/>
                </w:tcPr>
                <w:p w14:paraId="1778D8F2">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lang w:val="en-US"/>
                    </w:rPr>
                  </w:pPr>
                  <w:r>
                    <w:rPr>
                      <w:rFonts w:hint="default" w:ascii="Times New Roman" w:hAnsi="Times New Roman" w:cs="Times New Roman"/>
                      <w:bCs/>
                      <w:color w:val="auto"/>
                      <w:spacing w:val="0"/>
                      <w:sz w:val="21"/>
                      <w:szCs w:val="21"/>
                      <w:highlight w:val="none"/>
                      <w:lang w:val="en-US" w:eastAsia="zh-CN"/>
                    </w:rPr>
                    <w:t>81</w:t>
                  </w:r>
                </w:p>
              </w:tc>
              <w:tc>
                <w:tcPr>
                  <w:tcW w:w="951" w:type="pct"/>
                  <w:noWrap w:val="0"/>
                  <w:vAlign w:val="center"/>
                </w:tcPr>
                <w:p w14:paraId="1C3AFF34">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35</w:t>
                  </w:r>
                </w:p>
              </w:tc>
              <w:tc>
                <w:tcPr>
                  <w:tcW w:w="734" w:type="pct"/>
                  <w:noWrap w:val="0"/>
                  <w:vAlign w:val="center"/>
                </w:tcPr>
                <w:p w14:paraId="523D87AD">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lang w:val="en-US"/>
                    </w:rPr>
                  </w:pPr>
                  <w:r>
                    <w:rPr>
                      <w:rFonts w:hint="default" w:ascii="Times New Roman" w:hAnsi="Times New Roman" w:cs="Times New Roman"/>
                      <w:bCs/>
                      <w:color w:val="auto"/>
                      <w:spacing w:val="0"/>
                      <w:sz w:val="21"/>
                      <w:szCs w:val="21"/>
                      <w:highlight w:val="none"/>
                      <w:lang w:val="en-US" w:eastAsia="zh-CN"/>
                    </w:rPr>
                    <w:t>115.7</w:t>
                  </w:r>
                </w:p>
              </w:tc>
              <w:tc>
                <w:tcPr>
                  <w:tcW w:w="747" w:type="pct"/>
                  <w:tcBorders>
                    <w:right w:val="nil"/>
                  </w:tcBorders>
                  <w:noWrap w:val="0"/>
                  <w:vAlign w:val="center"/>
                </w:tcPr>
                <w:p w14:paraId="5152CB5E">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lang w:val="en-US" w:eastAsia="zh-CN"/>
                    </w:rPr>
                    <w:t>不</w:t>
                  </w:r>
                  <w:r>
                    <w:rPr>
                      <w:rFonts w:hint="default" w:ascii="Times New Roman" w:hAnsi="Times New Roman" w:eastAsia="宋体" w:cs="Times New Roman"/>
                      <w:bCs/>
                      <w:color w:val="auto"/>
                      <w:spacing w:val="0"/>
                      <w:sz w:val="21"/>
                      <w:szCs w:val="21"/>
                      <w:highlight w:val="none"/>
                    </w:rPr>
                    <w:t>达标</w:t>
                  </w:r>
                </w:p>
              </w:tc>
            </w:tr>
            <w:tr w14:paraId="47372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97" w:type="pct"/>
                  <w:tcBorders>
                    <w:left w:val="nil"/>
                  </w:tcBorders>
                  <w:noWrap w:val="0"/>
                  <w:vAlign w:val="center"/>
                </w:tcPr>
                <w:p w14:paraId="6146E973">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PM</w:t>
                  </w:r>
                  <w:r>
                    <w:rPr>
                      <w:rFonts w:hint="default" w:ascii="Times New Roman" w:hAnsi="Times New Roman" w:eastAsia="宋体" w:cs="Times New Roman"/>
                      <w:bCs/>
                      <w:color w:val="auto"/>
                      <w:spacing w:val="0"/>
                      <w:sz w:val="21"/>
                      <w:szCs w:val="21"/>
                      <w:highlight w:val="none"/>
                      <w:vertAlign w:val="subscript"/>
                    </w:rPr>
                    <w:t>10</w:t>
                  </w:r>
                </w:p>
              </w:tc>
              <w:tc>
                <w:tcPr>
                  <w:tcW w:w="944" w:type="pct"/>
                  <w:noWrap w:val="0"/>
                  <w:vAlign w:val="center"/>
                </w:tcPr>
                <w:p w14:paraId="3AFE1B2E">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年平均浓度</w:t>
                  </w:r>
                </w:p>
              </w:tc>
              <w:tc>
                <w:tcPr>
                  <w:tcW w:w="451" w:type="pct"/>
                  <w:noWrap w:val="0"/>
                  <w:vAlign w:val="center"/>
                </w:tcPr>
                <w:p w14:paraId="72A96677">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w:t>
                  </w:r>
                </w:p>
              </w:tc>
              <w:tc>
                <w:tcPr>
                  <w:tcW w:w="674" w:type="pct"/>
                  <w:noWrap w:val="0"/>
                  <w:vAlign w:val="center"/>
                </w:tcPr>
                <w:p w14:paraId="3D5E2EC5">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lang w:val="en-US"/>
                    </w:rPr>
                  </w:pPr>
                  <w:r>
                    <w:rPr>
                      <w:rFonts w:hint="default" w:ascii="Times New Roman" w:hAnsi="Times New Roman" w:cs="Times New Roman"/>
                      <w:bCs/>
                      <w:color w:val="auto"/>
                      <w:spacing w:val="0"/>
                      <w:sz w:val="21"/>
                      <w:szCs w:val="21"/>
                      <w:highlight w:val="none"/>
                      <w:lang w:val="en-US" w:eastAsia="zh-CN"/>
                    </w:rPr>
                    <w:t>50</w:t>
                  </w:r>
                </w:p>
              </w:tc>
              <w:tc>
                <w:tcPr>
                  <w:tcW w:w="951" w:type="pct"/>
                  <w:noWrap w:val="0"/>
                  <w:vAlign w:val="center"/>
                </w:tcPr>
                <w:p w14:paraId="7D744B97">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70</w:t>
                  </w:r>
                </w:p>
              </w:tc>
              <w:tc>
                <w:tcPr>
                  <w:tcW w:w="734" w:type="pct"/>
                  <w:noWrap w:val="0"/>
                  <w:vAlign w:val="center"/>
                </w:tcPr>
                <w:p w14:paraId="7D78A6E6">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lang w:val="en-US"/>
                    </w:rPr>
                  </w:pPr>
                  <w:r>
                    <w:rPr>
                      <w:rFonts w:hint="default" w:ascii="Times New Roman" w:hAnsi="Times New Roman" w:cs="Times New Roman"/>
                      <w:bCs/>
                      <w:color w:val="auto"/>
                      <w:spacing w:val="0"/>
                      <w:sz w:val="21"/>
                      <w:szCs w:val="21"/>
                      <w:highlight w:val="none"/>
                      <w:lang w:val="en-US" w:eastAsia="zh-CN"/>
                    </w:rPr>
                    <w:t>142.9</w:t>
                  </w:r>
                </w:p>
              </w:tc>
              <w:tc>
                <w:tcPr>
                  <w:tcW w:w="747" w:type="pct"/>
                  <w:tcBorders>
                    <w:right w:val="nil"/>
                  </w:tcBorders>
                  <w:noWrap w:val="0"/>
                  <w:vAlign w:val="center"/>
                </w:tcPr>
                <w:p w14:paraId="3053E993">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cs="Times New Roman"/>
                      <w:bCs/>
                      <w:color w:val="auto"/>
                      <w:spacing w:val="0"/>
                      <w:sz w:val="21"/>
                      <w:szCs w:val="21"/>
                      <w:highlight w:val="none"/>
                      <w:lang w:val="en-US" w:eastAsia="zh-CN"/>
                    </w:rPr>
                    <w:t>不</w:t>
                  </w:r>
                  <w:r>
                    <w:rPr>
                      <w:rFonts w:hint="default" w:ascii="Times New Roman" w:hAnsi="Times New Roman" w:eastAsia="宋体" w:cs="Times New Roman"/>
                      <w:bCs/>
                      <w:color w:val="auto"/>
                      <w:spacing w:val="0"/>
                      <w:sz w:val="21"/>
                      <w:szCs w:val="21"/>
                      <w:highlight w:val="none"/>
                    </w:rPr>
                    <w:t>达标</w:t>
                  </w:r>
                </w:p>
              </w:tc>
            </w:tr>
            <w:tr w14:paraId="154B5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97" w:type="pct"/>
                  <w:tcBorders>
                    <w:left w:val="nil"/>
                  </w:tcBorders>
                  <w:noWrap w:val="0"/>
                  <w:vAlign w:val="center"/>
                </w:tcPr>
                <w:p w14:paraId="41D2AB4F">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CO</w:t>
                  </w:r>
                </w:p>
              </w:tc>
              <w:tc>
                <w:tcPr>
                  <w:tcW w:w="944" w:type="pct"/>
                  <w:noWrap w:val="0"/>
                  <w:vAlign w:val="center"/>
                </w:tcPr>
                <w:p w14:paraId="6591BAFA">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百分位上日平均质量浓度</w:t>
                  </w:r>
                </w:p>
              </w:tc>
              <w:tc>
                <w:tcPr>
                  <w:tcW w:w="451" w:type="pct"/>
                  <w:noWrap w:val="0"/>
                  <w:vAlign w:val="center"/>
                </w:tcPr>
                <w:p w14:paraId="0FC9A330">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95%</w:t>
                  </w:r>
                </w:p>
              </w:tc>
              <w:tc>
                <w:tcPr>
                  <w:tcW w:w="674" w:type="pct"/>
                  <w:noWrap w:val="0"/>
                  <w:vAlign w:val="center"/>
                </w:tcPr>
                <w:p w14:paraId="0CBA5DD9">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lang w:val="en-US" w:eastAsia="zh-CN"/>
                    </w:rPr>
                  </w:pPr>
                  <w:r>
                    <w:rPr>
                      <w:rFonts w:hint="default" w:ascii="Times New Roman" w:hAnsi="Times New Roman" w:cs="Times New Roman"/>
                      <w:bCs/>
                      <w:color w:val="auto"/>
                      <w:spacing w:val="0"/>
                      <w:sz w:val="21"/>
                      <w:szCs w:val="21"/>
                      <w:highlight w:val="none"/>
                      <w:lang w:val="en-US" w:eastAsia="zh-CN"/>
                    </w:rPr>
                    <w:t>2300</w:t>
                  </w:r>
                </w:p>
              </w:tc>
              <w:tc>
                <w:tcPr>
                  <w:tcW w:w="951" w:type="pct"/>
                  <w:noWrap w:val="0"/>
                  <w:vAlign w:val="center"/>
                </w:tcPr>
                <w:p w14:paraId="5E7D48BE">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4000</w:t>
                  </w:r>
                </w:p>
              </w:tc>
              <w:tc>
                <w:tcPr>
                  <w:tcW w:w="734" w:type="pct"/>
                  <w:noWrap w:val="0"/>
                  <w:vAlign w:val="center"/>
                </w:tcPr>
                <w:p w14:paraId="0BE2B636">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lang w:val="en-US" w:eastAsia="zh-CN"/>
                    </w:rPr>
                  </w:pPr>
                  <w:r>
                    <w:rPr>
                      <w:rFonts w:hint="default" w:ascii="Times New Roman" w:hAnsi="Times New Roman" w:cs="Times New Roman"/>
                      <w:bCs/>
                      <w:color w:val="auto"/>
                      <w:spacing w:val="0"/>
                      <w:sz w:val="21"/>
                      <w:szCs w:val="21"/>
                      <w:highlight w:val="none"/>
                      <w:lang w:val="en-US" w:eastAsia="zh-CN"/>
                    </w:rPr>
                    <w:t>5</w:t>
                  </w:r>
                  <w:r>
                    <w:rPr>
                      <w:rFonts w:hint="default" w:ascii="Times New Roman" w:hAnsi="Times New Roman" w:eastAsia="宋体" w:cs="Times New Roman"/>
                      <w:bCs/>
                      <w:color w:val="auto"/>
                      <w:spacing w:val="0"/>
                      <w:sz w:val="21"/>
                      <w:szCs w:val="21"/>
                      <w:highlight w:val="none"/>
                      <w:lang w:val="en-US" w:eastAsia="zh-CN"/>
                    </w:rPr>
                    <w:t>7.5</w:t>
                  </w:r>
                </w:p>
              </w:tc>
              <w:tc>
                <w:tcPr>
                  <w:tcW w:w="747" w:type="pct"/>
                  <w:tcBorders>
                    <w:right w:val="nil"/>
                  </w:tcBorders>
                  <w:noWrap w:val="0"/>
                  <w:vAlign w:val="center"/>
                </w:tcPr>
                <w:p w14:paraId="02AF150E">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达标</w:t>
                  </w:r>
                </w:p>
              </w:tc>
            </w:tr>
            <w:tr w14:paraId="35733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97" w:type="pct"/>
                  <w:tcBorders>
                    <w:left w:val="nil"/>
                    <w:bottom w:val="single" w:color="auto" w:sz="12" w:space="0"/>
                  </w:tcBorders>
                  <w:noWrap w:val="0"/>
                  <w:vAlign w:val="center"/>
                </w:tcPr>
                <w:p w14:paraId="2C3A5D09">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O3</w:t>
                  </w:r>
                </w:p>
              </w:tc>
              <w:tc>
                <w:tcPr>
                  <w:tcW w:w="944" w:type="pct"/>
                  <w:tcBorders>
                    <w:bottom w:val="single" w:color="auto" w:sz="12" w:space="0"/>
                  </w:tcBorders>
                  <w:noWrap w:val="0"/>
                  <w:vAlign w:val="center"/>
                </w:tcPr>
                <w:p w14:paraId="0E25FDD9">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百分位上8h平均质量浓度</w:t>
                  </w:r>
                </w:p>
              </w:tc>
              <w:tc>
                <w:tcPr>
                  <w:tcW w:w="451" w:type="pct"/>
                  <w:tcBorders>
                    <w:bottom w:val="single" w:color="auto" w:sz="12" w:space="0"/>
                  </w:tcBorders>
                  <w:noWrap w:val="0"/>
                  <w:vAlign w:val="center"/>
                </w:tcPr>
                <w:p w14:paraId="541FE4B4">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90%</w:t>
                  </w:r>
                </w:p>
              </w:tc>
              <w:tc>
                <w:tcPr>
                  <w:tcW w:w="674" w:type="pct"/>
                  <w:tcBorders>
                    <w:bottom w:val="single" w:color="auto" w:sz="12" w:space="0"/>
                  </w:tcBorders>
                  <w:noWrap w:val="0"/>
                  <w:vAlign w:val="center"/>
                </w:tcPr>
                <w:p w14:paraId="453D7A69">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lang w:val="en-US" w:eastAsia="zh-CN"/>
                    </w:rPr>
                  </w:pPr>
                  <w:r>
                    <w:rPr>
                      <w:rFonts w:hint="default" w:ascii="Times New Roman" w:hAnsi="Times New Roman" w:cs="Times New Roman"/>
                      <w:bCs/>
                      <w:color w:val="auto"/>
                      <w:spacing w:val="0"/>
                      <w:sz w:val="21"/>
                      <w:szCs w:val="21"/>
                      <w:highlight w:val="none"/>
                      <w:lang w:val="en-US" w:eastAsia="zh-CN"/>
                    </w:rPr>
                    <w:t>133</w:t>
                  </w:r>
                </w:p>
              </w:tc>
              <w:tc>
                <w:tcPr>
                  <w:tcW w:w="951" w:type="pct"/>
                  <w:tcBorders>
                    <w:bottom w:val="single" w:color="auto" w:sz="12" w:space="0"/>
                  </w:tcBorders>
                  <w:noWrap w:val="0"/>
                  <w:vAlign w:val="center"/>
                </w:tcPr>
                <w:p w14:paraId="568C1200">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160</w:t>
                  </w:r>
                </w:p>
              </w:tc>
              <w:tc>
                <w:tcPr>
                  <w:tcW w:w="734" w:type="pct"/>
                  <w:tcBorders>
                    <w:bottom w:val="single" w:color="auto" w:sz="12" w:space="0"/>
                  </w:tcBorders>
                  <w:noWrap w:val="0"/>
                  <w:vAlign w:val="center"/>
                </w:tcPr>
                <w:p w14:paraId="651771B6">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lang w:val="en-US" w:eastAsia="zh-CN"/>
                    </w:rPr>
                  </w:pPr>
                  <w:r>
                    <w:rPr>
                      <w:rFonts w:hint="default" w:ascii="Times New Roman" w:hAnsi="Times New Roman" w:cs="Times New Roman"/>
                      <w:bCs/>
                      <w:color w:val="auto"/>
                      <w:spacing w:val="0"/>
                      <w:sz w:val="21"/>
                      <w:szCs w:val="21"/>
                      <w:highlight w:val="none"/>
                      <w:lang w:val="en-US" w:eastAsia="zh-CN"/>
                    </w:rPr>
                    <w:t>83.1</w:t>
                  </w:r>
                </w:p>
              </w:tc>
              <w:tc>
                <w:tcPr>
                  <w:tcW w:w="747" w:type="pct"/>
                  <w:tcBorders>
                    <w:bottom w:val="single" w:color="auto" w:sz="12" w:space="0"/>
                    <w:right w:val="nil"/>
                  </w:tcBorders>
                  <w:noWrap w:val="0"/>
                  <w:vAlign w:val="center"/>
                </w:tcPr>
                <w:p w14:paraId="48BB4B35">
                  <w:pPr>
                    <w:pStyle w:val="20"/>
                    <w:shd w:val="clear"/>
                    <w:adjustRightInd w:val="0"/>
                    <w:snapToGrid w:val="0"/>
                    <w:spacing w:line="240" w:lineRule="auto"/>
                    <w:ind w:firstLine="0" w:firstLineChars="0"/>
                    <w:jc w:val="center"/>
                    <w:rPr>
                      <w:rFonts w:hint="default" w:ascii="Times New Roman" w:hAnsi="Times New Roman" w:eastAsia="宋体" w:cs="Times New Roman"/>
                      <w:bCs/>
                      <w:color w:val="auto"/>
                      <w:spacing w:val="0"/>
                      <w:sz w:val="21"/>
                      <w:szCs w:val="21"/>
                      <w:highlight w:val="none"/>
                    </w:rPr>
                  </w:pPr>
                  <w:r>
                    <w:rPr>
                      <w:rFonts w:hint="default" w:ascii="Times New Roman" w:hAnsi="Times New Roman" w:eastAsia="宋体" w:cs="Times New Roman"/>
                      <w:bCs/>
                      <w:color w:val="auto"/>
                      <w:spacing w:val="0"/>
                      <w:sz w:val="21"/>
                      <w:szCs w:val="21"/>
                      <w:highlight w:val="none"/>
                    </w:rPr>
                    <w:t>达标</w:t>
                  </w:r>
                </w:p>
              </w:tc>
            </w:tr>
          </w:tbl>
          <w:p w14:paraId="02600387">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auto"/>
                <w:spacing w:val="0"/>
                <w:position w:val="0"/>
                <w:sz w:val="24"/>
                <w:szCs w:val="24"/>
                <w:highlight w:val="none"/>
                <w:lang w:eastAsia="zh-CN"/>
              </w:rPr>
            </w:pPr>
            <w:r>
              <w:rPr>
                <w:rFonts w:hint="default" w:ascii="Times New Roman" w:hAnsi="Times New Roman" w:eastAsia="宋体" w:cs="Times New Roman"/>
                <w:b w:val="0"/>
                <w:bCs/>
                <w:color w:val="auto"/>
                <w:spacing w:val="0"/>
                <w:position w:val="0"/>
                <w:sz w:val="24"/>
                <w:szCs w:val="24"/>
                <w:highlight w:val="none"/>
                <w:lang w:eastAsia="zh-CN"/>
              </w:rPr>
              <w:t>由上表可以看出：项目所在区域</w:t>
            </w:r>
            <w:r>
              <w:rPr>
                <w:rFonts w:hint="default" w:ascii="Times New Roman" w:hAnsi="Times New Roman" w:eastAsia="宋体" w:cs="Times New Roman"/>
                <w:color w:val="auto"/>
                <w:spacing w:val="0"/>
                <w:position w:val="0"/>
                <w:sz w:val="24"/>
                <w:szCs w:val="24"/>
                <w:highlight w:val="none"/>
                <w:lang w:eastAsia="zh-CN"/>
              </w:rPr>
              <w:t>PM</w:t>
            </w:r>
            <w:r>
              <w:rPr>
                <w:rFonts w:hint="default" w:ascii="Times New Roman" w:hAnsi="Times New Roman" w:eastAsia="宋体" w:cs="Times New Roman"/>
                <w:color w:val="auto"/>
                <w:spacing w:val="0"/>
                <w:position w:val="0"/>
                <w:sz w:val="24"/>
                <w:szCs w:val="24"/>
                <w:highlight w:val="none"/>
                <w:vertAlign w:val="subscript"/>
              </w:rPr>
              <w:t>10</w:t>
            </w:r>
            <w:r>
              <w:rPr>
                <w:rFonts w:hint="default" w:ascii="Times New Roman" w:hAnsi="Times New Roman" w:eastAsia="宋体" w:cs="Times New Roman"/>
                <w:b w:val="0"/>
                <w:bCs/>
                <w:color w:val="auto"/>
                <w:spacing w:val="0"/>
                <w:position w:val="0"/>
                <w:sz w:val="24"/>
                <w:szCs w:val="24"/>
                <w:highlight w:val="none"/>
                <w:lang w:eastAsia="zh-CN"/>
              </w:rPr>
              <w:t>和</w:t>
            </w:r>
            <w:r>
              <w:rPr>
                <w:rFonts w:hint="default" w:ascii="Times New Roman" w:hAnsi="Times New Roman" w:eastAsia="宋体" w:cs="Times New Roman"/>
                <w:b w:val="0"/>
                <w:bCs w:val="0"/>
                <w:color w:val="auto"/>
                <w:spacing w:val="0"/>
                <w:position w:val="0"/>
                <w:sz w:val="21"/>
                <w:szCs w:val="21"/>
                <w:highlight w:val="none"/>
                <w:lang w:val="en-US" w:eastAsia="zh-CN"/>
              </w:rPr>
              <w:t>PM</w:t>
            </w:r>
            <w:r>
              <w:rPr>
                <w:rFonts w:hint="default" w:ascii="Times New Roman" w:hAnsi="Times New Roman" w:eastAsia="宋体" w:cs="Times New Roman"/>
                <w:b w:val="0"/>
                <w:bCs w:val="0"/>
                <w:color w:val="auto"/>
                <w:spacing w:val="0"/>
                <w:position w:val="0"/>
                <w:sz w:val="21"/>
                <w:szCs w:val="21"/>
                <w:highlight w:val="none"/>
                <w:vertAlign w:val="subscript"/>
                <w:lang w:val="en-US" w:eastAsia="zh-CN"/>
              </w:rPr>
              <w:t>2.5</w:t>
            </w:r>
            <w:r>
              <w:rPr>
                <w:rFonts w:hint="default" w:ascii="Times New Roman" w:hAnsi="Times New Roman" w:eastAsia="宋体" w:cs="Times New Roman"/>
                <w:b w:val="0"/>
                <w:bCs/>
                <w:color w:val="auto"/>
                <w:spacing w:val="0"/>
                <w:position w:val="0"/>
                <w:sz w:val="24"/>
                <w:szCs w:val="24"/>
                <w:highlight w:val="none"/>
                <w:lang w:eastAsia="zh-CN"/>
              </w:rPr>
              <w:t>的年平均浓度均超过《环境空气质量标准》（GB3095-2012）的二级标准要求；CO第95百分位数日平均浓度、O</w:t>
            </w:r>
            <w:r>
              <w:rPr>
                <w:rFonts w:hint="default" w:ascii="Times New Roman" w:hAnsi="Times New Roman" w:eastAsia="宋体" w:cs="Times New Roman"/>
                <w:b w:val="0"/>
                <w:bCs/>
                <w:color w:val="auto"/>
                <w:spacing w:val="0"/>
                <w:position w:val="0"/>
                <w:sz w:val="24"/>
                <w:szCs w:val="24"/>
                <w:highlight w:val="none"/>
                <w:vertAlign w:val="subscript"/>
                <w:lang w:eastAsia="zh-CN"/>
              </w:rPr>
              <w:t>3</w:t>
            </w:r>
            <w:r>
              <w:rPr>
                <w:rFonts w:hint="default" w:ascii="Times New Roman" w:hAnsi="Times New Roman" w:eastAsia="宋体" w:cs="Times New Roman"/>
                <w:b w:val="0"/>
                <w:bCs/>
                <w:color w:val="auto"/>
                <w:spacing w:val="0"/>
                <w:position w:val="0"/>
                <w:sz w:val="24"/>
                <w:szCs w:val="24"/>
                <w:highlight w:val="none"/>
                <w:lang w:eastAsia="zh-CN"/>
              </w:rPr>
              <w:t>最大8小时第90百分位数日平均浓度、SO</w:t>
            </w:r>
            <w:r>
              <w:rPr>
                <w:rFonts w:hint="default" w:ascii="Times New Roman" w:hAnsi="Times New Roman" w:eastAsia="宋体" w:cs="Times New Roman"/>
                <w:b w:val="0"/>
                <w:bCs/>
                <w:color w:val="auto"/>
                <w:spacing w:val="0"/>
                <w:position w:val="0"/>
                <w:sz w:val="24"/>
                <w:szCs w:val="24"/>
                <w:highlight w:val="none"/>
                <w:vertAlign w:val="subscript"/>
                <w:lang w:eastAsia="zh-CN"/>
              </w:rPr>
              <w:t>2</w:t>
            </w:r>
            <w:r>
              <w:rPr>
                <w:rFonts w:hint="default" w:ascii="Times New Roman" w:hAnsi="Times New Roman" w:eastAsia="宋体" w:cs="Times New Roman"/>
                <w:b w:val="0"/>
                <w:bCs/>
                <w:color w:val="auto"/>
                <w:spacing w:val="0"/>
                <w:position w:val="0"/>
                <w:sz w:val="24"/>
                <w:szCs w:val="24"/>
                <w:highlight w:val="none"/>
                <w:lang w:eastAsia="zh-CN"/>
              </w:rPr>
              <w:t>的年均浓度和NO</w:t>
            </w:r>
            <w:r>
              <w:rPr>
                <w:rFonts w:hint="default" w:ascii="Times New Roman" w:hAnsi="Times New Roman" w:eastAsia="宋体" w:cs="Times New Roman"/>
                <w:b w:val="0"/>
                <w:bCs/>
                <w:color w:val="auto"/>
                <w:spacing w:val="0"/>
                <w:position w:val="0"/>
                <w:sz w:val="24"/>
                <w:szCs w:val="24"/>
                <w:highlight w:val="none"/>
                <w:vertAlign w:val="subscript"/>
                <w:lang w:eastAsia="zh-CN"/>
              </w:rPr>
              <w:t>2</w:t>
            </w:r>
            <w:r>
              <w:rPr>
                <w:rFonts w:hint="default" w:ascii="Times New Roman" w:hAnsi="Times New Roman" w:eastAsia="宋体" w:cs="Times New Roman"/>
                <w:b w:val="0"/>
                <w:bCs/>
                <w:color w:val="auto"/>
                <w:spacing w:val="0"/>
                <w:position w:val="0"/>
                <w:sz w:val="24"/>
                <w:szCs w:val="24"/>
                <w:highlight w:val="none"/>
                <w:lang w:eastAsia="zh-CN"/>
              </w:rPr>
              <w:t>的年均浓度均满足《环境空气质量标准》GB3095-2012）的二级标准要求，故本项目所在区域为</w:t>
            </w:r>
            <w:r>
              <w:rPr>
                <w:rFonts w:hint="default" w:ascii="Times New Roman" w:hAnsi="Times New Roman" w:cs="Times New Roman"/>
                <w:b w:val="0"/>
                <w:bCs/>
                <w:color w:val="auto"/>
                <w:spacing w:val="0"/>
                <w:position w:val="0"/>
                <w:sz w:val="24"/>
                <w:szCs w:val="24"/>
                <w:highlight w:val="none"/>
                <w:lang w:val="en-US" w:eastAsia="zh-CN"/>
              </w:rPr>
              <w:t>不</w:t>
            </w:r>
            <w:r>
              <w:rPr>
                <w:rFonts w:hint="default" w:ascii="Times New Roman" w:hAnsi="Times New Roman" w:eastAsia="宋体" w:cs="Times New Roman"/>
                <w:b w:val="0"/>
                <w:bCs/>
                <w:color w:val="auto"/>
                <w:spacing w:val="0"/>
                <w:position w:val="0"/>
                <w:sz w:val="24"/>
                <w:szCs w:val="24"/>
                <w:highlight w:val="none"/>
                <w:lang w:eastAsia="zh-CN"/>
              </w:rPr>
              <w:t>达标区域。</w:t>
            </w:r>
          </w:p>
          <w:p w14:paraId="07B8C88C">
            <w:pPr>
              <w:pStyle w:val="39"/>
              <w:keepNext w:val="0"/>
              <w:keepLines w:val="0"/>
              <w:pageBreakBefore w:val="0"/>
              <w:widowControl w:val="0"/>
              <w:numPr>
                <w:ilvl w:val="0"/>
                <w:numId w:val="0"/>
              </w:numPr>
              <w:shd w:val="clear"/>
              <w:kinsoku/>
              <w:overflowPunct/>
              <w:topLinePunct w:val="0"/>
              <w:autoSpaceDE w:val="0"/>
              <w:autoSpaceDN w:val="0"/>
              <w:bidi w:val="0"/>
              <w:adjustRightInd w:val="0"/>
              <w:spacing w:beforeAutospacing="0" w:afterAutospacing="0" w:line="360" w:lineRule="auto"/>
              <w:ind w:left="0" w:leftChars="0" w:right="0"/>
              <w:jc w:val="both"/>
              <w:rPr>
                <w:rFonts w:hint="default" w:ascii="Times New Roman" w:hAnsi="Times New Roman" w:eastAsia="宋体" w:cs="Times New Roman"/>
                <w:b/>
                <w:bCs/>
                <w:color w:val="0000FF"/>
                <w:spacing w:val="0"/>
                <w:w w:val="100"/>
                <w:position w:val="0"/>
                <w:sz w:val="24"/>
                <w:highlight w:val="none"/>
              </w:rPr>
            </w:pPr>
            <w:r>
              <w:rPr>
                <w:rFonts w:hint="default" w:ascii="Times New Roman" w:hAnsi="Times New Roman" w:eastAsia="宋体" w:cs="Times New Roman"/>
                <w:b/>
                <w:bCs/>
                <w:color w:val="0000FF"/>
                <w:spacing w:val="0"/>
                <w:w w:val="100"/>
                <w:position w:val="0"/>
                <w:sz w:val="24"/>
                <w:highlight w:val="none"/>
                <w:lang w:val="en-US" w:eastAsia="zh-CN"/>
              </w:rPr>
              <w:t>5.水环境现状</w:t>
            </w:r>
          </w:p>
          <w:p w14:paraId="5A3A154F">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0000FF"/>
                <w:spacing w:val="0"/>
                <w:position w:val="0"/>
                <w:sz w:val="24"/>
                <w:szCs w:val="24"/>
                <w:highlight w:val="none"/>
                <w:lang w:val="en-US" w:eastAsia="zh-CN"/>
              </w:rPr>
            </w:pPr>
            <w:r>
              <w:rPr>
                <w:rFonts w:hint="eastAsia" w:ascii="Times New Roman" w:hAnsi="Times New Roman" w:eastAsia="宋体" w:cs="Times New Roman"/>
                <w:b w:val="0"/>
                <w:bCs/>
                <w:color w:val="0000FF"/>
                <w:spacing w:val="0"/>
                <w:position w:val="0"/>
                <w:sz w:val="24"/>
                <w:szCs w:val="24"/>
                <w:highlight w:val="none"/>
                <w:lang w:val="en-US" w:eastAsia="zh-CN"/>
              </w:rPr>
              <w:t>库尔阿根河发源于天山北坡前山岳陵带，由几余条无名干沟汇合而成，具有明显的干旱区洪水水文特征，河流水量主要来源于融雪水和降水，春季融雪洪水和夏季暴雨洪水是导致该沟发生洪水的主要因素。库尔阿根河为季节性冲洪沟，其源头没有永久冰川，主要靠春季融雪期和春夏暴雨期间有洪水产生。</w:t>
            </w:r>
          </w:p>
          <w:p w14:paraId="792DE504">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FF"/>
                <w:spacing w:val="0"/>
                <w:w w:val="100"/>
                <w:position w:val="0"/>
                <w:sz w:val="24"/>
                <w:highlight w:val="none"/>
                <w:lang w:val="en-US" w:eastAsia="zh-CN"/>
              </w:rPr>
            </w:pPr>
            <w:r>
              <w:rPr>
                <w:rFonts w:hint="default" w:ascii="Times New Roman" w:hAnsi="Times New Roman" w:eastAsia="宋体" w:cs="Times New Roman"/>
                <w:b w:val="0"/>
                <w:bCs/>
                <w:color w:val="0000FF"/>
                <w:spacing w:val="0"/>
                <w:position w:val="0"/>
                <w:sz w:val="24"/>
                <w:szCs w:val="24"/>
                <w:highlight w:val="none"/>
                <w:lang w:val="en-US" w:eastAsia="zh-CN"/>
              </w:rPr>
              <w:t>根据《</w:t>
            </w:r>
            <w:r>
              <w:rPr>
                <w:rFonts w:hint="default" w:ascii="Times New Roman" w:hAnsi="Times New Roman" w:eastAsia="宋体" w:cs="Times New Roman"/>
                <w:color w:val="0000FF"/>
                <w:spacing w:val="0"/>
                <w:w w:val="100"/>
                <w:position w:val="0"/>
                <w:sz w:val="24"/>
                <w:highlight w:val="none"/>
                <w:lang w:val="en-US" w:eastAsia="zh-CN"/>
              </w:rPr>
              <w:t>环境影响评价技术导则 地下水环境》（HJ610-2016）附录A地下水环境影响评价行业分类表，本项目</w:t>
            </w:r>
            <w:r>
              <w:rPr>
                <w:rFonts w:hint="eastAsia" w:ascii="Times New Roman" w:hAnsi="Times New Roman" w:eastAsia="宋体" w:cs="Times New Roman"/>
                <w:color w:val="0000FF"/>
                <w:spacing w:val="0"/>
                <w:w w:val="100"/>
                <w:position w:val="0"/>
                <w:sz w:val="24"/>
                <w:highlight w:val="none"/>
                <w:lang w:val="en-US" w:eastAsia="zh-CN"/>
              </w:rPr>
              <w:t>属于</w:t>
            </w:r>
            <w:r>
              <w:rPr>
                <w:rFonts w:hint="default" w:ascii="Times New Roman" w:hAnsi="Times New Roman" w:eastAsia="宋体" w:cs="Times New Roman"/>
                <w:color w:val="0000FF"/>
                <w:spacing w:val="0"/>
                <w:w w:val="100"/>
                <w:position w:val="0"/>
                <w:sz w:val="24"/>
                <w:highlight w:val="none"/>
                <w:lang w:val="en-US" w:eastAsia="zh-CN"/>
              </w:rPr>
              <w:t>“A水利”中“河湖整治工程”的“其他”类项目，地下水环境影响评价项目类别为Ⅳ类，</w:t>
            </w:r>
            <w:r>
              <w:rPr>
                <w:rFonts w:hint="eastAsia" w:ascii="Times New Roman" w:hAnsi="Times New Roman" w:eastAsia="宋体" w:cs="Times New Roman"/>
                <w:color w:val="0000FF"/>
                <w:spacing w:val="0"/>
                <w:w w:val="100"/>
                <w:position w:val="0"/>
                <w:sz w:val="24"/>
                <w:highlight w:val="none"/>
                <w:lang w:val="en-US" w:eastAsia="zh-CN"/>
              </w:rPr>
              <w:t>且库尔阿根河属于季节性河流，春季冰雪消融期有水，其余时间均为干枯状态，</w:t>
            </w:r>
            <w:r>
              <w:rPr>
                <w:rFonts w:hint="default" w:ascii="Times New Roman" w:hAnsi="Times New Roman" w:eastAsia="宋体" w:cs="Times New Roman"/>
                <w:color w:val="0000FF"/>
                <w:spacing w:val="0"/>
                <w:w w:val="100"/>
                <w:position w:val="0"/>
                <w:sz w:val="24"/>
                <w:highlight w:val="none"/>
                <w:lang w:val="en-US" w:eastAsia="zh-CN"/>
              </w:rPr>
              <w:t>因此不开展相关地下水环境影响评价。</w:t>
            </w:r>
          </w:p>
          <w:p w14:paraId="2220470C">
            <w:pPr>
              <w:pStyle w:val="39"/>
              <w:keepNext w:val="0"/>
              <w:keepLines w:val="0"/>
              <w:pageBreakBefore w:val="0"/>
              <w:widowControl w:val="0"/>
              <w:numPr>
                <w:ilvl w:val="0"/>
                <w:numId w:val="0"/>
              </w:numPr>
              <w:shd w:val="clear"/>
              <w:kinsoku/>
              <w:overflowPunct/>
              <w:topLinePunct w:val="0"/>
              <w:autoSpaceDE w:val="0"/>
              <w:autoSpaceDN w:val="0"/>
              <w:bidi w:val="0"/>
              <w:adjustRightInd w:val="0"/>
              <w:spacing w:beforeAutospacing="0" w:afterAutospacing="0" w:line="360" w:lineRule="auto"/>
              <w:ind w:left="0" w:leftChars="0" w:right="0"/>
              <w:jc w:val="left"/>
              <w:rPr>
                <w:rFonts w:hint="default" w:ascii="Times New Roman" w:hAnsi="Times New Roman" w:eastAsia="宋体" w:cs="Times New Roman"/>
                <w:b/>
                <w:bCs/>
                <w:color w:val="0000FF"/>
                <w:spacing w:val="0"/>
                <w:w w:val="100"/>
                <w:position w:val="0"/>
                <w:sz w:val="24"/>
                <w:highlight w:val="none"/>
              </w:rPr>
            </w:pPr>
            <w:r>
              <w:rPr>
                <w:rFonts w:hint="default" w:ascii="Times New Roman" w:hAnsi="Times New Roman" w:eastAsia="宋体" w:cs="Times New Roman"/>
                <w:b/>
                <w:bCs/>
                <w:color w:val="0000FF"/>
                <w:spacing w:val="0"/>
                <w:w w:val="100"/>
                <w:position w:val="0"/>
                <w:sz w:val="24"/>
                <w:highlight w:val="none"/>
                <w:lang w:val="en-US" w:eastAsia="zh-CN"/>
              </w:rPr>
              <w:t>6.声环境现状</w:t>
            </w:r>
          </w:p>
          <w:p w14:paraId="36700367">
            <w:pPr>
              <w:pStyle w:val="39"/>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both"/>
              <w:textAlignment w:val="baseline"/>
              <w:rPr>
                <w:rFonts w:hint="default" w:ascii="Times New Roman" w:hAnsi="Times New Roman" w:eastAsia="宋体" w:cs="Times New Roman"/>
                <w:color w:val="0000FF"/>
                <w:spacing w:val="0"/>
                <w:w w:val="100"/>
                <w:position w:val="0"/>
                <w:sz w:val="24"/>
                <w:highlight w:val="none"/>
                <w:lang w:val="en-US" w:eastAsia="zh-CN"/>
              </w:rPr>
            </w:pPr>
            <w:r>
              <w:rPr>
                <w:rFonts w:hint="default" w:ascii="Times New Roman" w:hAnsi="Times New Roman" w:eastAsia="宋体" w:cs="Times New Roman"/>
                <w:color w:val="0000FF"/>
                <w:spacing w:val="0"/>
                <w:w w:val="100"/>
                <w:kern w:val="2"/>
                <w:position w:val="0"/>
                <w:sz w:val="24"/>
                <w:szCs w:val="20"/>
                <w:highlight w:val="none"/>
                <w:lang w:val="en-US" w:eastAsia="zh-CN" w:bidi="ar-SA"/>
              </w:rPr>
              <w:t>根据《声环境功</w:t>
            </w:r>
            <w:r>
              <w:rPr>
                <w:rFonts w:hint="default" w:ascii="Times New Roman" w:hAnsi="Times New Roman" w:eastAsia="宋体" w:cs="Times New Roman"/>
                <w:color w:val="0000FF"/>
                <w:spacing w:val="0"/>
                <w:w w:val="100"/>
                <w:position w:val="0"/>
                <w:sz w:val="24"/>
                <w:highlight w:val="none"/>
                <w:lang w:val="en-US" w:eastAsia="zh-CN"/>
              </w:rPr>
              <w:t>能区划分技术规范》(GB/T15190-2014</w:t>
            </w:r>
            <w:r>
              <w:rPr>
                <w:rFonts w:hint="eastAsia" w:ascii="Times New Roman" w:hAnsi="Times New Roman" w:eastAsia="宋体" w:cs="Times New Roman"/>
                <w:color w:val="0000FF"/>
                <w:spacing w:val="0"/>
                <w:w w:val="100"/>
                <w:position w:val="0"/>
                <w:sz w:val="24"/>
                <w:highlight w:val="none"/>
                <w:lang w:val="en-US" w:eastAsia="zh-CN"/>
              </w:rPr>
              <w:t>）</w:t>
            </w:r>
            <w:r>
              <w:rPr>
                <w:rFonts w:hint="default" w:ascii="Times New Roman" w:hAnsi="Times New Roman" w:eastAsia="宋体" w:cs="Times New Roman"/>
                <w:color w:val="0000FF"/>
                <w:spacing w:val="0"/>
                <w:w w:val="100"/>
                <w:position w:val="0"/>
                <w:sz w:val="24"/>
                <w:highlight w:val="none"/>
                <w:lang w:val="en-US" w:eastAsia="zh-CN"/>
              </w:rPr>
              <w:t>的要求，本项目执行《声环境质量标准》(GB3096-2008</w:t>
            </w:r>
            <w:r>
              <w:rPr>
                <w:rFonts w:hint="eastAsia" w:ascii="Times New Roman" w:hAnsi="Times New Roman" w:eastAsia="宋体" w:cs="Times New Roman"/>
                <w:color w:val="0000FF"/>
                <w:spacing w:val="0"/>
                <w:w w:val="100"/>
                <w:position w:val="0"/>
                <w:sz w:val="24"/>
                <w:highlight w:val="none"/>
                <w:lang w:val="en-US" w:eastAsia="zh-CN"/>
              </w:rPr>
              <w:t>）</w:t>
            </w:r>
            <w:r>
              <w:rPr>
                <w:rFonts w:hint="default" w:ascii="Times New Roman" w:hAnsi="Times New Roman" w:eastAsia="宋体" w:cs="Times New Roman"/>
                <w:color w:val="0000FF"/>
                <w:spacing w:val="0"/>
                <w:w w:val="100"/>
                <w:position w:val="0"/>
                <w:sz w:val="24"/>
                <w:highlight w:val="none"/>
                <w:lang w:val="en-US" w:eastAsia="zh-CN"/>
              </w:rPr>
              <w:t>中2类标准。</w:t>
            </w:r>
          </w:p>
          <w:p w14:paraId="20B7AD77">
            <w:pPr>
              <w:pStyle w:val="39"/>
              <w:keepNext w:val="0"/>
              <w:keepLines w:val="0"/>
              <w:pageBreakBefore w:val="0"/>
              <w:numPr>
                <w:ilvl w:val="0"/>
                <w:numId w:val="0"/>
              </w:numPr>
              <w:shd w:val="clear"/>
              <w:kinsoku/>
              <w:overflowPunct/>
              <w:topLinePunct w:val="0"/>
              <w:autoSpaceDE w:val="0"/>
              <w:autoSpaceDN w:val="0"/>
              <w:bidi w:val="0"/>
              <w:adjustRightInd w:val="0"/>
              <w:spacing w:beforeAutospacing="0" w:afterAutospacing="0" w:line="360" w:lineRule="auto"/>
              <w:ind w:left="0" w:leftChars="0" w:right="0" w:firstLine="480" w:firstLineChars="200"/>
              <w:jc w:val="both"/>
              <w:rPr>
                <w:rFonts w:hint="default" w:ascii="Times New Roman" w:hAnsi="Times New Roman" w:eastAsia="宋体" w:cs="Times New Roman"/>
                <w:color w:val="0000FF"/>
                <w:spacing w:val="0"/>
                <w:w w:val="100"/>
                <w:position w:val="0"/>
                <w:sz w:val="24"/>
                <w:highlight w:val="none"/>
                <w:lang w:val="en-US" w:eastAsia="zh-CN"/>
              </w:rPr>
            </w:pPr>
            <w:r>
              <w:rPr>
                <w:rFonts w:hint="default" w:ascii="Times New Roman" w:hAnsi="Times New Roman" w:eastAsia="宋体" w:cs="Times New Roman"/>
                <w:color w:val="0000FF"/>
                <w:spacing w:val="0"/>
                <w:kern w:val="0"/>
                <w:position w:val="0"/>
                <w:sz w:val="24"/>
                <w:szCs w:val="24"/>
                <w:highlight w:val="none"/>
                <w:lang w:val="en-US" w:eastAsia="zh-CN" w:bidi="ar"/>
              </w:rPr>
              <w:t>根据</w:t>
            </w:r>
            <w:r>
              <w:rPr>
                <w:rFonts w:hint="eastAsia" w:ascii="Times New Roman" w:hAnsi="Times New Roman" w:eastAsia="宋体" w:cs="Times New Roman"/>
                <w:color w:val="0000FF"/>
                <w:spacing w:val="0"/>
                <w:kern w:val="0"/>
                <w:position w:val="0"/>
                <w:sz w:val="24"/>
                <w:szCs w:val="24"/>
                <w:highlight w:val="none"/>
                <w:lang w:val="en-US" w:eastAsia="zh-CN" w:bidi="ar"/>
              </w:rPr>
              <w:t>《建设项目环境影响报告表编制技术指南》（生态影响类）（试行），厂界外周边50米范围内存在声环境保护目标的建设项目，应监测保护目标声环境质量现状并评价达标情况。本项目属于</w:t>
            </w:r>
            <w:r>
              <w:rPr>
                <w:rFonts w:hint="default" w:ascii="Times New Roman" w:hAnsi="Times New Roman" w:eastAsia="宋体" w:cs="Times New Roman"/>
                <w:color w:val="0000FF"/>
                <w:spacing w:val="0"/>
                <w:w w:val="100"/>
                <w:kern w:val="2"/>
                <w:position w:val="0"/>
                <w:sz w:val="24"/>
                <w:szCs w:val="20"/>
                <w:highlight w:val="none"/>
                <w:lang w:val="en-US" w:eastAsia="zh-CN" w:bidi="ar-SA"/>
              </w:rPr>
              <w:t>河湖整治项目</w:t>
            </w:r>
            <w:r>
              <w:rPr>
                <w:rFonts w:hint="eastAsia" w:ascii="Times New Roman" w:hAnsi="Times New Roman" w:eastAsia="宋体" w:cs="Times New Roman"/>
                <w:color w:val="0000FF"/>
                <w:spacing w:val="0"/>
                <w:w w:val="100"/>
                <w:kern w:val="2"/>
                <w:position w:val="0"/>
                <w:sz w:val="24"/>
                <w:szCs w:val="20"/>
                <w:highlight w:val="none"/>
                <w:lang w:val="en-US" w:eastAsia="zh-CN" w:bidi="ar-SA"/>
              </w:rPr>
              <w:t>，</w:t>
            </w:r>
            <w:r>
              <w:rPr>
                <w:rFonts w:hint="default" w:ascii="Times New Roman" w:hAnsi="Times New Roman" w:eastAsia="宋体" w:cs="Times New Roman"/>
                <w:color w:val="0000FF"/>
                <w:spacing w:val="0"/>
                <w:w w:val="100"/>
                <w:position w:val="0"/>
                <w:sz w:val="24"/>
                <w:highlight w:val="none"/>
                <w:lang w:val="en-US" w:eastAsia="zh-CN"/>
              </w:rPr>
              <w:t>项目</w:t>
            </w:r>
            <w:r>
              <w:rPr>
                <w:rFonts w:hint="eastAsia" w:ascii="Times New Roman" w:hAnsi="Times New Roman" w:eastAsia="宋体" w:cs="Times New Roman"/>
                <w:color w:val="0000FF"/>
                <w:spacing w:val="0"/>
                <w:w w:val="100"/>
                <w:position w:val="0"/>
                <w:sz w:val="24"/>
                <w:highlight w:val="none"/>
                <w:lang w:val="en-US" w:eastAsia="zh-CN"/>
              </w:rPr>
              <w:t>边界</w:t>
            </w:r>
            <w:r>
              <w:rPr>
                <w:rFonts w:hint="default" w:ascii="Times New Roman" w:hAnsi="Times New Roman" w:eastAsia="宋体" w:cs="Times New Roman"/>
                <w:color w:val="0000FF"/>
                <w:spacing w:val="0"/>
                <w:w w:val="100"/>
                <w:position w:val="0"/>
                <w:sz w:val="24"/>
                <w:highlight w:val="none"/>
                <w:lang w:val="en-US" w:eastAsia="zh-CN"/>
              </w:rPr>
              <w:t>外周边50m范围无居民区，因此对声环境质量现状不进行</w:t>
            </w:r>
            <w:r>
              <w:rPr>
                <w:rFonts w:hint="eastAsia" w:ascii="Times New Roman" w:hAnsi="Times New Roman" w:eastAsia="宋体" w:cs="Times New Roman"/>
                <w:color w:val="0000FF"/>
                <w:spacing w:val="0"/>
                <w:w w:val="100"/>
                <w:position w:val="0"/>
                <w:sz w:val="24"/>
                <w:highlight w:val="none"/>
                <w:lang w:val="en-US" w:eastAsia="zh-CN"/>
              </w:rPr>
              <w:t>现状</w:t>
            </w:r>
            <w:r>
              <w:rPr>
                <w:rFonts w:hint="default" w:ascii="Times New Roman" w:hAnsi="Times New Roman" w:eastAsia="宋体" w:cs="Times New Roman"/>
                <w:color w:val="0000FF"/>
                <w:spacing w:val="0"/>
                <w:w w:val="100"/>
                <w:position w:val="0"/>
                <w:sz w:val="24"/>
                <w:highlight w:val="none"/>
                <w:lang w:val="en-US" w:eastAsia="zh-CN"/>
              </w:rPr>
              <w:t>分析。</w:t>
            </w:r>
          </w:p>
          <w:p w14:paraId="57189D48">
            <w:pPr>
              <w:pStyle w:val="39"/>
              <w:keepNext w:val="0"/>
              <w:keepLines w:val="0"/>
              <w:pageBreakBefore w:val="0"/>
              <w:numPr>
                <w:ilvl w:val="0"/>
                <w:numId w:val="0"/>
              </w:numPr>
              <w:shd w:val="clear"/>
              <w:kinsoku/>
              <w:overflowPunct/>
              <w:topLinePunct w:val="0"/>
              <w:autoSpaceDE w:val="0"/>
              <w:autoSpaceDN w:val="0"/>
              <w:bidi w:val="0"/>
              <w:adjustRightInd w:val="0"/>
              <w:spacing w:beforeAutospacing="0" w:afterAutospacing="0" w:line="360" w:lineRule="auto"/>
              <w:ind w:left="0" w:leftChars="0" w:right="0"/>
              <w:jc w:val="both"/>
              <w:rPr>
                <w:rFonts w:hint="default" w:ascii="Times New Roman" w:hAnsi="Times New Roman" w:eastAsia="宋体" w:cs="Times New Roman"/>
                <w:b/>
                <w:bCs/>
                <w:color w:val="0000FF"/>
                <w:spacing w:val="0"/>
                <w:w w:val="100"/>
                <w:position w:val="0"/>
                <w:sz w:val="24"/>
                <w:highlight w:val="none"/>
                <w:lang w:eastAsia="zh-CN"/>
              </w:rPr>
            </w:pPr>
            <w:r>
              <w:rPr>
                <w:rFonts w:hint="default" w:ascii="Times New Roman" w:hAnsi="Times New Roman" w:eastAsia="宋体" w:cs="Times New Roman"/>
                <w:b/>
                <w:bCs/>
                <w:color w:val="0000FF"/>
                <w:spacing w:val="0"/>
                <w:w w:val="100"/>
                <w:position w:val="0"/>
                <w:sz w:val="24"/>
                <w:highlight w:val="none"/>
                <w:lang w:val="en-US" w:eastAsia="zh-CN"/>
              </w:rPr>
              <w:t>7.</w:t>
            </w:r>
            <w:r>
              <w:rPr>
                <w:rFonts w:hint="default" w:ascii="Times New Roman" w:hAnsi="Times New Roman" w:eastAsia="宋体" w:cs="Times New Roman"/>
                <w:b/>
                <w:bCs/>
                <w:color w:val="0000FF"/>
                <w:spacing w:val="0"/>
                <w:w w:val="100"/>
                <w:position w:val="0"/>
                <w:sz w:val="24"/>
                <w:highlight w:val="none"/>
                <w:lang w:eastAsia="zh-CN"/>
              </w:rPr>
              <w:t>土壤环境</w:t>
            </w:r>
          </w:p>
          <w:p w14:paraId="32BCFAC5">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w w:val="100"/>
                <w:kern w:val="0"/>
                <w:position w:val="0"/>
                <w:szCs w:val="21"/>
                <w:highlight w:val="none"/>
                <w:lang w:val="en-US"/>
              </w:rPr>
            </w:pPr>
            <w:r>
              <w:rPr>
                <w:rFonts w:hint="default" w:ascii="Times New Roman" w:hAnsi="Times New Roman" w:eastAsia="宋体" w:cs="Times New Roman"/>
                <w:color w:val="0000FF"/>
                <w:spacing w:val="0"/>
                <w:w w:val="100"/>
                <w:kern w:val="2"/>
                <w:position w:val="0"/>
                <w:sz w:val="24"/>
                <w:szCs w:val="20"/>
                <w:highlight w:val="none"/>
                <w:lang w:val="en-US" w:eastAsia="zh-CN" w:bidi="ar-SA"/>
              </w:rPr>
              <w:t>本项目为河湖整治项目，属于生态影响型项目，</w:t>
            </w:r>
            <w:r>
              <w:rPr>
                <w:rFonts w:hint="default" w:ascii="Times New Roman" w:hAnsi="Times New Roman" w:eastAsia="宋体" w:cs="Times New Roman"/>
                <w:color w:val="0000FF"/>
                <w:sz w:val="24"/>
                <w:szCs w:val="24"/>
              </w:rPr>
              <w:t>根据《环境影响评价技术导则 土壤环境（试行）》（HJ964-2018），本项目属于附录A中Ⅲ类项目。根据生态影响型敏感程度分级表中土壤盐化、酸化、碱化程度判别敏感程度。项目区土壤侵蚀为水蚀，土壤侵蚀强度为轻度侵蚀，土壤侵蚀模数背景值为</w:t>
            </w:r>
            <w:r>
              <w:rPr>
                <w:rFonts w:hint="eastAsia" w:ascii="Times New Roman" w:hAnsi="Times New Roman" w:eastAsia="宋体" w:cs="Times New Roman"/>
                <w:color w:val="0000FF"/>
                <w:sz w:val="24"/>
                <w:szCs w:val="24"/>
                <w:lang w:val="en-US" w:eastAsia="zh-CN"/>
              </w:rPr>
              <w:t>4</w:t>
            </w:r>
            <w:r>
              <w:rPr>
                <w:rFonts w:hint="default" w:ascii="Times New Roman" w:hAnsi="Times New Roman" w:eastAsia="宋体" w:cs="Times New Roman"/>
                <w:color w:val="0000FF"/>
                <w:sz w:val="24"/>
                <w:szCs w:val="24"/>
              </w:rPr>
              <w:t>00t/km</w:t>
            </w:r>
            <w:r>
              <w:rPr>
                <w:rFonts w:hint="default" w:ascii="Times New Roman" w:hAnsi="Times New Roman" w:eastAsia="宋体" w:cs="Times New Roman"/>
                <w:color w:val="0000FF"/>
                <w:sz w:val="24"/>
                <w:szCs w:val="24"/>
                <w:vertAlign w:val="superscript"/>
              </w:rPr>
              <w:t>2</w:t>
            </w:r>
            <w:r>
              <w:rPr>
                <w:rFonts w:hint="default" w:ascii="Times New Roman" w:hAnsi="Times New Roman" w:eastAsia="宋体" w:cs="Times New Roman"/>
                <w:color w:val="0000FF"/>
                <w:sz w:val="24"/>
                <w:szCs w:val="24"/>
              </w:rPr>
              <w:t>·a。本项目所在区域无盐化、酸化和碱化现象，根据中国土壤数据库，工程区土类主要为棕钙土，pH为6.725</w:t>
            </w:r>
            <w:r>
              <w:rPr>
                <w:rFonts w:hint="default" w:ascii="Times New Roman" w:hAnsi="Times New Roman" w:eastAsia="宋体" w:cs="Times New Roman"/>
                <w:color w:val="0000FF"/>
                <w:sz w:val="24"/>
                <w:szCs w:val="24"/>
                <w:lang w:val="en-US" w:eastAsia="zh-CN"/>
              </w:rPr>
              <w:t>-</w:t>
            </w:r>
            <w:r>
              <w:rPr>
                <w:rFonts w:hint="default" w:ascii="Times New Roman" w:hAnsi="Times New Roman" w:eastAsia="宋体" w:cs="Times New Roman"/>
                <w:color w:val="0000FF"/>
                <w:sz w:val="24"/>
                <w:szCs w:val="24"/>
              </w:rPr>
              <w:t>8.036，则判断土壤盐化、酸化、碱化程度属于不敏感。因此根据 生态影响型评价工作等对照生态影响型评价工作等级划分表，本项目敏感程度为“不敏感”，</w:t>
            </w:r>
            <w:r>
              <w:rPr>
                <w:rFonts w:hint="default" w:ascii="Times New Roman" w:hAnsi="Times New Roman" w:eastAsia="宋体" w:cs="Times New Roman"/>
                <w:color w:val="0000FF"/>
                <w:spacing w:val="0"/>
                <w:w w:val="100"/>
                <w:kern w:val="2"/>
                <w:position w:val="0"/>
                <w:sz w:val="24"/>
                <w:szCs w:val="20"/>
                <w:highlight w:val="none"/>
                <w:lang w:val="en-US" w:eastAsia="zh-CN" w:bidi="ar-SA"/>
              </w:rPr>
              <w:t>且项目施工期及运营期不涉及污染物的排放，不会对</w:t>
            </w:r>
            <w:r>
              <w:rPr>
                <w:rFonts w:hint="default" w:ascii="Times New Roman" w:hAnsi="Times New Roman" w:eastAsia="宋体" w:cs="Times New Roman"/>
                <w:color w:val="0000FF"/>
                <w:spacing w:val="0"/>
                <w:kern w:val="0"/>
                <w:position w:val="0"/>
                <w:sz w:val="24"/>
                <w:szCs w:val="24"/>
                <w:highlight w:val="none"/>
                <w:lang w:val="en-US" w:eastAsia="zh-CN" w:bidi="ar"/>
              </w:rPr>
              <w:t>土壤环境产生不利影响，故不开展土壤环境影响评价工作。</w:t>
            </w:r>
          </w:p>
        </w:tc>
      </w:tr>
      <w:tr w14:paraId="19630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5" w:type="pct"/>
            <w:tcBorders>
              <w:tl2br w:val="nil"/>
              <w:tr2bl w:val="nil"/>
            </w:tcBorders>
            <w:noWrap w:val="0"/>
            <w:vAlign w:val="center"/>
          </w:tcPr>
          <w:p w14:paraId="69959752">
            <w:pPr>
              <w:keepNext w:val="0"/>
              <w:keepLines w:val="0"/>
              <w:pageBreakBefore w:val="0"/>
              <w:shd w:val="clear"/>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kern w:val="2"/>
                <w:position w:val="0"/>
                <w:sz w:val="24"/>
                <w:szCs w:val="20"/>
                <w:highlight w:val="none"/>
                <w:lang w:val="zh-CN" w:eastAsia="zh-CN" w:bidi="ar-SA"/>
              </w:rPr>
            </w:pPr>
            <w:r>
              <w:rPr>
                <w:rFonts w:hint="default" w:ascii="Times New Roman" w:hAnsi="Times New Roman" w:eastAsia="宋体" w:cs="Times New Roman"/>
                <w:color w:val="auto"/>
                <w:spacing w:val="0"/>
                <w:kern w:val="2"/>
                <w:position w:val="0"/>
                <w:sz w:val="24"/>
                <w:szCs w:val="20"/>
                <w:highlight w:val="none"/>
                <w:lang w:val="zh-CN" w:eastAsia="zh-CN" w:bidi="ar-SA"/>
              </w:rPr>
              <w:t>与项目有关的原有环境污染和生态破坏问题</w:t>
            </w:r>
          </w:p>
        </w:tc>
        <w:tc>
          <w:tcPr>
            <w:tcW w:w="4514" w:type="pct"/>
            <w:tcBorders>
              <w:tl2br w:val="nil"/>
              <w:tr2bl w:val="nil"/>
            </w:tcBorders>
            <w:noWrap w:val="0"/>
            <w:vAlign w:val="center"/>
          </w:tcPr>
          <w:p w14:paraId="6629DE4E">
            <w:pPr>
              <w:keepNext w:val="0"/>
              <w:keepLines w:val="0"/>
              <w:pageBreakBefore w:val="0"/>
              <w:widowControl w:val="0"/>
              <w:numPr>
                <w:ilvl w:val="0"/>
                <w:numId w:val="0"/>
              </w:numPr>
              <w:shd w:val="clea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pacing w:val="0"/>
                <w:kern w:val="0"/>
                <w:position w:val="0"/>
                <w:sz w:val="24"/>
                <w:szCs w:val="24"/>
                <w:highlight w:val="none"/>
                <w:lang w:val="en-US" w:eastAsia="zh-CN"/>
              </w:rPr>
            </w:pPr>
            <w:r>
              <w:rPr>
                <w:rFonts w:hint="default" w:ascii="Times New Roman" w:hAnsi="Times New Roman" w:eastAsia="宋体" w:cs="Times New Roman"/>
                <w:color w:val="auto"/>
                <w:spacing w:val="0"/>
                <w:kern w:val="0"/>
                <w:position w:val="0"/>
                <w:sz w:val="24"/>
                <w:szCs w:val="24"/>
                <w:highlight w:val="none"/>
                <w:lang w:val="en-US" w:eastAsia="zh-CN"/>
              </w:rPr>
              <w:t>河道现状存在问题主要如下：防洪工程简陋，河床不平整、岸坡抗洪能力差，防御标准低，排涝能力不足设计标准，一旦遭遇较大暴雨，河道滞蓄空间有限、外排能力不足，常使河道周边地区受淹。</w:t>
            </w:r>
          </w:p>
          <w:p w14:paraId="13B741AA">
            <w:pPr>
              <w:keepNext w:val="0"/>
              <w:keepLines w:val="0"/>
              <w:pageBreakBefore w:val="0"/>
              <w:widowControl w:val="0"/>
              <w:numPr>
                <w:ilvl w:val="0"/>
                <w:numId w:val="0"/>
              </w:numPr>
              <w:shd w:val="clea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pacing w:val="0"/>
                <w:highlight w:val="none"/>
                <w:lang w:val="en-US" w:eastAsia="zh-CN"/>
              </w:rPr>
            </w:pPr>
            <w:r>
              <w:rPr>
                <w:rFonts w:hint="default" w:ascii="Times New Roman" w:hAnsi="Times New Roman" w:eastAsia="宋体" w:cs="Times New Roman"/>
                <w:color w:val="auto"/>
                <w:spacing w:val="0"/>
                <w:kern w:val="0"/>
                <w:position w:val="0"/>
                <w:sz w:val="24"/>
                <w:szCs w:val="24"/>
                <w:highlight w:val="none"/>
                <w:lang w:val="en-US" w:eastAsia="zh-CN"/>
              </w:rPr>
              <w:t>本项目为河湖整治项目，项目本身属于生态型建设项目，不存在与本项目有关的原有环境污染和生态破坏问题。</w:t>
            </w:r>
          </w:p>
        </w:tc>
      </w:tr>
      <w:tr w14:paraId="5D735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5" w:type="pct"/>
            <w:tcBorders>
              <w:tl2br w:val="nil"/>
              <w:tr2bl w:val="nil"/>
            </w:tcBorders>
            <w:noWrap w:val="0"/>
            <w:vAlign w:val="center"/>
          </w:tcPr>
          <w:p w14:paraId="7F82636C">
            <w:pPr>
              <w:keepNext w:val="0"/>
              <w:keepLines w:val="0"/>
              <w:pageBreakBefore w:val="0"/>
              <w:shd w:val="clear"/>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kern w:val="0"/>
                <w:position w:val="0"/>
                <w:sz w:val="24"/>
                <w:szCs w:val="24"/>
                <w:highlight w:val="none"/>
              </w:rPr>
            </w:pPr>
            <w:r>
              <w:rPr>
                <w:rFonts w:hint="default" w:ascii="Times New Roman" w:hAnsi="Times New Roman" w:eastAsia="宋体" w:cs="Times New Roman"/>
                <w:color w:val="auto"/>
                <w:spacing w:val="0"/>
                <w:w w:val="100"/>
                <w:kern w:val="0"/>
                <w:position w:val="0"/>
                <w:sz w:val="24"/>
                <w:szCs w:val="24"/>
                <w:highlight w:val="none"/>
              </w:rPr>
              <w:t>生态环境保护目标</w:t>
            </w:r>
          </w:p>
        </w:tc>
        <w:tc>
          <w:tcPr>
            <w:tcW w:w="4514" w:type="pct"/>
            <w:tcBorders>
              <w:tl2br w:val="nil"/>
              <w:tr2bl w:val="nil"/>
            </w:tcBorders>
            <w:noWrap w:val="0"/>
            <w:vAlign w:val="center"/>
          </w:tcPr>
          <w:p w14:paraId="6B259F01">
            <w:pPr>
              <w:keepNext w:val="0"/>
              <w:keepLines w:val="0"/>
              <w:pageBreakBefore w:val="0"/>
              <w:widowControl w:val="0"/>
              <w:numPr>
                <w:ilvl w:val="0"/>
                <w:numId w:val="0"/>
              </w:numPr>
              <w:shd w:val="clear"/>
              <w:kinsoku/>
              <w:wordWrap/>
              <w:overflowPunct/>
              <w:topLinePunct w:val="0"/>
              <w:autoSpaceDE/>
              <w:autoSpaceDN/>
              <w:bidi w:val="0"/>
              <w:snapToGrid/>
              <w:spacing w:line="360" w:lineRule="auto"/>
              <w:textAlignment w:val="auto"/>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lang w:val="en-US" w:eastAsia="zh-CN"/>
              </w:rPr>
              <w:t>1.</w:t>
            </w:r>
            <w:r>
              <w:rPr>
                <w:rFonts w:hint="default" w:ascii="Times New Roman" w:hAnsi="Times New Roman" w:eastAsia="宋体" w:cs="Times New Roman"/>
                <w:b/>
                <w:bCs/>
                <w:color w:val="auto"/>
                <w:spacing w:val="0"/>
                <w:position w:val="0"/>
                <w:sz w:val="24"/>
                <w:szCs w:val="24"/>
                <w:highlight w:val="none"/>
              </w:rPr>
              <w:t>项目主要生态环境保护目标</w:t>
            </w:r>
          </w:p>
          <w:p w14:paraId="5B18133E">
            <w:pPr>
              <w:keepNext w:val="0"/>
              <w:keepLines w:val="0"/>
              <w:pageBreakBefore w:val="0"/>
              <w:widowControl w:val="0"/>
              <w:numPr>
                <w:ilvl w:val="0"/>
                <w:numId w:val="0"/>
              </w:numPr>
              <w:shd w:val="clear"/>
              <w:kinsoku/>
              <w:wordWrap/>
              <w:overflowPunct/>
              <w:topLinePunct w:val="0"/>
              <w:autoSpaceDE/>
              <w:autoSpaceDN/>
              <w:bidi w:val="0"/>
              <w:snapToGrid/>
              <w:spacing w:line="360" w:lineRule="auto"/>
              <w:ind w:leftChars="0" w:firstLine="480" w:firstLineChars="200"/>
              <w:textAlignment w:val="auto"/>
              <w:rPr>
                <w:rFonts w:hint="default" w:ascii="Times New Roman" w:hAnsi="Times New Roman" w:eastAsia="宋体" w:cs="Times New Roman"/>
                <w:bCs/>
                <w:color w:val="auto"/>
                <w:spacing w:val="0"/>
                <w:position w:val="0"/>
                <w:sz w:val="24"/>
                <w:szCs w:val="24"/>
                <w:highlight w:val="none"/>
                <w:lang w:val="en-US" w:eastAsia="zh-CN"/>
              </w:rPr>
            </w:pPr>
            <w:r>
              <w:rPr>
                <w:rFonts w:hint="default" w:ascii="Times New Roman" w:hAnsi="Times New Roman" w:eastAsia="宋体" w:cs="Times New Roman"/>
                <w:bCs/>
                <w:color w:val="auto"/>
                <w:spacing w:val="0"/>
                <w:position w:val="0"/>
                <w:sz w:val="24"/>
                <w:szCs w:val="24"/>
                <w:highlight w:val="none"/>
                <w:lang w:val="en-US" w:eastAsia="zh-CN"/>
              </w:rPr>
              <w:t>根据现场调查，项目区周围无风景名胜区、自然保护区和文物古迹等敏感点，项目主要环境保护目标见表3-6。</w:t>
            </w:r>
          </w:p>
          <w:p w14:paraId="7A7846AB">
            <w:pPr>
              <w:pStyle w:val="8"/>
              <w:keepNext w:val="0"/>
              <w:keepLines w:val="0"/>
              <w:pageBreakBefore w:val="0"/>
              <w:widowControl w:val="0"/>
              <w:shd w:val="clear"/>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bCs/>
                <w:color w:val="auto"/>
                <w:spacing w:val="0"/>
                <w:kern w:val="2"/>
                <w:position w:val="0"/>
                <w:sz w:val="21"/>
                <w:szCs w:val="21"/>
                <w:highlight w:val="none"/>
                <w:lang w:val="en-US" w:eastAsia="zh-CN" w:bidi="ar-SA"/>
              </w:rPr>
            </w:pPr>
            <w:r>
              <w:rPr>
                <w:rFonts w:hint="default" w:ascii="Times New Roman" w:hAnsi="Times New Roman" w:eastAsia="宋体" w:cs="Times New Roman"/>
                <w:b/>
                <w:bCs/>
                <w:color w:val="auto"/>
                <w:spacing w:val="0"/>
                <w:kern w:val="2"/>
                <w:position w:val="0"/>
                <w:sz w:val="21"/>
                <w:szCs w:val="21"/>
                <w:highlight w:val="none"/>
                <w:lang w:val="en-US" w:eastAsia="zh-CN" w:bidi="ar-SA"/>
              </w:rPr>
              <w:t>表3-6    项目主要生态环境保护目标一览表</w:t>
            </w:r>
          </w:p>
          <w:tbl>
            <w:tblPr>
              <w:tblStyle w:val="91"/>
              <w:tblW w:w="4997" w:type="pct"/>
              <w:tblInd w:w="2"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686"/>
              <w:gridCol w:w="863"/>
              <w:gridCol w:w="1262"/>
              <w:gridCol w:w="1488"/>
              <w:gridCol w:w="3026"/>
            </w:tblGrid>
            <w:tr w14:paraId="35E753C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68" w:type="pct"/>
                  <w:tcBorders>
                    <w:bottom w:val="single" w:color="000000" w:sz="12" w:space="0"/>
                  </w:tcBorders>
                  <w:vAlign w:val="center"/>
                </w:tcPr>
                <w:p w14:paraId="04D0E6FB">
                  <w:pPr>
                    <w:keepNext w:val="0"/>
                    <w:keepLines w:val="0"/>
                    <w:widowControl/>
                    <w:suppressLineNumbers w:val="0"/>
                    <w:shd w:val="clear"/>
                    <w:jc w:val="center"/>
                    <w:rPr>
                      <w:rFonts w:hint="default" w:ascii="Times New Roman" w:hAnsi="Times New Roman" w:eastAsia="宋体" w:cs="Times New Roman"/>
                      <w:b/>
                      <w:bCs/>
                      <w:color w:val="auto"/>
                      <w:spacing w:val="0"/>
                      <w:kern w:val="0"/>
                      <w:position w:val="0"/>
                      <w:sz w:val="21"/>
                      <w:szCs w:val="21"/>
                      <w:highlight w:val="none"/>
                      <w:lang w:val="en-US" w:eastAsia="zh-CN" w:bidi="ar"/>
                    </w:rPr>
                  </w:pPr>
                  <w:r>
                    <w:rPr>
                      <w:rFonts w:hint="default" w:ascii="Times New Roman" w:hAnsi="Times New Roman" w:eastAsia="宋体" w:cs="Times New Roman"/>
                      <w:b/>
                      <w:bCs/>
                      <w:color w:val="auto"/>
                      <w:spacing w:val="0"/>
                      <w:kern w:val="0"/>
                      <w:position w:val="0"/>
                      <w:sz w:val="21"/>
                      <w:szCs w:val="21"/>
                      <w:highlight w:val="none"/>
                      <w:lang w:val="en-US" w:eastAsia="zh-CN" w:bidi="ar"/>
                    </w:rPr>
                    <w:t>序号</w:t>
                  </w:r>
                </w:p>
              </w:tc>
              <w:tc>
                <w:tcPr>
                  <w:tcW w:w="589" w:type="pct"/>
                  <w:tcBorders>
                    <w:bottom w:val="single" w:color="000000" w:sz="12" w:space="0"/>
                  </w:tcBorders>
                  <w:vAlign w:val="center"/>
                </w:tcPr>
                <w:p w14:paraId="3F39ADC5">
                  <w:pPr>
                    <w:keepNext w:val="0"/>
                    <w:keepLines w:val="0"/>
                    <w:widowControl/>
                    <w:suppressLineNumbers w:val="0"/>
                    <w:shd w:val="clear"/>
                    <w:jc w:val="center"/>
                    <w:rPr>
                      <w:rFonts w:hint="default" w:ascii="Times New Roman" w:hAnsi="Times New Roman" w:eastAsia="宋体" w:cs="Times New Roman"/>
                      <w:b/>
                      <w:bCs/>
                      <w:color w:val="auto"/>
                      <w:spacing w:val="0"/>
                      <w:kern w:val="0"/>
                      <w:position w:val="0"/>
                      <w:sz w:val="21"/>
                      <w:szCs w:val="21"/>
                      <w:highlight w:val="none"/>
                      <w:lang w:val="en-US" w:eastAsia="zh-CN" w:bidi="ar"/>
                    </w:rPr>
                  </w:pPr>
                  <w:r>
                    <w:rPr>
                      <w:rFonts w:hint="default" w:ascii="Times New Roman" w:hAnsi="Times New Roman" w:eastAsia="宋体" w:cs="Times New Roman"/>
                      <w:b/>
                      <w:bCs/>
                      <w:color w:val="auto"/>
                      <w:spacing w:val="0"/>
                      <w:kern w:val="0"/>
                      <w:position w:val="0"/>
                      <w:sz w:val="21"/>
                      <w:szCs w:val="21"/>
                      <w:highlight w:val="none"/>
                      <w:lang w:val="en-US" w:eastAsia="zh-CN" w:bidi="ar"/>
                    </w:rPr>
                    <w:t>环境要素</w:t>
                  </w:r>
                </w:p>
              </w:tc>
              <w:tc>
                <w:tcPr>
                  <w:tcW w:w="861" w:type="pct"/>
                  <w:tcBorders>
                    <w:bottom w:val="single" w:color="000000" w:sz="12" w:space="0"/>
                  </w:tcBorders>
                  <w:vAlign w:val="center"/>
                </w:tcPr>
                <w:p w14:paraId="7E3DC7C5">
                  <w:pPr>
                    <w:keepNext w:val="0"/>
                    <w:keepLines w:val="0"/>
                    <w:widowControl/>
                    <w:suppressLineNumbers w:val="0"/>
                    <w:shd w:val="clear"/>
                    <w:jc w:val="center"/>
                    <w:rPr>
                      <w:rFonts w:hint="default" w:ascii="Times New Roman" w:hAnsi="Times New Roman" w:eastAsia="宋体" w:cs="Times New Roman"/>
                      <w:b/>
                      <w:bCs/>
                      <w:color w:val="auto"/>
                      <w:spacing w:val="0"/>
                      <w:kern w:val="0"/>
                      <w:position w:val="0"/>
                      <w:sz w:val="21"/>
                      <w:szCs w:val="21"/>
                      <w:highlight w:val="none"/>
                      <w:lang w:val="en-US" w:eastAsia="zh-CN" w:bidi="ar"/>
                    </w:rPr>
                  </w:pPr>
                  <w:r>
                    <w:rPr>
                      <w:rFonts w:hint="default" w:ascii="Times New Roman" w:hAnsi="Times New Roman" w:eastAsia="宋体" w:cs="Times New Roman"/>
                      <w:b/>
                      <w:bCs/>
                      <w:color w:val="auto"/>
                      <w:spacing w:val="0"/>
                      <w:kern w:val="0"/>
                      <w:position w:val="0"/>
                      <w:sz w:val="21"/>
                      <w:szCs w:val="21"/>
                      <w:highlight w:val="none"/>
                      <w:lang w:val="en-US" w:eastAsia="zh-CN" w:bidi="ar"/>
                    </w:rPr>
                    <w:t>环境目标</w:t>
                  </w:r>
                </w:p>
              </w:tc>
              <w:tc>
                <w:tcPr>
                  <w:tcW w:w="1015" w:type="pct"/>
                  <w:tcBorders>
                    <w:bottom w:val="single" w:color="000000" w:sz="12" w:space="0"/>
                  </w:tcBorders>
                  <w:vAlign w:val="center"/>
                </w:tcPr>
                <w:p w14:paraId="017F4E93">
                  <w:pPr>
                    <w:keepNext w:val="0"/>
                    <w:keepLines w:val="0"/>
                    <w:widowControl/>
                    <w:suppressLineNumbers w:val="0"/>
                    <w:shd w:val="clear"/>
                    <w:jc w:val="center"/>
                    <w:rPr>
                      <w:rFonts w:hint="default" w:ascii="Times New Roman" w:hAnsi="Times New Roman" w:eastAsia="宋体" w:cs="Times New Roman"/>
                      <w:b/>
                      <w:bCs/>
                      <w:color w:val="auto"/>
                      <w:spacing w:val="0"/>
                      <w:kern w:val="0"/>
                      <w:position w:val="0"/>
                      <w:sz w:val="21"/>
                      <w:szCs w:val="21"/>
                      <w:highlight w:val="none"/>
                      <w:lang w:val="en-US" w:eastAsia="zh-CN" w:bidi="ar"/>
                    </w:rPr>
                  </w:pPr>
                  <w:r>
                    <w:rPr>
                      <w:rFonts w:hint="default" w:ascii="Times New Roman" w:hAnsi="Times New Roman" w:eastAsia="宋体" w:cs="Times New Roman"/>
                      <w:b/>
                      <w:bCs/>
                      <w:color w:val="auto"/>
                      <w:spacing w:val="0"/>
                      <w:kern w:val="0"/>
                      <w:position w:val="0"/>
                      <w:sz w:val="21"/>
                      <w:szCs w:val="21"/>
                      <w:highlight w:val="none"/>
                      <w:lang w:val="en-US" w:eastAsia="zh-CN" w:bidi="ar"/>
                    </w:rPr>
                    <w:t>位置</w:t>
                  </w:r>
                </w:p>
              </w:tc>
              <w:tc>
                <w:tcPr>
                  <w:tcW w:w="2065" w:type="pct"/>
                  <w:tcBorders>
                    <w:bottom w:val="single" w:color="000000" w:sz="12" w:space="0"/>
                  </w:tcBorders>
                  <w:vAlign w:val="center"/>
                </w:tcPr>
                <w:p w14:paraId="0DE7B04F">
                  <w:pPr>
                    <w:keepNext w:val="0"/>
                    <w:keepLines w:val="0"/>
                    <w:widowControl/>
                    <w:suppressLineNumbers w:val="0"/>
                    <w:shd w:val="clear"/>
                    <w:jc w:val="center"/>
                    <w:rPr>
                      <w:rFonts w:hint="default" w:ascii="Times New Roman" w:hAnsi="Times New Roman" w:eastAsia="宋体" w:cs="Times New Roman"/>
                      <w:b/>
                      <w:bCs/>
                      <w:color w:val="auto"/>
                      <w:spacing w:val="0"/>
                      <w:kern w:val="0"/>
                      <w:position w:val="0"/>
                      <w:sz w:val="21"/>
                      <w:szCs w:val="21"/>
                      <w:highlight w:val="none"/>
                      <w:lang w:val="en-US" w:eastAsia="zh-CN" w:bidi="ar"/>
                    </w:rPr>
                  </w:pPr>
                  <w:r>
                    <w:rPr>
                      <w:rFonts w:hint="eastAsia" w:ascii="Times New Roman" w:hAnsi="Times New Roman" w:eastAsia="宋体" w:cs="Times New Roman"/>
                      <w:b/>
                      <w:bCs/>
                      <w:color w:val="auto"/>
                      <w:spacing w:val="0"/>
                      <w:kern w:val="0"/>
                      <w:position w:val="0"/>
                      <w:sz w:val="21"/>
                      <w:szCs w:val="21"/>
                      <w:highlight w:val="none"/>
                      <w:lang w:val="en-US" w:eastAsia="zh-CN" w:bidi="ar"/>
                    </w:rPr>
                    <w:t>环境保护要求及措施</w:t>
                  </w:r>
                </w:p>
              </w:tc>
            </w:tr>
            <w:tr w14:paraId="479EEC3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68" w:type="pct"/>
                  <w:tcBorders>
                    <w:top w:val="single" w:color="000000" w:sz="12" w:space="0"/>
                    <w:tl2br w:val="nil"/>
                    <w:tr2bl w:val="nil"/>
                  </w:tcBorders>
                  <w:vAlign w:val="center"/>
                </w:tcPr>
                <w:p w14:paraId="59A32430">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default" w:ascii="Times New Roman" w:hAnsi="Times New Roman" w:eastAsia="宋体" w:cs="Times New Roman"/>
                      <w:b w:val="0"/>
                      <w:bCs w:val="0"/>
                      <w:color w:val="auto"/>
                      <w:spacing w:val="0"/>
                      <w:kern w:val="0"/>
                      <w:position w:val="0"/>
                      <w:sz w:val="20"/>
                      <w:szCs w:val="20"/>
                      <w:highlight w:val="none"/>
                      <w:lang w:val="en-US" w:eastAsia="zh-CN" w:bidi="ar"/>
                    </w:rPr>
                    <w:t>1</w:t>
                  </w:r>
                </w:p>
              </w:tc>
              <w:tc>
                <w:tcPr>
                  <w:tcW w:w="589" w:type="pct"/>
                  <w:tcBorders>
                    <w:top w:val="single" w:color="000000" w:sz="12" w:space="0"/>
                    <w:tl2br w:val="nil"/>
                    <w:tr2bl w:val="nil"/>
                  </w:tcBorders>
                  <w:vAlign w:val="center"/>
                </w:tcPr>
                <w:p w14:paraId="341274CF">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default" w:ascii="Times New Roman" w:hAnsi="Times New Roman" w:eastAsia="宋体" w:cs="Times New Roman"/>
                      <w:b w:val="0"/>
                      <w:bCs w:val="0"/>
                      <w:color w:val="auto"/>
                      <w:spacing w:val="0"/>
                      <w:kern w:val="0"/>
                      <w:position w:val="0"/>
                      <w:sz w:val="20"/>
                      <w:szCs w:val="20"/>
                      <w:highlight w:val="none"/>
                      <w:lang w:val="en-US" w:eastAsia="zh-CN" w:bidi="ar"/>
                    </w:rPr>
                    <w:t>地表水</w:t>
                  </w:r>
                </w:p>
              </w:tc>
              <w:tc>
                <w:tcPr>
                  <w:tcW w:w="861" w:type="pct"/>
                  <w:tcBorders>
                    <w:top w:val="single" w:color="000000" w:sz="12" w:space="0"/>
                    <w:tl2br w:val="nil"/>
                    <w:tr2bl w:val="nil"/>
                  </w:tcBorders>
                  <w:vAlign w:val="center"/>
                </w:tcPr>
                <w:p w14:paraId="6E935DC6">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default" w:ascii="Times New Roman" w:hAnsi="Times New Roman" w:cs="Times New Roman"/>
                      <w:b w:val="0"/>
                      <w:bCs w:val="0"/>
                      <w:color w:val="auto"/>
                      <w:spacing w:val="0"/>
                      <w:kern w:val="0"/>
                      <w:position w:val="0"/>
                      <w:sz w:val="20"/>
                      <w:szCs w:val="20"/>
                      <w:highlight w:val="none"/>
                      <w:lang w:val="en-US" w:eastAsia="zh-CN" w:bidi="ar"/>
                    </w:rPr>
                    <w:t>库尔阿根河</w:t>
                  </w:r>
                </w:p>
              </w:tc>
              <w:tc>
                <w:tcPr>
                  <w:tcW w:w="1015" w:type="pct"/>
                  <w:tcBorders>
                    <w:top w:val="single" w:color="000000" w:sz="12" w:space="0"/>
                    <w:tl2br w:val="nil"/>
                    <w:tr2bl w:val="nil"/>
                  </w:tcBorders>
                  <w:vAlign w:val="center"/>
                </w:tcPr>
                <w:p w14:paraId="6C22E309">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default" w:ascii="Times New Roman" w:hAnsi="Times New Roman" w:eastAsia="宋体" w:cs="Times New Roman"/>
                      <w:b w:val="0"/>
                      <w:bCs w:val="0"/>
                      <w:color w:val="auto"/>
                      <w:spacing w:val="0"/>
                      <w:kern w:val="0"/>
                      <w:position w:val="0"/>
                      <w:sz w:val="20"/>
                      <w:szCs w:val="20"/>
                      <w:highlight w:val="none"/>
                      <w:lang w:val="en-US" w:eastAsia="zh-CN" w:bidi="ar"/>
                    </w:rPr>
                    <w:t>项目区域内</w:t>
                  </w:r>
                </w:p>
              </w:tc>
              <w:tc>
                <w:tcPr>
                  <w:tcW w:w="2065" w:type="pct"/>
                  <w:tcBorders>
                    <w:top w:val="single" w:color="000000" w:sz="12" w:space="0"/>
                    <w:tl2br w:val="nil"/>
                    <w:tr2bl w:val="nil"/>
                  </w:tcBorders>
                  <w:vAlign w:val="center"/>
                </w:tcPr>
                <w:p w14:paraId="35F3072A">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default" w:ascii="Times New Roman" w:hAnsi="Times New Roman" w:eastAsia="宋体" w:cs="Times New Roman"/>
                      <w:b w:val="0"/>
                      <w:bCs w:val="0"/>
                      <w:color w:val="auto"/>
                      <w:spacing w:val="0"/>
                      <w:kern w:val="0"/>
                      <w:position w:val="0"/>
                      <w:sz w:val="20"/>
                      <w:szCs w:val="20"/>
                      <w:highlight w:val="none"/>
                      <w:lang w:val="en-US" w:eastAsia="zh-CN" w:bidi="ar"/>
                    </w:rPr>
                    <w:t>《地表水环境质量标准》（GB3838-2002）中Ⅲ类标准</w:t>
                  </w:r>
                </w:p>
              </w:tc>
            </w:tr>
            <w:tr w14:paraId="0C9C0ED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68" w:type="pct"/>
                  <w:tcBorders>
                    <w:tl2br w:val="nil"/>
                    <w:tr2bl w:val="nil"/>
                  </w:tcBorders>
                  <w:vAlign w:val="center"/>
                </w:tcPr>
                <w:p w14:paraId="1DC8EC5C">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default" w:ascii="Times New Roman" w:hAnsi="Times New Roman" w:eastAsia="宋体" w:cs="Times New Roman"/>
                      <w:b w:val="0"/>
                      <w:bCs w:val="0"/>
                      <w:color w:val="auto"/>
                      <w:spacing w:val="0"/>
                      <w:kern w:val="0"/>
                      <w:position w:val="0"/>
                      <w:sz w:val="20"/>
                      <w:szCs w:val="20"/>
                      <w:highlight w:val="none"/>
                      <w:lang w:val="en-US" w:eastAsia="zh-CN" w:bidi="ar"/>
                    </w:rPr>
                    <w:t>2</w:t>
                  </w:r>
                </w:p>
              </w:tc>
              <w:tc>
                <w:tcPr>
                  <w:tcW w:w="589" w:type="pct"/>
                  <w:tcBorders>
                    <w:tl2br w:val="nil"/>
                    <w:tr2bl w:val="nil"/>
                  </w:tcBorders>
                  <w:vAlign w:val="center"/>
                </w:tcPr>
                <w:p w14:paraId="4BF54432">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default" w:ascii="Times New Roman" w:hAnsi="Times New Roman" w:eastAsia="宋体" w:cs="Times New Roman"/>
                      <w:b w:val="0"/>
                      <w:bCs w:val="0"/>
                      <w:color w:val="auto"/>
                      <w:spacing w:val="0"/>
                      <w:kern w:val="0"/>
                      <w:position w:val="0"/>
                      <w:sz w:val="20"/>
                      <w:szCs w:val="20"/>
                      <w:highlight w:val="none"/>
                      <w:lang w:val="en-US" w:eastAsia="zh-CN" w:bidi="ar"/>
                    </w:rPr>
                    <w:t>地下水</w:t>
                  </w:r>
                </w:p>
              </w:tc>
              <w:tc>
                <w:tcPr>
                  <w:tcW w:w="861" w:type="pct"/>
                  <w:tcBorders>
                    <w:tl2br w:val="nil"/>
                    <w:tr2bl w:val="nil"/>
                  </w:tcBorders>
                  <w:vAlign w:val="center"/>
                </w:tcPr>
                <w:p w14:paraId="29FBFCFA">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default" w:ascii="Times New Roman" w:hAnsi="Times New Roman" w:eastAsia="宋体" w:cs="Times New Roman"/>
                      <w:b w:val="0"/>
                      <w:bCs w:val="0"/>
                      <w:color w:val="auto"/>
                      <w:spacing w:val="0"/>
                      <w:kern w:val="0"/>
                      <w:position w:val="0"/>
                      <w:sz w:val="20"/>
                      <w:szCs w:val="20"/>
                      <w:highlight w:val="none"/>
                      <w:lang w:val="en-US" w:eastAsia="zh-CN" w:bidi="ar"/>
                    </w:rPr>
                    <w:t>地下水水质、水位</w:t>
                  </w:r>
                </w:p>
              </w:tc>
              <w:tc>
                <w:tcPr>
                  <w:tcW w:w="1015" w:type="pct"/>
                  <w:tcBorders>
                    <w:tl2br w:val="nil"/>
                    <w:tr2bl w:val="nil"/>
                  </w:tcBorders>
                  <w:vAlign w:val="center"/>
                </w:tcPr>
                <w:p w14:paraId="6EE32CAA">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default" w:ascii="Times New Roman" w:hAnsi="Times New Roman" w:eastAsia="宋体" w:cs="Times New Roman"/>
                      <w:b w:val="0"/>
                      <w:bCs w:val="0"/>
                      <w:color w:val="auto"/>
                      <w:spacing w:val="0"/>
                      <w:kern w:val="0"/>
                      <w:position w:val="0"/>
                      <w:sz w:val="20"/>
                      <w:szCs w:val="20"/>
                      <w:highlight w:val="none"/>
                      <w:lang w:val="en-US" w:eastAsia="zh-CN" w:bidi="ar"/>
                    </w:rPr>
                    <w:t>工程沿线</w:t>
                  </w:r>
                </w:p>
              </w:tc>
              <w:tc>
                <w:tcPr>
                  <w:tcW w:w="2065" w:type="pct"/>
                  <w:tcBorders>
                    <w:tl2br w:val="nil"/>
                    <w:tr2bl w:val="nil"/>
                  </w:tcBorders>
                  <w:vAlign w:val="center"/>
                </w:tcPr>
                <w:p w14:paraId="46964694">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default" w:ascii="Times New Roman" w:hAnsi="Times New Roman" w:eastAsia="宋体" w:cs="Times New Roman"/>
                      <w:b w:val="0"/>
                      <w:bCs w:val="0"/>
                      <w:color w:val="auto"/>
                      <w:spacing w:val="0"/>
                      <w:kern w:val="0"/>
                      <w:position w:val="0"/>
                      <w:sz w:val="20"/>
                      <w:szCs w:val="20"/>
                      <w:highlight w:val="none"/>
                      <w:lang w:val="en-US" w:eastAsia="zh-CN" w:bidi="ar"/>
                    </w:rPr>
                    <w:t>《地下水质量标准》（GB/T14848-2017）中Ⅲ类标准</w:t>
                  </w:r>
                </w:p>
              </w:tc>
            </w:tr>
            <w:tr w14:paraId="21F7F07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68" w:type="pct"/>
                  <w:tcBorders>
                    <w:tl2br w:val="nil"/>
                    <w:tr2bl w:val="nil"/>
                  </w:tcBorders>
                  <w:vAlign w:val="center"/>
                </w:tcPr>
                <w:p w14:paraId="55DD931A">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default" w:ascii="Times New Roman" w:hAnsi="Times New Roman" w:eastAsia="宋体" w:cs="Times New Roman"/>
                      <w:b w:val="0"/>
                      <w:bCs w:val="0"/>
                      <w:color w:val="auto"/>
                      <w:spacing w:val="0"/>
                      <w:kern w:val="0"/>
                      <w:position w:val="0"/>
                      <w:sz w:val="20"/>
                      <w:szCs w:val="20"/>
                      <w:highlight w:val="none"/>
                      <w:lang w:val="en-US" w:eastAsia="zh-CN" w:bidi="ar"/>
                    </w:rPr>
                    <w:t>3</w:t>
                  </w:r>
                </w:p>
              </w:tc>
              <w:tc>
                <w:tcPr>
                  <w:tcW w:w="589" w:type="pct"/>
                  <w:tcBorders>
                    <w:tl2br w:val="nil"/>
                    <w:tr2bl w:val="nil"/>
                  </w:tcBorders>
                  <w:vAlign w:val="center"/>
                </w:tcPr>
                <w:p w14:paraId="24493134">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default" w:ascii="Times New Roman" w:hAnsi="Times New Roman" w:eastAsia="宋体" w:cs="Times New Roman"/>
                      <w:b w:val="0"/>
                      <w:bCs w:val="0"/>
                      <w:color w:val="auto"/>
                      <w:spacing w:val="0"/>
                      <w:kern w:val="0"/>
                      <w:position w:val="0"/>
                      <w:sz w:val="20"/>
                      <w:szCs w:val="20"/>
                      <w:highlight w:val="none"/>
                      <w:lang w:val="en-US" w:eastAsia="zh-CN" w:bidi="ar"/>
                    </w:rPr>
                    <w:t>生态环境</w:t>
                  </w:r>
                </w:p>
              </w:tc>
              <w:tc>
                <w:tcPr>
                  <w:tcW w:w="861" w:type="pct"/>
                  <w:tcBorders>
                    <w:tl2br w:val="nil"/>
                    <w:tr2bl w:val="nil"/>
                  </w:tcBorders>
                  <w:vAlign w:val="center"/>
                </w:tcPr>
                <w:p w14:paraId="7067FEB0">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default" w:ascii="Times New Roman" w:hAnsi="Times New Roman" w:eastAsia="宋体" w:cs="Times New Roman"/>
                      <w:b w:val="0"/>
                      <w:bCs w:val="0"/>
                      <w:color w:val="auto"/>
                      <w:spacing w:val="0"/>
                      <w:kern w:val="0"/>
                      <w:position w:val="0"/>
                      <w:sz w:val="20"/>
                      <w:szCs w:val="20"/>
                      <w:highlight w:val="none"/>
                      <w:lang w:val="en-US" w:eastAsia="zh-CN" w:bidi="ar"/>
                    </w:rPr>
                    <w:t>工程沿线林地、耕地</w:t>
                  </w:r>
                </w:p>
              </w:tc>
              <w:tc>
                <w:tcPr>
                  <w:tcW w:w="1015" w:type="pct"/>
                  <w:tcBorders>
                    <w:tl2br w:val="nil"/>
                    <w:tr2bl w:val="nil"/>
                  </w:tcBorders>
                  <w:vAlign w:val="center"/>
                </w:tcPr>
                <w:p w14:paraId="233D7C41">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default" w:ascii="Times New Roman" w:hAnsi="Times New Roman" w:eastAsia="宋体" w:cs="Times New Roman"/>
                      <w:b w:val="0"/>
                      <w:bCs w:val="0"/>
                      <w:color w:val="auto"/>
                      <w:spacing w:val="0"/>
                      <w:kern w:val="0"/>
                      <w:position w:val="0"/>
                      <w:sz w:val="20"/>
                      <w:szCs w:val="20"/>
                      <w:highlight w:val="none"/>
                      <w:lang w:val="en-US" w:eastAsia="zh-CN" w:bidi="ar"/>
                    </w:rPr>
                    <w:t>施工沿线扰动区</w:t>
                  </w:r>
                </w:p>
              </w:tc>
              <w:tc>
                <w:tcPr>
                  <w:tcW w:w="2065" w:type="pct"/>
                  <w:tcBorders>
                    <w:tl2br w:val="nil"/>
                    <w:tr2bl w:val="nil"/>
                  </w:tcBorders>
                  <w:vAlign w:val="center"/>
                </w:tcPr>
                <w:p w14:paraId="3760A90C">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default" w:ascii="Times New Roman" w:hAnsi="Times New Roman" w:eastAsia="宋体" w:cs="Times New Roman"/>
                      <w:b w:val="0"/>
                      <w:bCs w:val="0"/>
                      <w:color w:val="auto"/>
                      <w:spacing w:val="0"/>
                      <w:kern w:val="0"/>
                      <w:position w:val="0"/>
                      <w:sz w:val="20"/>
                      <w:szCs w:val="20"/>
                      <w:highlight w:val="none"/>
                      <w:lang w:val="en-US" w:eastAsia="zh-CN" w:bidi="ar"/>
                    </w:rPr>
                    <w:t>保护占地范围以外的林草植被、农作物不被破坏</w:t>
                  </w:r>
                </w:p>
              </w:tc>
            </w:tr>
            <w:tr w14:paraId="23CAC32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68" w:type="pct"/>
                  <w:tcBorders>
                    <w:tl2br w:val="nil"/>
                    <w:tr2bl w:val="nil"/>
                  </w:tcBorders>
                  <w:vAlign w:val="center"/>
                </w:tcPr>
                <w:p w14:paraId="344F76E2">
                  <w:pPr>
                    <w:keepNext w:val="0"/>
                    <w:keepLines w:val="0"/>
                    <w:widowControl/>
                    <w:suppressLineNumbers w:val="0"/>
                    <w:shd w:val="clear"/>
                    <w:jc w:val="center"/>
                    <w:rPr>
                      <w:rFonts w:hint="default" w:ascii="Times New Roman" w:hAnsi="Times New Roman" w:eastAsia="宋体" w:cs="Times New Roman"/>
                      <w:b w:val="0"/>
                      <w:bCs w:val="0"/>
                      <w:color w:val="0000FF"/>
                      <w:spacing w:val="0"/>
                      <w:kern w:val="0"/>
                      <w:position w:val="0"/>
                      <w:sz w:val="20"/>
                      <w:szCs w:val="20"/>
                      <w:highlight w:val="none"/>
                      <w:lang w:val="en-US" w:eastAsia="zh-CN" w:bidi="ar"/>
                    </w:rPr>
                  </w:pPr>
                  <w:r>
                    <w:rPr>
                      <w:rFonts w:hint="default" w:ascii="Times New Roman" w:hAnsi="Times New Roman" w:eastAsia="宋体" w:cs="Times New Roman"/>
                      <w:b w:val="0"/>
                      <w:bCs w:val="0"/>
                      <w:color w:val="0000FF"/>
                      <w:spacing w:val="0"/>
                      <w:kern w:val="0"/>
                      <w:position w:val="0"/>
                      <w:sz w:val="20"/>
                      <w:szCs w:val="20"/>
                      <w:highlight w:val="none"/>
                      <w:lang w:val="en-US" w:eastAsia="zh-CN" w:bidi="ar"/>
                    </w:rPr>
                    <w:t>4</w:t>
                  </w:r>
                </w:p>
              </w:tc>
              <w:tc>
                <w:tcPr>
                  <w:tcW w:w="589" w:type="pct"/>
                  <w:tcBorders>
                    <w:tl2br w:val="nil"/>
                    <w:tr2bl w:val="nil"/>
                  </w:tcBorders>
                  <w:vAlign w:val="center"/>
                </w:tcPr>
                <w:p w14:paraId="1FB62E80">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default" w:ascii="Times New Roman" w:hAnsi="Times New Roman" w:eastAsia="宋体" w:cs="Times New Roman"/>
                      <w:b w:val="0"/>
                      <w:bCs w:val="0"/>
                      <w:color w:val="auto"/>
                      <w:spacing w:val="0"/>
                      <w:kern w:val="0"/>
                      <w:position w:val="0"/>
                      <w:sz w:val="20"/>
                      <w:szCs w:val="20"/>
                      <w:highlight w:val="none"/>
                      <w:lang w:val="en-US" w:eastAsia="zh-CN" w:bidi="ar"/>
                    </w:rPr>
                    <w:t>噪声</w:t>
                  </w:r>
                </w:p>
              </w:tc>
              <w:tc>
                <w:tcPr>
                  <w:tcW w:w="861" w:type="pct"/>
                  <w:tcBorders>
                    <w:tl2br w:val="nil"/>
                    <w:tr2bl w:val="nil"/>
                  </w:tcBorders>
                  <w:vAlign w:val="center"/>
                </w:tcPr>
                <w:p w14:paraId="4EBFD0CB">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eastAsia" w:ascii="Times New Roman" w:hAnsi="Times New Roman" w:eastAsia="宋体" w:cs="Times New Roman"/>
                      <w:b w:val="0"/>
                      <w:bCs w:val="0"/>
                      <w:color w:val="auto"/>
                      <w:spacing w:val="0"/>
                      <w:kern w:val="0"/>
                      <w:position w:val="0"/>
                      <w:sz w:val="20"/>
                      <w:szCs w:val="20"/>
                      <w:highlight w:val="none"/>
                      <w:lang w:val="en-US" w:eastAsia="zh-CN" w:bidi="ar"/>
                    </w:rPr>
                    <w:t>无</w:t>
                  </w:r>
                </w:p>
              </w:tc>
              <w:tc>
                <w:tcPr>
                  <w:tcW w:w="1015" w:type="pct"/>
                  <w:tcBorders>
                    <w:tl2br w:val="nil"/>
                    <w:tr2bl w:val="nil"/>
                  </w:tcBorders>
                  <w:vAlign w:val="center"/>
                </w:tcPr>
                <w:p w14:paraId="13BBD28E">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default" w:ascii="Times New Roman" w:hAnsi="Times New Roman" w:eastAsia="宋体" w:cs="Times New Roman"/>
                      <w:b w:val="0"/>
                      <w:bCs w:val="0"/>
                      <w:color w:val="auto"/>
                      <w:spacing w:val="0"/>
                      <w:kern w:val="0"/>
                      <w:position w:val="0"/>
                      <w:sz w:val="20"/>
                      <w:szCs w:val="20"/>
                      <w:highlight w:val="none"/>
                      <w:lang w:val="en-US" w:eastAsia="zh-CN" w:bidi="ar"/>
                    </w:rPr>
                    <w:t>工程沿线</w:t>
                  </w:r>
                </w:p>
              </w:tc>
              <w:tc>
                <w:tcPr>
                  <w:tcW w:w="2065" w:type="pct"/>
                  <w:tcBorders>
                    <w:tl2br w:val="nil"/>
                    <w:tr2bl w:val="nil"/>
                  </w:tcBorders>
                  <w:vAlign w:val="center"/>
                </w:tcPr>
                <w:p w14:paraId="2DEAB86A">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default" w:ascii="Times New Roman" w:hAnsi="Times New Roman" w:eastAsia="宋体" w:cs="Times New Roman"/>
                      <w:b w:val="0"/>
                      <w:bCs w:val="0"/>
                      <w:color w:val="auto"/>
                      <w:spacing w:val="0"/>
                      <w:kern w:val="0"/>
                      <w:position w:val="0"/>
                      <w:sz w:val="20"/>
                      <w:szCs w:val="20"/>
                      <w:highlight w:val="none"/>
                      <w:lang w:val="en-US" w:eastAsia="zh-CN" w:bidi="ar"/>
                    </w:rPr>
                    <w:t>《声环境质量标准》（GB3096-2008）的2类区标准</w:t>
                  </w:r>
                </w:p>
              </w:tc>
            </w:tr>
            <w:tr w14:paraId="160CC32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68" w:type="pct"/>
                  <w:tcBorders>
                    <w:tl2br w:val="nil"/>
                    <w:tr2bl w:val="nil"/>
                  </w:tcBorders>
                  <w:vAlign w:val="center"/>
                </w:tcPr>
                <w:p w14:paraId="7A5DD815">
                  <w:pPr>
                    <w:keepNext w:val="0"/>
                    <w:keepLines w:val="0"/>
                    <w:widowControl/>
                    <w:suppressLineNumbers w:val="0"/>
                    <w:shd w:val="clear"/>
                    <w:jc w:val="center"/>
                    <w:rPr>
                      <w:rFonts w:hint="default" w:ascii="Times New Roman" w:hAnsi="Times New Roman" w:eastAsia="宋体" w:cs="Times New Roman"/>
                      <w:b w:val="0"/>
                      <w:bCs w:val="0"/>
                      <w:color w:val="0000FF"/>
                      <w:spacing w:val="0"/>
                      <w:kern w:val="0"/>
                      <w:position w:val="0"/>
                      <w:sz w:val="20"/>
                      <w:szCs w:val="20"/>
                      <w:highlight w:val="none"/>
                      <w:lang w:val="en-US" w:eastAsia="zh-CN" w:bidi="ar"/>
                    </w:rPr>
                  </w:pPr>
                  <w:r>
                    <w:rPr>
                      <w:rFonts w:hint="eastAsia" w:cs="Times New Roman"/>
                      <w:b w:val="0"/>
                      <w:bCs w:val="0"/>
                      <w:color w:val="0000FF"/>
                      <w:spacing w:val="0"/>
                      <w:kern w:val="0"/>
                      <w:position w:val="0"/>
                      <w:sz w:val="20"/>
                      <w:szCs w:val="20"/>
                      <w:highlight w:val="none"/>
                      <w:lang w:val="en-US" w:eastAsia="zh-CN" w:bidi="ar"/>
                    </w:rPr>
                    <w:t>5</w:t>
                  </w:r>
                </w:p>
              </w:tc>
              <w:tc>
                <w:tcPr>
                  <w:tcW w:w="589" w:type="pct"/>
                  <w:tcBorders>
                    <w:tl2br w:val="nil"/>
                    <w:tr2bl w:val="nil"/>
                  </w:tcBorders>
                  <w:vAlign w:val="center"/>
                </w:tcPr>
                <w:p w14:paraId="5CF150E4">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eastAsia" w:ascii="Times New Roman" w:hAnsi="Times New Roman" w:eastAsia="宋体" w:cs="Times New Roman"/>
                      <w:b w:val="0"/>
                      <w:bCs w:val="0"/>
                      <w:color w:val="auto"/>
                      <w:spacing w:val="0"/>
                      <w:kern w:val="0"/>
                      <w:position w:val="0"/>
                      <w:sz w:val="20"/>
                      <w:szCs w:val="20"/>
                      <w:highlight w:val="none"/>
                      <w:lang w:val="en-US" w:eastAsia="zh-CN" w:bidi="ar"/>
                    </w:rPr>
                    <w:t>耕地</w:t>
                  </w:r>
                </w:p>
              </w:tc>
              <w:tc>
                <w:tcPr>
                  <w:tcW w:w="861" w:type="pct"/>
                  <w:tcBorders>
                    <w:tl2br w:val="nil"/>
                    <w:tr2bl w:val="nil"/>
                  </w:tcBorders>
                  <w:vAlign w:val="center"/>
                </w:tcPr>
                <w:p w14:paraId="77B36BDE">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eastAsia" w:ascii="Times New Roman" w:hAnsi="Times New Roman" w:eastAsia="宋体" w:cs="Times New Roman"/>
                      <w:b w:val="0"/>
                      <w:bCs w:val="0"/>
                      <w:color w:val="auto"/>
                      <w:spacing w:val="0"/>
                      <w:kern w:val="0"/>
                      <w:position w:val="0"/>
                      <w:sz w:val="20"/>
                      <w:szCs w:val="20"/>
                      <w:highlight w:val="none"/>
                      <w:lang w:val="en-US" w:eastAsia="zh-CN" w:bidi="ar"/>
                    </w:rPr>
                    <w:t>小麦、</w:t>
                  </w:r>
                  <w:r>
                    <w:rPr>
                      <w:rFonts w:hint="eastAsia" w:cs="Times New Roman"/>
                      <w:b w:val="0"/>
                      <w:bCs w:val="0"/>
                      <w:color w:val="auto"/>
                      <w:spacing w:val="0"/>
                      <w:kern w:val="0"/>
                      <w:position w:val="0"/>
                      <w:sz w:val="20"/>
                      <w:szCs w:val="20"/>
                      <w:highlight w:val="none"/>
                      <w:lang w:val="en-US" w:eastAsia="zh-CN" w:bidi="ar"/>
                    </w:rPr>
                    <w:t>玉米</w:t>
                  </w:r>
                </w:p>
              </w:tc>
              <w:tc>
                <w:tcPr>
                  <w:tcW w:w="1015" w:type="pct"/>
                  <w:tcBorders>
                    <w:tl2br w:val="nil"/>
                    <w:tr2bl w:val="nil"/>
                  </w:tcBorders>
                  <w:vAlign w:val="center"/>
                </w:tcPr>
                <w:p w14:paraId="22022008">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eastAsia" w:ascii="Times New Roman" w:hAnsi="Times New Roman" w:eastAsia="宋体" w:cs="Times New Roman"/>
                      <w:b w:val="0"/>
                      <w:bCs w:val="0"/>
                      <w:color w:val="auto"/>
                      <w:spacing w:val="0"/>
                      <w:kern w:val="0"/>
                      <w:position w:val="0"/>
                      <w:sz w:val="20"/>
                      <w:szCs w:val="20"/>
                      <w:highlight w:val="none"/>
                      <w:lang w:val="en-US" w:eastAsia="zh-CN" w:bidi="ar"/>
                    </w:rPr>
                    <w:t>项目两侧</w:t>
                  </w:r>
                </w:p>
              </w:tc>
              <w:tc>
                <w:tcPr>
                  <w:tcW w:w="2065" w:type="pct"/>
                  <w:tcBorders>
                    <w:tl2br w:val="nil"/>
                    <w:tr2bl w:val="nil"/>
                  </w:tcBorders>
                  <w:vAlign w:val="center"/>
                </w:tcPr>
                <w:p w14:paraId="091FA231">
                  <w:pPr>
                    <w:keepNext w:val="0"/>
                    <w:keepLines w:val="0"/>
                    <w:widowControl/>
                    <w:suppressLineNumbers w:val="0"/>
                    <w:shd w:val="clear"/>
                    <w:jc w:val="center"/>
                    <w:rPr>
                      <w:rFonts w:hint="default" w:ascii="Times New Roman" w:hAnsi="Times New Roman" w:eastAsia="宋体" w:cs="Times New Roman"/>
                      <w:b w:val="0"/>
                      <w:bCs w:val="0"/>
                      <w:color w:val="auto"/>
                      <w:spacing w:val="0"/>
                      <w:kern w:val="0"/>
                      <w:position w:val="0"/>
                      <w:sz w:val="20"/>
                      <w:szCs w:val="20"/>
                      <w:highlight w:val="none"/>
                      <w:lang w:val="en-US" w:eastAsia="zh-CN" w:bidi="ar"/>
                    </w:rPr>
                  </w:pPr>
                  <w:r>
                    <w:rPr>
                      <w:rFonts w:hint="eastAsia" w:ascii="Times New Roman" w:hAnsi="Times New Roman" w:eastAsia="宋体" w:cs="Times New Roman"/>
                      <w:b w:val="0"/>
                      <w:bCs w:val="0"/>
                      <w:color w:val="auto"/>
                      <w:spacing w:val="0"/>
                      <w:kern w:val="0"/>
                      <w:position w:val="0"/>
                      <w:sz w:val="20"/>
                      <w:szCs w:val="20"/>
                      <w:highlight w:val="none"/>
                      <w:lang w:val="en-US" w:eastAsia="zh-CN" w:bidi="ar"/>
                    </w:rPr>
                    <w:t>做好因工程建设所造成的生态破坏的恢复，最大限度地保护当地的生态环境</w:t>
                  </w:r>
                </w:p>
              </w:tc>
            </w:tr>
          </w:tbl>
          <w:p w14:paraId="6BE4601E">
            <w:pPr>
              <w:keepNext w:val="0"/>
              <w:keepLines w:val="0"/>
              <w:pageBreakBefore w:val="0"/>
              <w:widowControl w:val="0"/>
              <w:numPr>
                <w:ilvl w:val="0"/>
                <w:numId w:val="0"/>
              </w:numPr>
              <w:shd w:val="clear"/>
              <w:kinsoku/>
              <w:wordWrap/>
              <w:overflowPunct/>
              <w:topLinePunct w:val="0"/>
              <w:autoSpaceDE/>
              <w:autoSpaceDN/>
              <w:bidi w:val="0"/>
              <w:snapToGrid/>
              <w:spacing w:line="360" w:lineRule="auto"/>
              <w:ind w:leftChars="0" w:firstLine="420" w:firstLineChars="200"/>
              <w:textAlignment w:val="auto"/>
              <w:rPr>
                <w:rFonts w:hint="default" w:ascii="Times New Roman" w:hAnsi="Times New Roman" w:eastAsia="宋体" w:cs="Times New Roman"/>
                <w:color w:val="auto"/>
                <w:spacing w:val="0"/>
                <w:w w:val="100"/>
                <w:kern w:val="0"/>
                <w:position w:val="0"/>
                <w:szCs w:val="21"/>
                <w:highlight w:val="none"/>
                <w:lang w:val="en-US" w:eastAsia="zh-CN"/>
              </w:rPr>
            </w:pPr>
          </w:p>
        </w:tc>
      </w:tr>
      <w:tr w14:paraId="430C6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485" w:type="pct"/>
            <w:tcBorders>
              <w:tl2br w:val="nil"/>
              <w:tr2bl w:val="nil"/>
            </w:tcBorders>
            <w:noWrap w:val="0"/>
            <w:vAlign w:val="center"/>
          </w:tcPr>
          <w:p w14:paraId="45E4872B">
            <w:pPr>
              <w:keepNext w:val="0"/>
              <w:keepLines w:val="0"/>
              <w:pageBreakBefore w:val="0"/>
              <w:shd w:val="clear"/>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kern w:val="0"/>
                <w:position w:val="0"/>
                <w:sz w:val="24"/>
                <w:szCs w:val="24"/>
                <w:highlight w:val="none"/>
              </w:rPr>
            </w:pPr>
            <w:r>
              <w:rPr>
                <w:rFonts w:hint="default" w:ascii="Times New Roman" w:hAnsi="Times New Roman" w:eastAsia="宋体" w:cs="Times New Roman"/>
                <w:color w:val="auto"/>
                <w:spacing w:val="0"/>
                <w:w w:val="100"/>
                <w:kern w:val="0"/>
                <w:position w:val="0"/>
                <w:sz w:val="24"/>
                <w:szCs w:val="24"/>
                <w:highlight w:val="none"/>
              </w:rPr>
              <w:t>评价</w:t>
            </w:r>
          </w:p>
          <w:p w14:paraId="45E94BBE">
            <w:pPr>
              <w:keepNext w:val="0"/>
              <w:keepLines w:val="0"/>
              <w:pageBreakBefore w:val="0"/>
              <w:shd w:val="clear"/>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kern w:val="0"/>
                <w:position w:val="0"/>
                <w:sz w:val="24"/>
                <w:szCs w:val="24"/>
                <w:highlight w:val="none"/>
              </w:rPr>
            </w:pPr>
            <w:r>
              <w:rPr>
                <w:rFonts w:hint="default" w:ascii="Times New Roman" w:hAnsi="Times New Roman" w:eastAsia="宋体" w:cs="Times New Roman"/>
                <w:color w:val="auto"/>
                <w:spacing w:val="0"/>
                <w:w w:val="100"/>
                <w:kern w:val="0"/>
                <w:position w:val="0"/>
                <w:sz w:val="24"/>
                <w:szCs w:val="24"/>
                <w:highlight w:val="none"/>
              </w:rPr>
              <w:t>标准</w:t>
            </w:r>
          </w:p>
        </w:tc>
        <w:tc>
          <w:tcPr>
            <w:tcW w:w="4514" w:type="pct"/>
            <w:tcBorders>
              <w:tl2br w:val="nil"/>
              <w:tr2bl w:val="nil"/>
            </w:tcBorders>
            <w:noWrap w:val="0"/>
            <w:vAlign w:val="center"/>
          </w:tcPr>
          <w:p w14:paraId="1AA5985C">
            <w:pPr>
              <w:keepNext w:val="0"/>
              <w:keepLines w:val="0"/>
              <w:pageBreakBefore w:val="0"/>
              <w:shd w:val="clear"/>
              <w:kinsoku/>
              <w:overflowPunct/>
              <w:topLinePunct w:val="0"/>
              <w:bidi w:val="0"/>
              <w:spacing w:beforeAutospacing="0" w:afterAutospacing="0" w:line="360" w:lineRule="auto"/>
              <w:ind w:right="0"/>
              <w:jc w:val="both"/>
              <w:rPr>
                <w:rFonts w:hint="default" w:ascii="Times New Roman" w:hAnsi="Times New Roman" w:eastAsia="宋体" w:cs="Times New Roman"/>
                <w:b/>
                <w:bCs/>
                <w:color w:val="auto"/>
                <w:spacing w:val="0"/>
                <w:w w:val="100"/>
                <w:kern w:val="2"/>
                <w:position w:val="0"/>
                <w:sz w:val="24"/>
                <w:szCs w:val="24"/>
                <w:highlight w:val="none"/>
                <w:lang w:val="en-US" w:eastAsia="zh-CN" w:bidi="zh-CN"/>
              </w:rPr>
            </w:pPr>
            <w:r>
              <w:rPr>
                <w:rFonts w:hint="default" w:ascii="Times New Roman" w:hAnsi="Times New Roman" w:eastAsia="宋体" w:cs="Times New Roman"/>
                <w:b/>
                <w:bCs/>
                <w:color w:val="auto"/>
                <w:spacing w:val="0"/>
                <w:w w:val="100"/>
                <w:kern w:val="2"/>
                <w:position w:val="0"/>
                <w:sz w:val="24"/>
                <w:szCs w:val="24"/>
                <w:highlight w:val="none"/>
                <w:lang w:val="en-US" w:eastAsia="zh-CN" w:bidi="zh-CN"/>
              </w:rPr>
              <w:t>1.环境质量标准</w:t>
            </w:r>
          </w:p>
          <w:p w14:paraId="58809E85">
            <w:pPr>
              <w:keepNext w:val="0"/>
              <w:keepLines w:val="0"/>
              <w:pageBreakBefore w:val="0"/>
              <w:shd w:val="clear"/>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kern w:val="2"/>
                <w:position w:val="0"/>
                <w:sz w:val="24"/>
                <w:szCs w:val="24"/>
                <w:highlight w:val="none"/>
                <w:lang w:val="en-US" w:eastAsia="zh-CN" w:bidi="zh-CN"/>
              </w:rPr>
            </w:pPr>
            <w:r>
              <w:rPr>
                <w:rFonts w:hint="default" w:ascii="Times New Roman" w:hAnsi="Times New Roman" w:eastAsia="宋体" w:cs="Times New Roman"/>
                <w:color w:val="auto"/>
                <w:spacing w:val="0"/>
                <w:w w:val="100"/>
                <w:kern w:val="2"/>
                <w:position w:val="0"/>
                <w:sz w:val="24"/>
                <w:szCs w:val="24"/>
                <w:highlight w:val="none"/>
                <w:lang w:val="en-US" w:eastAsia="zh-CN" w:bidi="zh-CN"/>
              </w:rPr>
              <w:t>（1）《环境空气质量标准》（GB3095-2012）中的二级标准；</w:t>
            </w:r>
          </w:p>
          <w:p w14:paraId="270E7DC3">
            <w:pPr>
              <w:keepNext w:val="0"/>
              <w:keepLines w:val="0"/>
              <w:pageBreakBefore w:val="0"/>
              <w:shd w:val="clear"/>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kern w:val="2"/>
                <w:position w:val="0"/>
                <w:sz w:val="24"/>
                <w:szCs w:val="24"/>
                <w:highlight w:val="none"/>
                <w:lang w:val="en-US" w:eastAsia="zh-CN" w:bidi="zh-CN"/>
              </w:rPr>
            </w:pPr>
            <w:r>
              <w:rPr>
                <w:rFonts w:hint="default" w:ascii="Times New Roman" w:hAnsi="Times New Roman" w:eastAsia="宋体" w:cs="Times New Roman"/>
                <w:color w:val="auto"/>
                <w:spacing w:val="0"/>
                <w:w w:val="100"/>
                <w:kern w:val="2"/>
                <w:position w:val="0"/>
                <w:sz w:val="24"/>
                <w:szCs w:val="24"/>
                <w:highlight w:val="none"/>
                <w:lang w:val="en-US" w:eastAsia="zh-CN" w:bidi="zh-CN"/>
              </w:rPr>
              <w:t>（2）《地表水环境质量标准》（GB3838-2002）Ⅲ类标准</w:t>
            </w:r>
          </w:p>
          <w:p w14:paraId="340F048B">
            <w:pPr>
              <w:keepNext w:val="0"/>
              <w:keepLines w:val="0"/>
              <w:pageBreakBefore w:val="0"/>
              <w:shd w:val="clear"/>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kern w:val="2"/>
                <w:position w:val="0"/>
                <w:sz w:val="24"/>
                <w:szCs w:val="24"/>
                <w:highlight w:val="none"/>
                <w:lang w:val="en-US" w:eastAsia="zh-CN" w:bidi="zh-CN"/>
              </w:rPr>
            </w:pPr>
            <w:r>
              <w:rPr>
                <w:rFonts w:hint="default" w:ascii="Times New Roman" w:hAnsi="Times New Roman" w:eastAsia="宋体" w:cs="Times New Roman"/>
                <w:color w:val="auto"/>
                <w:spacing w:val="0"/>
                <w:w w:val="100"/>
                <w:kern w:val="2"/>
                <w:position w:val="0"/>
                <w:sz w:val="24"/>
                <w:szCs w:val="24"/>
                <w:highlight w:val="none"/>
                <w:lang w:val="en-US" w:eastAsia="zh-CN" w:bidi="zh-CN"/>
              </w:rPr>
              <w:t>（3）《声环境质量标准》（GB3096-2008）的2类区标准。</w:t>
            </w:r>
          </w:p>
          <w:p w14:paraId="6C9FA89A">
            <w:pPr>
              <w:keepNext w:val="0"/>
              <w:keepLines w:val="0"/>
              <w:pageBreakBefore w:val="0"/>
              <w:shd w:val="clear"/>
              <w:kinsoku/>
              <w:overflowPunct/>
              <w:topLinePunct w:val="0"/>
              <w:bidi w:val="0"/>
              <w:spacing w:beforeAutospacing="0" w:afterAutospacing="0" w:line="360" w:lineRule="auto"/>
              <w:ind w:right="0"/>
              <w:jc w:val="both"/>
              <w:rPr>
                <w:rFonts w:hint="default" w:ascii="Times New Roman" w:hAnsi="Times New Roman" w:eastAsia="宋体" w:cs="Times New Roman"/>
                <w:b/>
                <w:bCs/>
                <w:color w:val="auto"/>
                <w:spacing w:val="0"/>
                <w:w w:val="100"/>
                <w:kern w:val="2"/>
                <w:position w:val="0"/>
                <w:sz w:val="24"/>
                <w:szCs w:val="24"/>
                <w:highlight w:val="none"/>
                <w:lang w:val="en-US" w:eastAsia="zh-CN" w:bidi="zh-CN"/>
              </w:rPr>
            </w:pPr>
            <w:r>
              <w:rPr>
                <w:rFonts w:hint="default" w:ascii="Times New Roman" w:hAnsi="Times New Roman" w:eastAsia="宋体" w:cs="Times New Roman"/>
                <w:b/>
                <w:bCs/>
                <w:color w:val="auto"/>
                <w:spacing w:val="0"/>
                <w:w w:val="100"/>
                <w:kern w:val="2"/>
                <w:position w:val="0"/>
                <w:sz w:val="24"/>
                <w:szCs w:val="24"/>
                <w:highlight w:val="none"/>
                <w:lang w:val="en-US" w:eastAsia="zh-CN" w:bidi="zh-CN"/>
              </w:rPr>
              <w:t>2.污染物排放标准</w:t>
            </w:r>
          </w:p>
          <w:p w14:paraId="6CB0887A">
            <w:pPr>
              <w:keepNext w:val="0"/>
              <w:keepLines w:val="0"/>
              <w:pageBreakBefore w:val="0"/>
              <w:shd w:val="clear"/>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kern w:val="2"/>
                <w:position w:val="0"/>
                <w:sz w:val="24"/>
                <w:szCs w:val="24"/>
                <w:highlight w:val="none"/>
                <w:lang w:val="en-US" w:eastAsia="zh-CN" w:bidi="zh-CN"/>
              </w:rPr>
            </w:pPr>
            <w:r>
              <w:rPr>
                <w:rFonts w:hint="default" w:ascii="Times New Roman" w:hAnsi="Times New Roman" w:eastAsia="宋体" w:cs="Times New Roman"/>
                <w:color w:val="auto"/>
                <w:spacing w:val="0"/>
                <w:w w:val="100"/>
                <w:kern w:val="2"/>
                <w:position w:val="0"/>
                <w:sz w:val="24"/>
                <w:szCs w:val="24"/>
                <w:highlight w:val="none"/>
                <w:lang w:val="en-US" w:eastAsia="zh-CN" w:bidi="zh-CN"/>
              </w:rPr>
              <w:t>（1）施工期大气污染物排放执行《大气污染物综合排放标准》（GB16297-1996）二级标准中相关排放标准；</w:t>
            </w:r>
          </w:p>
          <w:p w14:paraId="295B6590">
            <w:pPr>
              <w:keepNext w:val="0"/>
              <w:keepLines w:val="0"/>
              <w:pageBreakBefore w:val="0"/>
              <w:shd w:val="clear"/>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kern w:val="2"/>
                <w:position w:val="0"/>
                <w:sz w:val="24"/>
                <w:szCs w:val="24"/>
                <w:highlight w:val="none"/>
                <w:lang w:val="en-US" w:eastAsia="zh-CN" w:bidi="zh-CN"/>
              </w:rPr>
            </w:pPr>
            <w:r>
              <w:rPr>
                <w:rFonts w:hint="default" w:ascii="Times New Roman" w:hAnsi="Times New Roman" w:eastAsia="宋体" w:cs="Times New Roman"/>
                <w:color w:val="auto"/>
                <w:spacing w:val="0"/>
                <w:w w:val="100"/>
                <w:kern w:val="2"/>
                <w:position w:val="0"/>
                <w:sz w:val="24"/>
                <w:szCs w:val="24"/>
                <w:highlight w:val="none"/>
                <w:lang w:val="en-US" w:eastAsia="zh-CN" w:bidi="zh-CN"/>
              </w:rPr>
              <w:t>（2）施工期噪声排放执行《建筑施工厂界环境噪声排放标准》（GB12523-2011）；</w:t>
            </w:r>
          </w:p>
          <w:p w14:paraId="694171D9">
            <w:pPr>
              <w:keepNext w:val="0"/>
              <w:keepLines w:val="0"/>
              <w:pageBreakBefore w:val="0"/>
              <w:shd w:val="clear"/>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kern w:val="2"/>
                <w:position w:val="0"/>
                <w:sz w:val="24"/>
                <w:szCs w:val="24"/>
                <w:highlight w:val="none"/>
                <w:lang w:val="en-US" w:eastAsia="zh-CN" w:bidi="zh-CN"/>
              </w:rPr>
              <w:t>（3）施工期产生的一般工业固废执行《一般工业固体废物贮存和填埋污染控制标准》（GB18599-2020）；</w:t>
            </w:r>
          </w:p>
        </w:tc>
      </w:tr>
      <w:tr w14:paraId="58ECA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485" w:type="pct"/>
            <w:tcBorders>
              <w:tl2br w:val="nil"/>
              <w:tr2bl w:val="nil"/>
            </w:tcBorders>
            <w:noWrap w:val="0"/>
            <w:vAlign w:val="center"/>
          </w:tcPr>
          <w:p w14:paraId="55D2ABA1">
            <w:pPr>
              <w:keepNext w:val="0"/>
              <w:keepLines w:val="0"/>
              <w:pageBreakBefore w:val="0"/>
              <w:shd w:val="clear"/>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kern w:val="0"/>
                <w:position w:val="0"/>
                <w:szCs w:val="21"/>
                <w:highlight w:val="none"/>
              </w:rPr>
            </w:pPr>
            <w:r>
              <w:rPr>
                <w:rFonts w:hint="default" w:ascii="Times New Roman" w:hAnsi="Times New Roman" w:eastAsia="宋体" w:cs="Times New Roman"/>
                <w:color w:val="auto"/>
                <w:spacing w:val="0"/>
                <w:w w:val="100"/>
                <w:kern w:val="2"/>
                <w:position w:val="0"/>
                <w:sz w:val="24"/>
                <w:szCs w:val="24"/>
                <w:highlight w:val="none"/>
                <w:lang w:val="en-US" w:eastAsia="zh-CN" w:bidi="zh-CN"/>
              </w:rPr>
              <w:t>其他</w:t>
            </w:r>
          </w:p>
        </w:tc>
        <w:tc>
          <w:tcPr>
            <w:tcW w:w="4514" w:type="pct"/>
            <w:tcBorders>
              <w:tl2br w:val="nil"/>
              <w:tr2bl w:val="nil"/>
            </w:tcBorders>
            <w:noWrap w:val="0"/>
            <w:vAlign w:val="center"/>
          </w:tcPr>
          <w:p w14:paraId="44FC93FA">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p>
          <w:p w14:paraId="4B807B7D">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highlight w:val="none"/>
                <w:lang w:val="en-US" w:eastAsia="zh-CN"/>
              </w:rPr>
            </w:pPr>
            <w:r>
              <w:rPr>
                <w:rFonts w:hint="default" w:ascii="Times New Roman" w:hAnsi="Times New Roman" w:eastAsia="宋体" w:cs="Times New Roman"/>
                <w:color w:val="auto"/>
                <w:spacing w:val="0"/>
                <w:kern w:val="0"/>
                <w:position w:val="0"/>
                <w:sz w:val="24"/>
                <w:szCs w:val="24"/>
                <w:highlight w:val="none"/>
                <w:lang w:val="en-US" w:eastAsia="zh-CN" w:bidi="ar"/>
              </w:rPr>
              <w:t>本项目为河湖整治工程项目，根据本项目污染源排放实际情况，污染物产生主要在施工期，运营期无污染物排放。</w:t>
            </w:r>
          </w:p>
          <w:p w14:paraId="08E2ADAE">
            <w:pPr>
              <w:keepNext w:val="0"/>
              <w:keepLines w:val="0"/>
              <w:pageBreakBefore w:val="0"/>
              <w:shd w:val="clear"/>
              <w:kinsoku/>
              <w:overflowPunct/>
              <w:topLinePunct w:val="0"/>
              <w:bidi w:val="0"/>
              <w:spacing w:beforeAutospacing="0" w:afterAutospacing="0" w:line="360" w:lineRule="auto"/>
              <w:ind w:left="0" w:leftChars="0" w:right="0" w:firstLine="420" w:firstLineChars="200"/>
              <w:jc w:val="left"/>
              <w:rPr>
                <w:rFonts w:hint="default" w:ascii="Times New Roman" w:hAnsi="Times New Roman" w:eastAsia="宋体" w:cs="Times New Roman"/>
                <w:color w:val="auto"/>
                <w:spacing w:val="0"/>
                <w:w w:val="100"/>
                <w:kern w:val="0"/>
                <w:position w:val="0"/>
                <w:szCs w:val="21"/>
                <w:highlight w:val="none"/>
                <w:lang w:val="en-US" w:eastAsia="zh-CN"/>
              </w:rPr>
            </w:pPr>
          </w:p>
          <w:p w14:paraId="493375C5">
            <w:pPr>
              <w:keepNext w:val="0"/>
              <w:keepLines w:val="0"/>
              <w:pageBreakBefore w:val="0"/>
              <w:shd w:val="clear"/>
              <w:kinsoku/>
              <w:overflowPunct/>
              <w:topLinePunct w:val="0"/>
              <w:bidi w:val="0"/>
              <w:spacing w:beforeAutospacing="0" w:afterAutospacing="0" w:line="360" w:lineRule="auto"/>
              <w:ind w:left="0" w:leftChars="0" w:right="0" w:firstLine="420" w:firstLineChars="200"/>
              <w:jc w:val="left"/>
              <w:rPr>
                <w:rFonts w:hint="default" w:ascii="Times New Roman" w:hAnsi="Times New Roman" w:eastAsia="宋体" w:cs="Times New Roman"/>
                <w:color w:val="auto"/>
                <w:spacing w:val="0"/>
                <w:w w:val="100"/>
                <w:kern w:val="0"/>
                <w:position w:val="0"/>
                <w:szCs w:val="21"/>
                <w:highlight w:val="none"/>
                <w:lang w:val="en-US" w:eastAsia="zh-CN"/>
              </w:rPr>
            </w:pPr>
          </w:p>
        </w:tc>
      </w:tr>
    </w:tbl>
    <w:p w14:paraId="472A96D7">
      <w:pPr>
        <w:pStyle w:val="28"/>
        <w:keepNext w:val="0"/>
        <w:keepLines w:val="0"/>
        <w:pageBreakBefore w:val="0"/>
        <w:shd w:val="clear"/>
        <w:kinsoku/>
        <w:overflowPunct/>
        <w:topLinePunct w:val="0"/>
        <w:bidi w:val="0"/>
        <w:spacing w:before="0" w:beforeAutospacing="0" w:after="0" w:afterAutospacing="0" w:line="360" w:lineRule="auto"/>
        <w:ind w:left="0" w:leftChars="0" w:right="0"/>
        <w:jc w:val="center"/>
        <w:outlineLvl w:val="0"/>
        <w:rPr>
          <w:rFonts w:hint="default" w:ascii="Times New Roman" w:hAnsi="Times New Roman" w:eastAsia="宋体" w:cs="Times New Roman"/>
          <w:snapToGrid w:val="0"/>
          <w:color w:val="auto"/>
          <w:spacing w:val="0"/>
          <w:w w:val="100"/>
          <w:position w:val="0"/>
          <w:sz w:val="30"/>
          <w:szCs w:val="30"/>
          <w:highlight w:val="none"/>
        </w:rPr>
      </w:pPr>
      <w:r>
        <w:rPr>
          <w:rFonts w:hint="default" w:ascii="Times New Roman" w:hAnsi="Times New Roman" w:eastAsia="宋体" w:cs="Times New Roman"/>
          <w:snapToGrid w:val="0"/>
          <w:color w:val="auto"/>
          <w:spacing w:val="0"/>
          <w:w w:val="100"/>
          <w:position w:val="0"/>
          <w:sz w:val="30"/>
          <w:szCs w:val="30"/>
          <w:highlight w:val="none"/>
        </w:rPr>
        <w:br w:type="page"/>
      </w:r>
      <w:r>
        <w:rPr>
          <w:rFonts w:hint="default" w:ascii="Times New Roman" w:hAnsi="Times New Roman" w:eastAsia="黑体" w:cs="Times New Roman"/>
          <w:snapToGrid w:val="0"/>
          <w:color w:val="auto"/>
          <w:spacing w:val="0"/>
          <w:w w:val="100"/>
          <w:position w:val="0"/>
          <w:sz w:val="30"/>
          <w:szCs w:val="30"/>
          <w:highlight w:val="none"/>
        </w:rPr>
        <w:t>四、生态环境影响分析</w:t>
      </w:r>
    </w:p>
    <w:tbl>
      <w:tblPr>
        <w:tblStyle w:val="31"/>
        <w:tblW w:w="502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887"/>
      </w:tblGrid>
      <w:tr w14:paraId="73C38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tcBorders>
              <w:tl2br w:val="nil"/>
              <w:tr2bl w:val="nil"/>
            </w:tcBorders>
            <w:noWrap w:val="0"/>
            <w:tcMar>
              <w:left w:w="28" w:type="dxa"/>
              <w:right w:w="28" w:type="dxa"/>
            </w:tcMar>
            <w:vAlign w:val="center"/>
          </w:tcPr>
          <w:p w14:paraId="00008EA1">
            <w:pPr>
              <w:pStyle w:val="28"/>
              <w:keepNext w:val="0"/>
              <w:keepLines w:val="0"/>
              <w:pageBreakBefore w:val="0"/>
              <w:shd w:val="clear"/>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Cs/>
                <w:i w:val="0"/>
                <w:iCs w:val="0"/>
                <w:color w:val="auto"/>
                <w:spacing w:val="0"/>
                <w:w w:val="100"/>
                <w:kern w:val="2"/>
                <w:position w:val="0"/>
                <w:sz w:val="21"/>
                <w:szCs w:val="21"/>
                <w:highlight w:val="none"/>
              </w:rPr>
            </w:pPr>
            <w:bookmarkStart w:id="10" w:name="_Hlk49796138"/>
            <w:r>
              <w:rPr>
                <w:rFonts w:hint="default" w:ascii="Times New Roman" w:hAnsi="Times New Roman" w:eastAsia="宋体" w:cs="Times New Roman"/>
                <w:bCs/>
                <w:i w:val="0"/>
                <w:iCs w:val="0"/>
                <w:color w:val="auto"/>
                <w:spacing w:val="0"/>
                <w:w w:val="100"/>
                <w:kern w:val="2"/>
                <w:position w:val="0"/>
                <w:sz w:val="24"/>
                <w:szCs w:val="24"/>
                <w:highlight w:val="none"/>
              </w:rPr>
              <w:t>施工期生态环境影响分析</w:t>
            </w:r>
            <w:bookmarkEnd w:id="10"/>
          </w:p>
        </w:tc>
        <w:tc>
          <w:tcPr>
            <w:tcW w:w="4646" w:type="pct"/>
            <w:tcBorders>
              <w:tl2br w:val="nil"/>
              <w:tr2bl w:val="nil"/>
            </w:tcBorders>
            <w:noWrap w:val="0"/>
            <w:vAlign w:val="top"/>
          </w:tcPr>
          <w:p w14:paraId="27F86464">
            <w:pPr>
              <w:keepNext w:val="0"/>
              <w:keepLines w:val="0"/>
              <w:pageBreakBefore w:val="0"/>
              <w:shd w:val="clear"/>
              <w:kinsoku/>
              <w:wordWrap/>
              <w:overflowPunct/>
              <w:topLinePunct w:val="0"/>
              <w:autoSpaceDE/>
              <w:autoSpaceDN/>
              <w:bidi w:val="0"/>
              <w:spacing w:line="360" w:lineRule="auto"/>
              <w:ind w:left="0" w:right="0"/>
              <w:outlineLvl w:val="1"/>
              <w:rPr>
                <w:rFonts w:hint="default" w:ascii="Times New Roman" w:hAnsi="Times New Roman" w:eastAsia="宋体" w:cs="Times New Roman"/>
                <w:color w:val="FF0000"/>
                <w:spacing w:val="0"/>
                <w:position w:val="0"/>
                <w:sz w:val="24"/>
                <w:szCs w:val="24"/>
                <w:highlight w:val="none"/>
              </w:rPr>
            </w:pPr>
            <w:r>
              <w:rPr>
                <w:rFonts w:hint="default" w:ascii="Times New Roman" w:hAnsi="Times New Roman" w:eastAsia="宋体" w:cs="Times New Roman"/>
                <w:b/>
                <w:bCs/>
                <w:color w:val="FF0000"/>
                <w:spacing w:val="0"/>
                <w:position w:val="0"/>
                <w:sz w:val="24"/>
                <w:szCs w:val="24"/>
                <w:highlight w:val="none"/>
              </w:rPr>
              <w:t>1</w:t>
            </w:r>
            <w:r>
              <w:rPr>
                <w:rFonts w:hint="default" w:ascii="Times New Roman" w:hAnsi="Times New Roman" w:eastAsia="宋体" w:cs="Times New Roman"/>
                <w:color w:val="FF0000"/>
                <w:spacing w:val="0"/>
                <w:position w:val="0"/>
                <w:sz w:val="24"/>
                <w:szCs w:val="24"/>
                <w:highlight w:val="none"/>
                <w:lang w:val="en-US" w:eastAsia="zh-CN"/>
                <w14:textOutline w14:w="4358" w14:cap="sq" w14:cmpd="sng">
                  <w14:solidFill>
                    <w14:srgbClr w14:val="000000"/>
                  </w14:solidFill>
                  <w14:prstDash w14:val="solid"/>
                  <w14:bevel/>
                </w14:textOutline>
              </w:rPr>
              <w:t>.</w:t>
            </w:r>
            <w:r>
              <w:rPr>
                <w:rFonts w:hint="default" w:ascii="Times New Roman" w:hAnsi="Times New Roman" w:eastAsia="宋体" w:cs="Times New Roman"/>
                <w:color w:val="FF0000"/>
                <w:spacing w:val="0"/>
                <w:position w:val="0"/>
                <w:sz w:val="24"/>
                <w:szCs w:val="24"/>
                <w:highlight w:val="none"/>
                <w14:textOutline w14:w="4358" w14:cap="sq" w14:cmpd="sng">
                  <w14:solidFill>
                    <w14:srgbClr w14:val="000000"/>
                  </w14:solidFill>
                  <w14:prstDash w14:val="solid"/>
                  <w14:bevel/>
                </w14:textOutline>
              </w:rPr>
              <w:t>施工期生态环境影响分析</w:t>
            </w:r>
          </w:p>
          <w:p w14:paraId="15A33484">
            <w:pPr>
              <w:keepNext w:val="0"/>
              <w:keepLines w:val="0"/>
              <w:pageBreakBefore w:val="0"/>
              <w:shd w:val="clear"/>
              <w:kinsoku/>
              <w:wordWrap/>
              <w:overflowPunct/>
              <w:topLinePunct w:val="0"/>
              <w:autoSpaceDE/>
              <w:autoSpaceDN/>
              <w:bidi w:val="0"/>
              <w:spacing w:line="360" w:lineRule="auto"/>
              <w:ind w:left="0" w:right="0" w:firstLine="480"/>
              <w:rPr>
                <w:rFonts w:hint="default" w:ascii="Times New Roman" w:hAnsi="Times New Roman" w:eastAsia="宋体" w:cs="Times New Roman"/>
                <w:color w:val="FF0000"/>
                <w:spacing w:val="0"/>
                <w:position w:val="0"/>
                <w:sz w:val="24"/>
                <w:szCs w:val="24"/>
                <w:highlight w:val="none"/>
              </w:rPr>
            </w:pPr>
            <w:r>
              <w:rPr>
                <w:rFonts w:hint="default" w:ascii="Times New Roman" w:hAnsi="Times New Roman" w:eastAsia="宋体" w:cs="Times New Roman"/>
                <w:color w:val="FF0000"/>
                <w:spacing w:val="0"/>
                <w:position w:val="0"/>
                <w:sz w:val="24"/>
                <w:szCs w:val="24"/>
                <w:highlight w:val="none"/>
              </w:rPr>
              <w:t>本项目所在区域水生和陆生生物没有国家</w:t>
            </w:r>
            <w:r>
              <w:rPr>
                <w:rFonts w:hint="default" w:ascii="Times New Roman" w:hAnsi="Times New Roman" w:eastAsia="宋体" w:cs="Times New Roman"/>
                <w:color w:val="FF0000"/>
                <w:spacing w:val="0"/>
                <w:position w:val="0"/>
                <w:sz w:val="24"/>
                <w:szCs w:val="24"/>
                <w:highlight w:val="none"/>
                <w:lang w:eastAsia="zh-CN"/>
              </w:rPr>
              <w:t>珍稀濒危</w:t>
            </w:r>
            <w:r>
              <w:rPr>
                <w:rFonts w:hint="default" w:ascii="Times New Roman" w:hAnsi="Times New Roman" w:eastAsia="宋体" w:cs="Times New Roman"/>
                <w:color w:val="FF0000"/>
                <w:spacing w:val="0"/>
                <w:position w:val="0"/>
                <w:sz w:val="24"/>
                <w:szCs w:val="24"/>
                <w:highlight w:val="none"/>
              </w:rPr>
              <w:t>保护种类，陆生植物均为常见物种，</w:t>
            </w:r>
            <w:r>
              <w:rPr>
                <w:rFonts w:hint="eastAsia" w:cs="Times New Roman"/>
                <w:color w:val="FF0000"/>
                <w:spacing w:val="0"/>
                <w:position w:val="0"/>
                <w:sz w:val="24"/>
                <w:szCs w:val="24"/>
                <w:highlight w:val="none"/>
                <w:lang w:val="en-US" w:eastAsia="zh-CN"/>
              </w:rPr>
              <w:t>项目</w:t>
            </w:r>
            <w:r>
              <w:rPr>
                <w:rFonts w:hint="default" w:ascii="Times New Roman" w:hAnsi="Times New Roman" w:eastAsia="宋体" w:cs="Times New Roman"/>
                <w:color w:val="FF0000"/>
                <w:spacing w:val="0"/>
                <w:position w:val="0"/>
                <w:sz w:val="24"/>
                <w:szCs w:val="24"/>
                <w:highlight w:val="none"/>
              </w:rPr>
              <w:t>施工期河道处于枯水期，无河水，没有鱼类</w:t>
            </w:r>
            <w:r>
              <w:rPr>
                <w:rFonts w:hint="eastAsia" w:cs="Times New Roman"/>
                <w:color w:val="FF0000"/>
                <w:spacing w:val="0"/>
                <w:position w:val="0"/>
                <w:sz w:val="24"/>
                <w:szCs w:val="24"/>
                <w:highlight w:val="none"/>
                <w:lang w:val="en-US" w:eastAsia="zh-CN"/>
              </w:rPr>
              <w:t>及两栖类动物生存</w:t>
            </w:r>
            <w:r>
              <w:rPr>
                <w:rFonts w:hint="default" w:ascii="Times New Roman" w:hAnsi="Times New Roman" w:eastAsia="宋体" w:cs="Times New Roman"/>
                <w:color w:val="FF0000"/>
                <w:spacing w:val="0"/>
                <w:position w:val="0"/>
                <w:sz w:val="24"/>
                <w:szCs w:val="24"/>
                <w:highlight w:val="none"/>
              </w:rPr>
              <w:t>，</w:t>
            </w:r>
            <w:r>
              <w:rPr>
                <w:rFonts w:hint="eastAsia" w:cs="Times New Roman"/>
                <w:color w:val="FF0000"/>
                <w:spacing w:val="0"/>
                <w:position w:val="0"/>
                <w:sz w:val="24"/>
                <w:szCs w:val="24"/>
                <w:highlight w:val="none"/>
                <w:lang w:val="en-US" w:eastAsia="zh-CN"/>
              </w:rPr>
              <w:t>植物</w:t>
            </w:r>
            <w:r>
              <w:rPr>
                <w:rFonts w:hint="default" w:ascii="Times New Roman" w:hAnsi="Times New Roman" w:eastAsia="宋体" w:cs="Times New Roman"/>
                <w:color w:val="FF0000"/>
                <w:spacing w:val="0"/>
                <w:position w:val="0"/>
                <w:sz w:val="24"/>
                <w:szCs w:val="24"/>
                <w:highlight w:val="none"/>
              </w:rPr>
              <w:t>种类以</w:t>
            </w:r>
            <w:r>
              <w:rPr>
                <w:rFonts w:hint="eastAsia" w:ascii="Arial" w:hAnsi="Arial" w:eastAsia="Arial" w:cs="Arial"/>
                <w:i w:val="0"/>
                <w:iCs w:val="0"/>
                <w:caps w:val="0"/>
                <w:color w:val="FF0000"/>
                <w:spacing w:val="0"/>
                <w:sz w:val="24"/>
                <w:szCs w:val="24"/>
                <w:shd w:val="clear" w:fill="FFFFFF"/>
              </w:rPr>
              <w:t>菵草</w:t>
            </w:r>
            <w:r>
              <w:rPr>
                <w:rFonts w:hint="eastAsia" w:ascii="Arial" w:hAnsi="Arial" w:eastAsia="宋体" w:cs="Arial"/>
                <w:i w:val="0"/>
                <w:iCs w:val="0"/>
                <w:caps w:val="0"/>
                <w:color w:val="FF0000"/>
                <w:spacing w:val="0"/>
                <w:sz w:val="24"/>
                <w:szCs w:val="24"/>
                <w:shd w:val="clear" w:fill="FFFFFF"/>
                <w:lang w:eastAsia="zh-CN"/>
              </w:rPr>
              <w:t>、</w:t>
            </w:r>
            <w:r>
              <w:rPr>
                <w:rFonts w:ascii="Arial" w:hAnsi="Arial" w:cs="Arial"/>
                <w:i w:val="0"/>
                <w:iCs w:val="0"/>
                <w:caps w:val="0"/>
                <w:color w:val="FF0000"/>
                <w:spacing w:val="0"/>
                <w:sz w:val="24"/>
                <w:szCs w:val="24"/>
                <w:shd w:val="clear" w:fill="FFFFFF"/>
              </w:rPr>
              <w:t>狗尾草属</w:t>
            </w:r>
            <w:r>
              <w:rPr>
                <w:rFonts w:hint="eastAsia" w:ascii="Arial" w:hAnsi="Arial" w:cs="Arial"/>
                <w:i w:val="0"/>
                <w:iCs w:val="0"/>
                <w:caps w:val="0"/>
                <w:color w:val="FF0000"/>
                <w:spacing w:val="0"/>
                <w:sz w:val="24"/>
                <w:szCs w:val="24"/>
                <w:shd w:val="clear" w:fill="FFFFFF"/>
                <w:lang w:val="en-US" w:eastAsia="zh-CN"/>
              </w:rPr>
              <w:t>植物</w:t>
            </w:r>
            <w:r>
              <w:rPr>
                <w:rFonts w:hint="default" w:ascii="Times New Roman" w:hAnsi="Times New Roman" w:eastAsia="宋体" w:cs="Times New Roman"/>
                <w:color w:val="FF0000"/>
                <w:spacing w:val="0"/>
                <w:position w:val="0"/>
                <w:sz w:val="24"/>
                <w:szCs w:val="24"/>
                <w:highlight w:val="none"/>
              </w:rPr>
              <w:t>为主，水生生态系统目前仍处于较低的水平。</w:t>
            </w:r>
          </w:p>
          <w:p w14:paraId="3AAD59F9">
            <w:pPr>
              <w:keepNext w:val="0"/>
              <w:keepLines w:val="0"/>
              <w:pageBreakBefore w:val="0"/>
              <w:shd w:val="clear"/>
              <w:kinsoku/>
              <w:wordWrap/>
              <w:overflowPunct/>
              <w:topLinePunct w:val="0"/>
              <w:autoSpaceDE/>
              <w:autoSpaceDN/>
              <w:bidi w:val="0"/>
              <w:spacing w:line="360" w:lineRule="auto"/>
              <w:ind w:left="0" w:right="0"/>
              <w:outlineLvl w:val="1"/>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1.1</w:t>
            </w:r>
            <w:r>
              <w:rPr>
                <w:rFonts w:hint="default" w:ascii="Times New Roman" w:hAnsi="Times New Roman" w:eastAsia="宋体" w:cs="Times New Roman"/>
                <w:color w:val="auto"/>
                <w:spacing w:val="0"/>
                <w:position w:val="0"/>
                <w:sz w:val="24"/>
                <w:szCs w:val="24"/>
                <w:highlight w:val="none"/>
                <w14:textOutline w14:w="4358" w14:cap="sq" w14:cmpd="sng">
                  <w14:solidFill>
                    <w14:srgbClr w14:val="000000"/>
                  </w14:solidFill>
                  <w14:prstDash w14:val="solid"/>
                  <w14:bevel/>
                </w14:textOutline>
              </w:rPr>
              <w:t>生态环境影响分析</w:t>
            </w:r>
          </w:p>
          <w:p w14:paraId="69D17C9E">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outlineLvl w:val="1"/>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1</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工程占地合理性分析</w:t>
            </w:r>
          </w:p>
          <w:p w14:paraId="4BC84B1E">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本工程永久占地</w:t>
            </w:r>
            <w:r>
              <w:rPr>
                <w:rFonts w:hint="default" w:ascii="Times New Roman" w:hAnsi="Times New Roman" w:cs="Times New Roman"/>
                <w:color w:val="auto"/>
                <w:spacing w:val="0"/>
                <w:position w:val="0"/>
                <w:sz w:val="24"/>
                <w:szCs w:val="24"/>
                <w:highlight w:val="none"/>
                <w:lang w:eastAsia="zh-CN"/>
              </w:rPr>
              <w:t>22.70</w:t>
            </w:r>
            <w:r>
              <w:rPr>
                <w:rFonts w:hint="default" w:ascii="Times New Roman" w:hAnsi="Times New Roman" w:eastAsia="宋体" w:cs="Times New Roman"/>
                <w:color w:val="auto"/>
                <w:spacing w:val="0"/>
                <w:kern w:val="0"/>
                <w:position w:val="0"/>
                <w:sz w:val="24"/>
                <w:szCs w:val="24"/>
                <w:highlight w:val="none"/>
                <w:lang w:val="en-US" w:eastAsia="zh-CN" w:bidi="ar"/>
              </w:rPr>
              <w:t>hm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
              </w:rPr>
              <w:t>2</w:t>
            </w:r>
            <w:r>
              <w:rPr>
                <w:rFonts w:hint="default" w:ascii="Times New Roman" w:hAnsi="Times New Roman" w:eastAsia="宋体" w:cs="Times New Roman"/>
                <w:color w:val="auto"/>
                <w:spacing w:val="0"/>
                <w:position w:val="0"/>
                <w:sz w:val="24"/>
                <w:szCs w:val="24"/>
                <w:highlight w:val="none"/>
                <w:vertAlign w:val="baseline"/>
                <w:lang w:eastAsia="zh-CN"/>
              </w:rPr>
              <w:t>，</w:t>
            </w:r>
            <w:r>
              <w:rPr>
                <w:rFonts w:hint="default" w:ascii="Times New Roman" w:hAnsi="Times New Roman" w:eastAsia="宋体" w:cs="Times New Roman"/>
                <w:color w:val="auto"/>
                <w:spacing w:val="0"/>
                <w:position w:val="0"/>
                <w:sz w:val="24"/>
                <w:szCs w:val="24"/>
                <w:highlight w:val="none"/>
              </w:rPr>
              <w:t>临时占地</w:t>
            </w:r>
            <w:r>
              <w:rPr>
                <w:rFonts w:hint="default" w:ascii="Times New Roman" w:hAnsi="Times New Roman" w:eastAsia="宋体" w:cs="Times New Roman"/>
                <w:color w:val="auto"/>
                <w:spacing w:val="0"/>
                <w:position w:val="0"/>
                <w:sz w:val="24"/>
                <w:szCs w:val="24"/>
                <w:highlight w:val="none"/>
                <w:lang w:val="en-US" w:eastAsia="zh-CN"/>
              </w:rPr>
              <w:t>14.4</w:t>
            </w:r>
            <w:r>
              <w:rPr>
                <w:rFonts w:hint="default" w:ascii="Times New Roman" w:hAnsi="Times New Roman" w:eastAsia="宋体" w:cs="Times New Roman"/>
                <w:color w:val="auto"/>
                <w:spacing w:val="0"/>
                <w:kern w:val="0"/>
                <w:position w:val="0"/>
                <w:sz w:val="24"/>
                <w:szCs w:val="24"/>
                <w:highlight w:val="none"/>
                <w:lang w:val="en-US" w:eastAsia="zh-CN" w:bidi="ar"/>
              </w:rPr>
              <w:t>hm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
              </w:rPr>
              <w:t>2</w:t>
            </w:r>
            <w:r>
              <w:rPr>
                <w:rFonts w:hint="default" w:ascii="Times New Roman" w:hAnsi="Times New Roman" w:eastAsia="宋体" w:cs="Times New Roman"/>
                <w:color w:val="auto"/>
                <w:spacing w:val="0"/>
                <w:position w:val="0"/>
                <w:sz w:val="24"/>
                <w:szCs w:val="24"/>
                <w:highlight w:val="none"/>
              </w:rPr>
              <w:t>，新增临时占地主要为施工生产区。临时占地施工完工后，恢复原貌。</w:t>
            </w:r>
          </w:p>
          <w:p w14:paraId="3118EC39">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施工活动将会破坏占地范围内的地表植被，在一定程度上将导致施工场地地表裸露，降低工程区域的植被覆盖率，遇到雨季则会引起水土流失。工程影响区内无珍稀植物，沿线无树木砍伐情况。</w:t>
            </w:r>
          </w:p>
          <w:p w14:paraId="7ED0C2BB">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2</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临时占地影响</w:t>
            </w:r>
          </w:p>
          <w:p w14:paraId="706EFFE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本工程水土流失防治责任范围为</w:t>
            </w:r>
            <w:r>
              <w:rPr>
                <w:rFonts w:hint="default" w:ascii="Times New Roman" w:hAnsi="Times New Roman" w:eastAsia="宋体" w:cs="Times New Roman"/>
                <w:color w:val="0000FF"/>
                <w:spacing w:val="0"/>
                <w:kern w:val="0"/>
                <w:position w:val="0"/>
                <w:sz w:val="24"/>
                <w:szCs w:val="24"/>
                <w:highlight w:val="none"/>
                <w:lang w:val="en-US" w:eastAsia="zh-CN" w:bidi="ar"/>
              </w:rPr>
              <w:t>73.46</w:t>
            </w:r>
            <w:r>
              <w:rPr>
                <w:rFonts w:hint="default" w:ascii="Times New Roman" w:hAnsi="Times New Roman" w:eastAsia="宋体" w:cs="Times New Roman"/>
                <w:color w:val="auto"/>
                <w:spacing w:val="0"/>
                <w:position w:val="0"/>
                <w:sz w:val="24"/>
                <w:szCs w:val="24"/>
                <w:highlight w:val="none"/>
              </w:rPr>
              <w:t>hm²，行政区划属</w:t>
            </w:r>
            <w:r>
              <w:rPr>
                <w:rFonts w:hint="default" w:ascii="Times New Roman" w:hAnsi="Times New Roman" w:eastAsia="宋体" w:cs="Times New Roman"/>
                <w:color w:val="auto"/>
                <w:spacing w:val="0"/>
                <w:position w:val="0"/>
                <w:sz w:val="24"/>
                <w:szCs w:val="24"/>
                <w:highlight w:val="none"/>
                <w:lang w:eastAsia="zh-CN"/>
              </w:rPr>
              <w:t>昌吉市</w:t>
            </w:r>
            <w:r>
              <w:rPr>
                <w:rFonts w:hint="default" w:ascii="Times New Roman" w:hAnsi="Times New Roman" w:eastAsia="宋体" w:cs="Times New Roman"/>
                <w:color w:val="auto"/>
                <w:spacing w:val="0"/>
                <w:position w:val="0"/>
                <w:sz w:val="24"/>
                <w:szCs w:val="24"/>
                <w:highlight w:val="none"/>
              </w:rPr>
              <w:t>。</w:t>
            </w:r>
          </w:p>
          <w:p w14:paraId="256D739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主体工程区占地总面积为</w:t>
            </w:r>
            <w:r>
              <w:rPr>
                <w:rFonts w:hint="default" w:ascii="Times New Roman" w:hAnsi="Times New Roman" w:cs="Times New Roman"/>
                <w:color w:val="auto"/>
                <w:spacing w:val="0"/>
                <w:position w:val="0"/>
                <w:sz w:val="24"/>
                <w:szCs w:val="24"/>
                <w:highlight w:val="none"/>
                <w:lang w:eastAsia="zh-CN"/>
              </w:rPr>
              <w:t>22.70</w:t>
            </w:r>
            <w:r>
              <w:rPr>
                <w:rFonts w:hint="default" w:ascii="Times New Roman" w:hAnsi="Times New Roman" w:eastAsia="宋体" w:cs="Times New Roman"/>
                <w:color w:val="auto"/>
                <w:spacing w:val="0"/>
                <w:position w:val="0"/>
                <w:sz w:val="24"/>
                <w:szCs w:val="24"/>
                <w:highlight w:val="none"/>
              </w:rPr>
              <w:t>hm²，全部为永久占地，占地类型为水域及水利设施用地。</w:t>
            </w:r>
          </w:p>
          <w:p w14:paraId="61693BE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val="en-US" w:eastAsia="zh-CN"/>
              </w:rPr>
              <w:t>河道疏浚区</w:t>
            </w:r>
            <w:r>
              <w:rPr>
                <w:rFonts w:hint="default" w:ascii="Times New Roman" w:hAnsi="Times New Roman" w:eastAsia="宋体" w:cs="Times New Roman"/>
                <w:color w:val="auto"/>
                <w:spacing w:val="0"/>
                <w:position w:val="0"/>
                <w:sz w:val="24"/>
                <w:szCs w:val="24"/>
                <w:highlight w:val="none"/>
              </w:rPr>
              <w:t>位于防洪堤</w:t>
            </w:r>
            <w:r>
              <w:rPr>
                <w:rFonts w:hint="default" w:ascii="Times New Roman" w:hAnsi="Times New Roman" w:cs="Times New Roman"/>
                <w:color w:val="auto"/>
                <w:spacing w:val="0"/>
                <w:position w:val="0"/>
                <w:sz w:val="24"/>
                <w:szCs w:val="24"/>
                <w:highlight w:val="none"/>
                <w:lang w:val="en-US" w:eastAsia="zh-CN"/>
              </w:rPr>
              <w:t>河道内</w:t>
            </w:r>
            <w:r>
              <w:rPr>
                <w:rFonts w:hint="default" w:ascii="Times New Roman" w:hAnsi="Times New Roman" w:eastAsia="宋体" w:cs="Times New Roman"/>
                <w:color w:val="auto"/>
                <w:spacing w:val="0"/>
                <w:position w:val="0"/>
                <w:sz w:val="24"/>
                <w:szCs w:val="24"/>
                <w:highlight w:val="none"/>
              </w:rPr>
              <w:t>侧，占地面积</w:t>
            </w:r>
            <w:r>
              <w:rPr>
                <w:rFonts w:hint="default" w:ascii="Times New Roman" w:hAnsi="Times New Roman" w:cs="Times New Roman"/>
                <w:color w:val="auto"/>
                <w:spacing w:val="0"/>
                <w:position w:val="0"/>
                <w:sz w:val="24"/>
                <w:szCs w:val="24"/>
                <w:highlight w:val="none"/>
                <w:lang w:val="en-US" w:eastAsia="zh-CN"/>
              </w:rPr>
              <w:t>42.2</w:t>
            </w:r>
            <w:r>
              <w:rPr>
                <w:rFonts w:hint="default" w:ascii="Times New Roman" w:hAnsi="Times New Roman" w:eastAsia="宋体" w:cs="Times New Roman"/>
                <w:color w:val="auto"/>
                <w:spacing w:val="0"/>
                <w:position w:val="0"/>
                <w:sz w:val="24"/>
                <w:szCs w:val="24"/>
                <w:highlight w:val="none"/>
                <w:lang w:val="en-US" w:eastAsia="zh-CN"/>
              </w:rPr>
              <w:t>k</w:t>
            </w:r>
            <w:r>
              <w:rPr>
                <w:rFonts w:hint="default" w:ascii="Times New Roman" w:hAnsi="Times New Roman" w:eastAsia="宋体" w:cs="Times New Roman"/>
                <w:color w:val="auto"/>
                <w:spacing w:val="0"/>
                <w:position w:val="0"/>
                <w:sz w:val="24"/>
                <w:szCs w:val="24"/>
                <w:highlight w:val="none"/>
              </w:rPr>
              <w:t>m²，最大堆高为3米，占地类型为水域及水利设施用地。</w:t>
            </w:r>
          </w:p>
          <w:p w14:paraId="214546C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eastAsia" w:ascii="Times New Roman" w:hAnsi="Times New Roman" w:cs="Times New Roman"/>
                <w:color w:val="auto"/>
                <w:spacing w:val="0"/>
                <w:position w:val="0"/>
                <w:sz w:val="24"/>
                <w:szCs w:val="24"/>
                <w:highlight w:val="none"/>
                <w:lang w:val="en-US" w:eastAsia="zh-CN"/>
              </w:rPr>
              <w:t>临时堆土场</w:t>
            </w:r>
            <w:r>
              <w:rPr>
                <w:rFonts w:hint="default" w:ascii="Times New Roman" w:hAnsi="Times New Roman" w:eastAsia="宋体" w:cs="Times New Roman"/>
                <w:color w:val="auto"/>
                <w:spacing w:val="0"/>
                <w:position w:val="0"/>
                <w:sz w:val="24"/>
                <w:szCs w:val="24"/>
                <w:highlight w:val="none"/>
                <w:lang w:val="en-US" w:eastAsia="zh-CN"/>
              </w:rPr>
              <w:t>区</w:t>
            </w:r>
            <w:r>
              <w:rPr>
                <w:rFonts w:hint="default" w:ascii="Times New Roman" w:hAnsi="Times New Roman" w:eastAsia="宋体" w:cs="Times New Roman"/>
                <w:color w:val="auto"/>
                <w:spacing w:val="0"/>
                <w:position w:val="0"/>
                <w:sz w:val="24"/>
                <w:szCs w:val="24"/>
                <w:highlight w:val="none"/>
              </w:rPr>
              <w:t>位于防洪堤背水侧，占地面积</w:t>
            </w:r>
            <w:r>
              <w:rPr>
                <w:rFonts w:hint="default" w:ascii="Times New Roman" w:hAnsi="Times New Roman" w:cs="Times New Roman"/>
                <w:color w:val="auto"/>
                <w:spacing w:val="0"/>
                <w:position w:val="0"/>
                <w:sz w:val="24"/>
                <w:szCs w:val="24"/>
                <w:highlight w:val="none"/>
                <w:lang w:eastAsia="zh-CN"/>
              </w:rPr>
              <w:t>3.56</w:t>
            </w:r>
            <w:r>
              <w:rPr>
                <w:rFonts w:hint="default" w:ascii="Times New Roman" w:hAnsi="Times New Roman" w:eastAsia="宋体" w:cs="Times New Roman"/>
                <w:color w:val="auto"/>
                <w:spacing w:val="0"/>
                <w:position w:val="0"/>
                <w:sz w:val="24"/>
                <w:szCs w:val="24"/>
                <w:highlight w:val="none"/>
              </w:rPr>
              <w:t>hm²，宽度为4米，占地类型为水域及水利设施用地。</w:t>
            </w:r>
          </w:p>
          <w:p w14:paraId="6F1B370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施工生产生活</w:t>
            </w:r>
            <w:r>
              <w:rPr>
                <w:rFonts w:hint="default" w:ascii="Times New Roman" w:hAnsi="Times New Roman" w:eastAsia="宋体" w:cs="Times New Roman"/>
                <w:color w:val="auto"/>
                <w:spacing w:val="0"/>
                <w:position w:val="0"/>
                <w:sz w:val="24"/>
                <w:szCs w:val="24"/>
                <w:highlight w:val="none"/>
                <w:lang w:eastAsia="zh-CN"/>
              </w:rPr>
              <w:t>区</w:t>
            </w:r>
            <w:r>
              <w:rPr>
                <w:rFonts w:hint="default" w:ascii="Times New Roman" w:hAnsi="Times New Roman" w:eastAsia="宋体" w:cs="Times New Roman"/>
                <w:color w:val="auto"/>
                <w:spacing w:val="0"/>
                <w:position w:val="0"/>
                <w:sz w:val="24"/>
                <w:szCs w:val="24"/>
                <w:highlight w:val="none"/>
              </w:rPr>
              <w:t>共设1处，位于主体工程区附近空地处，占地0.50hm²，占地类型为其他土地。</w:t>
            </w:r>
          </w:p>
          <w:p w14:paraId="76317D96">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4"/>
                <w:szCs w:val="24"/>
                <w:highlight w:val="none"/>
                <w14:textOutline w14:w="3795" w14:cap="sq" w14:cmpd="sng">
                  <w14:solidFill>
                    <w14:srgbClr w14:val="000000"/>
                  </w14:solidFill>
                  <w14:prstDash w14:val="solid"/>
                  <w14:bevel/>
                </w14:textOutline>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表</w:t>
            </w:r>
            <w:r>
              <w:rPr>
                <w:rFonts w:hint="default" w:ascii="Times New Roman" w:hAnsi="Times New Roman" w:eastAsia="宋体" w:cs="Times New Roman"/>
                <w:b/>
                <w:bCs/>
                <w:color w:val="auto"/>
                <w:spacing w:val="0"/>
                <w:position w:val="0"/>
                <w:sz w:val="21"/>
                <w:szCs w:val="21"/>
                <w:highlight w:val="none"/>
              </w:rPr>
              <w:t>4-1</w:t>
            </w:r>
            <w:r>
              <w:rPr>
                <w:rFonts w:hint="default" w:ascii="Times New Roman" w:hAnsi="Times New Roman" w:eastAsia="宋体" w:cs="Times New Roman"/>
                <w:b/>
                <w:bCs/>
                <w:color w:val="auto"/>
                <w:spacing w:val="0"/>
                <w:position w:val="0"/>
                <w:sz w:val="21"/>
                <w:szCs w:val="21"/>
                <w:highlight w:val="none"/>
                <w:lang w:val="en-US" w:eastAsia="zh-CN"/>
              </w:rPr>
              <w:t xml:space="preserve">    </w:t>
            </w: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施工工区占地一览表</w:t>
            </w:r>
          </w:p>
          <w:tbl>
            <w:tblPr>
              <w:tblStyle w:val="31"/>
              <w:tblW w:w="762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211"/>
              <w:gridCol w:w="1256"/>
              <w:gridCol w:w="1138"/>
              <w:gridCol w:w="2614"/>
            </w:tblGrid>
            <w:tr w14:paraId="70E463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3" w:type="pct"/>
                  <w:vMerge w:val="restart"/>
                  <w:shd w:val="clear" w:color="auto" w:fill="auto"/>
                  <w:noWrap/>
                  <w:vAlign w:val="center"/>
                </w:tcPr>
                <w:p w14:paraId="07CDDC26">
                  <w:pPr>
                    <w:pStyle w:val="94"/>
                    <w:shd w:val="clear"/>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项目分区</w:t>
                  </w:r>
                </w:p>
              </w:tc>
              <w:tc>
                <w:tcPr>
                  <w:tcW w:w="2363" w:type="pct"/>
                  <w:gridSpan w:val="3"/>
                  <w:shd w:val="clear" w:color="auto" w:fill="auto"/>
                  <w:noWrap/>
                  <w:vAlign w:val="center"/>
                </w:tcPr>
                <w:p w14:paraId="64E0CDB1">
                  <w:pPr>
                    <w:pStyle w:val="94"/>
                    <w:shd w:val="clear"/>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占地面积</w:t>
                  </w:r>
                </w:p>
              </w:tc>
              <w:tc>
                <w:tcPr>
                  <w:tcW w:w="1713" w:type="pct"/>
                  <w:vMerge w:val="restart"/>
                  <w:shd w:val="clear" w:color="auto" w:fill="auto"/>
                  <w:noWrap/>
                  <w:vAlign w:val="center"/>
                </w:tcPr>
                <w:p w14:paraId="41B6EDDA">
                  <w:pPr>
                    <w:pStyle w:val="94"/>
                    <w:shd w:val="clear"/>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占地类型</w:t>
                  </w:r>
                </w:p>
              </w:tc>
            </w:tr>
            <w:tr w14:paraId="72C183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3" w:type="pct"/>
                  <w:vMerge w:val="continue"/>
                  <w:tcBorders>
                    <w:bottom w:val="single" w:color="auto" w:sz="12" w:space="0"/>
                  </w:tcBorders>
                  <w:shd w:val="clear" w:color="auto" w:fill="auto"/>
                  <w:noWrap/>
                  <w:vAlign w:val="center"/>
                </w:tcPr>
                <w:p w14:paraId="0D1D2176">
                  <w:pPr>
                    <w:pStyle w:val="94"/>
                    <w:shd w:val="clear"/>
                    <w:rPr>
                      <w:rFonts w:hint="default" w:ascii="Times New Roman" w:hAnsi="Times New Roman" w:eastAsia="宋体" w:cs="Times New Roman"/>
                      <w:b/>
                      <w:bCs/>
                      <w:color w:val="auto"/>
                      <w:spacing w:val="0"/>
                      <w:position w:val="0"/>
                      <w:sz w:val="21"/>
                      <w:szCs w:val="21"/>
                      <w:highlight w:val="none"/>
                    </w:rPr>
                  </w:pPr>
                </w:p>
              </w:tc>
              <w:tc>
                <w:tcPr>
                  <w:tcW w:w="793" w:type="pct"/>
                  <w:tcBorders>
                    <w:bottom w:val="single" w:color="auto" w:sz="12" w:space="0"/>
                  </w:tcBorders>
                  <w:shd w:val="clear" w:color="auto" w:fill="auto"/>
                  <w:noWrap/>
                  <w:vAlign w:val="center"/>
                </w:tcPr>
                <w:p w14:paraId="567DC358">
                  <w:pPr>
                    <w:pStyle w:val="94"/>
                    <w:shd w:val="clear"/>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永久占地</w:t>
                  </w:r>
                </w:p>
              </w:tc>
              <w:tc>
                <w:tcPr>
                  <w:tcW w:w="823" w:type="pct"/>
                  <w:tcBorders>
                    <w:bottom w:val="single" w:color="auto" w:sz="12" w:space="0"/>
                  </w:tcBorders>
                  <w:shd w:val="clear" w:color="auto" w:fill="auto"/>
                  <w:noWrap/>
                  <w:vAlign w:val="center"/>
                </w:tcPr>
                <w:p w14:paraId="21396F5B">
                  <w:pPr>
                    <w:pStyle w:val="94"/>
                    <w:shd w:val="clear"/>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临时占地</w:t>
                  </w:r>
                </w:p>
              </w:tc>
              <w:tc>
                <w:tcPr>
                  <w:tcW w:w="746" w:type="pct"/>
                  <w:tcBorders>
                    <w:bottom w:val="single" w:color="auto" w:sz="12" w:space="0"/>
                  </w:tcBorders>
                  <w:shd w:val="clear" w:color="auto" w:fill="auto"/>
                  <w:noWrap/>
                  <w:vAlign w:val="center"/>
                </w:tcPr>
                <w:p w14:paraId="2DD32060">
                  <w:pPr>
                    <w:pStyle w:val="94"/>
                    <w:shd w:val="clear"/>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合计</w:t>
                  </w:r>
                </w:p>
              </w:tc>
              <w:tc>
                <w:tcPr>
                  <w:tcW w:w="1713" w:type="pct"/>
                  <w:vMerge w:val="continue"/>
                  <w:tcBorders>
                    <w:bottom w:val="single" w:color="auto" w:sz="12" w:space="0"/>
                  </w:tcBorders>
                  <w:shd w:val="clear" w:color="auto" w:fill="auto"/>
                  <w:noWrap/>
                  <w:vAlign w:val="center"/>
                </w:tcPr>
                <w:p w14:paraId="422663A1">
                  <w:pPr>
                    <w:pStyle w:val="94"/>
                    <w:shd w:val="clear"/>
                    <w:rPr>
                      <w:rFonts w:hint="default" w:ascii="Times New Roman" w:hAnsi="Times New Roman" w:eastAsia="宋体" w:cs="Times New Roman"/>
                      <w:color w:val="auto"/>
                      <w:spacing w:val="0"/>
                      <w:position w:val="0"/>
                      <w:sz w:val="21"/>
                      <w:szCs w:val="21"/>
                      <w:highlight w:val="none"/>
                    </w:rPr>
                  </w:pPr>
                </w:p>
              </w:tc>
            </w:tr>
            <w:tr w14:paraId="08CFAE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3" w:type="pct"/>
                  <w:tcBorders>
                    <w:top w:val="single" w:color="auto" w:sz="12" w:space="0"/>
                    <w:tl2br w:val="nil"/>
                    <w:tr2bl w:val="nil"/>
                  </w:tcBorders>
                  <w:shd w:val="clear" w:color="auto" w:fill="auto"/>
                  <w:noWrap/>
                  <w:vAlign w:val="center"/>
                </w:tcPr>
                <w:p w14:paraId="6E9E5543">
                  <w:pPr>
                    <w:pStyle w:val="94"/>
                    <w:shd w:val="clea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主体工程区</w:t>
                  </w:r>
                </w:p>
              </w:tc>
              <w:tc>
                <w:tcPr>
                  <w:tcW w:w="793" w:type="pct"/>
                  <w:tcBorders>
                    <w:top w:val="single" w:color="auto" w:sz="12" w:space="0"/>
                    <w:tl2br w:val="nil"/>
                    <w:tr2bl w:val="nil"/>
                  </w:tcBorders>
                  <w:shd w:val="clear" w:color="auto" w:fill="auto"/>
                  <w:noWrap/>
                  <w:vAlign w:val="center"/>
                </w:tcPr>
                <w:p w14:paraId="121A4C6C">
                  <w:pPr>
                    <w:pStyle w:val="94"/>
                    <w:shd w:val="clea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cs="Times New Roman"/>
                      <w:color w:val="auto"/>
                      <w:spacing w:val="0"/>
                      <w:position w:val="0"/>
                      <w:sz w:val="21"/>
                      <w:szCs w:val="21"/>
                      <w:highlight w:val="none"/>
                      <w:lang w:eastAsia="zh-CN"/>
                    </w:rPr>
                    <w:t>22.70</w:t>
                  </w:r>
                </w:p>
              </w:tc>
              <w:tc>
                <w:tcPr>
                  <w:tcW w:w="823" w:type="pct"/>
                  <w:tcBorders>
                    <w:top w:val="single" w:color="auto" w:sz="12" w:space="0"/>
                    <w:tl2br w:val="nil"/>
                    <w:tr2bl w:val="nil"/>
                  </w:tcBorders>
                  <w:shd w:val="clear" w:color="auto" w:fill="auto"/>
                  <w:noWrap/>
                  <w:vAlign w:val="center"/>
                </w:tcPr>
                <w:p w14:paraId="1260D27D">
                  <w:pPr>
                    <w:pStyle w:val="94"/>
                    <w:shd w:val="clea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w:t>
                  </w:r>
                </w:p>
              </w:tc>
              <w:tc>
                <w:tcPr>
                  <w:tcW w:w="746" w:type="pct"/>
                  <w:tcBorders>
                    <w:top w:val="single" w:color="auto" w:sz="12" w:space="0"/>
                    <w:tl2br w:val="nil"/>
                    <w:tr2bl w:val="nil"/>
                  </w:tcBorders>
                  <w:shd w:val="clear" w:color="auto" w:fill="auto"/>
                  <w:noWrap/>
                  <w:vAlign w:val="center"/>
                </w:tcPr>
                <w:p w14:paraId="25E33369">
                  <w:pPr>
                    <w:pStyle w:val="94"/>
                    <w:shd w:val="clea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cs="Times New Roman"/>
                      <w:color w:val="auto"/>
                      <w:spacing w:val="0"/>
                      <w:position w:val="0"/>
                      <w:sz w:val="21"/>
                      <w:szCs w:val="21"/>
                      <w:highlight w:val="none"/>
                      <w:lang w:eastAsia="zh-CN"/>
                    </w:rPr>
                    <w:t>22.70</w:t>
                  </w:r>
                </w:p>
              </w:tc>
              <w:tc>
                <w:tcPr>
                  <w:tcW w:w="1713" w:type="pct"/>
                  <w:tcBorders>
                    <w:top w:val="single" w:color="auto" w:sz="12" w:space="0"/>
                    <w:tl2br w:val="nil"/>
                    <w:tr2bl w:val="nil"/>
                  </w:tcBorders>
                  <w:shd w:val="clear" w:color="auto" w:fill="auto"/>
                  <w:noWrap/>
                  <w:vAlign w:val="center"/>
                </w:tcPr>
                <w:p w14:paraId="5E1478FF">
                  <w:pPr>
                    <w:pStyle w:val="94"/>
                    <w:shd w:val="clea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水域及水利设施用地</w:t>
                  </w:r>
                </w:p>
              </w:tc>
            </w:tr>
            <w:tr w14:paraId="1D05F7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3" w:type="pct"/>
                  <w:tcBorders>
                    <w:tl2br w:val="nil"/>
                    <w:tr2bl w:val="nil"/>
                  </w:tcBorders>
                  <w:shd w:val="clear" w:color="auto" w:fill="auto"/>
                  <w:noWrap/>
                  <w:vAlign w:val="center"/>
                </w:tcPr>
                <w:p w14:paraId="35A30A98">
                  <w:pPr>
                    <w:keepNext w:val="0"/>
                    <w:keepLines w:val="0"/>
                    <w:widowControl/>
                    <w:suppressLineNumbers w:val="0"/>
                    <w:shd w:val="clear"/>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000000"/>
                      <w:kern w:val="0"/>
                      <w:sz w:val="21"/>
                      <w:szCs w:val="21"/>
                      <w:lang w:val="en-US" w:eastAsia="zh-CN" w:bidi="ar"/>
                    </w:rPr>
                    <w:t>河道疏浚区</w:t>
                  </w:r>
                </w:p>
              </w:tc>
              <w:tc>
                <w:tcPr>
                  <w:tcW w:w="793" w:type="pct"/>
                  <w:tcBorders>
                    <w:tl2br w:val="nil"/>
                    <w:tr2bl w:val="nil"/>
                  </w:tcBorders>
                  <w:shd w:val="clear" w:color="auto" w:fill="auto"/>
                  <w:noWrap/>
                  <w:vAlign w:val="center"/>
                </w:tcPr>
                <w:p w14:paraId="114897B7">
                  <w:pPr>
                    <w:pStyle w:val="94"/>
                    <w:shd w:val="clea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w:t>
                  </w:r>
                </w:p>
              </w:tc>
              <w:tc>
                <w:tcPr>
                  <w:tcW w:w="823" w:type="pct"/>
                  <w:tcBorders>
                    <w:tl2br w:val="nil"/>
                    <w:tr2bl w:val="nil"/>
                  </w:tcBorders>
                  <w:shd w:val="clear" w:color="auto" w:fill="auto"/>
                  <w:noWrap/>
                  <w:vAlign w:val="center"/>
                </w:tcPr>
                <w:p w14:paraId="7E0E40AD">
                  <w:pPr>
                    <w:pStyle w:val="94"/>
                    <w:shd w:val="clea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42.2</w:t>
                  </w:r>
                </w:p>
              </w:tc>
              <w:tc>
                <w:tcPr>
                  <w:tcW w:w="746" w:type="pct"/>
                  <w:tcBorders>
                    <w:tl2br w:val="nil"/>
                    <w:tr2bl w:val="nil"/>
                  </w:tcBorders>
                  <w:shd w:val="clear" w:color="auto" w:fill="auto"/>
                  <w:noWrap/>
                  <w:vAlign w:val="center"/>
                </w:tcPr>
                <w:p w14:paraId="74405CA7">
                  <w:pPr>
                    <w:pStyle w:val="94"/>
                    <w:shd w:val="clear"/>
                    <w:ind w:firstLine="0" w:firstLineChars="0"/>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cs="Times New Roman"/>
                      <w:color w:val="auto"/>
                      <w:spacing w:val="0"/>
                      <w:position w:val="0"/>
                      <w:sz w:val="21"/>
                      <w:szCs w:val="21"/>
                      <w:highlight w:val="none"/>
                      <w:lang w:val="en-US" w:eastAsia="zh-CN"/>
                    </w:rPr>
                    <w:t>42.2</w:t>
                  </w:r>
                </w:p>
              </w:tc>
              <w:tc>
                <w:tcPr>
                  <w:tcW w:w="1713" w:type="pct"/>
                  <w:tcBorders>
                    <w:tl2br w:val="nil"/>
                    <w:tr2bl w:val="nil"/>
                  </w:tcBorders>
                  <w:shd w:val="clear" w:color="auto" w:fill="auto"/>
                  <w:noWrap/>
                  <w:vAlign w:val="center"/>
                </w:tcPr>
                <w:p w14:paraId="0EE0EDC0">
                  <w:pPr>
                    <w:pStyle w:val="94"/>
                    <w:shd w:val="clea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水域及水利设施用地</w:t>
                  </w:r>
                </w:p>
              </w:tc>
            </w:tr>
            <w:tr w14:paraId="355188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3" w:type="pct"/>
                  <w:tcBorders>
                    <w:tl2br w:val="nil"/>
                    <w:tr2bl w:val="nil"/>
                  </w:tcBorders>
                  <w:shd w:val="clear" w:color="auto" w:fill="auto"/>
                  <w:noWrap/>
                  <w:vAlign w:val="center"/>
                </w:tcPr>
                <w:p w14:paraId="3948F65A">
                  <w:pPr>
                    <w:keepNext w:val="0"/>
                    <w:keepLines w:val="0"/>
                    <w:widowControl/>
                    <w:suppressLineNumbers w:val="0"/>
                    <w:shd w:val="clear"/>
                    <w:jc w:val="center"/>
                    <w:rPr>
                      <w:rFonts w:hint="default" w:ascii="Times New Roman" w:hAnsi="Times New Roman" w:eastAsia="宋体" w:cs="Times New Roman"/>
                      <w:color w:val="auto"/>
                      <w:spacing w:val="0"/>
                      <w:position w:val="0"/>
                      <w:sz w:val="21"/>
                      <w:szCs w:val="21"/>
                      <w:highlight w:val="none"/>
                    </w:rPr>
                  </w:pPr>
                  <w:r>
                    <w:rPr>
                      <w:rFonts w:hint="eastAsia" w:ascii="Times New Roman" w:hAnsi="Times New Roman" w:cs="Times New Roman"/>
                      <w:color w:val="000000"/>
                      <w:kern w:val="0"/>
                      <w:sz w:val="21"/>
                      <w:szCs w:val="21"/>
                      <w:lang w:val="en-US" w:eastAsia="zh-CN" w:bidi="ar"/>
                    </w:rPr>
                    <w:t>临时堆土场</w:t>
                  </w:r>
                  <w:r>
                    <w:rPr>
                      <w:rFonts w:hint="default" w:ascii="Times New Roman" w:hAnsi="Times New Roman" w:eastAsia="宋体" w:cs="Times New Roman"/>
                      <w:color w:val="000000"/>
                      <w:kern w:val="0"/>
                      <w:sz w:val="21"/>
                      <w:szCs w:val="21"/>
                      <w:lang w:val="en-US" w:eastAsia="zh-CN" w:bidi="ar"/>
                    </w:rPr>
                    <w:t>区</w:t>
                  </w:r>
                </w:p>
              </w:tc>
              <w:tc>
                <w:tcPr>
                  <w:tcW w:w="793" w:type="pct"/>
                  <w:tcBorders>
                    <w:tl2br w:val="nil"/>
                    <w:tr2bl w:val="nil"/>
                  </w:tcBorders>
                  <w:shd w:val="clear" w:color="auto" w:fill="auto"/>
                  <w:noWrap/>
                  <w:vAlign w:val="center"/>
                </w:tcPr>
                <w:p w14:paraId="20E63610">
                  <w:pPr>
                    <w:pStyle w:val="94"/>
                    <w:shd w:val="clea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w:t>
                  </w:r>
                </w:p>
              </w:tc>
              <w:tc>
                <w:tcPr>
                  <w:tcW w:w="823" w:type="pct"/>
                  <w:tcBorders>
                    <w:tl2br w:val="nil"/>
                    <w:tr2bl w:val="nil"/>
                  </w:tcBorders>
                  <w:shd w:val="clear" w:color="auto" w:fill="auto"/>
                  <w:noWrap/>
                  <w:vAlign w:val="center"/>
                </w:tcPr>
                <w:p w14:paraId="2940B8DD">
                  <w:pPr>
                    <w:pStyle w:val="94"/>
                    <w:shd w:val="clea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3.56</w:t>
                  </w:r>
                </w:p>
              </w:tc>
              <w:tc>
                <w:tcPr>
                  <w:tcW w:w="746" w:type="pct"/>
                  <w:tcBorders>
                    <w:tl2br w:val="nil"/>
                    <w:tr2bl w:val="nil"/>
                  </w:tcBorders>
                  <w:shd w:val="clear" w:color="auto" w:fill="auto"/>
                  <w:noWrap/>
                  <w:vAlign w:val="center"/>
                </w:tcPr>
                <w:p w14:paraId="37AFF742">
                  <w:pPr>
                    <w:pStyle w:val="94"/>
                    <w:shd w:val="clear"/>
                    <w:ind w:firstLine="0" w:firstLineChars="0"/>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cs="Times New Roman"/>
                      <w:color w:val="auto"/>
                      <w:spacing w:val="0"/>
                      <w:position w:val="0"/>
                      <w:sz w:val="21"/>
                      <w:szCs w:val="21"/>
                      <w:highlight w:val="none"/>
                      <w:lang w:val="en-US" w:eastAsia="zh-CN"/>
                    </w:rPr>
                    <w:t>3.56</w:t>
                  </w:r>
                </w:p>
              </w:tc>
              <w:tc>
                <w:tcPr>
                  <w:tcW w:w="1713" w:type="pct"/>
                  <w:tcBorders>
                    <w:tl2br w:val="nil"/>
                    <w:tr2bl w:val="nil"/>
                  </w:tcBorders>
                  <w:shd w:val="clear" w:color="auto" w:fill="auto"/>
                  <w:noWrap/>
                  <w:vAlign w:val="center"/>
                </w:tcPr>
                <w:p w14:paraId="5346D469">
                  <w:pPr>
                    <w:pStyle w:val="94"/>
                    <w:shd w:val="clea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水域及水利设施用地</w:t>
                  </w:r>
                </w:p>
              </w:tc>
            </w:tr>
            <w:tr w14:paraId="0EED0F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3" w:type="pct"/>
                  <w:tcBorders>
                    <w:tl2br w:val="nil"/>
                    <w:tr2bl w:val="nil"/>
                  </w:tcBorders>
                  <w:shd w:val="clear" w:color="auto" w:fill="auto"/>
                  <w:noWrap/>
                  <w:vAlign w:val="center"/>
                </w:tcPr>
                <w:p w14:paraId="47F370E5">
                  <w:pPr>
                    <w:pStyle w:val="94"/>
                    <w:shd w:val="clea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施工生产区</w:t>
                  </w:r>
                </w:p>
              </w:tc>
              <w:tc>
                <w:tcPr>
                  <w:tcW w:w="793" w:type="pct"/>
                  <w:tcBorders>
                    <w:tl2br w:val="nil"/>
                    <w:tr2bl w:val="nil"/>
                  </w:tcBorders>
                  <w:shd w:val="clear" w:color="auto" w:fill="auto"/>
                  <w:noWrap/>
                  <w:vAlign w:val="center"/>
                </w:tcPr>
                <w:p w14:paraId="69C87EE2">
                  <w:pPr>
                    <w:pStyle w:val="94"/>
                    <w:shd w:val="clea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w:t>
                  </w:r>
                </w:p>
              </w:tc>
              <w:tc>
                <w:tcPr>
                  <w:tcW w:w="823" w:type="pct"/>
                  <w:tcBorders>
                    <w:tl2br w:val="nil"/>
                    <w:tr2bl w:val="nil"/>
                  </w:tcBorders>
                  <w:shd w:val="clear" w:color="auto" w:fill="auto"/>
                  <w:noWrap/>
                  <w:vAlign w:val="center"/>
                </w:tcPr>
                <w:p w14:paraId="250B4817">
                  <w:pPr>
                    <w:pStyle w:val="94"/>
                    <w:shd w:val="clea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rPr>
                    <w:t>0.</w:t>
                  </w:r>
                  <w:r>
                    <w:rPr>
                      <w:rFonts w:hint="default" w:ascii="Times New Roman" w:hAnsi="Times New Roman" w:cs="Times New Roman"/>
                      <w:color w:val="auto"/>
                      <w:spacing w:val="0"/>
                      <w:position w:val="0"/>
                      <w:sz w:val="21"/>
                      <w:szCs w:val="21"/>
                      <w:highlight w:val="none"/>
                      <w:lang w:val="en-US" w:eastAsia="zh-CN"/>
                    </w:rPr>
                    <w:t>5</w:t>
                  </w:r>
                  <w:r>
                    <w:rPr>
                      <w:rFonts w:hint="default" w:ascii="Times New Roman" w:hAnsi="Times New Roman" w:eastAsia="宋体" w:cs="Times New Roman"/>
                      <w:color w:val="auto"/>
                      <w:spacing w:val="0"/>
                      <w:position w:val="0"/>
                      <w:sz w:val="21"/>
                      <w:szCs w:val="21"/>
                      <w:highlight w:val="none"/>
                    </w:rPr>
                    <w:t>0</w:t>
                  </w:r>
                </w:p>
              </w:tc>
              <w:tc>
                <w:tcPr>
                  <w:tcW w:w="746" w:type="pct"/>
                  <w:tcBorders>
                    <w:tl2br w:val="nil"/>
                    <w:tr2bl w:val="nil"/>
                  </w:tcBorders>
                  <w:shd w:val="clear" w:color="auto" w:fill="auto"/>
                  <w:noWrap/>
                  <w:vAlign w:val="center"/>
                </w:tcPr>
                <w:p w14:paraId="7A7D2BD1">
                  <w:pPr>
                    <w:pStyle w:val="94"/>
                    <w:shd w:val="clear"/>
                    <w:ind w:firstLine="0" w:firstLineChars="0"/>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rPr>
                    <w:t>0.</w:t>
                  </w:r>
                  <w:r>
                    <w:rPr>
                      <w:rFonts w:hint="default" w:ascii="Times New Roman" w:hAnsi="Times New Roman" w:cs="Times New Roman"/>
                      <w:color w:val="auto"/>
                      <w:spacing w:val="0"/>
                      <w:position w:val="0"/>
                      <w:sz w:val="21"/>
                      <w:szCs w:val="21"/>
                      <w:highlight w:val="none"/>
                      <w:lang w:val="en-US" w:eastAsia="zh-CN"/>
                    </w:rPr>
                    <w:t>5</w:t>
                  </w:r>
                  <w:r>
                    <w:rPr>
                      <w:rFonts w:hint="default" w:ascii="Times New Roman" w:hAnsi="Times New Roman" w:eastAsia="宋体" w:cs="Times New Roman"/>
                      <w:color w:val="auto"/>
                      <w:spacing w:val="0"/>
                      <w:position w:val="0"/>
                      <w:sz w:val="21"/>
                      <w:szCs w:val="21"/>
                      <w:highlight w:val="none"/>
                    </w:rPr>
                    <w:t>0</w:t>
                  </w:r>
                </w:p>
              </w:tc>
              <w:tc>
                <w:tcPr>
                  <w:tcW w:w="1713" w:type="pct"/>
                  <w:tcBorders>
                    <w:tl2br w:val="nil"/>
                    <w:tr2bl w:val="nil"/>
                  </w:tcBorders>
                  <w:shd w:val="clear" w:color="auto" w:fill="auto"/>
                  <w:noWrap/>
                  <w:vAlign w:val="center"/>
                </w:tcPr>
                <w:p w14:paraId="270452AD">
                  <w:pPr>
                    <w:keepNext w:val="0"/>
                    <w:keepLines w:val="0"/>
                    <w:widowControl/>
                    <w:suppressLineNumbers w:val="0"/>
                    <w:shd w:val="clear"/>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水域及水利设施用地</w:t>
                  </w:r>
                </w:p>
              </w:tc>
            </w:tr>
            <w:tr w14:paraId="4FBF33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3" w:type="pct"/>
                  <w:tcBorders>
                    <w:tl2br w:val="nil"/>
                    <w:tr2bl w:val="nil"/>
                  </w:tcBorders>
                  <w:shd w:val="clear" w:color="auto" w:fill="auto"/>
                  <w:noWrap/>
                  <w:vAlign w:val="center"/>
                </w:tcPr>
                <w:p w14:paraId="0FA9996B">
                  <w:pPr>
                    <w:pStyle w:val="94"/>
                    <w:shd w:val="clea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小计</w:t>
                  </w:r>
                </w:p>
              </w:tc>
              <w:tc>
                <w:tcPr>
                  <w:tcW w:w="793" w:type="pct"/>
                  <w:tcBorders>
                    <w:tl2br w:val="nil"/>
                    <w:tr2bl w:val="nil"/>
                  </w:tcBorders>
                  <w:shd w:val="clear" w:color="auto" w:fill="auto"/>
                  <w:noWrap/>
                  <w:vAlign w:val="center"/>
                </w:tcPr>
                <w:p w14:paraId="70B1C541">
                  <w:pPr>
                    <w:pStyle w:val="94"/>
                    <w:shd w:val="clea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cs="Times New Roman"/>
                      <w:color w:val="auto"/>
                      <w:spacing w:val="0"/>
                      <w:position w:val="0"/>
                      <w:sz w:val="21"/>
                      <w:szCs w:val="21"/>
                      <w:highlight w:val="none"/>
                      <w:lang w:eastAsia="zh-CN"/>
                    </w:rPr>
                    <w:t>22.70</w:t>
                  </w:r>
                </w:p>
              </w:tc>
              <w:tc>
                <w:tcPr>
                  <w:tcW w:w="823" w:type="pct"/>
                  <w:tcBorders>
                    <w:tl2br w:val="nil"/>
                    <w:tr2bl w:val="nil"/>
                  </w:tcBorders>
                  <w:shd w:val="clear" w:color="auto" w:fill="auto"/>
                  <w:noWrap/>
                  <w:vAlign w:val="center"/>
                </w:tcPr>
                <w:p w14:paraId="5D00219C">
                  <w:pPr>
                    <w:pStyle w:val="94"/>
                    <w:shd w:val="clea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fldChar w:fldCharType="begin"/>
                  </w:r>
                  <w:r>
                    <w:rPr>
                      <w:rFonts w:hint="default" w:ascii="Times New Roman" w:hAnsi="Times New Roman" w:eastAsia="宋体" w:cs="Times New Roman"/>
                      <w:color w:val="auto"/>
                      <w:spacing w:val="0"/>
                      <w:position w:val="0"/>
                      <w:sz w:val="21"/>
                      <w:szCs w:val="21"/>
                      <w:highlight w:val="none"/>
                      <w:lang w:val="en-US" w:eastAsia="zh-CN"/>
                    </w:rPr>
                    <w:instrText xml:space="preserve"> = sum(C4:C6) \* MERGEFORMAT </w:instrText>
                  </w:r>
                  <w:r>
                    <w:rPr>
                      <w:rFonts w:hint="default" w:ascii="Times New Roman" w:hAnsi="Times New Roman" w:eastAsia="宋体" w:cs="Times New Roman"/>
                      <w:color w:val="auto"/>
                      <w:spacing w:val="0"/>
                      <w:position w:val="0"/>
                      <w:sz w:val="21"/>
                      <w:szCs w:val="21"/>
                      <w:highlight w:val="none"/>
                      <w:lang w:val="en-US" w:eastAsia="zh-CN"/>
                    </w:rPr>
                    <w:fldChar w:fldCharType="separate"/>
                  </w:r>
                  <w:r>
                    <w:rPr>
                      <w:rFonts w:hint="default" w:ascii="Times New Roman" w:hAnsi="Times New Roman" w:cs="Times New Roman"/>
                      <w:color w:val="auto"/>
                      <w:spacing w:val="0"/>
                      <w:position w:val="0"/>
                      <w:sz w:val="21"/>
                      <w:szCs w:val="21"/>
                      <w:highlight w:val="none"/>
                      <w:lang w:val="en-US" w:eastAsia="zh-CN"/>
                    </w:rPr>
                    <w:t>46.26</w:t>
                  </w:r>
                  <w:r>
                    <w:rPr>
                      <w:rFonts w:hint="default" w:ascii="Times New Roman" w:hAnsi="Times New Roman" w:eastAsia="宋体" w:cs="Times New Roman"/>
                      <w:color w:val="auto"/>
                      <w:spacing w:val="0"/>
                      <w:position w:val="0"/>
                      <w:sz w:val="21"/>
                      <w:szCs w:val="21"/>
                      <w:highlight w:val="none"/>
                      <w:lang w:val="en-US" w:eastAsia="zh-CN"/>
                    </w:rPr>
                    <w:fldChar w:fldCharType="end"/>
                  </w:r>
                </w:p>
              </w:tc>
              <w:tc>
                <w:tcPr>
                  <w:tcW w:w="746" w:type="pct"/>
                  <w:tcBorders>
                    <w:tl2br w:val="nil"/>
                    <w:tr2bl w:val="nil"/>
                  </w:tcBorders>
                  <w:shd w:val="clear" w:color="auto" w:fill="auto"/>
                  <w:noWrap/>
                  <w:vAlign w:val="center"/>
                </w:tcPr>
                <w:p w14:paraId="4E4CFECC">
                  <w:pPr>
                    <w:pStyle w:val="94"/>
                    <w:shd w:val="clea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lang w:eastAsia="zh-CN"/>
                    </w:rPr>
                    <w:fldChar w:fldCharType="begin"/>
                  </w:r>
                  <w:r>
                    <w:rPr>
                      <w:rFonts w:hint="default" w:ascii="Times New Roman" w:hAnsi="Times New Roman" w:eastAsia="宋体" w:cs="Times New Roman"/>
                      <w:color w:val="auto"/>
                      <w:spacing w:val="0"/>
                      <w:position w:val="0"/>
                      <w:sz w:val="21"/>
                      <w:szCs w:val="21"/>
                      <w:highlight w:val="none"/>
                      <w:lang w:eastAsia="zh-CN"/>
                    </w:rPr>
                    <w:instrText xml:space="preserve"> = sum(D3:D6) \* MERGEFORMAT </w:instrText>
                  </w:r>
                  <w:r>
                    <w:rPr>
                      <w:rFonts w:hint="default" w:ascii="Times New Roman" w:hAnsi="Times New Roman" w:eastAsia="宋体" w:cs="Times New Roman"/>
                      <w:color w:val="auto"/>
                      <w:spacing w:val="0"/>
                      <w:position w:val="0"/>
                      <w:sz w:val="21"/>
                      <w:szCs w:val="21"/>
                      <w:highlight w:val="none"/>
                      <w:lang w:eastAsia="zh-CN"/>
                    </w:rPr>
                    <w:fldChar w:fldCharType="separate"/>
                  </w:r>
                  <w:r>
                    <w:rPr>
                      <w:rFonts w:hint="default" w:ascii="Times New Roman" w:hAnsi="Times New Roman" w:cs="Times New Roman"/>
                      <w:color w:val="auto"/>
                      <w:spacing w:val="0"/>
                      <w:position w:val="0"/>
                      <w:sz w:val="21"/>
                      <w:szCs w:val="21"/>
                      <w:highlight w:val="none"/>
                      <w:lang w:eastAsia="zh-CN"/>
                    </w:rPr>
                    <w:t>68.96</w:t>
                  </w:r>
                  <w:r>
                    <w:rPr>
                      <w:rFonts w:hint="default" w:ascii="Times New Roman" w:hAnsi="Times New Roman" w:eastAsia="宋体" w:cs="Times New Roman"/>
                      <w:color w:val="auto"/>
                      <w:spacing w:val="0"/>
                      <w:position w:val="0"/>
                      <w:sz w:val="21"/>
                      <w:szCs w:val="21"/>
                      <w:highlight w:val="none"/>
                      <w:lang w:eastAsia="zh-CN"/>
                    </w:rPr>
                    <w:fldChar w:fldCharType="end"/>
                  </w:r>
                </w:p>
              </w:tc>
              <w:tc>
                <w:tcPr>
                  <w:tcW w:w="1713" w:type="pct"/>
                  <w:tcBorders>
                    <w:tl2br w:val="nil"/>
                    <w:tr2bl w:val="nil"/>
                  </w:tcBorders>
                  <w:shd w:val="clear" w:color="auto" w:fill="auto"/>
                  <w:noWrap/>
                  <w:vAlign w:val="center"/>
                </w:tcPr>
                <w:p w14:paraId="68FD39E1">
                  <w:pPr>
                    <w:pStyle w:val="94"/>
                    <w:shd w:val="clear"/>
                    <w:rPr>
                      <w:rFonts w:hint="default" w:ascii="Times New Roman" w:hAnsi="Times New Roman" w:eastAsia="宋体" w:cs="Times New Roman"/>
                      <w:color w:val="auto"/>
                      <w:spacing w:val="0"/>
                      <w:position w:val="0"/>
                      <w:sz w:val="21"/>
                      <w:szCs w:val="21"/>
                      <w:highlight w:val="none"/>
                    </w:rPr>
                  </w:pPr>
                </w:p>
              </w:tc>
            </w:tr>
          </w:tbl>
          <w:p w14:paraId="73ECAD0E">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经现场调查，拟建的临时施工生产生活区均在河漫滩上，现状基本无植被覆盖，且施工期较短，施工结束后对临时设施予以拆除，统一采取平整土地措施，分层回填剥离的表土，人工恢复施工临时占地的植被覆盖，使其恢复生态功能。在采取工程措施的同时，优选建设工期，强化施工期的管理、监理、监督体制，有效地防治项目区的水土流失，最大限度恢复原有土地使用功能，降低工程占地对土地利用现状的影响。</w:t>
            </w:r>
          </w:p>
          <w:p w14:paraId="4264C88F">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因此，施工占地对周围地表的扰动是短暂的，项目占地对周边生态环境</w:t>
            </w:r>
            <w:r>
              <w:rPr>
                <w:rFonts w:hint="default" w:ascii="Times New Roman" w:hAnsi="Times New Roman" w:eastAsia="宋体" w:cs="Times New Roman"/>
                <w:color w:val="auto"/>
                <w:spacing w:val="0"/>
                <w:position w:val="0"/>
                <w:sz w:val="24"/>
                <w:szCs w:val="24"/>
                <w:highlight w:val="none"/>
                <w:lang w:eastAsia="zh-CN"/>
              </w:rPr>
              <w:t>影响程度较小</w:t>
            </w:r>
            <w:r>
              <w:rPr>
                <w:rFonts w:hint="default" w:ascii="Times New Roman" w:hAnsi="Times New Roman" w:eastAsia="宋体" w:cs="Times New Roman"/>
                <w:color w:val="auto"/>
                <w:spacing w:val="0"/>
                <w:position w:val="0"/>
                <w:sz w:val="24"/>
                <w:szCs w:val="24"/>
                <w:highlight w:val="none"/>
              </w:rPr>
              <w:t>。</w:t>
            </w:r>
          </w:p>
          <w:p w14:paraId="433A8EEE">
            <w:pPr>
              <w:keepNext w:val="0"/>
              <w:keepLines w:val="0"/>
              <w:pageBreakBefore w:val="0"/>
              <w:widowControl w:val="0"/>
              <w:shd w:val="clear"/>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1.2</w:t>
            </w:r>
            <w:r>
              <w:rPr>
                <w:rFonts w:hint="default" w:ascii="Times New Roman" w:hAnsi="Times New Roman" w:eastAsia="宋体" w:cs="Times New Roman"/>
                <w:color w:val="auto"/>
                <w:spacing w:val="0"/>
                <w:position w:val="0"/>
                <w:sz w:val="24"/>
                <w:szCs w:val="24"/>
                <w:highlight w:val="none"/>
                <w14:textOutline w14:w="4358" w14:cap="sq" w14:cmpd="sng">
                  <w14:solidFill>
                    <w14:srgbClr w14:val="000000"/>
                  </w14:solidFill>
                  <w14:prstDash w14:val="solid"/>
                  <w14:bevel/>
                </w14:textOutline>
              </w:rPr>
              <w:t>施工作业期污染物对植被的影响</w:t>
            </w:r>
          </w:p>
          <w:p w14:paraId="5E86D79E">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1</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扬尘对植被的影响</w:t>
            </w:r>
          </w:p>
          <w:p w14:paraId="638CBF1C">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施工建设过程中的扬尘对植被生长有一定的影响。扬尘产生的颗粒物在植物地上器官沉降将对植物产生直接影响。</w:t>
            </w:r>
          </w:p>
          <w:p w14:paraId="03C7C89E">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由于防洪堤穿越的区域总体上地形开阔，扬尘易于扩散，加上工程施工阶段的污染源分散，因此正常情况下扬尘浓度低，工期短，对植被影响有限。</w:t>
            </w:r>
          </w:p>
          <w:p w14:paraId="63D61E34">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2</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施工废弃物对植被的影响</w:t>
            </w:r>
          </w:p>
          <w:p w14:paraId="6406AFF6">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施工废弃物的乱丢弃不但影响景观，也影响植物的生长。因此施工中应做好施工人员的管理和环保宣传，杜绝乱丢乱弃的现象。</w:t>
            </w:r>
          </w:p>
          <w:p w14:paraId="615FDEDC">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3</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施工期人为活动对植被的影响</w:t>
            </w:r>
          </w:p>
          <w:p w14:paraId="34304243">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人为活动对植被的影响主要表现在施工人员和作业机械对植被的践踏、</w:t>
            </w:r>
            <w:r>
              <w:rPr>
                <w:rFonts w:hint="default" w:ascii="Times New Roman" w:hAnsi="Times New Roman" w:eastAsia="宋体" w:cs="Times New Roman"/>
                <w:color w:val="auto"/>
                <w:spacing w:val="0"/>
                <w:position w:val="0"/>
                <w:sz w:val="24"/>
                <w:szCs w:val="24"/>
                <w:highlight w:val="none"/>
                <w:lang w:eastAsia="zh-CN"/>
              </w:rPr>
              <w:t>碾压</w:t>
            </w:r>
            <w:r>
              <w:rPr>
                <w:rFonts w:hint="default" w:ascii="Times New Roman" w:hAnsi="Times New Roman" w:eastAsia="宋体" w:cs="Times New Roman"/>
                <w:color w:val="auto"/>
                <w:spacing w:val="0"/>
                <w:position w:val="0"/>
                <w:sz w:val="24"/>
                <w:szCs w:val="24"/>
                <w:highlight w:val="none"/>
              </w:rPr>
              <w:t>等。施工期应做好环保宣传，尽可能减少不必要的砍伐和植被破坏。</w:t>
            </w:r>
          </w:p>
          <w:p w14:paraId="0D6FB606">
            <w:pPr>
              <w:keepNext w:val="0"/>
              <w:keepLines w:val="0"/>
              <w:pageBreakBefore w:val="0"/>
              <w:shd w:val="clear"/>
              <w:kinsoku/>
              <w:wordWrap/>
              <w:overflowPunct/>
              <w:topLinePunct w:val="0"/>
              <w:autoSpaceDE/>
              <w:autoSpaceDN/>
              <w:bidi w:val="0"/>
              <w:spacing w:line="360" w:lineRule="auto"/>
              <w:ind w:left="0" w:right="0"/>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1.3</w:t>
            </w:r>
            <w:r>
              <w:rPr>
                <w:rFonts w:hint="default" w:ascii="Times New Roman" w:hAnsi="Times New Roman" w:eastAsia="宋体" w:cs="Times New Roman"/>
                <w:color w:val="auto"/>
                <w:spacing w:val="0"/>
                <w:position w:val="0"/>
                <w:sz w:val="24"/>
                <w:szCs w:val="24"/>
                <w:highlight w:val="none"/>
                <w14:textOutline w14:w="4358" w14:cap="sq" w14:cmpd="sng">
                  <w14:solidFill>
                    <w14:srgbClr w14:val="000000"/>
                  </w14:solidFill>
                  <w14:prstDash w14:val="solid"/>
                  <w14:bevel/>
                </w14:textOutline>
              </w:rPr>
              <w:t>土壤环境影响分析</w:t>
            </w:r>
          </w:p>
          <w:p w14:paraId="046F220E">
            <w:pPr>
              <w:keepNext w:val="0"/>
              <w:keepLines w:val="0"/>
              <w:pageBreakBefore w:val="0"/>
              <w:shd w:val="clear"/>
              <w:kinsoku/>
              <w:wordWrap/>
              <w:overflowPunct/>
              <w:topLinePunct w:val="0"/>
              <w:autoSpaceDE/>
              <w:autoSpaceDN/>
              <w:bidi w:val="0"/>
              <w:spacing w:line="360" w:lineRule="auto"/>
              <w:ind w:left="0" w:right="0" w:firstLine="479"/>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工程在施工期对土壤环境的影响主要为人为扰动、车辆行驶和机械施工、各种废弃物污染影响。</w:t>
            </w:r>
          </w:p>
          <w:p w14:paraId="4E4FC780">
            <w:pPr>
              <w:keepNext w:val="0"/>
              <w:keepLines w:val="0"/>
              <w:pageBreakBefore w:val="0"/>
              <w:shd w:val="clear"/>
              <w:kinsoku/>
              <w:wordWrap/>
              <w:overflowPunct/>
              <w:topLinePunct w:val="0"/>
              <w:autoSpaceDE/>
              <w:autoSpaceDN/>
              <w:bidi w:val="0"/>
              <w:spacing w:line="360" w:lineRule="auto"/>
              <w:ind w:left="0" w:right="0" w:firstLine="482"/>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工程建设过程中，不可避免地要对土壤进行人为扰动，大面积开挖和填埋土层，翻动土壤层次并破坏土壤结构。在自然条件下，土壤形成了层状结构，土壤层次被翻动后，表层熟化土被破坏，改变土壤质地。</w:t>
            </w:r>
          </w:p>
          <w:p w14:paraId="5DD8EB13">
            <w:pPr>
              <w:keepNext w:val="0"/>
              <w:keepLines w:val="0"/>
              <w:pageBreakBefore w:val="0"/>
              <w:shd w:val="clear"/>
              <w:kinsoku/>
              <w:wordWrap/>
              <w:overflowPunct/>
              <w:topLinePunct w:val="0"/>
              <w:autoSpaceDE/>
              <w:autoSpaceDN/>
              <w:bidi w:val="0"/>
              <w:spacing w:line="360" w:lineRule="auto"/>
              <w:ind w:left="0" w:right="0" w:firstLine="477"/>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在施工中，车辆</w:t>
            </w:r>
            <w:r>
              <w:rPr>
                <w:rFonts w:hint="default" w:ascii="Times New Roman" w:hAnsi="Times New Roman" w:eastAsia="宋体" w:cs="Times New Roman"/>
                <w:color w:val="auto"/>
                <w:spacing w:val="0"/>
                <w:position w:val="0"/>
                <w:sz w:val="24"/>
                <w:szCs w:val="24"/>
                <w:highlight w:val="none"/>
                <w:lang w:eastAsia="zh-CN"/>
              </w:rPr>
              <w:t>行驶</w:t>
            </w:r>
            <w:r>
              <w:rPr>
                <w:rFonts w:hint="default" w:ascii="Times New Roman" w:hAnsi="Times New Roman" w:eastAsia="宋体" w:cs="Times New Roman"/>
                <w:color w:val="auto"/>
                <w:spacing w:val="0"/>
                <w:position w:val="0"/>
                <w:sz w:val="24"/>
                <w:szCs w:val="24"/>
                <w:highlight w:val="none"/>
              </w:rPr>
              <w:t>和机械作业时机械设备的碾压、施工人员的践踏等都会对土壤的紧实度产生影响。机械碾压的结果使土壤紧实度增高，地表水入渗减少，土壤团粒结构遭到破坏，土壤养分流失，不利于植物生长。各种车辆</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尤其是重型卡车</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的行驶将使经过的土壤变紧实，严重的经过多次碾压后植物很难再生长。道路施工场地等都存在这种影响。</w:t>
            </w:r>
          </w:p>
          <w:p w14:paraId="189DBF8B">
            <w:pPr>
              <w:keepNext w:val="0"/>
              <w:keepLines w:val="0"/>
              <w:pageBreakBefore w:val="0"/>
              <w:shd w:val="clear"/>
              <w:kinsoku/>
              <w:wordWrap/>
              <w:overflowPunct/>
              <w:topLinePunct w:val="0"/>
              <w:autoSpaceDE/>
              <w:autoSpaceDN/>
              <w:bidi w:val="0"/>
              <w:spacing w:line="360" w:lineRule="auto"/>
              <w:ind w:left="0" w:right="0" w:firstLine="479"/>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施工废物也会对土壤环境产生影响，包括施工时散落废水、塑料袋等生活垃圾。这些残留于土壤的固体废物，难于分解，被埋入土壤中会长期残留，影响土壤和植物生长。</w:t>
            </w:r>
          </w:p>
          <w:p w14:paraId="050E7739">
            <w:pPr>
              <w:keepNext w:val="0"/>
              <w:keepLines w:val="0"/>
              <w:pageBreakBefore w:val="0"/>
              <w:shd w:val="clear"/>
              <w:kinsoku/>
              <w:wordWrap/>
              <w:overflowPunct/>
              <w:topLinePunct w:val="0"/>
              <w:autoSpaceDE/>
              <w:autoSpaceDN/>
              <w:bidi w:val="0"/>
              <w:spacing w:line="360" w:lineRule="auto"/>
              <w:ind w:left="0" w:right="0"/>
              <w:outlineLvl w:val="1"/>
              <w:rPr>
                <w:rFonts w:hint="default" w:ascii="Times New Roman" w:hAnsi="Times New Roman" w:eastAsia="宋体" w:cs="Times New Roman"/>
                <w:color w:val="auto"/>
                <w:spacing w:val="0"/>
                <w:position w:val="0"/>
                <w:sz w:val="24"/>
                <w:szCs w:val="24"/>
                <w:highlight w:val="none"/>
              </w:rPr>
            </w:pPr>
            <w:r>
              <w:rPr>
                <w:rFonts w:hint="eastAsia" w:cs="Times New Roman"/>
                <w:b/>
                <w:bCs/>
                <w:color w:val="auto"/>
                <w:spacing w:val="0"/>
                <w:position w:val="0"/>
                <w:sz w:val="24"/>
                <w:szCs w:val="24"/>
                <w:highlight w:val="none"/>
                <w:lang w:val="en-US" w:eastAsia="zh-CN"/>
              </w:rPr>
              <w:t>1.4</w:t>
            </w:r>
            <w:r>
              <w:rPr>
                <w:rFonts w:hint="default" w:ascii="Times New Roman" w:hAnsi="Times New Roman" w:eastAsia="宋体" w:cs="Times New Roman"/>
                <w:color w:val="auto"/>
                <w:spacing w:val="0"/>
                <w:position w:val="0"/>
                <w:sz w:val="24"/>
                <w:szCs w:val="24"/>
                <w:highlight w:val="none"/>
                <w14:textOutline w14:w="4358" w14:cap="sq" w14:cmpd="sng">
                  <w14:solidFill>
                    <w14:srgbClr w14:val="000000"/>
                  </w14:solidFill>
                  <w14:prstDash w14:val="solid"/>
                  <w14:bevel/>
                </w14:textOutline>
              </w:rPr>
              <w:t>对野生动物的影响</w:t>
            </w:r>
          </w:p>
          <w:p w14:paraId="7279181E">
            <w:pPr>
              <w:keepNext w:val="0"/>
              <w:keepLines w:val="0"/>
              <w:pageBreakBefore w:val="0"/>
              <w:shd w:val="clear"/>
              <w:kinsoku/>
              <w:wordWrap/>
              <w:overflowPunct/>
              <w:topLinePunct w:val="0"/>
              <w:autoSpaceDE/>
              <w:autoSpaceDN/>
              <w:bidi w:val="0"/>
              <w:spacing w:line="360" w:lineRule="auto"/>
              <w:ind w:left="0" w:right="0" w:firstLine="477"/>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评价区域分布的动物稀少，以啮齿类动物鼠类为主。评价范围内未发现国家、自治区重点保护野生动物及适合这些野生动物生存的生境。</w:t>
            </w:r>
          </w:p>
          <w:p w14:paraId="010DD03A">
            <w:pPr>
              <w:keepNext w:val="0"/>
              <w:keepLines w:val="0"/>
              <w:pageBreakBefore w:val="0"/>
              <w:shd w:val="clear"/>
              <w:kinsoku/>
              <w:wordWrap/>
              <w:overflowPunct/>
              <w:topLinePunct w:val="0"/>
              <w:autoSpaceDE/>
              <w:autoSpaceDN/>
              <w:bidi w:val="0"/>
              <w:spacing w:line="360" w:lineRule="auto"/>
              <w:ind w:left="0" w:right="0" w:firstLine="478"/>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施工期地表开挖，破坏植被，直接受影响的动物包括生活地下巢穴的啮齿类、爬行类动物。开挖的地表和破坏的植被在评价区域占很小</w:t>
            </w:r>
            <w:r>
              <w:rPr>
                <w:rFonts w:hint="default" w:ascii="Times New Roman" w:hAnsi="Times New Roman" w:eastAsia="宋体" w:cs="Times New Roman"/>
                <w:color w:val="auto"/>
                <w:spacing w:val="0"/>
                <w:position w:val="0"/>
                <w:sz w:val="24"/>
                <w:szCs w:val="24"/>
                <w:highlight w:val="none"/>
                <w:lang w:eastAsia="zh-CN"/>
              </w:rPr>
              <w:t>比例</w:t>
            </w:r>
            <w:r>
              <w:rPr>
                <w:rFonts w:hint="default" w:ascii="Times New Roman" w:hAnsi="Times New Roman" w:eastAsia="宋体" w:cs="Times New Roman"/>
                <w:color w:val="auto"/>
                <w:spacing w:val="0"/>
                <w:position w:val="0"/>
                <w:sz w:val="24"/>
                <w:szCs w:val="24"/>
                <w:highlight w:val="none"/>
              </w:rPr>
              <w:t>，与植物不同，动物易于躲避干扰，重新寻找附近的相同生境定居。局部生境丧失不会导致依赖这些生境生存的动物物种数量下降。</w:t>
            </w:r>
          </w:p>
          <w:p w14:paraId="3ED197E6">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因此，施工期间对区域常见动物产生不利影响，但不会涉及珍稀、濒危的野生动物。由于野生动物只在施工期受到干扰。随着施工结束，采取恢复地表后，影响将逐渐消失。</w:t>
            </w:r>
          </w:p>
          <w:p w14:paraId="3E98ECD5">
            <w:pPr>
              <w:keepNext w:val="0"/>
              <w:keepLines w:val="0"/>
              <w:pageBreakBefore w:val="0"/>
              <w:widowControl w:val="0"/>
              <w:shd w:val="clear"/>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FF"/>
                <w:spacing w:val="0"/>
                <w:position w:val="0"/>
                <w:sz w:val="24"/>
                <w:szCs w:val="24"/>
                <w:highlight w:val="none"/>
              </w:rPr>
            </w:pPr>
            <w:r>
              <w:rPr>
                <w:rFonts w:hint="default" w:ascii="Times New Roman" w:hAnsi="Times New Roman" w:eastAsia="宋体" w:cs="Times New Roman"/>
                <w:b/>
                <w:bCs/>
                <w:color w:val="0000FF"/>
                <w:spacing w:val="0"/>
                <w:position w:val="0"/>
                <w:sz w:val="24"/>
                <w:szCs w:val="24"/>
                <w:highlight w:val="none"/>
              </w:rPr>
              <w:t>1.5</w:t>
            </w:r>
            <w:r>
              <w:rPr>
                <w:rFonts w:hint="default" w:ascii="Times New Roman" w:hAnsi="Times New Roman" w:cs="Times New Roman"/>
                <w:b/>
                <w:bCs/>
                <w:color w:val="0000FF"/>
                <w:spacing w:val="0"/>
                <w:position w:val="0"/>
                <w:sz w:val="24"/>
                <w:szCs w:val="24"/>
                <w:highlight w:val="none"/>
                <w:lang w:val="en-US" w:eastAsia="zh-CN"/>
              </w:rPr>
              <w:t>堆土</w:t>
            </w:r>
            <w:r>
              <w:rPr>
                <w:rFonts w:hint="default" w:ascii="Times New Roman" w:hAnsi="Times New Roman" w:eastAsia="宋体" w:cs="Times New Roman"/>
                <w:b/>
                <w:bCs/>
                <w:color w:val="0000FF"/>
                <w:spacing w:val="0"/>
                <w:position w:val="0"/>
                <w:sz w:val="24"/>
                <w:szCs w:val="24"/>
                <w:highlight w:val="none"/>
                <w:lang w:val="en-US" w:eastAsia="zh-CN"/>
              </w:rPr>
              <w:t>场对临时占地影响分析</w:t>
            </w:r>
          </w:p>
          <w:p w14:paraId="7699092C">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FF"/>
                <w:spacing w:val="0"/>
                <w:position w:val="0"/>
                <w:sz w:val="24"/>
                <w:szCs w:val="24"/>
                <w:highlight w:val="none"/>
              </w:rPr>
            </w:pPr>
            <w:r>
              <w:rPr>
                <w:rFonts w:hint="default" w:ascii="Times New Roman" w:hAnsi="Times New Roman" w:eastAsia="宋体" w:cs="Times New Roman"/>
                <w:color w:val="0000FF"/>
                <w:spacing w:val="0"/>
                <w:position w:val="0"/>
                <w:sz w:val="24"/>
                <w:szCs w:val="24"/>
                <w:highlight w:val="none"/>
              </w:rPr>
              <w:t>本项目施工期临时占地类型为</w:t>
            </w:r>
            <w:r>
              <w:rPr>
                <w:rFonts w:hint="default" w:ascii="Times New Roman" w:hAnsi="Times New Roman" w:eastAsia="宋体" w:cs="Times New Roman"/>
                <w:color w:val="0000FF"/>
                <w:spacing w:val="0"/>
                <w:position w:val="0"/>
                <w:sz w:val="24"/>
                <w:szCs w:val="24"/>
                <w:highlight w:val="none"/>
                <w:lang w:eastAsia="zh-CN"/>
              </w:rPr>
              <w:t>内陆滩涂用地</w:t>
            </w:r>
            <w:r>
              <w:rPr>
                <w:rFonts w:hint="default" w:ascii="Times New Roman" w:hAnsi="Times New Roman" w:eastAsia="宋体" w:cs="Times New Roman"/>
                <w:color w:val="0000FF"/>
                <w:spacing w:val="0"/>
                <w:position w:val="0"/>
                <w:sz w:val="24"/>
                <w:szCs w:val="24"/>
                <w:highlight w:val="none"/>
              </w:rPr>
              <w:t>，占地面积为</w:t>
            </w:r>
            <w:r>
              <w:rPr>
                <w:rFonts w:hint="default" w:ascii="Times New Roman" w:hAnsi="Times New Roman" w:cs="Times New Roman"/>
                <w:color w:val="0000FF"/>
                <w:spacing w:val="0"/>
                <w:position w:val="0"/>
                <w:sz w:val="24"/>
                <w:szCs w:val="24"/>
                <w:highlight w:val="none"/>
                <w:lang w:eastAsia="zh-CN"/>
              </w:rPr>
              <w:t>46.26</w:t>
            </w:r>
            <w:r>
              <w:rPr>
                <w:rFonts w:hint="default" w:ascii="Times New Roman" w:hAnsi="Times New Roman" w:eastAsia="宋体" w:cs="Times New Roman"/>
                <w:color w:val="auto"/>
                <w:spacing w:val="0"/>
                <w:kern w:val="0"/>
                <w:position w:val="0"/>
                <w:sz w:val="24"/>
                <w:szCs w:val="24"/>
                <w:highlight w:val="none"/>
                <w:lang w:val="en-US" w:eastAsia="zh-CN" w:bidi="ar"/>
              </w:rPr>
              <w:t>hm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
              </w:rPr>
              <w:t>2</w:t>
            </w:r>
            <w:r>
              <w:rPr>
                <w:rFonts w:hint="default" w:ascii="Times New Roman" w:hAnsi="Times New Roman" w:eastAsia="宋体" w:cs="Times New Roman"/>
                <w:color w:val="0000FF"/>
                <w:spacing w:val="0"/>
                <w:position w:val="0"/>
                <w:sz w:val="24"/>
                <w:szCs w:val="24"/>
                <w:highlight w:val="none"/>
              </w:rPr>
              <w:t>，</w:t>
            </w:r>
            <w:r>
              <w:rPr>
                <w:rFonts w:hint="default" w:ascii="Times New Roman" w:hAnsi="Times New Roman" w:cs="Times New Roman"/>
                <w:color w:val="0000FF"/>
                <w:spacing w:val="0"/>
                <w:position w:val="0"/>
                <w:sz w:val="24"/>
                <w:szCs w:val="24"/>
                <w:highlight w:val="none"/>
                <w:lang w:val="en-US" w:eastAsia="zh-CN"/>
              </w:rPr>
              <w:t>其中弃土场占地面积共3.56</w:t>
            </w:r>
            <w:r>
              <w:rPr>
                <w:rFonts w:hint="default" w:ascii="Times New Roman" w:hAnsi="Times New Roman" w:eastAsia="宋体" w:cs="Times New Roman"/>
                <w:color w:val="auto"/>
                <w:spacing w:val="0"/>
                <w:kern w:val="0"/>
                <w:position w:val="0"/>
                <w:sz w:val="24"/>
                <w:szCs w:val="24"/>
                <w:highlight w:val="none"/>
                <w:lang w:val="en-US" w:eastAsia="zh-CN" w:bidi="ar"/>
              </w:rPr>
              <w:t>hm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
              </w:rPr>
              <w:t>2</w:t>
            </w:r>
            <w:r>
              <w:rPr>
                <w:rFonts w:hint="default" w:ascii="Times New Roman" w:hAnsi="Times New Roman" w:cs="Times New Roman"/>
                <w:color w:val="0000FF"/>
                <w:spacing w:val="0"/>
                <w:position w:val="0"/>
                <w:sz w:val="24"/>
                <w:szCs w:val="24"/>
                <w:highlight w:val="none"/>
                <w:lang w:val="en-US" w:eastAsia="zh-CN"/>
              </w:rPr>
              <w:t>，</w:t>
            </w:r>
            <w:r>
              <w:rPr>
                <w:rFonts w:hint="default" w:ascii="Times New Roman" w:hAnsi="Times New Roman" w:eastAsia="宋体" w:cs="Times New Roman"/>
                <w:color w:val="0000FF"/>
                <w:spacing w:val="0"/>
                <w:position w:val="0"/>
                <w:sz w:val="24"/>
                <w:szCs w:val="24"/>
                <w:highlight w:val="none"/>
              </w:rPr>
              <w:t>临时占地地表裸露无植被，植被覆盖系数＜1</w:t>
            </w:r>
            <w:r>
              <w:rPr>
                <w:rFonts w:hint="default" w:ascii="Times New Roman" w:hAnsi="Times New Roman" w:cs="Times New Roman"/>
                <w:color w:val="0000FF"/>
                <w:spacing w:val="0"/>
                <w:position w:val="0"/>
                <w:sz w:val="24"/>
                <w:szCs w:val="24"/>
                <w:highlight w:val="none"/>
                <w:lang w:val="en-US" w:eastAsia="zh-CN"/>
              </w:rPr>
              <w:t>0</w:t>
            </w:r>
            <w:r>
              <w:rPr>
                <w:rFonts w:hint="default" w:ascii="Times New Roman" w:hAnsi="Times New Roman" w:eastAsia="宋体" w:cs="Times New Roman"/>
                <w:color w:val="0000FF"/>
                <w:spacing w:val="0"/>
                <w:position w:val="0"/>
                <w:sz w:val="24"/>
                <w:szCs w:val="24"/>
                <w:highlight w:val="none"/>
              </w:rPr>
              <w:t>%，项目植被属于荒漠植被。</w:t>
            </w:r>
          </w:p>
          <w:p w14:paraId="4C67B9CF">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FF"/>
                <w:spacing w:val="0"/>
                <w:position w:val="0"/>
                <w:sz w:val="24"/>
                <w:szCs w:val="24"/>
                <w:highlight w:val="none"/>
              </w:rPr>
            </w:pPr>
            <w:r>
              <w:rPr>
                <w:rFonts w:hint="default" w:ascii="Times New Roman" w:hAnsi="Times New Roman" w:cs="Times New Roman"/>
                <w:color w:val="0000FF"/>
                <w:spacing w:val="0"/>
                <w:position w:val="0"/>
                <w:sz w:val="24"/>
                <w:szCs w:val="24"/>
                <w:highlight w:val="none"/>
                <w:lang w:val="en-US" w:eastAsia="zh-CN"/>
              </w:rPr>
              <w:t>本项目设置两处临时弃土堆场，两段工程各设置一个堆土场，占地类型为水利设施用地，</w:t>
            </w:r>
            <w:r>
              <w:rPr>
                <w:rFonts w:hint="default" w:ascii="Times New Roman" w:hAnsi="Times New Roman" w:eastAsia="宋体" w:cs="Times New Roman"/>
                <w:i w:val="0"/>
                <w:iCs w:val="0"/>
                <w:color w:val="0000FF"/>
                <w:spacing w:val="0"/>
                <w:w w:val="100"/>
                <w:kern w:val="2"/>
                <w:position w:val="0"/>
                <w:sz w:val="24"/>
                <w:szCs w:val="24"/>
                <w:highlight w:val="none"/>
                <w:lang w:val="en-US" w:eastAsia="zh-CN" w:bidi="zh-CN"/>
              </w:rPr>
              <w:t>在</w:t>
            </w:r>
            <w:r>
              <w:rPr>
                <w:rFonts w:hint="default" w:ascii="Times New Roman" w:hAnsi="Times New Roman" w:cs="Times New Roman"/>
                <w:i w:val="0"/>
                <w:iCs w:val="0"/>
                <w:color w:val="0000FF"/>
                <w:spacing w:val="0"/>
                <w:w w:val="100"/>
                <w:kern w:val="2"/>
                <w:position w:val="0"/>
                <w:sz w:val="24"/>
                <w:szCs w:val="24"/>
                <w:highlight w:val="none"/>
                <w:lang w:val="en-US" w:eastAsia="zh-CN" w:bidi="zh-CN"/>
              </w:rPr>
              <w:t>堆土</w:t>
            </w:r>
            <w:r>
              <w:rPr>
                <w:rFonts w:hint="default" w:ascii="Times New Roman" w:hAnsi="Times New Roman" w:eastAsia="宋体" w:cs="Times New Roman"/>
                <w:i w:val="0"/>
                <w:iCs w:val="0"/>
                <w:color w:val="0000FF"/>
                <w:spacing w:val="0"/>
                <w:w w:val="100"/>
                <w:kern w:val="2"/>
                <w:position w:val="0"/>
                <w:sz w:val="24"/>
                <w:szCs w:val="24"/>
                <w:highlight w:val="none"/>
                <w:lang w:val="en-US" w:eastAsia="zh-CN" w:bidi="zh-CN"/>
              </w:rPr>
              <w:t>作业时，</w:t>
            </w:r>
            <w:r>
              <w:rPr>
                <w:rFonts w:hint="default" w:ascii="Times New Roman" w:hAnsi="Times New Roman" w:cs="Times New Roman"/>
                <w:i w:val="0"/>
                <w:iCs w:val="0"/>
                <w:color w:val="0000FF"/>
                <w:spacing w:val="0"/>
                <w:w w:val="100"/>
                <w:kern w:val="2"/>
                <w:position w:val="0"/>
                <w:sz w:val="24"/>
                <w:szCs w:val="24"/>
                <w:highlight w:val="none"/>
                <w:lang w:val="en-US" w:eastAsia="zh-CN" w:bidi="zh-CN"/>
              </w:rPr>
              <w:t>会</w:t>
            </w:r>
            <w:r>
              <w:rPr>
                <w:rFonts w:hint="default" w:ascii="Times New Roman" w:hAnsi="Times New Roman" w:eastAsia="宋体" w:cs="Times New Roman"/>
                <w:i w:val="0"/>
                <w:iCs w:val="0"/>
                <w:color w:val="0000FF"/>
                <w:spacing w:val="0"/>
                <w:w w:val="100"/>
                <w:kern w:val="2"/>
                <w:position w:val="0"/>
                <w:sz w:val="24"/>
                <w:szCs w:val="24"/>
                <w:highlight w:val="none"/>
                <w:lang w:val="en-US" w:eastAsia="zh-CN" w:bidi="zh-CN"/>
              </w:rPr>
              <w:t>造成扬尘飞扬污染施工现场的大气环境，影响施工人员的身体健康和作业，但此类污染影响范围较小，不会给周围大气环境造成较大影响，随施工期结束而消失，不会给周围环境造成较大影响。</w:t>
            </w:r>
            <w:r>
              <w:rPr>
                <w:rFonts w:hint="default" w:ascii="Times New Roman" w:hAnsi="Times New Roman" w:eastAsia="宋体" w:cs="Times New Roman"/>
                <w:color w:val="0000FF"/>
                <w:spacing w:val="0"/>
                <w:position w:val="0"/>
                <w:sz w:val="24"/>
                <w:szCs w:val="24"/>
                <w:highlight w:val="none"/>
              </w:rPr>
              <w:t>不会对当地的生态环境和自然植被造成明显破坏。</w:t>
            </w:r>
          </w:p>
          <w:p w14:paraId="003C22E5">
            <w:pPr>
              <w:keepNext w:val="0"/>
              <w:keepLines w:val="0"/>
              <w:pageBreakBefore w:val="0"/>
              <w:widowControl w:val="0"/>
              <w:shd w:val="clear"/>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1.6</w:t>
            </w:r>
            <w:r>
              <w:rPr>
                <w:rFonts w:hint="default" w:ascii="Times New Roman" w:hAnsi="Times New Roman" w:eastAsia="宋体" w:cs="Times New Roman"/>
                <w:color w:val="auto"/>
                <w:spacing w:val="0"/>
                <w:position w:val="0"/>
                <w:sz w:val="24"/>
                <w:szCs w:val="24"/>
                <w:highlight w:val="none"/>
                <w14:textOutline w14:w="4358" w14:cap="sq" w14:cmpd="sng">
                  <w14:solidFill>
                    <w14:srgbClr w14:val="000000"/>
                  </w14:solidFill>
                  <w14:prstDash w14:val="solid"/>
                  <w14:bevel/>
                </w14:textOutline>
              </w:rPr>
              <w:t>对河道两侧农田影响分析</w:t>
            </w:r>
          </w:p>
          <w:p w14:paraId="0B4B08E3">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根据主体设计布置，河道两岸堤防工程沿河岸布置，在遭受洪水冲刷严重的河湾设置防洪护岸工程，左右岸为耕地，为保护两侧的耕地、居民点不受洪水冲毁的威胁，设计护岸堤顶高程与河滩地高程保持一致，且本工程建成运行后，没有阻挡河水与周边生态系统的水力联系，采用护坡混凝土板和六棱块生态护坡结合形式，有利于河岸陆生生态系统的生存与发展。因此本工程运行后对河道两侧的农田</w:t>
            </w:r>
            <w:r>
              <w:rPr>
                <w:rFonts w:hint="default" w:ascii="Times New Roman" w:hAnsi="Times New Roman" w:eastAsia="宋体" w:cs="Times New Roman"/>
                <w:color w:val="auto"/>
                <w:spacing w:val="0"/>
                <w:position w:val="0"/>
                <w:sz w:val="24"/>
                <w:szCs w:val="24"/>
                <w:highlight w:val="none"/>
                <w:lang w:eastAsia="zh-CN"/>
              </w:rPr>
              <w:t>影响程度较小</w:t>
            </w:r>
            <w:r>
              <w:rPr>
                <w:rFonts w:hint="default" w:ascii="Times New Roman" w:hAnsi="Times New Roman" w:eastAsia="宋体" w:cs="Times New Roman"/>
                <w:color w:val="auto"/>
                <w:spacing w:val="0"/>
                <w:position w:val="0"/>
                <w:sz w:val="24"/>
                <w:szCs w:val="24"/>
                <w:highlight w:val="none"/>
              </w:rPr>
              <w:t>。</w:t>
            </w:r>
          </w:p>
          <w:p w14:paraId="466526C1">
            <w:pPr>
              <w:keepNext w:val="0"/>
              <w:keepLines w:val="0"/>
              <w:pageBreakBefore w:val="0"/>
              <w:widowControl w:val="0"/>
              <w:shd w:val="clear"/>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1.7水土流失影响分析</w:t>
            </w:r>
          </w:p>
          <w:p w14:paraId="0ACA1259">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拟建项目建设过程中，由于施工人员践踏、机械作业等，将对地表植被及土壤结构造成破坏，形成一定面积的裸地，遇到雨天将会造成水土流失，开挖的土石方将占用一定的土地，对占地范围产生扰动、植被破坏，开挖土石方堆存易发生水土流失。工程建设新增水土流失产生于以下方面：</w:t>
            </w:r>
          </w:p>
          <w:p w14:paraId="6A96347B">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①拟建工程实施期间，由于场地开拓及平整地基土层的填挖、施工临时生产区、施工道路的布置等，均有可能造成原生地表植被的破坏，引发和加剧水土流失。</w:t>
            </w:r>
          </w:p>
          <w:p w14:paraId="2BC0248E">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②弃渣堆放被风蚀的可能性较大，若堆放或保护措施不当，将会在大风作用下产生水土流失。</w:t>
            </w:r>
          </w:p>
          <w:p w14:paraId="40AE8A71">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从本工程建设性质来看，主体工程及其配套设施建设将扰动原地貌，改变地形地貌，破坏植被，工程建设对拟建项目占地范围内的土地产生扰动，但本工程占地面积较小，影响范围也有限，对项目区周边水土流失的影响不大。</w:t>
            </w:r>
          </w:p>
          <w:p w14:paraId="7DA2A80D">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综上所述，项目区域周边无风景名胜区、自然保护区及文化遗产等特殊保护目标，生态环境不属于敏感区。建议建设、施工单位继续完善相关水土保持措施建设，尽量减小水土流失对项目生产运行和周边生态环境的影响。</w:t>
            </w:r>
          </w:p>
          <w:p w14:paraId="77303E87">
            <w:pPr>
              <w:keepNext w:val="0"/>
              <w:keepLines w:val="0"/>
              <w:pageBreakBefore w:val="0"/>
              <w:shd w:val="clear"/>
              <w:kinsoku/>
              <w:wordWrap/>
              <w:overflowPunct/>
              <w:topLinePunct w:val="0"/>
              <w:autoSpaceDE/>
              <w:autoSpaceDN/>
              <w:bidi w:val="0"/>
              <w:spacing w:line="360" w:lineRule="auto"/>
              <w:ind w:left="0" w:right="0"/>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1.8</w:t>
            </w:r>
            <w:r>
              <w:rPr>
                <w:rFonts w:hint="default" w:ascii="Times New Roman" w:hAnsi="Times New Roman" w:eastAsia="宋体" w:cs="Times New Roman"/>
                <w:color w:val="auto"/>
                <w:spacing w:val="0"/>
                <w:position w:val="0"/>
                <w:sz w:val="24"/>
                <w:szCs w:val="24"/>
                <w:highlight w:val="none"/>
                <w14:textOutline w14:w="4358" w14:cap="sq" w14:cmpd="sng">
                  <w14:solidFill>
                    <w14:srgbClr w14:val="000000"/>
                  </w14:solidFill>
                  <w14:prstDash w14:val="solid"/>
                  <w14:bevel/>
                </w14:textOutline>
              </w:rPr>
              <w:t>项目对沙化土地产生的影响分析</w:t>
            </w:r>
          </w:p>
          <w:p w14:paraId="4880857A">
            <w:pPr>
              <w:keepNext w:val="0"/>
              <w:keepLines w:val="0"/>
              <w:pageBreakBefore w:val="0"/>
              <w:shd w:val="clear"/>
              <w:kinsoku/>
              <w:wordWrap/>
              <w:overflowPunct/>
              <w:topLinePunct w:val="0"/>
              <w:autoSpaceDE/>
              <w:autoSpaceDN/>
              <w:bidi w:val="0"/>
              <w:spacing w:line="360" w:lineRule="auto"/>
              <w:ind w:left="0" w:right="0" w:firstLine="481"/>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本项目新增临时占地</w:t>
            </w:r>
            <w:r>
              <w:rPr>
                <w:rFonts w:hint="default" w:ascii="Times New Roman" w:hAnsi="Times New Roman" w:cs="Times New Roman"/>
                <w:color w:val="auto"/>
                <w:spacing w:val="0"/>
                <w:position w:val="0"/>
                <w:sz w:val="21"/>
                <w:szCs w:val="21"/>
                <w:highlight w:val="none"/>
                <w:lang w:eastAsia="zh-CN"/>
              </w:rPr>
              <w:t>22.70</w:t>
            </w:r>
            <w:r>
              <w:rPr>
                <w:rFonts w:hint="default" w:ascii="Times New Roman" w:hAnsi="Times New Roman" w:eastAsia="宋体" w:cs="Times New Roman"/>
                <w:color w:val="auto"/>
                <w:spacing w:val="0"/>
                <w:kern w:val="0"/>
                <w:position w:val="0"/>
                <w:sz w:val="24"/>
                <w:szCs w:val="24"/>
                <w:highlight w:val="none"/>
                <w:lang w:val="en-US" w:eastAsia="zh-CN" w:bidi="ar"/>
              </w:rPr>
              <w:t>hm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
              </w:rPr>
              <w:t>2</w:t>
            </w:r>
            <w:r>
              <w:rPr>
                <w:rFonts w:hint="default" w:ascii="Times New Roman" w:hAnsi="Times New Roman" w:eastAsia="宋体" w:cs="Times New Roman"/>
                <w:color w:val="auto"/>
                <w:spacing w:val="0"/>
                <w:position w:val="0"/>
                <w:sz w:val="24"/>
                <w:szCs w:val="24"/>
                <w:highlight w:val="none"/>
              </w:rPr>
              <w:t>，项目施工期间开挖、土石方工程、车辆碾压等将破坏原有地表植被和土壤结构，导致项目永久占地区植被全部被破坏。施工便道、物料堆放、修筑围墙等将临时占用场外少量用地，施工区域及周边土壤受到扰动，地表植被覆盖降低，成为土地沙化的极敏感因子。如果在人为干扰而植被不能恢复的情况下，评价区的土地荒漠化敏感性将会上升。因此，在区域开发过程中必须重视裸露地表的及时恢复，不然就有可能在局部地区发生土壤荒漠化的加剧。</w:t>
            </w:r>
          </w:p>
          <w:p w14:paraId="12C2A5A3">
            <w:pPr>
              <w:keepNext w:val="0"/>
              <w:keepLines w:val="0"/>
              <w:pageBreakBefore w:val="0"/>
              <w:widowControl w:val="0"/>
              <w:shd w:val="clear"/>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color w:val="FF0000"/>
                <w:spacing w:val="0"/>
                <w:position w:val="0"/>
                <w:sz w:val="24"/>
                <w:szCs w:val="24"/>
                <w:highlight w:val="none"/>
              </w:rPr>
            </w:pPr>
            <w:r>
              <w:rPr>
                <w:rFonts w:hint="default" w:ascii="Times New Roman" w:hAnsi="Times New Roman" w:eastAsia="宋体" w:cs="Times New Roman"/>
                <w:b/>
                <w:bCs/>
                <w:color w:val="FF0000"/>
                <w:spacing w:val="0"/>
                <w:position w:val="0"/>
                <w:sz w:val="24"/>
                <w:szCs w:val="24"/>
                <w:highlight w:val="none"/>
              </w:rPr>
              <w:t>1.9生态影响评价结论</w:t>
            </w:r>
          </w:p>
          <w:p w14:paraId="6F9615D5">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FF0000"/>
                <w:spacing w:val="0"/>
                <w:position w:val="0"/>
                <w:sz w:val="24"/>
                <w:szCs w:val="24"/>
                <w:highlight w:val="none"/>
              </w:rPr>
            </w:pPr>
            <w:r>
              <w:rPr>
                <w:rFonts w:hint="default" w:ascii="Times New Roman" w:hAnsi="Times New Roman" w:eastAsia="宋体" w:cs="Times New Roman"/>
                <w:color w:val="FF0000"/>
                <w:spacing w:val="0"/>
                <w:position w:val="0"/>
                <w:sz w:val="24"/>
                <w:szCs w:val="24"/>
                <w:highlight w:val="none"/>
              </w:rPr>
              <w:t>本项目对项目区生态环境的影响主要是施工扰动对区域植被、动物、土壤稳定性产生的不利影响。本项目占地范围较小，不会对生态系统结构及稳定性产生毁灭性影响。</w:t>
            </w:r>
          </w:p>
          <w:p w14:paraId="7C8D2520">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FF0000"/>
                <w:spacing w:val="0"/>
                <w:position w:val="0"/>
                <w:sz w:val="24"/>
                <w:szCs w:val="24"/>
                <w:highlight w:val="none"/>
              </w:rPr>
            </w:pPr>
            <w:r>
              <w:rPr>
                <w:rFonts w:hint="default" w:ascii="Times New Roman" w:hAnsi="Times New Roman" w:eastAsia="宋体" w:cs="Times New Roman"/>
                <w:color w:val="FF0000"/>
                <w:spacing w:val="0"/>
                <w:position w:val="0"/>
                <w:sz w:val="24"/>
                <w:szCs w:val="24"/>
                <w:highlight w:val="none"/>
              </w:rPr>
              <w:t>本工程占地总面积</w:t>
            </w:r>
            <w:r>
              <w:rPr>
                <w:rFonts w:hint="default" w:ascii="Times New Roman" w:hAnsi="Times New Roman" w:cs="Times New Roman"/>
                <w:color w:val="FF0000"/>
                <w:spacing w:val="0"/>
                <w:position w:val="0"/>
                <w:sz w:val="24"/>
                <w:szCs w:val="24"/>
                <w:highlight w:val="none"/>
                <w:lang w:eastAsia="zh-CN"/>
              </w:rPr>
              <w:t>22.70</w:t>
            </w:r>
            <w:r>
              <w:rPr>
                <w:rFonts w:hint="default" w:ascii="Times New Roman" w:hAnsi="Times New Roman" w:eastAsia="宋体" w:cs="Times New Roman"/>
                <w:color w:val="FF0000"/>
                <w:spacing w:val="0"/>
                <w:kern w:val="0"/>
                <w:position w:val="0"/>
                <w:sz w:val="24"/>
                <w:szCs w:val="24"/>
                <w:highlight w:val="none"/>
                <w:lang w:val="en-US" w:eastAsia="zh-CN" w:bidi="ar"/>
              </w:rPr>
              <w:t>hm</w:t>
            </w:r>
            <w:r>
              <w:rPr>
                <w:rFonts w:hint="default" w:ascii="Times New Roman" w:hAnsi="Times New Roman" w:eastAsia="宋体" w:cs="Times New Roman"/>
                <w:color w:val="FF0000"/>
                <w:spacing w:val="0"/>
                <w:kern w:val="0"/>
                <w:position w:val="0"/>
                <w:sz w:val="24"/>
                <w:szCs w:val="24"/>
                <w:highlight w:val="none"/>
                <w:vertAlign w:val="superscript"/>
                <w:lang w:val="en-US" w:eastAsia="zh-CN" w:bidi="ar"/>
              </w:rPr>
              <w:t>2</w:t>
            </w:r>
            <w:r>
              <w:rPr>
                <w:rFonts w:hint="default" w:ascii="Times New Roman" w:hAnsi="Times New Roman" w:eastAsia="宋体" w:cs="Times New Roman"/>
                <w:color w:val="FF0000"/>
                <w:spacing w:val="0"/>
                <w:position w:val="0"/>
                <w:sz w:val="24"/>
                <w:szCs w:val="24"/>
                <w:highlight w:val="none"/>
              </w:rPr>
              <w:t>，占地会破坏土壤稳定性，易造成一定量水土流失，伴随施工结束、土地硬化，水土流失影响随之消失；随着工程的开展会对植被造成损失，</w:t>
            </w:r>
            <w:r>
              <w:rPr>
                <w:rFonts w:hint="eastAsia" w:cs="Times New Roman"/>
                <w:color w:val="FF0000"/>
                <w:spacing w:val="0"/>
                <w:position w:val="0"/>
                <w:sz w:val="24"/>
                <w:szCs w:val="24"/>
                <w:highlight w:val="none"/>
                <w:lang w:val="en-US" w:eastAsia="zh-CN"/>
              </w:rPr>
              <w:t>待施工期结束后播撒草籽定期灌溉即可恢复</w:t>
            </w:r>
            <w:r>
              <w:rPr>
                <w:rFonts w:hint="default" w:ascii="Times New Roman" w:hAnsi="Times New Roman" w:eastAsia="宋体" w:cs="Times New Roman"/>
                <w:color w:val="FF0000"/>
                <w:spacing w:val="0"/>
                <w:position w:val="0"/>
                <w:sz w:val="24"/>
                <w:szCs w:val="24"/>
                <w:highlight w:val="none"/>
              </w:rPr>
              <w:t>，对生态系统及物种延续产生影响</w:t>
            </w:r>
            <w:r>
              <w:rPr>
                <w:rFonts w:hint="eastAsia" w:cs="Times New Roman"/>
                <w:color w:val="FF0000"/>
                <w:spacing w:val="0"/>
                <w:position w:val="0"/>
                <w:sz w:val="24"/>
                <w:szCs w:val="24"/>
                <w:highlight w:val="none"/>
                <w:lang w:val="en-US" w:eastAsia="zh-CN"/>
              </w:rPr>
              <w:t>不大</w:t>
            </w:r>
            <w:r>
              <w:rPr>
                <w:rFonts w:hint="default" w:ascii="Times New Roman" w:hAnsi="Times New Roman" w:eastAsia="宋体" w:cs="Times New Roman"/>
                <w:color w:val="FF0000"/>
                <w:spacing w:val="0"/>
                <w:position w:val="0"/>
                <w:sz w:val="24"/>
                <w:szCs w:val="24"/>
                <w:highlight w:val="none"/>
              </w:rPr>
              <w:t>；</w:t>
            </w:r>
          </w:p>
          <w:p w14:paraId="6A2CB758">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FF0000"/>
                <w:spacing w:val="0"/>
                <w:position w:val="0"/>
                <w:sz w:val="24"/>
                <w:szCs w:val="24"/>
                <w:highlight w:val="none"/>
              </w:rPr>
            </w:pPr>
            <w:r>
              <w:rPr>
                <w:rFonts w:hint="default" w:ascii="Times New Roman" w:hAnsi="Times New Roman" w:eastAsia="宋体" w:cs="Times New Roman"/>
                <w:color w:val="FF0000"/>
                <w:spacing w:val="0"/>
                <w:position w:val="0"/>
                <w:sz w:val="24"/>
                <w:szCs w:val="24"/>
                <w:highlight w:val="none"/>
              </w:rPr>
              <w:t>本项目位于城镇边缘，动物分布较少，常见动物为鼠类及鸟类，项目生态环境不敏感，不是特定动物的唯一生存地，项目建设不会影响动物的生存产生较大不利影响。</w:t>
            </w:r>
          </w:p>
          <w:p w14:paraId="4376AEB7">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FF0000"/>
                <w:spacing w:val="0"/>
                <w:position w:val="0"/>
                <w:sz w:val="24"/>
                <w:szCs w:val="24"/>
                <w:highlight w:val="none"/>
              </w:rPr>
            </w:pPr>
            <w:r>
              <w:rPr>
                <w:rFonts w:hint="default" w:ascii="Times New Roman" w:hAnsi="Times New Roman" w:eastAsia="宋体" w:cs="Times New Roman"/>
                <w:color w:val="FF0000"/>
                <w:spacing w:val="0"/>
                <w:position w:val="0"/>
                <w:sz w:val="24"/>
                <w:szCs w:val="24"/>
                <w:highlight w:val="none"/>
              </w:rPr>
              <w:t>综上，本项目占地面积小，涉及区域生态系统、植被及动物类型不敏感，生态</w:t>
            </w:r>
            <w:r>
              <w:rPr>
                <w:rFonts w:hint="default" w:ascii="Times New Roman" w:hAnsi="Times New Roman" w:eastAsia="宋体" w:cs="Times New Roman"/>
                <w:color w:val="FF0000"/>
                <w:spacing w:val="0"/>
                <w:position w:val="0"/>
                <w:sz w:val="24"/>
                <w:szCs w:val="24"/>
                <w:highlight w:val="none"/>
                <w:lang w:eastAsia="zh-CN"/>
              </w:rPr>
              <w:t>影响程度较小</w:t>
            </w:r>
            <w:r>
              <w:rPr>
                <w:rFonts w:hint="default" w:ascii="Times New Roman" w:hAnsi="Times New Roman" w:eastAsia="宋体" w:cs="Times New Roman"/>
                <w:color w:val="FF0000"/>
                <w:spacing w:val="0"/>
                <w:position w:val="0"/>
                <w:sz w:val="24"/>
                <w:szCs w:val="24"/>
                <w:highlight w:val="none"/>
              </w:rPr>
              <w:t>。</w:t>
            </w:r>
          </w:p>
          <w:p w14:paraId="7DA22251">
            <w:pPr>
              <w:keepNext w:val="0"/>
              <w:keepLines w:val="0"/>
              <w:pageBreakBefore w:val="0"/>
              <w:shd w:val="clear"/>
              <w:kinsoku/>
              <w:wordWrap/>
              <w:overflowPunct/>
              <w:topLinePunct w:val="0"/>
              <w:autoSpaceDE/>
              <w:autoSpaceDN/>
              <w:bidi w:val="0"/>
              <w:spacing w:line="360" w:lineRule="auto"/>
              <w:ind w:left="0" w:right="0"/>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2</w:t>
            </w:r>
            <w:r>
              <w:rPr>
                <w:rFonts w:hint="default" w:ascii="Times New Roman" w:hAnsi="Times New Roman" w:eastAsia="宋体" w:cs="Times New Roman"/>
                <w:b/>
                <w:bCs/>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14:textOutline w14:w="4358" w14:cap="sq" w14:cmpd="sng">
                  <w14:solidFill>
                    <w14:srgbClr w14:val="000000"/>
                  </w14:solidFill>
                  <w14:prstDash w14:val="solid"/>
                  <w14:bevel/>
                </w14:textOutline>
              </w:rPr>
              <w:t>大气环境影响分析</w:t>
            </w:r>
          </w:p>
          <w:p w14:paraId="41ACCE21">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施工期大气污染源主要来自施工机械、运输尾气及施工</w:t>
            </w:r>
            <w:r>
              <w:rPr>
                <w:rFonts w:hint="default" w:ascii="Times New Roman" w:hAnsi="Times New Roman" w:eastAsia="宋体" w:cs="Times New Roman"/>
                <w:color w:val="auto"/>
                <w:spacing w:val="0"/>
                <w:position w:val="0"/>
                <w:sz w:val="24"/>
                <w:szCs w:val="24"/>
                <w:highlight w:val="none"/>
                <w:lang w:eastAsia="zh-CN"/>
              </w:rPr>
              <w:t>开</w:t>
            </w:r>
            <w:r>
              <w:rPr>
                <w:rFonts w:hint="default" w:ascii="Times New Roman" w:hAnsi="Times New Roman" w:eastAsia="宋体" w:cs="Times New Roman"/>
                <w:color w:val="auto"/>
                <w:spacing w:val="0"/>
                <w:position w:val="0"/>
                <w:sz w:val="24"/>
                <w:szCs w:val="24"/>
                <w:highlight w:val="none"/>
              </w:rPr>
              <w:t>挖等工序产生的粉尘</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扬尘</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、CO、NOx等。</w:t>
            </w:r>
          </w:p>
          <w:p w14:paraId="22FC818B">
            <w:pPr>
              <w:keepNext w:val="0"/>
              <w:keepLines w:val="0"/>
              <w:pageBreakBefore w:val="0"/>
              <w:widowControl w:val="0"/>
              <w:shd w:val="clear"/>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2.1</w:t>
            </w:r>
            <w:r>
              <w:rPr>
                <w:rFonts w:hint="default" w:ascii="Times New Roman" w:hAnsi="Times New Roman" w:eastAsia="宋体" w:cs="Times New Roman"/>
                <w:color w:val="auto"/>
                <w:spacing w:val="0"/>
                <w:position w:val="0"/>
                <w:sz w:val="24"/>
                <w:szCs w:val="24"/>
                <w:highlight w:val="none"/>
                <w14:textOutline w14:w="4358" w14:cap="sq" w14:cmpd="sng">
                  <w14:solidFill>
                    <w14:srgbClr w14:val="000000"/>
                  </w14:solidFill>
                  <w14:prstDash w14:val="solid"/>
                  <w14:bevel/>
                </w14:textOutline>
              </w:rPr>
              <w:t>扬尘</w:t>
            </w:r>
          </w:p>
          <w:p w14:paraId="4C2BA2FC">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工程施工的扬尘来源主要来自河道开挖、回填等工序产生的扬尘以及运输车辆行驶过程中产生的扬尘。</w:t>
            </w:r>
          </w:p>
          <w:p w14:paraId="7F3C1406">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1</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施工车辆运输扬尘</w:t>
            </w:r>
          </w:p>
          <w:p w14:paraId="3A87A369">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3"/>
                <w:szCs w:val="23"/>
                <w:highlight w:val="none"/>
              </w:rPr>
            </w:pPr>
            <w:r>
              <w:rPr>
                <w:rFonts w:hint="default" w:ascii="Times New Roman" w:hAnsi="Times New Roman" w:eastAsia="宋体" w:cs="Times New Roman"/>
                <w:color w:val="auto"/>
                <w:spacing w:val="0"/>
                <w:position w:val="0"/>
                <w:sz w:val="24"/>
                <w:szCs w:val="24"/>
                <w:highlight w:val="none"/>
              </w:rPr>
              <w:t>据类比调查与项目实际情况，施工期的扬尘主要由运输车辆行驶产生，与道路路面及车辆行驶速度有关，约占扬尘总量的60%。在完全干燥的情况下，可按起尘的经验公式计算：</w:t>
            </w:r>
          </w:p>
          <w:p w14:paraId="0FE1EB73">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center"/>
              <w:rPr>
                <w:rFonts w:hint="default" w:ascii="Times New Roman" w:hAnsi="Times New Roman" w:eastAsia="宋体" w:cs="Times New Roman"/>
                <w:color w:val="auto"/>
                <w:spacing w:val="0"/>
                <w:position w:val="0"/>
                <w:highlight w:val="none"/>
              </w:rPr>
            </w:pPr>
            <w:r>
              <w:rPr>
                <w:rFonts w:hint="default" w:ascii="Times New Roman" w:hAnsi="Times New Roman" w:eastAsia="宋体" w:cs="Times New Roman"/>
                <w:color w:val="auto"/>
                <w:spacing w:val="0"/>
                <w:position w:val="0"/>
                <w:highlight w:val="none"/>
              </w:rPr>
              <w:drawing>
                <wp:inline distT="0" distB="0" distL="0" distR="0">
                  <wp:extent cx="2465705" cy="630555"/>
                  <wp:effectExtent l="0" t="0" r="10795" b="1714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2"/>
                          <a:stretch>
                            <a:fillRect/>
                          </a:stretch>
                        </pic:blipFill>
                        <pic:spPr>
                          <a:xfrm>
                            <a:off x="0" y="0"/>
                            <a:ext cx="2465832" cy="630935"/>
                          </a:xfrm>
                          <a:prstGeom prst="rect">
                            <a:avLst/>
                          </a:prstGeom>
                        </pic:spPr>
                      </pic:pic>
                    </a:graphicData>
                  </a:graphic>
                </wp:inline>
              </w:drawing>
            </w:r>
          </w:p>
          <w:p w14:paraId="5DD8E714">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式中：Q</w:t>
            </w:r>
            <w:r>
              <w:rPr>
                <w:rFonts w:hint="default" w:ascii="Times New Roman" w:hAnsi="Times New Roman" w:eastAsia="宋体" w:cs="Times New Roman"/>
                <w:color w:val="auto"/>
                <w:spacing w:val="0"/>
                <w:position w:val="0"/>
                <w:sz w:val="24"/>
                <w:szCs w:val="24"/>
                <w:highlight w:val="none"/>
                <w:vertAlign w:val="subscript"/>
              </w:rPr>
              <w:t>P</w:t>
            </w:r>
            <w:r>
              <w:rPr>
                <w:rFonts w:hint="default" w:ascii="Times New Roman" w:hAnsi="Times New Roman" w:eastAsia="宋体" w:cs="Times New Roman"/>
                <w:color w:val="auto"/>
                <w:spacing w:val="0"/>
                <w:position w:val="0"/>
                <w:sz w:val="24"/>
                <w:szCs w:val="24"/>
                <w:highlight w:val="none"/>
              </w:rPr>
              <w:t>—交通运输起尘量，kg/km辆；</w:t>
            </w:r>
          </w:p>
          <w:p w14:paraId="1713126A">
            <w:pPr>
              <w:keepNext w:val="0"/>
              <w:keepLines w:val="0"/>
              <w:pageBreakBefore w:val="0"/>
              <w:widowControl w:val="0"/>
              <w:shd w:val="clear"/>
              <w:kinsoku/>
              <w:wordWrap/>
              <w:overflowPunct/>
              <w:topLinePunct w:val="0"/>
              <w:autoSpaceDE/>
              <w:autoSpaceDN/>
              <w:bidi w:val="0"/>
              <w:adjustRightInd/>
              <w:snapToGrid/>
              <w:spacing w:line="360" w:lineRule="auto"/>
              <w:ind w:left="0" w:right="0" w:firstLine="1200" w:firstLineChars="5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V—车辆行驶速度，km/h；</w:t>
            </w:r>
          </w:p>
          <w:p w14:paraId="6D5B3FB8">
            <w:pPr>
              <w:keepNext w:val="0"/>
              <w:keepLines w:val="0"/>
              <w:pageBreakBefore w:val="0"/>
              <w:widowControl w:val="0"/>
              <w:shd w:val="clear"/>
              <w:kinsoku/>
              <w:wordWrap/>
              <w:overflowPunct/>
              <w:topLinePunct w:val="0"/>
              <w:autoSpaceDE/>
              <w:autoSpaceDN/>
              <w:bidi w:val="0"/>
              <w:adjustRightInd/>
              <w:snapToGrid/>
              <w:spacing w:line="360" w:lineRule="auto"/>
              <w:ind w:left="0" w:right="0" w:firstLine="1200" w:firstLineChars="5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M—车辆载重，t/辆；</w:t>
            </w:r>
          </w:p>
          <w:p w14:paraId="6C2068EA">
            <w:pPr>
              <w:keepNext w:val="0"/>
              <w:keepLines w:val="0"/>
              <w:pageBreakBefore w:val="0"/>
              <w:widowControl w:val="0"/>
              <w:shd w:val="clear"/>
              <w:kinsoku/>
              <w:wordWrap/>
              <w:overflowPunct/>
              <w:topLinePunct w:val="0"/>
              <w:autoSpaceDE/>
              <w:autoSpaceDN/>
              <w:bidi w:val="0"/>
              <w:adjustRightInd/>
              <w:snapToGrid/>
              <w:spacing w:line="360" w:lineRule="auto"/>
              <w:ind w:left="0" w:right="0" w:firstLine="1200" w:firstLineChars="5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P—路面状况，以</w:t>
            </w:r>
            <w:r>
              <w:rPr>
                <w:rFonts w:hint="default" w:ascii="Times New Roman" w:hAnsi="Times New Roman" w:eastAsia="宋体" w:cs="Times New Roman"/>
                <w:color w:val="auto"/>
                <w:spacing w:val="0"/>
                <w:position w:val="0"/>
                <w:sz w:val="24"/>
                <w:szCs w:val="24"/>
                <w:highlight w:val="none"/>
                <w:lang w:eastAsia="zh-CN"/>
              </w:rPr>
              <w:t>平方米</w:t>
            </w:r>
            <w:r>
              <w:rPr>
                <w:rFonts w:hint="default" w:ascii="Times New Roman" w:hAnsi="Times New Roman" w:eastAsia="宋体" w:cs="Times New Roman"/>
                <w:color w:val="auto"/>
                <w:spacing w:val="0"/>
                <w:position w:val="0"/>
                <w:sz w:val="24"/>
                <w:szCs w:val="24"/>
                <w:highlight w:val="none"/>
              </w:rPr>
              <w:t>路面灰尘覆盖率表示，kg/m</w:t>
            </w:r>
            <w:r>
              <w:rPr>
                <w:rFonts w:hint="default" w:ascii="Times New Roman" w:hAnsi="Times New Roman" w:eastAsia="宋体" w:cs="Times New Roman"/>
                <w:color w:val="auto"/>
                <w:spacing w:val="0"/>
                <w:position w:val="0"/>
                <w:sz w:val="24"/>
                <w:szCs w:val="24"/>
                <w:highlight w:val="none"/>
                <w:vertAlign w:val="superscript"/>
              </w:rPr>
              <w:t>2</w:t>
            </w:r>
            <w:r>
              <w:rPr>
                <w:rFonts w:hint="default" w:ascii="Times New Roman" w:hAnsi="Times New Roman" w:eastAsia="宋体" w:cs="Times New Roman"/>
                <w:color w:val="auto"/>
                <w:spacing w:val="0"/>
                <w:position w:val="0"/>
                <w:sz w:val="24"/>
                <w:szCs w:val="24"/>
                <w:highlight w:val="none"/>
              </w:rPr>
              <w:t>；</w:t>
            </w:r>
          </w:p>
          <w:p w14:paraId="1772F6CD">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一辆载重5t的卡车，通过一段长度为500m的路面时，不同表面清洁程度，不同行驶速度情况下产生的扬尘量如表4-2。</w:t>
            </w:r>
          </w:p>
          <w:p w14:paraId="1015FE75">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表</w:t>
            </w:r>
            <w:r>
              <w:rPr>
                <w:rFonts w:hint="default" w:ascii="Times New Roman" w:hAnsi="Times New Roman" w:eastAsia="宋体" w:cs="Times New Roman"/>
                <w:b/>
                <w:bCs/>
                <w:color w:val="auto"/>
                <w:spacing w:val="0"/>
                <w:position w:val="0"/>
                <w:sz w:val="21"/>
                <w:szCs w:val="21"/>
                <w:highlight w:val="none"/>
              </w:rPr>
              <w:t>4-2</w:t>
            </w:r>
            <w:r>
              <w:rPr>
                <w:rFonts w:hint="default" w:ascii="Times New Roman" w:hAnsi="Times New Roman" w:eastAsia="宋体" w:cs="Times New Roman"/>
                <w:b/>
                <w:bCs/>
                <w:color w:val="auto"/>
                <w:spacing w:val="0"/>
                <w:position w:val="0"/>
                <w:sz w:val="21"/>
                <w:szCs w:val="21"/>
                <w:highlight w:val="none"/>
                <w:lang w:val="en-US" w:eastAsia="zh-CN"/>
              </w:rPr>
              <w:t xml:space="preserve">   </w:t>
            </w: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不同车速和地面清洁程度时的汽车扬尘单位：</w:t>
            </w:r>
            <w:r>
              <w:rPr>
                <w:rFonts w:hint="default" w:ascii="Times New Roman" w:hAnsi="Times New Roman" w:eastAsia="宋体" w:cs="Times New Roman"/>
                <w:b/>
                <w:bCs/>
                <w:color w:val="auto"/>
                <w:spacing w:val="0"/>
                <w:position w:val="0"/>
                <w:sz w:val="21"/>
                <w:szCs w:val="21"/>
                <w:highlight w:val="none"/>
              </w:rPr>
              <w:t>kg/km·</w:t>
            </w: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辆</w:t>
            </w:r>
          </w:p>
          <w:tbl>
            <w:tblPr>
              <w:tblStyle w:val="91"/>
              <w:tblW w:w="771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1169"/>
              <w:gridCol w:w="969"/>
              <w:gridCol w:w="969"/>
              <w:gridCol w:w="968"/>
              <w:gridCol w:w="969"/>
              <w:gridCol w:w="969"/>
            </w:tblGrid>
            <w:tr w14:paraId="5ADAFF7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704" w:type="dxa"/>
                  <w:tcBorders>
                    <w:bottom w:val="single" w:color="000000" w:sz="12" w:space="0"/>
                  </w:tcBorders>
                  <w:vAlign w:val="center"/>
                </w:tcPr>
                <w:p w14:paraId="6426758A">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auto"/>
                      <w:spacing w:val="0"/>
                      <w:position w:val="0"/>
                      <w:sz w:val="21"/>
                      <w:szCs w:val="21"/>
                      <w:highlight w:val="none"/>
                      <w:lang w:eastAsia="zh-CN"/>
                    </w:rPr>
                  </w:pPr>
                  <w:r>
                    <w:rPr>
                      <w:rFonts w:hint="default" w:ascii="Times New Roman" w:hAnsi="Times New Roman" w:eastAsia="宋体" w:cs="Times New Roman"/>
                      <w:b/>
                      <w:bCs/>
                      <w:color w:val="auto"/>
                      <w:spacing w:val="0"/>
                      <w:position w:val="0"/>
                      <w:sz w:val="21"/>
                      <w:szCs w:val="21"/>
                      <w:highlight w:val="none"/>
                    </w:rPr>
                    <w:t>P</w:t>
                  </w:r>
                  <w:r>
                    <w:rPr>
                      <w:rFonts w:hint="default" w:ascii="Times New Roman" w:hAnsi="Times New Roman" w:eastAsia="宋体" w:cs="Times New Roman"/>
                      <w:b/>
                      <w:bCs/>
                      <w:color w:val="auto"/>
                      <w:spacing w:val="0"/>
                      <w:position w:val="0"/>
                      <w:sz w:val="21"/>
                      <w:szCs w:val="21"/>
                      <w:highlight w:val="none"/>
                      <w:lang w:eastAsia="zh-CN"/>
                    </w:rPr>
                    <w:t>（</w:t>
                  </w:r>
                  <w:r>
                    <w:rPr>
                      <w:rFonts w:hint="default" w:ascii="Times New Roman" w:hAnsi="Times New Roman" w:eastAsia="宋体" w:cs="Times New Roman"/>
                      <w:b/>
                      <w:bCs/>
                      <w:color w:val="auto"/>
                      <w:spacing w:val="0"/>
                      <w:position w:val="0"/>
                      <w:sz w:val="21"/>
                      <w:szCs w:val="21"/>
                      <w:highlight w:val="none"/>
                    </w:rPr>
                    <w:t>kg/m</w:t>
                  </w:r>
                  <w:r>
                    <w:rPr>
                      <w:rFonts w:hint="default" w:ascii="Times New Roman" w:hAnsi="Times New Roman" w:eastAsia="宋体" w:cs="Times New Roman"/>
                      <w:b/>
                      <w:bCs/>
                      <w:color w:val="auto"/>
                      <w:spacing w:val="0"/>
                      <w:position w:val="0"/>
                      <w:sz w:val="21"/>
                      <w:szCs w:val="21"/>
                      <w:highlight w:val="none"/>
                      <w:vertAlign w:val="superscript"/>
                    </w:rPr>
                    <w:t>2</w:t>
                  </w:r>
                  <w:r>
                    <w:rPr>
                      <w:rFonts w:hint="default" w:ascii="Times New Roman" w:hAnsi="Times New Roman" w:eastAsia="宋体" w:cs="Times New Roman"/>
                      <w:b/>
                      <w:bCs/>
                      <w:color w:val="auto"/>
                      <w:spacing w:val="0"/>
                      <w:position w:val="0"/>
                      <w:sz w:val="21"/>
                      <w:szCs w:val="21"/>
                      <w:highlight w:val="none"/>
                      <w:lang w:eastAsia="zh-CN"/>
                    </w:rPr>
                    <w:t>）</w:t>
                  </w:r>
                </w:p>
                <w:p w14:paraId="21754B35">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14:textOutline w14:w="3792" w14:cap="sq" w14:cmpd="sng">
                        <w14:solidFill>
                          <w14:srgbClr w14:val="000000"/>
                        </w14:solidFill>
                        <w14:prstDash w14:val="solid"/>
                        <w14:bevel/>
                      </w14:textOutline>
                    </w:rPr>
                    <w:t>车速</w:t>
                  </w:r>
                  <w:r>
                    <w:rPr>
                      <w:rFonts w:hint="default" w:ascii="Times New Roman" w:hAnsi="Times New Roman" w:eastAsia="宋体" w:cs="Times New Roman"/>
                      <w:color w:val="auto"/>
                      <w:spacing w:val="0"/>
                      <w:position w:val="0"/>
                      <w:sz w:val="21"/>
                      <w:szCs w:val="21"/>
                      <w:highlight w:val="none"/>
                      <w:lang w:eastAsia="zh-CN"/>
                      <w14:textOutline w14:w="3792" w14:cap="sq" w14:cmpd="sng">
                        <w14:solidFill>
                          <w14:srgbClr w14:val="000000"/>
                        </w14:solidFill>
                        <w14:prstDash w14:val="solid"/>
                        <w14:bevel/>
                      </w14:textOutline>
                    </w:rPr>
                    <w:t>（</w:t>
                  </w:r>
                  <w:r>
                    <w:rPr>
                      <w:rFonts w:hint="default" w:ascii="Times New Roman" w:hAnsi="Times New Roman" w:eastAsia="宋体" w:cs="Times New Roman"/>
                      <w:b/>
                      <w:bCs/>
                      <w:color w:val="auto"/>
                      <w:spacing w:val="0"/>
                      <w:position w:val="0"/>
                      <w:sz w:val="21"/>
                      <w:szCs w:val="21"/>
                      <w:highlight w:val="none"/>
                    </w:rPr>
                    <w:t>km/h</w:t>
                  </w:r>
                  <w:r>
                    <w:rPr>
                      <w:rFonts w:hint="default" w:ascii="Times New Roman" w:hAnsi="Times New Roman" w:eastAsia="宋体" w:cs="Times New Roman"/>
                      <w:b/>
                      <w:bCs/>
                      <w:color w:val="auto"/>
                      <w:spacing w:val="0"/>
                      <w:position w:val="0"/>
                      <w:sz w:val="21"/>
                      <w:szCs w:val="21"/>
                      <w:highlight w:val="none"/>
                      <w:lang w:eastAsia="zh-CN"/>
                    </w:rPr>
                    <w:t>）</w:t>
                  </w:r>
                </w:p>
              </w:tc>
              <w:tc>
                <w:tcPr>
                  <w:tcW w:w="1169" w:type="dxa"/>
                  <w:tcBorders>
                    <w:bottom w:val="single" w:color="000000" w:sz="12" w:space="0"/>
                  </w:tcBorders>
                  <w:vAlign w:val="center"/>
                </w:tcPr>
                <w:p w14:paraId="71B81584">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0.1</w:t>
                  </w:r>
                </w:p>
              </w:tc>
              <w:tc>
                <w:tcPr>
                  <w:tcW w:w="969" w:type="dxa"/>
                  <w:tcBorders>
                    <w:bottom w:val="single" w:color="000000" w:sz="12" w:space="0"/>
                  </w:tcBorders>
                  <w:vAlign w:val="center"/>
                </w:tcPr>
                <w:p w14:paraId="77624E3D">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0.2</w:t>
                  </w:r>
                </w:p>
              </w:tc>
              <w:tc>
                <w:tcPr>
                  <w:tcW w:w="969" w:type="dxa"/>
                  <w:tcBorders>
                    <w:bottom w:val="single" w:color="000000" w:sz="12" w:space="0"/>
                  </w:tcBorders>
                  <w:vAlign w:val="center"/>
                </w:tcPr>
                <w:p w14:paraId="11FE78DB">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0.3</w:t>
                  </w:r>
                </w:p>
              </w:tc>
              <w:tc>
                <w:tcPr>
                  <w:tcW w:w="968" w:type="dxa"/>
                  <w:tcBorders>
                    <w:bottom w:val="single" w:color="000000" w:sz="12" w:space="0"/>
                  </w:tcBorders>
                  <w:vAlign w:val="center"/>
                </w:tcPr>
                <w:p w14:paraId="14ED2BA0">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0.4</w:t>
                  </w:r>
                </w:p>
              </w:tc>
              <w:tc>
                <w:tcPr>
                  <w:tcW w:w="969" w:type="dxa"/>
                  <w:tcBorders>
                    <w:bottom w:val="single" w:color="000000" w:sz="12" w:space="0"/>
                  </w:tcBorders>
                  <w:vAlign w:val="center"/>
                </w:tcPr>
                <w:p w14:paraId="79D92380">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0.5</w:t>
                  </w:r>
                </w:p>
              </w:tc>
              <w:tc>
                <w:tcPr>
                  <w:tcW w:w="969" w:type="dxa"/>
                  <w:tcBorders>
                    <w:bottom w:val="single" w:color="000000" w:sz="12" w:space="0"/>
                  </w:tcBorders>
                  <w:vAlign w:val="center"/>
                </w:tcPr>
                <w:p w14:paraId="21F287D3">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1.0</w:t>
                  </w:r>
                </w:p>
              </w:tc>
            </w:tr>
            <w:tr w14:paraId="38CE5A8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1704" w:type="dxa"/>
                  <w:tcBorders>
                    <w:top w:val="single" w:color="000000" w:sz="12" w:space="0"/>
                    <w:tl2br w:val="nil"/>
                    <w:tr2bl w:val="nil"/>
                  </w:tcBorders>
                  <w:vAlign w:val="center"/>
                </w:tcPr>
                <w:p w14:paraId="5AEC1C3D">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5</w:t>
                  </w:r>
                </w:p>
              </w:tc>
              <w:tc>
                <w:tcPr>
                  <w:tcW w:w="1169" w:type="dxa"/>
                  <w:tcBorders>
                    <w:top w:val="single" w:color="000000" w:sz="12" w:space="0"/>
                    <w:tl2br w:val="nil"/>
                    <w:tr2bl w:val="nil"/>
                  </w:tcBorders>
                  <w:vAlign w:val="center"/>
                </w:tcPr>
                <w:p w14:paraId="4DC12EFE">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0.0283</w:t>
                  </w:r>
                </w:p>
              </w:tc>
              <w:tc>
                <w:tcPr>
                  <w:tcW w:w="969" w:type="dxa"/>
                  <w:tcBorders>
                    <w:top w:val="single" w:color="000000" w:sz="12" w:space="0"/>
                    <w:tl2br w:val="nil"/>
                    <w:tr2bl w:val="nil"/>
                  </w:tcBorders>
                  <w:vAlign w:val="center"/>
                </w:tcPr>
                <w:p w14:paraId="6F85BD6B">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0.0476</w:t>
                  </w:r>
                </w:p>
              </w:tc>
              <w:tc>
                <w:tcPr>
                  <w:tcW w:w="969" w:type="dxa"/>
                  <w:tcBorders>
                    <w:top w:val="single" w:color="000000" w:sz="12" w:space="0"/>
                    <w:tl2br w:val="nil"/>
                    <w:tr2bl w:val="nil"/>
                  </w:tcBorders>
                  <w:vAlign w:val="center"/>
                </w:tcPr>
                <w:p w14:paraId="5A5F31B3">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0.0646</w:t>
                  </w:r>
                </w:p>
              </w:tc>
              <w:tc>
                <w:tcPr>
                  <w:tcW w:w="968" w:type="dxa"/>
                  <w:tcBorders>
                    <w:top w:val="single" w:color="000000" w:sz="12" w:space="0"/>
                    <w:tl2br w:val="nil"/>
                    <w:tr2bl w:val="nil"/>
                  </w:tcBorders>
                  <w:vAlign w:val="center"/>
                </w:tcPr>
                <w:p w14:paraId="1B690CDE">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0.0801</w:t>
                  </w:r>
                </w:p>
              </w:tc>
              <w:tc>
                <w:tcPr>
                  <w:tcW w:w="969" w:type="dxa"/>
                  <w:tcBorders>
                    <w:top w:val="single" w:color="000000" w:sz="12" w:space="0"/>
                    <w:tl2br w:val="nil"/>
                    <w:tr2bl w:val="nil"/>
                  </w:tcBorders>
                  <w:vAlign w:val="center"/>
                </w:tcPr>
                <w:p w14:paraId="477C7178">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0.0947</w:t>
                  </w:r>
                </w:p>
              </w:tc>
              <w:tc>
                <w:tcPr>
                  <w:tcW w:w="969" w:type="dxa"/>
                  <w:tcBorders>
                    <w:top w:val="single" w:color="000000" w:sz="12" w:space="0"/>
                    <w:tl2br w:val="nil"/>
                    <w:tr2bl w:val="nil"/>
                  </w:tcBorders>
                  <w:vAlign w:val="center"/>
                </w:tcPr>
                <w:p w14:paraId="3A7148AA">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0.1593</w:t>
                  </w:r>
                </w:p>
              </w:tc>
            </w:tr>
            <w:tr w14:paraId="2311F75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1704" w:type="dxa"/>
                  <w:tcBorders>
                    <w:tl2br w:val="nil"/>
                    <w:tr2bl w:val="nil"/>
                  </w:tcBorders>
                  <w:vAlign w:val="center"/>
                </w:tcPr>
                <w:p w14:paraId="2319C0CC">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10</w:t>
                  </w:r>
                </w:p>
              </w:tc>
              <w:tc>
                <w:tcPr>
                  <w:tcW w:w="1169" w:type="dxa"/>
                  <w:tcBorders>
                    <w:tl2br w:val="nil"/>
                    <w:tr2bl w:val="nil"/>
                  </w:tcBorders>
                  <w:vAlign w:val="center"/>
                </w:tcPr>
                <w:p w14:paraId="3DD3E826">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0.0566</w:t>
                  </w:r>
                </w:p>
              </w:tc>
              <w:tc>
                <w:tcPr>
                  <w:tcW w:w="969" w:type="dxa"/>
                  <w:tcBorders>
                    <w:tl2br w:val="nil"/>
                    <w:tr2bl w:val="nil"/>
                  </w:tcBorders>
                  <w:vAlign w:val="center"/>
                </w:tcPr>
                <w:p w14:paraId="3441C78F">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0.0953</w:t>
                  </w:r>
                </w:p>
              </w:tc>
              <w:tc>
                <w:tcPr>
                  <w:tcW w:w="969" w:type="dxa"/>
                  <w:tcBorders>
                    <w:tl2br w:val="nil"/>
                    <w:tr2bl w:val="nil"/>
                  </w:tcBorders>
                  <w:vAlign w:val="center"/>
                </w:tcPr>
                <w:p w14:paraId="036DF84C">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0.1291</w:t>
                  </w:r>
                </w:p>
              </w:tc>
              <w:tc>
                <w:tcPr>
                  <w:tcW w:w="968" w:type="dxa"/>
                  <w:tcBorders>
                    <w:tl2br w:val="nil"/>
                    <w:tr2bl w:val="nil"/>
                  </w:tcBorders>
                  <w:vAlign w:val="center"/>
                </w:tcPr>
                <w:p w14:paraId="6FFA128E">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0.1602</w:t>
                  </w:r>
                </w:p>
              </w:tc>
              <w:tc>
                <w:tcPr>
                  <w:tcW w:w="969" w:type="dxa"/>
                  <w:tcBorders>
                    <w:tl2br w:val="nil"/>
                    <w:tr2bl w:val="nil"/>
                  </w:tcBorders>
                  <w:vAlign w:val="center"/>
                </w:tcPr>
                <w:p w14:paraId="335C457F">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0.1894</w:t>
                  </w:r>
                </w:p>
              </w:tc>
              <w:tc>
                <w:tcPr>
                  <w:tcW w:w="969" w:type="dxa"/>
                  <w:tcBorders>
                    <w:tl2br w:val="nil"/>
                    <w:tr2bl w:val="nil"/>
                  </w:tcBorders>
                  <w:vAlign w:val="center"/>
                </w:tcPr>
                <w:p w14:paraId="5E826650">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0.3186</w:t>
                  </w:r>
                </w:p>
              </w:tc>
            </w:tr>
            <w:tr w14:paraId="4A27193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1704" w:type="dxa"/>
                  <w:tcBorders>
                    <w:tl2br w:val="nil"/>
                    <w:tr2bl w:val="nil"/>
                  </w:tcBorders>
                  <w:vAlign w:val="center"/>
                </w:tcPr>
                <w:p w14:paraId="578ECFCC">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15</w:t>
                  </w:r>
                </w:p>
              </w:tc>
              <w:tc>
                <w:tcPr>
                  <w:tcW w:w="1169" w:type="dxa"/>
                  <w:tcBorders>
                    <w:tl2br w:val="nil"/>
                    <w:tr2bl w:val="nil"/>
                  </w:tcBorders>
                  <w:vAlign w:val="center"/>
                </w:tcPr>
                <w:p w14:paraId="64DBD4E4">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0.0850</w:t>
                  </w:r>
                </w:p>
              </w:tc>
              <w:tc>
                <w:tcPr>
                  <w:tcW w:w="969" w:type="dxa"/>
                  <w:tcBorders>
                    <w:tl2br w:val="nil"/>
                    <w:tr2bl w:val="nil"/>
                  </w:tcBorders>
                  <w:vAlign w:val="center"/>
                </w:tcPr>
                <w:p w14:paraId="5F801F81">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0.1429</w:t>
                  </w:r>
                </w:p>
              </w:tc>
              <w:tc>
                <w:tcPr>
                  <w:tcW w:w="969" w:type="dxa"/>
                  <w:tcBorders>
                    <w:tl2br w:val="nil"/>
                    <w:tr2bl w:val="nil"/>
                  </w:tcBorders>
                  <w:vAlign w:val="center"/>
                </w:tcPr>
                <w:p w14:paraId="4E055733">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0.1937</w:t>
                  </w:r>
                </w:p>
              </w:tc>
              <w:tc>
                <w:tcPr>
                  <w:tcW w:w="968" w:type="dxa"/>
                  <w:tcBorders>
                    <w:tl2br w:val="nil"/>
                    <w:tr2bl w:val="nil"/>
                  </w:tcBorders>
                  <w:vAlign w:val="center"/>
                </w:tcPr>
                <w:p w14:paraId="6DD2DE48">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0.2403</w:t>
                  </w:r>
                </w:p>
              </w:tc>
              <w:tc>
                <w:tcPr>
                  <w:tcW w:w="969" w:type="dxa"/>
                  <w:tcBorders>
                    <w:tl2br w:val="nil"/>
                    <w:tr2bl w:val="nil"/>
                  </w:tcBorders>
                  <w:vAlign w:val="center"/>
                </w:tcPr>
                <w:p w14:paraId="53CA247F">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0.2841</w:t>
                  </w:r>
                </w:p>
              </w:tc>
              <w:tc>
                <w:tcPr>
                  <w:tcW w:w="969" w:type="dxa"/>
                  <w:tcBorders>
                    <w:tl2br w:val="nil"/>
                    <w:tr2bl w:val="nil"/>
                  </w:tcBorders>
                  <w:vAlign w:val="center"/>
                </w:tcPr>
                <w:p w14:paraId="44D608BF">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0.4778</w:t>
                  </w:r>
                </w:p>
              </w:tc>
            </w:tr>
            <w:tr w14:paraId="4252C96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704" w:type="dxa"/>
                  <w:tcBorders>
                    <w:tl2br w:val="nil"/>
                    <w:tr2bl w:val="nil"/>
                  </w:tcBorders>
                  <w:vAlign w:val="center"/>
                </w:tcPr>
                <w:p w14:paraId="0AC6AA17">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20</w:t>
                  </w:r>
                </w:p>
              </w:tc>
              <w:tc>
                <w:tcPr>
                  <w:tcW w:w="1169" w:type="dxa"/>
                  <w:tcBorders>
                    <w:tl2br w:val="nil"/>
                    <w:tr2bl w:val="nil"/>
                  </w:tcBorders>
                  <w:vAlign w:val="center"/>
                </w:tcPr>
                <w:p w14:paraId="3181703E">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0.1133</w:t>
                  </w:r>
                </w:p>
              </w:tc>
              <w:tc>
                <w:tcPr>
                  <w:tcW w:w="969" w:type="dxa"/>
                  <w:tcBorders>
                    <w:tl2br w:val="nil"/>
                    <w:tr2bl w:val="nil"/>
                  </w:tcBorders>
                  <w:vAlign w:val="center"/>
                </w:tcPr>
                <w:p w14:paraId="3C9F5AE2">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0.1905</w:t>
                  </w:r>
                </w:p>
              </w:tc>
              <w:tc>
                <w:tcPr>
                  <w:tcW w:w="969" w:type="dxa"/>
                  <w:tcBorders>
                    <w:tl2br w:val="nil"/>
                    <w:tr2bl w:val="nil"/>
                  </w:tcBorders>
                  <w:vAlign w:val="center"/>
                </w:tcPr>
                <w:p w14:paraId="108B5D97">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0.2583</w:t>
                  </w:r>
                </w:p>
              </w:tc>
              <w:tc>
                <w:tcPr>
                  <w:tcW w:w="968" w:type="dxa"/>
                  <w:tcBorders>
                    <w:tl2br w:val="nil"/>
                    <w:tr2bl w:val="nil"/>
                  </w:tcBorders>
                  <w:vAlign w:val="center"/>
                </w:tcPr>
                <w:p w14:paraId="123CA2F9">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0.3204</w:t>
                  </w:r>
                </w:p>
              </w:tc>
              <w:tc>
                <w:tcPr>
                  <w:tcW w:w="969" w:type="dxa"/>
                  <w:tcBorders>
                    <w:tl2br w:val="nil"/>
                    <w:tr2bl w:val="nil"/>
                  </w:tcBorders>
                  <w:vAlign w:val="center"/>
                </w:tcPr>
                <w:p w14:paraId="4EB73DF1">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0.3788</w:t>
                  </w:r>
                </w:p>
              </w:tc>
              <w:tc>
                <w:tcPr>
                  <w:tcW w:w="969" w:type="dxa"/>
                  <w:tcBorders>
                    <w:tl2br w:val="nil"/>
                    <w:tr2bl w:val="nil"/>
                  </w:tcBorders>
                  <w:vAlign w:val="center"/>
                </w:tcPr>
                <w:p w14:paraId="6ECE17D5">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0.6371</w:t>
                  </w:r>
                </w:p>
              </w:tc>
            </w:tr>
          </w:tbl>
          <w:p w14:paraId="57BC314B">
            <w:pPr>
              <w:keepNext w:val="0"/>
              <w:keepLines w:val="0"/>
              <w:pageBreakBefore w:val="0"/>
              <w:shd w:val="clear"/>
              <w:kinsoku/>
              <w:wordWrap/>
              <w:overflowPunct/>
              <w:topLinePunct w:val="0"/>
              <w:autoSpaceDE/>
              <w:autoSpaceDN/>
              <w:bidi w:val="0"/>
              <w:spacing w:line="360" w:lineRule="auto"/>
              <w:ind w:left="0" w:right="0" w:firstLine="478"/>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施工作业时注意施工区的围挡和临时堆土等粉状物料的遮盖，防止施工扬尘对下风向农田作物的影响。施工扬尘的控制措施除装设</w:t>
            </w:r>
            <w:r>
              <w:rPr>
                <w:rFonts w:hint="default" w:ascii="Times New Roman" w:hAnsi="Times New Roman" w:eastAsia="宋体" w:cs="Times New Roman"/>
                <w:color w:val="auto"/>
                <w:spacing w:val="0"/>
                <w:position w:val="0"/>
                <w:sz w:val="24"/>
                <w:szCs w:val="24"/>
                <w:highlight w:val="none"/>
                <w:lang w:eastAsia="zh-CN"/>
              </w:rPr>
              <w:t>围挡</w:t>
            </w:r>
            <w:r>
              <w:rPr>
                <w:rFonts w:hint="default" w:ascii="Times New Roman" w:hAnsi="Times New Roman" w:eastAsia="宋体" w:cs="Times New Roman"/>
                <w:color w:val="auto"/>
                <w:spacing w:val="0"/>
                <w:position w:val="0"/>
                <w:sz w:val="24"/>
                <w:szCs w:val="24"/>
                <w:highlight w:val="none"/>
              </w:rPr>
              <w:t>外，抑制扬尘的一个简洁有效的措施是洒水。如果在施工期内对车辆行驶的路面实施洒水抑尘，每天洒水2</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3次可减少50~70%左右的扬尘产生量，类比监测结果见表4-3。</w:t>
            </w:r>
          </w:p>
          <w:p w14:paraId="5F46D8BD">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表</w:t>
            </w:r>
            <w:r>
              <w:rPr>
                <w:rFonts w:hint="default" w:ascii="Times New Roman" w:hAnsi="Times New Roman" w:eastAsia="宋体" w:cs="Times New Roman"/>
                <w:b/>
                <w:bCs/>
                <w:color w:val="auto"/>
                <w:spacing w:val="0"/>
                <w:position w:val="0"/>
                <w:sz w:val="21"/>
                <w:szCs w:val="21"/>
                <w:highlight w:val="none"/>
              </w:rPr>
              <w:t>4-3</w:t>
            </w:r>
            <w:r>
              <w:rPr>
                <w:rFonts w:hint="default" w:ascii="Times New Roman" w:hAnsi="Times New Roman" w:eastAsia="宋体" w:cs="Times New Roman"/>
                <w:b/>
                <w:bCs/>
                <w:color w:val="auto"/>
                <w:spacing w:val="0"/>
                <w:position w:val="0"/>
                <w:sz w:val="21"/>
                <w:szCs w:val="21"/>
                <w:highlight w:val="none"/>
                <w:lang w:val="en-US" w:eastAsia="zh-CN"/>
              </w:rPr>
              <w:t xml:space="preserve">   </w:t>
            </w: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洒水抑尘作用类比监测数据表单位：</w:t>
            </w:r>
            <w:r>
              <w:rPr>
                <w:rFonts w:hint="default" w:ascii="Times New Roman" w:hAnsi="Times New Roman" w:eastAsia="宋体" w:cs="Times New Roman"/>
                <w:b/>
                <w:bCs/>
                <w:color w:val="auto"/>
                <w:spacing w:val="0"/>
                <w:position w:val="0"/>
                <w:sz w:val="21"/>
                <w:szCs w:val="21"/>
                <w:highlight w:val="none"/>
              </w:rPr>
              <w:t>mg/m</w:t>
            </w:r>
            <w:r>
              <w:rPr>
                <w:rFonts w:hint="default" w:ascii="Times New Roman" w:hAnsi="Times New Roman" w:eastAsia="宋体" w:cs="Times New Roman"/>
                <w:b/>
                <w:bCs/>
                <w:color w:val="auto"/>
                <w:spacing w:val="0"/>
                <w:position w:val="0"/>
                <w:sz w:val="21"/>
                <w:szCs w:val="21"/>
                <w:highlight w:val="none"/>
                <w:vertAlign w:val="superscript"/>
                <w:lang w:val="en-US" w:eastAsia="zh-CN"/>
              </w:rPr>
              <w:t>3</w:t>
            </w:r>
          </w:p>
          <w:tbl>
            <w:tblPr>
              <w:tblStyle w:val="91"/>
              <w:tblW w:w="77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0"/>
              <w:gridCol w:w="1007"/>
              <w:gridCol w:w="1254"/>
              <w:gridCol w:w="1131"/>
              <w:gridCol w:w="1001"/>
              <w:gridCol w:w="941"/>
              <w:gridCol w:w="936"/>
            </w:tblGrid>
            <w:tr w14:paraId="66F89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jc w:val="center"/>
              </w:trPr>
              <w:tc>
                <w:tcPr>
                  <w:tcW w:w="2457" w:type="dxa"/>
                  <w:gridSpan w:val="2"/>
                  <w:tcBorders>
                    <w:top w:val="single" w:color="000000" w:sz="12" w:space="0"/>
                    <w:left w:val="nil"/>
                    <w:bottom w:val="single" w:color="000000" w:sz="12" w:space="0"/>
                    <w:right w:val="single" w:color="000000" w:sz="4" w:space="0"/>
                  </w:tcBorders>
                  <w:vAlign w:val="center"/>
                </w:tcPr>
                <w:p w14:paraId="53552C7D">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距离</w:t>
                  </w:r>
                  <w:r>
                    <w:rPr>
                      <w:rFonts w:hint="default" w:ascii="Times New Roman" w:hAnsi="Times New Roman" w:eastAsia="宋体" w:cs="Times New Roman"/>
                      <w:b/>
                      <w:bCs/>
                      <w:color w:val="auto"/>
                      <w:spacing w:val="0"/>
                      <w:position w:val="0"/>
                      <w:sz w:val="21"/>
                      <w:szCs w:val="21"/>
                      <w:highlight w:val="none"/>
                    </w:rPr>
                    <w:t>m</w:t>
                  </w:r>
                </w:p>
              </w:tc>
              <w:tc>
                <w:tcPr>
                  <w:tcW w:w="1254" w:type="dxa"/>
                  <w:tcBorders>
                    <w:top w:val="single" w:color="000000" w:sz="12" w:space="0"/>
                    <w:left w:val="single" w:color="000000" w:sz="4" w:space="0"/>
                    <w:bottom w:val="single" w:color="000000" w:sz="12" w:space="0"/>
                    <w:right w:val="single" w:color="000000" w:sz="4" w:space="0"/>
                  </w:tcBorders>
                  <w:vAlign w:val="center"/>
                </w:tcPr>
                <w:p w14:paraId="63CF8E68">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5</w:t>
                  </w:r>
                </w:p>
              </w:tc>
              <w:tc>
                <w:tcPr>
                  <w:tcW w:w="1131" w:type="dxa"/>
                  <w:tcBorders>
                    <w:top w:val="single" w:color="000000" w:sz="12" w:space="0"/>
                    <w:left w:val="single" w:color="000000" w:sz="4" w:space="0"/>
                    <w:bottom w:val="single" w:color="000000" w:sz="12" w:space="0"/>
                    <w:right w:val="single" w:color="000000" w:sz="4" w:space="0"/>
                  </w:tcBorders>
                  <w:vAlign w:val="center"/>
                </w:tcPr>
                <w:p w14:paraId="19BAA58C">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20</w:t>
                  </w:r>
                </w:p>
              </w:tc>
              <w:tc>
                <w:tcPr>
                  <w:tcW w:w="1001" w:type="dxa"/>
                  <w:tcBorders>
                    <w:top w:val="single" w:color="000000" w:sz="12" w:space="0"/>
                    <w:left w:val="single" w:color="000000" w:sz="4" w:space="0"/>
                    <w:bottom w:val="single" w:color="000000" w:sz="12" w:space="0"/>
                    <w:right w:val="single" w:color="000000" w:sz="4" w:space="0"/>
                  </w:tcBorders>
                  <w:vAlign w:val="center"/>
                </w:tcPr>
                <w:p w14:paraId="0917BC67">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50</w:t>
                  </w:r>
                </w:p>
              </w:tc>
              <w:tc>
                <w:tcPr>
                  <w:tcW w:w="941" w:type="dxa"/>
                  <w:tcBorders>
                    <w:top w:val="single" w:color="000000" w:sz="12" w:space="0"/>
                    <w:left w:val="single" w:color="000000" w:sz="4" w:space="0"/>
                    <w:bottom w:val="single" w:color="000000" w:sz="12" w:space="0"/>
                    <w:right w:val="single" w:color="000000" w:sz="4" w:space="0"/>
                  </w:tcBorders>
                  <w:vAlign w:val="center"/>
                </w:tcPr>
                <w:p w14:paraId="4D92F54C">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100</w:t>
                  </w:r>
                </w:p>
              </w:tc>
              <w:tc>
                <w:tcPr>
                  <w:tcW w:w="936" w:type="dxa"/>
                  <w:tcBorders>
                    <w:top w:val="single" w:color="000000" w:sz="12" w:space="0"/>
                    <w:left w:val="single" w:color="000000" w:sz="4" w:space="0"/>
                    <w:bottom w:val="single" w:color="000000" w:sz="12" w:space="0"/>
                    <w:right w:val="nil"/>
                  </w:tcBorders>
                  <w:vAlign w:val="center"/>
                </w:tcPr>
                <w:p w14:paraId="78653E3E">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200</w:t>
                  </w:r>
                </w:p>
              </w:tc>
            </w:tr>
            <w:tr w14:paraId="1EAD3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450" w:type="dxa"/>
                  <w:vMerge w:val="restart"/>
                  <w:tcBorders>
                    <w:top w:val="single" w:color="000000" w:sz="12" w:space="0"/>
                    <w:left w:val="nil"/>
                    <w:bottom w:val="single" w:color="000000" w:sz="4" w:space="0"/>
                    <w:right w:val="single" w:color="000000" w:sz="4" w:space="0"/>
                  </w:tcBorders>
                  <w:vAlign w:val="center"/>
                </w:tcPr>
                <w:p w14:paraId="1ACB8335">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rPr>
                    <w:t>TSP</w:t>
                  </w: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mg/m</w:t>
                  </w:r>
                  <w:r>
                    <w:rPr>
                      <w:rFonts w:hint="default" w:ascii="Times New Roman" w:hAnsi="Times New Roman" w:eastAsia="宋体" w:cs="Times New Roman"/>
                      <w:color w:val="auto"/>
                      <w:spacing w:val="0"/>
                      <w:position w:val="0"/>
                      <w:sz w:val="21"/>
                      <w:szCs w:val="21"/>
                      <w:highlight w:val="none"/>
                      <w:vertAlign w:val="superscript"/>
                    </w:rPr>
                    <w:t>3</w:t>
                  </w:r>
                  <w:r>
                    <w:rPr>
                      <w:rFonts w:hint="default" w:ascii="Times New Roman" w:hAnsi="Times New Roman" w:eastAsia="宋体" w:cs="Times New Roman"/>
                      <w:color w:val="auto"/>
                      <w:spacing w:val="0"/>
                      <w:position w:val="0"/>
                      <w:sz w:val="21"/>
                      <w:szCs w:val="21"/>
                      <w:highlight w:val="none"/>
                      <w:lang w:eastAsia="zh-CN"/>
                    </w:rPr>
                    <w:t>）</w:t>
                  </w:r>
                </w:p>
              </w:tc>
              <w:tc>
                <w:tcPr>
                  <w:tcW w:w="1007" w:type="dxa"/>
                  <w:tcBorders>
                    <w:top w:val="single" w:color="000000" w:sz="12" w:space="0"/>
                    <w:left w:val="single" w:color="000000" w:sz="4" w:space="0"/>
                    <w:bottom w:val="single" w:color="000000" w:sz="4" w:space="0"/>
                    <w:right w:val="single" w:color="000000" w:sz="4" w:space="0"/>
                  </w:tcBorders>
                  <w:vAlign w:val="center"/>
                </w:tcPr>
                <w:p w14:paraId="241E2249">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不洒水</w:t>
                  </w:r>
                </w:p>
              </w:tc>
              <w:tc>
                <w:tcPr>
                  <w:tcW w:w="1254" w:type="dxa"/>
                  <w:tcBorders>
                    <w:top w:val="single" w:color="000000" w:sz="12" w:space="0"/>
                    <w:left w:val="single" w:color="000000" w:sz="4" w:space="0"/>
                    <w:bottom w:val="single" w:color="000000" w:sz="4" w:space="0"/>
                    <w:right w:val="single" w:color="000000" w:sz="4" w:space="0"/>
                  </w:tcBorders>
                  <w:vAlign w:val="center"/>
                </w:tcPr>
                <w:p w14:paraId="02DAB1DA">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10.14</w:t>
                  </w:r>
                </w:p>
              </w:tc>
              <w:tc>
                <w:tcPr>
                  <w:tcW w:w="1131" w:type="dxa"/>
                  <w:tcBorders>
                    <w:top w:val="single" w:color="000000" w:sz="12" w:space="0"/>
                    <w:left w:val="single" w:color="000000" w:sz="4" w:space="0"/>
                    <w:bottom w:val="single" w:color="000000" w:sz="4" w:space="0"/>
                    <w:right w:val="single" w:color="000000" w:sz="4" w:space="0"/>
                  </w:tcBorders>
                  <w:vAlign w:val="center"/>
                </w:tcPr>
                <w:p w14:paraId="08210763">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2.89</w:t>
                  </w:r>
                </w:p>
              </w:tc>
              <w:tc>
                <w:tcPr>
                  <w:tcW w:w="1001" w:type="dxa"/>
                  <w:tcBorders>
                    <w:top w:val="single" w:color="000000" w:sz="12" w:space="0"/>
                    <w:left w:val="single" w:color="000000" w:sz="4" w:space="0"/>
                    <w:bottom w:val="single" w:color="000000" w:sz="4" w:space="0"/>
                    <w:right w:val="single" w:color="000000" w:sz="4" w:space="0"/>
                  </w:tcBorders>
                  <w:vAlign w:val="center"/>
                </w:tcPr>
                <w:p w14:paraId="779437F9">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0.86</w:t>
                  </w:r>
                </w:p>
              </w:tc>
              <w:tc>
                <w:tcPr>
                  <w:tcW w:w="941" w:type="dxa"/>
                  <w:tcBorders>
                    <w:top w:val="single" w:color="000000" w:sz="12" w:space="0"/>
                    <w:left w:val="single" w:color="000000" w:sz="4" w:space="0"/>
                    <w:bottom w:val="single" w:color="000000" w:sz="4" w:space="0"/>
                    <w:right w:val="single" w:color="000000" w:sz="4" w:space="0"/>
                  </w:tcBorders>
                  <w:vAlign w:val="center"/>
                </w:tcPr>
                <w:p w14:paraId="43DF15C1">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1.15</w:t>
                  </w:r>
                </w:p>
              </w:tc>
              <w:tc>
                <w:tcPr>
                  <w:tcW w:w="936" w:type="dxa"/>
                  <w:tcBorders>
                    <w:top w:val="single" w:color="000000" w:sz="12" w:space="0"/>
                    <w:left w:val="single" w:color="000000" w:sz="4" w:space="0"/>
                    <w:bottom w:val="single" w:color="000000" w:sz="4" w:space="0"/>
                    <w:right w:val="nil"/>
                  </w:tcBorders>
                  <w:vAlign w:val="center"/>
                </w:tcPr>
                <w:p w14:paraId="2B2EF5E5">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0.56</w:t>
                  </w:r>
                </w:p>
              </w:tc>
            </w:tr>
            <w:tr w14:paraId="0287B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450" w:type="dxa"/>
                  <w:vMerge w:val="continue"/>
                  <w:tcBorders>
                    <w:top w:val="single" w:color="000000" w:sz="4" w:space="0"/>
                    <w:left w:val="nil"/>
                    <w:bottom w:val="single" w:color="000000" w:sz="4" w:space="0"/>
                    <w:right w:val="single" w:color="000000" w:sz="4" w:space="0"/>
                  </w:tcBorders>
                  <w:vAlign w:val="center"/>
                </w:tcPr>
                <w:p w14:paraId="68769D59">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5330DF6D">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洒水</w:t>
                  </w:r>
                </w:p>
              </w:tc>
              <w:tc>
                <w:tcPr>
                  <w:tcW w:w="1254" w:type="dxa"/>
                  <w:tcBorders>
                    <w:top w:val="single" w:color="000000" w:sz="4" w:space="0"/>
                    <w:left w:val="single" w:color="000000" w:sz="4" w:space="0"/>
                    <w:bottom w:val="single" w:color="000000" w:sz="4" w:space="0"/>
                    <w:right w:val="single" w:color="000000" w:sz="4" w:space="0"/>
                  </w:tcBorders>
                  <w:vAlign w:val="center"/>
                </w:tcPr>
                <w:p w14:paraId="3BA26621">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2.01</w:t>
                  </w:r>
                </w:p>
              </w:tc>
              <w:tc>
                <w:tcPr>
                  <w:tcW w:w="1131" w:type="dxa"/>
                  <w:tcBorders>
                    <w:top w:val="single" w:color="000000" w:sz="4" w:space="0"/>
                    <w:left w:val="single" w:color="000000" w:sz="4" w:space="0"/>
                    <w:bottom w:val="single" w:color="000000" w:sz="4" w:space="0"/>
                    <w:right w:val="single" w:color="000000" w:sz="4" w:space="0"/>
                  </w:tcBorders>
                  <w:vAlign w:val="center"/>
                </w:tcPr>
                <w:p w14:paraId="4790ABD8">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eastAsia="zh-CN"/>
                    </w:rPr>
                    <w:t>31</w:t>
                  </w:r>
                  <w:r>
                    <w:rPr>
                      <w:rFonts w:hint="default" w:ascii="Times New Roman" w:hAnsi="Times New Roman" w:eastAsia="宋体" w:cs="Times New Roman"/>
                      <w:color w:val="auto"/>
                      <w:spacing w:val="0"/>
                      <w:position w:val="0"/>
                      <w:sz w:val="21"/>
                      <w:szCs w:val="21"/>
                      <w:highlight w:val="none"/>
                    </w:rPr>
                    <w:t>0</w:t>
                  </w:r>
                </w:p>
              </w:tc>
              <w:tc>
                <w:tcPr>
                  <w:tcW w:w="1001" w:type="dxa"/>
                  <w:tcBorders>
                    <w:top w:val="single" w:color="000000" w:sz="4" w:space="0"/>
                    <w:left w:val="single" w:color="000000" w:sz="4" w:space="0"/>
                    <w:bottom w:val="single" w:color="000000" w:sz="4" w:space="0"/>
                    <w:right w:val="single" w:color="000000" w:sz="4" w:space="0"/>
                  </w:tcBorders>
                  <w:vAlign w:val="center"/>
                </w:tcPr>
                <w:p w14:paraId="66FBCF37">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0.60</w:t>
                  </w:r>
                </w:p>
              </w:tc>
              <w:tc>
                <w:tcPr>
                  <w:tcW w:w="941" w:type="dxa"/>
                  <w:tcBorders>
                    <w:top w:val="single" w:color="000000" w:sz="4" w:space="0"/>
                    <w:left w:val="single" w:color="000000" w:sz="4" w:space="0"/>
                    <w:bottom w:val="single" w:color="000000" w:sz="4" w:space="0"/>
                    <w:right w:val="single" w:color="000000" w:sz="4" w:space="0"/>
                  </w:tcBorders>
                  <w:vAlign w:val="center"/>
                </w:tcPr>
                <w:p w14:paraId="7B041BBB">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0.67</w:t>
                  </w:r>
                </w:p>
              </w:tc>
              <w:tc>
                <w:tcPr>
                  <w:tcW w:w="936" w:type="dxa"/>
                  <w:tcBorders>
                    <w:top w:val="single" w:color="000000" w:sz="4" w:space="0"/>
                    <w:left w:val="single" w:color="000000" w:sz="4" w:space="0"/>
                    <w:bottom w:val="single" w:color="000000" w:sz="4" w:space="0"/>
                    <w:right w:val="nil"/>
                  </w:tcBorders>
                  <w:vAlign w:val="center"/>
                </w:tcPr>
                <w:p w14:paraId="33CF40D5">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0.29</w:t>
                  </w:r>
                </w:p>
              </w:tc>
            </w:tr>
            <w:tr w14:paraId="50622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2457" w:type="dxa"/>
                  <w:gridSpan w:val="2"/>
                  <w:tcBorders>
                    <w:top w:val="single" w:color="000000" w:sz="4" w:space="0"/>
                    <w:left w:val="nil"/>
                    <w:bottom w:val="single" w:color="000000" w:sz="12" w:space="0"/>
                    <w:right w:val="single" w:color="000000" w:sz="4" w:space="0"/>
                  </w:tcBorders>
                  <w:vAlign w:val="center"/>
                </w:tcPr>
                <w:p w14:paraId="4E1DEB4E">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rPr>
                    <w:t>衰减率</w:t>
                  </w: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w:t>
                  </w:r>
                  <w:r>
                    <w:rPr>
                      <w:rFonts w:hint="default" w:ascii="Times New Roman" w:hAnsi="Times New Roman" w:eastAsia="宋体" w:cs="Times New Roman"/>
                      <w:color w:val="auto"/>
                      <w:spacing w:val="0"/>
                      <w:position w:val="0"/>
                      <w:sz w:val="21"/>
                      <w:szCs w:val="21"/>
                      <w:highlight w:val="none"/>
                      <w:lang w:eastAsia="zh-CN"/>
                    </w:rPr>
                    <w:t>）</w:t>
                  </w:r>
                </w:p>
              </w:tc>
              <w:tc>
                <w:tcPr>
                  <w:tcW w:w="1254" w:type="dxa"/>
                  <w:tcBorders>
                    <w:top w:val="single" w:color="000000" w:sz="4" w:space="0"/>
                    <w:left w:val="single" w:color="000000" w:sz="4" w:space="0"/>
                    <w:bottom w:val="single" w:color="000000" w:sz="12" w:space="0"/>
                    <w:right w:val="single" w:color="000000" w:sz="4" w:space="0"/>
                  </w:tcBorders>
                  <w:vAlign w:val="center"/>
                </w:tcPr>
                <w:p w14:paraId="47B39BA2">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80.2</w:t>
                  </w:r>
                </w:p>
              </w:tc>
              <w:tc>
                <w:tcPr>
                  <w:tcW w:w="1131" w:type="dxa"/>
                  <w:tcBorders>
                    <w:top w:val="single" w:color="000000" w:sz="4" w:space="0"/>
                    <w:left w:val="single" w:color="000000" w:sz="4" w:space="0"/>
                    <w:bottom w:val="single" w:color="000000" w:sz="12" w:space="0"/>
                    <w:right w:val="single" w:color="000000" w:sz="4" w:space="0"/>
                  </w:tcBorders>
                  <w:vAlign w:val="center"/>
                </w:tcPr>
                <w:p w14:paraId="79EBB2BF">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51.6</w:t>
                  </w:r>
                </w:p>
              </w:tc>
              <w:tc>
                <w:tcPr>
                  <w:tcW w:w="1001" w:type="dxa"/>
                  <w:tcBorders>
                    <w:top w:val="single" w:color="000000" w:sz="4" w:space="0"/>
                    <w:left w:val="single" w:color="000000" w:sz="4" w:space="0"/>
                    <w:bottom w:val="single" w:color="000000" w:sz="12" w:space="0"/>
                    <w:right w:val="single" w:color="000000" w:sz="4" w:space="0"/>
                  </w:tcBorders>
                  <w:vAlign w:val="center"/>
                </w:tcPr>
                <w:p w14:paraId="2CF3A1CE">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30.2</w:t>
                  </w:r>
                </w:p>
              </w:tc>
              <w:tc>
                <w:tcPr>
                  <w:tcW w:w="941" w:type="dxa"/>
                  <w:tcBorders>
                    <w:top w:val="single" w:color="000000" w:sz="4" w:space="0"/>
                    <w:left w:val="single" w:color="000000" w:sz="4" w:space="0"/>
                    <w:bottom w:val="single" w:color="000000" w:sz="12" w:space="0"/>
                    <w:right w:val="single" w:color="000000" w:sz="4" w:space="0"/>
                  </w:tcBorders>
                  <w:vAlign w:val="center"/>
                </w:tcPr>
                <w:p w14:paraId="4AF44E78">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41.7</w:t>
                  </w:r>
                </w:p>
              </w:tc>
              <w:tc>
                <w:tcPr>
                  <w:tcW w:w="936" w:type="dxa"/>
                  <w:tcBorders>
                    <w:top w:val="single" w:color="000000" w:sz="4" w:space="0"/>
                    <w:left w:val="single" w:color="000000" w:sz="4" w:space="0"/>
                    <w:bottom w:val="single" w:color="000000" w:sz="12" w:space="0"/>
                    <w:right w:val="nil"/>
                  </w:tcBorders>
                  <w:vAlign w:val="center"/>
                </w:tcPr>
                <w:p w14:paraId="33EB2529">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48.2</w:t>
                  </w:r>
                </w:p>
              </w:tc>
            </w:tr>
          </w:tbl>
          <w:p w14:paraId="7BDF9ADD">
            <w:pPr>
              <w:keepNext w:val="0"/>
              <w:keepLines w:val="0"/>
              <w:pageBreakBefore w:val="0"/>
              <w:widowControl w:val="0"/>
              <w:shd w:val="clear"/>
              <w:tabs>
                <w:tab w:val="left" w:pos="233"/>
              </w:tabs>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由上表可知，施工场地实施每天洒水2</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3次进行抑尘，可有效的</w:t>
            </w:r>
            <w:r>
              <w:rPr>
                <w:rFonts w:hint="default" w:ascii="Times New Roman" w:hAnsi="Times New Roman" w:eastAsia="宋体" w:cs="Times New Roman"/>
                <w:color w:val="auto"/>
                <w:spacing w:val="0"/>
                <w:position w:val="0"/>
                <w:sz w:val="24"/>
                <w:szCs w:val="24"/>
                <w:highlight w:val="none"/>
                <w:lang w:val="en-US" w:eastAsia="zh-CN"/>
              </w:rPr>
              <w:t>抑</w:t>
            </w:r>
            <w:r>
              <w:rPr>
                <w:rFonts w:hint="default" w:ascii="Times New Roman" w:hAnsi="Times New Roman" w:eastAsia="宋体" w:cs="Times New Roman"/>
                <w:color w:val="auto"/>
                <w:spacing w:val="0"/>
                <w:position w:val="0"/>
                <w:sz w:val="24"/>
                <w:szCs w:val="24"/>
                <w:highlight w:val="none"/>
              </w:rPr>
              <w:t>制扬尘产生，并可将粉尘污染范围缩小20</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50m。道路洒水降尘后150m内无组织颗粒物排放浓度可以达到《大气污染物综合排放标准》</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GB16297—1996</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二级标准限值要求。</w:t>
            </w:r>
          </w:p>
          <w:p w14:paraId="05107D5E">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2</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风力扬尘</w:t>
            </w:r>
          </w:p>
          <w:p w14:paraId="30CD7481">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施工现场扬尘产生的另一个主要原因是露天堆场和裸露场地的风力扬尘。在气候干燥又有风的情况下，会产生扬尘。</w:t>
            </w:r>
          </w:p>
          <w:p w14:paraId="0FB36A9D">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尘粒在空气中的传播扩散情况与风速等气候条件有关，也与尘粒本身的沉降速度有关。不同粒径的尘粒的沉降速度见表4-4。</w:t>
            </w:r>
          </w:p>
          <w:p w14:paraId="756D61AA">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表</w:t>
            </w:r>
            <w:r>
              <w:rPr>
                <w:rFonts w:hint="default" w:ascii="Times New Roman" w:hAnsi="Times New Roman" w:eastAsia="宋体" w:cs="Times New Roman"/>
                <w:b/>
                <w:bCs/>
                <w:color w:val="auto"/>
                <w:spacing w:val="0"/>
                <w:position w:val="0"/>
                <w:sz w:val="21"/>
                <w:szCs w:val="21"/>
                <w:highlight w:val="none"/>
              </w:rPr>
              <w:t>4-4</w:t>
            </w:r>
            <w:r>
              <w:rPr>
                <w:rFonts w:hint="default" w:ascii="Times New Roman" w:hAnsi="Times New Roman" w:eastAsia="宋体" w:cs="Times New Roman"/>
                <w:b/>
                <w:bCs/>
                <w:color w:val="auto"/>
                <w:spacing w:val="0"/>
                <w:position w:val="0"/>
                <w:sz w:val="21"/>
                <w:szCs w:val="21"/>
                <w:highlight w:val="none"/>
                <w:lang w:val="en-US" w:eastAsia="zh-CN"/>
              </w:rPr>
              <w:t xml:space="preserve">    </w:t>
            </w: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不同粒径尘粒的沉降速度</w:t>
            </w:r>
          </w:p>
          <w:tbl>
            <w:tblPr>
              <w:tblStyle w:val="91"/>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494"/>
              <w:gridCol w:w="874"/>
              <w:gridCol w:w="872"/>
              <w:gridCol w:w="874"/>
              <w:gridCol w:w="874"/>
              <w:gridCol w:w="874"/>
              <w:gridCol w:w="872"/>
              <w:gridCol w:w="936"/>
            </w:tblGrid>
            <w:tr w14:paraId="2154CC5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74" w:type="pct"/>
                  <w:tcBorders>
                    <w:bottom w:val="single" w:color="000000" w:sz="12" w:space="0"/>
                  </w:tcBorders>
                  <w:vAlign w:val="center"/>
                </w:tcPr>
                <w:p w14:paraId="1F1B52AE">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粒径</w:t>
                  </w:r>
                  <w:r>
                    <w:rPr>
                      <w:rFonts w:hint="default" w:ascii="Times New Roman" w:hAnsi="Times New Roman" w:eastAsia="宋体" w:cs="Times New Roman"/>
                      <w:color w:val="auto"/>
                      <w:spacing w:val="0"/>
                      <w:position w:val="0"/>
                      <w:sz w:val="21"/>
                      <w:szCs w:val="21"/>
                      <w:highlight w:val="none"/>
                      <w:lang w:eastAsia="zh-CN"/>
                      <w14:textOutline w14:w="3795" w14:cap="sq" w14:cmpd="sng">
                        <w14:solidFill>
                          <w14:srgbClr w14:val="000000"/>
                        </w14:solidFill>
                        <w14:prstDash w14:val="solid"/>
                        <w14:bevel/>
                      </w14:textOutline>
                    </w:rPr>
                    <w:t>（</w:t>
                  </w: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微米</w:t>
                  </w:r>
                  <w:r>
                    <w:rPr>
                      <w:rFonts w:hint="default" w:ascii="Times New Roman" w:hAnsi="Times New Roman" w:eastAsia="宋体" w:cs="Times New Roman"/>
                      <w:color w:val="auto"/>
                      <w:spacing w:val="0"/>
                      <w:position w:val="0"/>
                      <w:sz w:val="21"/>
                      <w:szCs w:val="21"/>
                      <w:highlight w:val="none"/>
                      <w:lang w:eastAsia="zh-CN"/>
                      <w14:textOutline w14:w="3795" w14:cap="sq" w14:cmpd="sng">
                        <w14:solidFill>
                          <w14:srgbClr w14:val="000000"/>
                        </w14:solidFill>
                        <w14:prstDash w14:val="solid"/>
                        <w14:bevel/>
                      </w14:textOutline>
                    </w:rPr>
                    <w:t>）</w:t>
                  </w:r>
                </w:p>
              </w:tc>
              <w:tc>
                <w:tcPr>
                  <w:tcW w:w="569" w:type="pct"/>
                  <w:tcBorders>
                    <w:bottom w:val="single" w:color="000000" w:sz="12" w:space="0"/>
                  </w:tcBorders>
                  <w:vAlign w:val="center"/>
                </w:tcPr>
                <w:p w14:paraId="07BF45DB">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10</w:t>
                  </w:r>
                </w:p>
              </w:tc>
              <w:tc>
                <w:tcPr>
                  <w:tcW w:w="568" w:type="pct"/>
                  <w:tcBorders>
                    <w:bottom w:val="single" w:color="000000" w:sz="12" w:space="0"/>
                  </w:tcBorders>
                  <w:vAlign w:val="center"/>
                </w:tcPr>
                <w:p w14:paraId="0F3CF51B">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20</w:t>
                  </w:r>
                </w:p>
              </w:tc>
              <w:tc>
                <w:tcPr>
                  <w:tcW w:w="569" w:type="pct"/>
                  <w:tcBorders>
                    <w:bottom w:val="single" w:color="000000" w:sz="12" w:space="0"/>
                  </w:tcBorders>
                  <w:vAlign w:val="center"/>
                </w:tcPr>
                <w:p w14:paraId="666BD8C2">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30</w:t>
                  </w:r>
                </w:p>
              </w:tc>
              <w:tc>
                <w:tcPr>
                  <w:tcW w:w="569" w:type="pct"/>
                  <w:tcBorders>
                    <w:bottom w:val="single" w:color="000000" w:sz="12" w:space="0"/>
                  </w:tcBorders>
                  <w:vAlign w:val="center"/>
                </w:tcPr>
                <w:p w14:paraId="40BFF933">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40</w:t>
                  </w:r>
                </w:p>
              </w:tc>
              <w:tc>
                <w:tcPr>
                  <w:tcW w:w="569" w:type="pct"/>
                  <w:tcBorders>
                    <w:bottom w:val="single" w:color="000000" w:sz="12" w:space="0"/>
                  </w:tcBorders>
                  <w:vAlign w:val="center"/>
                </w:tcPr>
                <w:p w14:paraId="658B7A5F">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50</w:t>
                  </w:r>
                </w:p>
              </w:tc>
              <w:tc>
                <w:tcPr>
                  <w:tcW w:w="568" w:type="pct"/>
                  <w:tcBorders>
                    <w:bottom w:val="single" w:color="000000" w:sz="12" w:space="0"/>
                  </w:tcBorders>
                  <w:vAlign w:val="center"/>
                </w:tcPr>
                <w:p w14:paraId="434BB185">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60</w:t>
                  </w:r>
                </w:p>
              </w:tc>
              <w:tc>
                <w:tcPr>
                  <w:tcW w:w="610" w:type="pct"/>
                  <w:tcBorders>
                    <w:bottom w:val="single" w:color="000000" w:sz="12" w:space="0"/>
                  </w:tcBorders>
                  <w:vAlign w:val="center"/>
                </w:tcPr>
                <w:p w14:paraId="2069D34A">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70</w:t>
                  </w:r>
                </w:p>
              </w:tc>
            </w:tr>
            <w:tr w14:paraId="555E6E1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74" w:type="pct"/>
                  <w:tcBorders>
                    <w:top w:val="single" w:color="000000" w:sz="12" w:space="0"/>
                    <w:tl2br w:val="nil"/>
                    <w:tr2bl w:val="nil"/>
                  </w:tcBorders>
                  <w:vAlign w:val="center"/>
                </w:tcPr>
                <w:p w14:paraId="180D8B5D">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沉降速度</w:t>
                  </w:r>
                </w:p>
                <w:p w14:paraId="3E04ECA6">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m/s</w:t>
                  </w:r>
                  <w:r>
                    <w:rPr>
                      <w:rFonts w:hint="default" w:ascii="Times New Roman" w:hAnsi="Times New Roman" w:eastAsia="宋体" w:cs="Times New Roman"/>
                      <w:color w:val="auto"/>
                      <w:spacing w:val="0"/>
                      <w:position w:val="0"/>
                      <w:sz w:val="21"/>
                      <w:szCs w:val="21"/>
                      <w:highlight w:val="none"/>
                      <w:lang w:eastAsia="zh-CN"/>
                    </w:rPr>
                    <w:t>）</w:t>
                  </w:r>
                </w:p>
              </w:tc>
              <w:tc>
                <w:tcPr>
                  <w:tcW w:w="569" w:type="pct"/>
                  <w:tcBorders>
                    <w:top w:val="single" w:color="000000" w:sz="12" w:space="0"/>
                    <w:tl2br w:val="nil"/>
                    <w:tr2bl w:val="nil"/>
                  </w:tcBorders>
                  <w:vAlign w:val="center"/>
                </w:tcPr>
                <w:p w14:paraId="31EC06F3">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0.003</w:t>
                  </w:r>
                </w:p>
              </w:tc>
              <w:tc>
                <w:tcPr>
                  <w:tcW w:w="568" w:type="pct"/>
                  <w:tcBorders>
                    <w:top w:val="single" w:color="000000" w:sz="12" w:space="0"/>
                    <w:tl2br w:val="nil"/>
                    <w:tr2bl w:val="nil"/>
                  </w:tcBorders>
                  <w:vAlign w:val="center"/>
                </w:tcPr>
                <w:p w14:paraId="2D208D02">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0.012</w:t>
                  </w:r>
                </w:p>
              </w:tc>
              <w:tc>
                <w:tcPr>
                  <w:tcW w:w="569" w:type="pct"/>
                  <w:tcBorders>
                    <w:top w:val="single" w:color="000000" w:sz="12" w:space="0"/>
                    <w:tl2br w:val="nil"/>
                    <w:tr2bl w:val="nil"/>
                  </w:tcBorders>
                  <w:vAlign w:val="center"/>
                </w:tcPr>
                <w:p w14:paraId="3668F873">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0.027</w:t>
                  </w:r>
                </w:p>
              </w:tc>
              <w:tc>
                <w:tcPr>
                  <w:tcW w:w="569" w:type="pct"/>
                  <w:tcBorders>
                    <w:top w:val="single" w:color="000000" w:sz="12" w:space="0"/>
                    <w:tl2br w:val="nil"/>
                    <w:tr2bl w:val="nil"/>
                  </w:tcBorders>
                  <w:vAlign w:val="center"/>
                </w:tcPr>
                <w:p w14:paraId="1E0AECA1">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0.048</w:t>
                  </w:r>
                </w:p>
              </w:tc>
              <w:tc>
                <w:tcPr>
                  <w:tcW w:w="569" w:type="pct"/>
                  <w:tcBorders>
                    <w:top w:val="single" w:color="000000" w:sz="12" w:space="0"/>
                    <w:tl2br w:val="nil"/>
                    <w:tr2bl w:val="nil"/>
                  </w:tcBorders>
                  <w:vAlign w:val="center"/>
                </w:tcPr>
                <w:p w14:paraId="229BEFA9">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0.075</w:t>
                  </w:r>
                </w:p>
              </w:tc>
              <w:tc>
                <w:tcPr>
                  <w:tcW w:w="568" w:type="pct"/>
                  <w:tcBorders>
                    <w:top w:val="single" w:color="000000" w:sz="12" w:space="0"/>
                    <w:tl2br w:val="nil"/>
                    <w:tr2bl w:val="nil"/>
                  </w:tcBorders>
                  <w:vAlign w:val="center"/>
                </w:tcPr>
                <w:p w14:paraId="616FD0C3">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0.108</w:t>
                  </w:r>
                </w:p>
              </w:tc>
              <w:tc>
                <w:tcPr>
                  <w:tcW w:w="610" w:type="pct"/>
                  <w:tcBorders>
                    <w:top w:val="single" w:color="000000" w:sz="12" w:space="0"/>
                    <w:tl2br w:val="nil"/>
                    <w:tr2bl w:val="nil"/>
                  </w:tcBorders>
                  <w:vAlign w:val="center"/>
                </w:tcPr>
                <w:p w14:paraId="2B1538F2">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0.147</w:t>
                  </w:r>
                </w:p>
              </w:tc>
            </w:tr>
            <w:tr w14:paraId="7BC4B7C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74" w:type="pct"/>
                  <w:tcBorders>
                    <w:tl2br w:val="nil"/>
                    <w:tr2bl w:val="nil"/>
                  </w:tcBorders>
                  <w:vAlign w:val="center"/>
                </w:tcPr>
                <w:p w14:paraId="76C19FB6">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rPr>
                    <w:t>粒径</w:t>
                  </w: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μm</w:t>
                  </w:r>
                  <w:r>
                    <w:rPr>
                      <w:rFonts w:hint="default" w:ascii="Times New Roman" w:hAnsi="Times New Roman" w:eastAsia="宋体" w:cs="Times New Roman"/>
                      <w:color w:val="auto"/>
                      <w:spacing w:val="0"/>
                      <w:position w:val="0"/>
                      <w:sz w:val="21"/>
                      <w:szCs w:val="21"/>
                      <w:highlight w:val="none"/>
                      <w:lang w:eastAsia="zh-CN"/>
                    </w:rPr>
                    <w:t>）</w:t>
                  </w:r>
                </w:p>
              </w:tc>
              <w:tc>
                <w:tcPr>
                  <w:tcW w:w="569" w:type="pct"/>
                  <w:tcBorders>
                    <w:tl2br w:val="nil"/>
                    <w:tr2bl w:val="nil"/>
                  </w:tcBorders>
                  <w:vAlign w:val="center"/>
                </w:tcPr>
                <w:p w14:paraId="2E4DD31A">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80</w:t>
                  </w:r>
                </w:p>
              </w:tc>
              <w:tc>
                <w:tcPr>
                  <w:tcW w:w="568" w:type="pct"/>
                  <w:tcBorders>
                    <w:tl2br w:val="nil"/>
                    <w:tr2bl w:val="nil"/>
                  </w:tcBorders>
                  <w:vAlign w:val="center"/>
                </w:tcPr>
                <w:p w14:paraId="45C9032D">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90</w:t>
                  </w:r>
                </w:p>
              </w:tc>
              <w:tc>
                <w:tcPr>
                  <w:tcW w:w="569" w:type="pct"/>
                  <w:tcBorders>
                    <w:tl2br w:val="nil"/>
                    <w:tr2bl w:val="nil"/>
                  </w:tcBorders>
                  <w:vAlign w:val="center"/>
                </w:tcPr>
                <w:p w14:paraId="5B3C4A15">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100</w:t>
                  </w:r>
                </w:p>
              </w:tc>
              <w:tc>
                <w:tcPr>
                  <w:tcW w:w="569" w:type="pct"/>
                  <w:tcBorders>
                    <w:tl2br w:val="nil"/>
                    <w:tr2bl w:val="nil"/>
                  </w:tcBorders>
                  <w:vAlign w:val="center"/>
                </w:tcPr>
                <w:p w14:paraId="7615884C">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150</w:t>
                  </w:r>
                </w:p>
              </w:tc>
              <w:tc>
                <w:tcPr>
                  <w:tcW w:w="569" w:type="pct"/>
                  <w:tcBorders>
                    <w:tl2br w:val="nil"/>
                    <w:tr2bl w:val="nil"/>
                  </w:tcBorders>
                  <w:vAlign w:val="center"/>
                </w:tcPr>
                <w:p w14:paraId="3F29755A">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200</w:t>
                  </w:r>
                </w:p>
              </w:tc>
              <w:tc>
                <w:tcPr>
                  <w:tcW w:w="568" w:type="pct"/>
                  <w:tcBorders>
                    <w:tl2br w:val="nil"/>
                    <w:tr2bl w:val="nil"/>
                  </w:tcBorders>
                  <w:vAlign w:val="center"/>
                </w:tcPr>
                <w:p w14:paraId="5841AC7C">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250</w:t>
                  </w:r>
                </w:p>
              </w:tc>
              <w:tc>
                <w:tcPr>
                  <w:tcW w:w="610" w:type="pct"/>
                  <w:tcBorders>
                    <w:tl2br w:val="nil"/>
                    <w:tr2bl w:val="nil"/>
                  </w:tcBorders>
                  <w:vAlign w:val="center"/>
                </w:tcPr>
                <w:p w14:paraId="6EFCD906">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350</w:t>
                  </w:r>
                </w:p>
              </w:tc>
            </w:tr>
            <w:tr w14:paraId="30965A1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74" w:type="pct"/>
                  <w:tcBorders>
                    <w:tl2br w:val="nil"/>
                    <w:tr2bl w:val="nil"/>
                  </w:tcBorders>
                  <w:vAlign w:val="center"/>
                </w:tcPr>
                <w:p w14:paraId="18BCC16E">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沉降速度</w:t>
                  </w:r>
                </w:p>
                <w:p w14:paraId="6286834A">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m/s</w:t>
                  </w:r>
                  <w:r>
                    <w:rPr>
                      <w:rFonts w:hint="default" w:ascii="Times New Roman" w:hAnsi="Times New Roman" w:eastAsia="宋体" w:cs="Times New Roman"/>
                      <w:color w:val="auto"/>
                      <w:spacing w:val="0"/>
                      <w:position w:val="0"/>
                      <w:sz w:val="21"/>
                      <w:szCs w:val="21"/>
                      <w:highlight w:val="none"/>
                      <w:lang w:eastAsia="zh-CN"/>
                    </w:rPr>
                    <w:t>）</w:t>
                  </w:r>
                </w:p>
              </w:tc>
              <w:tc>
                <w:tcPr>
                  <w:tcW w:w="569" w:type="pct"/>
                  <w:tcBorders>
                    <w:tl2br w:val="nil"/>
                    <w:tr2bl w:val="nil"/>
                  </w:tcBorders>
                  <w:vAlign w:val="center"/>
                </w:tcPr>
                <w:p w14:paraId="3640D21B">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0.158</w:t>
                  </w:r>
                </w:p>
              </w:tc>
              <w:tc>
                <w:tcPr>
                  <w:tcW w:w="568" w:type="pct"/>
                  <w:tcBorders>
                    <w:tl2br w:val="nil"/>
                    <w:tr2bl w:val="nil"/>
                  </w:tcBorders>
                  <w:vAlign w:val="center"/>
                </w:tcPr>
                <w:p w14:paraId="44DDC665">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0.170</w:t>
                  </w:r>
                </w:p>
              </w:tc>
              <w:tc>
                <w:tcPr>
                  <w:tcW w:w="569" w:type="pct"/>
                  <w:tcBorders>
                    <w:tl2br w:val="nil"/>
                    <w:tr2bl w:val="nil"/>
                  </w:tcBorders>
                  <w:vAlign w:val="center"/>
                </w:tcPr>
                <w:p w14:paraId="70951368">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0.182</w:t>
                  </w:r>
                </w:p>
              </w:tc>
              <w:tc>
                <w:tcPr>
                  <w:tcW w:w="569" w:type="pct"/>
                  <w:tcBorders>
                    <w:tl2br w:val="nil"/>
                    <w:tr2bl w:val="nil"/>
                  </w:tcBorders>
                  <w:vAlign w:val="center"/>
                </w:tcPr>
                <w:p w14:paraId="1ACA7DB7">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0.239</w:t>
                  </w:r>
                </w:p>
              </w:tc>
              <w:tc>
                <w:tcPr>
                  <w:tcW w:w="569" w:type="pct"/>
                  <w:tcBorders>
                    <w:tl2br w:val="nil"/>
                    <w:tr2bl w:val="nil"/>
                  </w:tcBorders>
                  <w:vAlign w:val="center"/>
                </w:tcPr>
                <w:p w14:paraId="077AB1EC">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0.804</w:t>
                  </w:r>
                </w:p>
              </w:tc>
              <w:tc>
                <w:tcPr>
                  <w:tcW w:w="568" w:type="pct"/>
                  <w:tcBorders>
                    <w:tl2br w:val="nil"/>
                    <w:tr2bl w:val="nil"/>
                  </w:tcBorders>
                  <w:vAlign w:val="center"/>
                </w:tcPr>
                <w:p w14:paraId="0F0BE098">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1.005</w:t>
                  </w:r>
                </w:p>
              </w:tc>
              <w:tc>
                <w:tcPr>
                  <w:tcW w:w="610" w:type="pct"/>
                  <w:tcBorders>
                    <w:tl2br w:val="nil"/>
                    <w:tr2bl w:val="nil"/>
                  </w:tcBorders>
                  <w:vAlign w:val="center"/>
                </w:tcPr>
                <w:p w14:paraId="6A4A216D">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1.829</w:t>
                  </w:r>
                </w:p>
              </w:tc>
            </w:tr>
            <w:tr w14:paraId="64372CB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974" w:type="pct"/>
                  <w:tcBorders>
                    <w:tl2br w:val="nil"/>
                    <w:tr2bl w:val="nil"/>
                  </w:tcBorders>
                  <w:vAlign w:val="center"/>
                </w:tcPr>
                <w:p w14:paraId="2F37CF9A">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粒径</w:t>
                  </w: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微米</w:t>
                  </w:r>
                  <w:r>
                    <w:rPr>
                      <w:rFonts w:hint="default" w:ascii="Times New Roman" w:hAnsi="Times New Roman" w:eastAsia="宋体" w:cs="Times New Roman"/>
                      <w:color w:val="auto"/>
                      <w:spacing w:val="0"/>
                      <w:position w:val="0"/>
                      <w:sz w:val="21"/>
                      <w:szCs w:val="21"/>
                      <w:highlight w:val="none"/>
                      <w:lang w:eastAsia="zh-CN"/>
                    </w:rPr>
                    <w:t>）</w:t>
                  </w:r>
                </w:p>
              </w:tc>
              <w:tc>
                <w:tcPr>
                  <w:tcW w:w="569" w:type="pct"/>
                  <w:tcBorders>
                    <w:tl2br w:val="nil"/>
                    <w:tr2bl w:val="nil"/>
                  </w:tcBorders>
                  <w:vAlign w:val="center"/>
                </w:tcPr>
                <w:p w14:paraId="05D2D6AB">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450</w:t>
                  </w:r>
                </w:p>
              </w:tc>
              <w:tc>
                <w:tcPr>
                  <w:tcW w:w="568" w:type="pct"/>
                  <w:tcBorders>
                    <w:tl2br w:val="nil"/>
                    <w:tr2bl w:val="nil"/>
                  </w:tcBorders>
                  <w:vAlign w:val="center"/>
                </w:tcPr>
                <w:p w14:paraId="5FE786DB">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550</w:t>
                  </w:r>
                </w:p>
              </w:tc>
              <w:tc>
                <w:tcPr>
                  <w:tcW w:w="569" w:type="pct"/>
                  <w:tcBorders>
                    <w:tl2br w:val="nil"/>
                    <w:tr2bl w:val="nil"/>
                  </w:tcBorders>
                  <w:vAlign w:val="center"/>
                </w:tcPr>
                <w:p w14:paraId="5504B132">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650</w:t>
                  </w:r>
                </w:p>
              </w:tc>
              <w:tc>
                <w:tcPr>
                  <w:tcW w:w="569" w:type="pct"/>
                  <w:tcBorders>
                    <w:tl2br w:val="nil"/>
                    <w:tr2bl w:val="nil"/>
                  </w:tcBorders>
                  <w:vAlign w:val="center"/>
                </w:tcPr>
                <w:p w14:paraId="3C58D3C8">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750</w:t>
                  </w:r>
                </w:p>
              </w:tc>
              <w:tc>
                <w:tcPr>
                  <w:tcW w:w="569" w:type="pct"/>
                  <w:tcBorders>
                    <w:tl2br w:val="nil"/>
                    <w:tr2bl w:val="nil"/>
                  </w:tcBorders>
                  <w:vAlign w:val="center"/>
                </w:tcPr>
                <w:p w14:paraId="632428E1">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850</w:t>
                  </w:r>
                </w:p>
              </w:tc>
              <w:tc>
                <w:tcPr>
                  <w:tcW w:w="568" w:type="pct"/>
                  <w:tcBorders>
                    <w:tl2br w:val="nil"/>
                    <w:tr2bl w:val="nil"/>
                  </w:tcBorders>
                  <w:vAlign w:val="center"/>
                </w:tcPr>
                <w:p w14:paraId="070C3AAF">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950</w:t>
                  </w:r>
                </w:p>
              </w:tc>
              <w:tc>
                <w:tcPr>
                  <w:tcW w:w="610" w:type="pct"/>
                  <w:tcBorders>
                    <w:tl2br w:val="nil"/>
                    <w:tr2bl w:val="nil"/>
                  </w:tcBorders>
                  <w:vAlign w:val="center"/>
                </w:tcPr>
                <w:p w14:paraId="3418D9C9">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1050</w:t>
                  </w:r>
                </w:p>
              </w:tc>
            </w:tr>
            <w:tr w14:paraId="3E9973C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974" w:type="pct"/>
                  <w:tcBorders>
                    <w:tl2br w:val="nil"/>
                    <w:tr2bl w:val="nil"/>
                  </w:tcBorders>
                  <w:vAlign w:val="center"/>
                </w:tcPr>
                <w:p w14:paraId="69F8B28B">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沉降速度</w:t>
                  </w:r>
                </w:p>
                <w:p w14:paraId="5C28280B">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m/s</w:t>
                  </w:r>
                  <w:r>
                    <w:rPr>
                      <w:rFonts w:hint="default" w:ascii="Times New Roman" w:hAnsi="Times New Roman" w:eastAsia="宋体" w:cs="Times New Roman"/>
                      <w:color w:val="auto"/>
                      <w:spacing w:val="0"/>
                      <w:position w:val="0"/>
                      <w:sz w:val="21"/>
                      <w:szCs w:val="21"/>
                      <w:highlight w:val="none"/>
                      <w:lang w:eastAsia="zh-CN"/>
                    </w:rPr>
                    <w:t>）</w:t>
                  </w:r>
                </w:p>
              </w:tc>
              <w:tc>
                <w:tcPr>
                  <w:tcW w:w="569" w:type="pct"/>
                  <w:tcBorders>
                    <w:tl2br w:val="nil"/>
                    <w:tr2bl w:val="nil"/>
                  </w:tcBorders>
                  <w:vAlign w:val="center"/>
                </w:tcPr>
                <w:p w14:paraId="56FF0CD7">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2.211</w:t>
                  </w:r>
                </w:p>
              </w:tc>
              <w:tc>
                <w:tcPr>
                  <w:tcW w:w="568" w:type="pct"/>
                  <w:tcBorders>
                    <w:tl2br w:val="nil"/>
                    <w:tr2bl w:val="nil"/>
                  </w:tcBorders>
                  <w:vAlign w:val="center"/>
                </w:tcPr>
                <w:p w14:paraId="1A20C5C5">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2.614</w:t>
                  </w:r>
                </w:p>
              </w:tc>
              <w:tc>
                <w:tcPr>
                  <w:tcW w:w="569" w:type="pct"/>
                  <w:tcBorders>
                    <w:tl2br w:val="nil"/>
                    <w:tr2bl w:val="nil"/>
                  </w:tcBorders>
                  <w:vAlign w:val="center"/>
                </w:tcPr>
                <w:p w14:paraId="460E7D01">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3.016</w:t>
                  </w:r>
                </w:p>
              </w:tc>
              <w:tc>
                <w:tcPr>
                  <w:tcW w:w="569" w:type="pct"/>
                  <w:tcBorders>
                    <w:tl2br w:val="nil"/>
                    <w:tr2bl w:val="nil"/>
                  </w:tcBorders>
                  <w:vAlign w:val="center"/>
                </w:tcPr>
                <w:p w14:paraId="4F7E73C4">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3.418</w:t>
                  </w:r>
                </w:p>
              </w:tc>
              <w:tc>
                <w:tcPr>
                  <w:tcW w:w="569" w:type="pct"/>
                  <w:tcBorders>
                    <w:tl2br w:val="nil"/>
                    <w:tr2bl w:val="nil"/>
                  </w:tcBorders>
                  <w:vAlign w:val="center"/>
                </w:tcPr>
                <w:p w14:paraId="063ABD31">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3.820</w:t>
                  </w:r>
                </w:p>
              </w:tc>
              <w:tc>
                <w:tcPr>
                  <w:tcW w:w="568" w:type="pct"/>
                  <w:tcBorders>
                    <w:tl2br w:val="nil"/>
                    <w:tr2bl w:val="nil"/>
                  </w:tcBorders>
                  <w:vAlign w:val="center"/>
                </w:tcPr>
                <w:p w14:paraId="746F5027">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4.222</w:t>
                  </w:r>
                </w:p>
              </w:tc>
              <w:tc>
                <w:tcPr>
                  <w:tcW w:w="610" w:type="pct"/>
                  <w:tcBorders>
                    <w:tl2br w:val="nil"/>
                    <w:tr2bl w:val="nil"/>
                  </w:tcBorders>
                  <w:vAlign w:val="center"/>
                </w:tcPr>
                <w:p w14:paraId="7D6D04E9">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4.624</w:t>
                  </w:r>
                </w:p>
              </w:tc>
            </w:tr>
          </w:tbl>
          <w:p w14:paraId="35C13E77">
            <w:pPr>
              <w:keepNext w:val="0"/>
              <w:keepLines w:val="0"/>
              <w:pageBreakBefore w:val="0"/>
              <w:shd w:val="clear"/>
              <w:kinsoku/>
              <w:wordWrap/>
              <w:overflowPunct/>
              <w:topLinePunct w:val="0"/>
              <w:autoSpaceDE/>
              <w:autoSpaceDN/>
              <w:bidi w:val="0"/>
              <w:spacing w:line="360" w:lineRule="auto"/>
              <w:ind w:left="0" w:right="0" w:firstLine="482"/>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从表4-4以看出，尘粒的沉降速度随粒径的增大而迅速增大。当粒径为250μm时，沉降速度为1.005m/s，因此可以认为当尘粒大于250μm时，主要影响范围在扬尘点下风向近距离范围内，而真正对外环境产生影响的是一些微小尘粒。在有风的情况下，施工扬尘会对该区域造成一定的影响。由起尘计算公式可知，V</w:t>
            </w:r>
            <w:r>
              <w:rPr>
                <w:rFonts w:hint="default" w:ascii="Times New Roman" w:hAnsi="Times New Roman" w:eastAsia="宋体" w:cs="Times New Roman"/>
                <w:color w:val="auto"/>
                <w:spacing w:val="0"/>
                <w:position w:val="0"/>
                <w:sz w:val="24"/>
                <w:szCs w:val="24"/>
                <w:highlight w:val="none"/>
                <w:vertAlign w:val="subscript"/>
              </w:rPr>
              <w:t>0</w:t>
            </w:r>
            <w:r>
              <w:rPr>
                <w:rFonts w:hint="default" w:ascii="Times New Roman" w:hAnsi="Times New Roman" w:eastAsia="宋体" w:cs="Times New Roman"/>
                <w:color w:val="auto"/>
                <w:spacing w:val="0"/>
                <w:position w:val="0"/>
                <w:sz w:val="24"/>
                <w:szCs w:val="24"/>
                <w:highlight w:val="none"/>
              </w:rPr>
              <w:t>与粒径和含水率有关，因此，通过采取减少露天堆放和保证一定含水率及减少裸露地面等措施后，风力起尘对环境的</w:t>
            </w:r>
            <w:r>
              <w:rPr>
                <w:rFonts w:hint="default" w:ascii="Times New Roman" w:hAnsi="Times New Roman" w:eastAsia="宋体" w:cs="Times New Roman"/>
                <w:color w:val="auto"/>
                <w:spacing w:val="0"/>
                <w:position w:val="0"/>
                <w:sz w:val="24"/>
                <w:szCs w:val="24"/>
                <w:highlight w:val="none"/>
                <w:lang w:eastAsia="zh-CN"/>
              </w:rPr>
              <w:t>影响程度较小</w:t>
            </w:r>
            <w:r>
              <w:rPr>
                <w:rFonts w:hint="default" w:ascii="Times New Roman" w:hAnsi="Times New Roman" w:eastAsia="宋体" w:cs="Times New Roman"/>
                <w:color w:val="auto"/>
                <w:spacing w:val="0"/>
                <w:position w:val="0"/>
                <w:sz w:val="24"/>
                <w:szCs w:val="24"/>
                <w:highlight w:val="none"/>
              </w:rPr>
              <w:t>。</w:t>
            </w:r>
          </w:p>
          <w:p w14:paraId="19B864DA">
            <w:pPr>
              <w:pStyle w:val="61"/>
              <w:keepNext w:val="0"/>
              <w:keepLines w:val="0"/>
              <w:pageBreakBefore w:val="0"/>
              <w:shd w:val="clear"/>
              <w:kinsoku/>
              <w:wordWrap/>
              <w:overflowPunct/>
              <w:topLinePunct w:val="0"/>
              <w:bidi w:val="0"/>
              <w:spacing w:beforeAutospacing="0" w:afterAutospacing="0" w:line="360" w:lineRule="auto"/>
              <w:ind w:left="0" w:leftChars="0" w:right="0" w:firstLine="480" w:firstLineChars="200"/>
              <w:textAlignment w:val="auto"/>
              <w:rPr>
                <w:rFonts w:hint="default" w:ascii="Times New Roman" w:hAnsi="Times New Roman" w:cs="Times New Roman"/>
                <w:color w:val="auto"/>
                <w:spacing w:val="0"/>
                <w:sz w:val="24"/>
                <w:szCs w:val="24"/>
                <w:highlight w:val="none"/>
              </w:rPr>
            </w:pPr>
            <w:r>
              <w:rPr>
                <w:rFonts w:hint="default" w:ascii="Times New Roman" w:hAnsi="Times New Roman" w:cs="Times New Roman"/>
                <w:color w:val="auto"/>
                <w:spacing w:val="0"/>
                <w:sz w:val="24"/>
                <w:szCs w:val="24"/>
                <w:highlight w:val="none"/>
                <w:lang w:val="en-US" w:eastAsia="zh-CN"/>
              </w:rPr>
              <w:t>（3）</w:t>
            </w:r>
            <w:r>
              <w:rPr>
                <w:rFonts w:hint="default" w:ascii="Times New Roman" w:hAnsi="Times New Roman" w:cs="Times New Roman"/>
                <w:color w:val="auto"/>
                <w:spacing w:val="0"/>
                <w:sz w:val="24"/>
                <w:szCs w:val="24"/>
                <w:highlight w:val="none"/>
              </w:rPr>
              <w:t>堆场扬尘</w:t>
            </w:r>
          </w:p>
          <w:p w14:paraId="38F975F6">
            <w:pPr>
              <w:pStyle w:val="61"/>
              <w:keepNext w:val="0"/>
              <w:keepLines w:val="0"/>
              <w:pageBreakBefore w:val="0"/>
              <w:shd w:val="clear"/>
              <w:kinsoku/>
              <w:wordWrap/>
              <w:overflowPunct/>
              <w:topLinePunct w:val="0"/>
              <w:bidi w:val="0"/>
              <w:spacing w:beforeAutospacing="0" w:afterAutospacing="0" w:line="360" w:lineRule="auto"/>
              <w:ind w:left="0" w:leftChars="0" w:right="0" w:firstLine="480" w:firstLineChars="200"/>
              <w:textAlignment w:val="auto"/>
              <w:rPr>
                <w:rFonts w:hint="default" w:ascii="Times New Roman" w:hAnsi="Times New Roman" w:cs="Times New Roman"/>
                <w:color w:val="auto"/>
                <w:spacing w:val="0"/>
                <w:sz w:val="24"/>
                <w:szCs w:val="24"/>
                <w:highlight w:val="none"/>
              </w:rPr>
            </w:pPr>
            <w:r>
              <w:rPr>
                <w:rFonts w:hint="default" w:ascii="Times New Roman" w:hAnsi="Times New Roman" w:cs="Times New Roman"/>
                <w:color w:val="auto"/>
                <w:spacing w:val="0"/>
                <w:sz w:val="24"/>
                <w:szCs w:val="24"/>
                <w:highlight w:val="none"/>
              </w:rPr>
              <w:t>本项目各类堆场主要为原料堆场、产品堆场、覆土堆场，总占地面积约为</w:t>
            </w:r>
            <w:r>
              <w:rPr>
                <w:rFonts w:hint="default" w:ascii="Times New Roman" w:hAnsi="Times New Roman" w:cs="Times New Roman"/>
                <w:color w:val="auto"/>
                <w:spacing w:val="0"/>
                <w:position w:val="0"/>
                <w:sz w:val="24"/>
                <w:szCs w:val="24"/>
                <w:highlight w:val="none"/>
                <w:lang w:val="en-US" w:eastAsia="zh-CN"/>
              </w:rPr>
              <w:t>42200</w:t>
            </w:r>
            <w:r>
              <w:rPr>
                <w:rFonts w:hint="default" w:ascii="Times New Roman" w:hAnsi="Times New Roman" w:cs="Times New Roman"/>
                <w:color w:val="auto"/>
                <w:spacing w:val="0"/>
                <w:sz w:val="24"/>
                <w:szCs w:val="24"/>
                <w:highlight w:val="none"/>
              </w:rPr>
              <w:t>m</w:t>
            </w:r>
            <w:r>
              <w:rPr>
                <w:rFonts w:hint="default" w:ascii="Times New Roman" w:hAnsi="Times New Roman" w:cs="Times New Roman"/>
                <w:color w:val="auto"/>
                <w:spacing w:val="0"/>
                <w:sz w:val="24"/>
                <w:szCs w:val="24"/>
                <w:highlight w:val="none"/>
                <w:vertAlign w:val="superscript"/>
              </w:rPr>
              <w:t>2</w:t>
            </w:r>
            <w:r>
              <w:rPr>
                <w:rFonts w:hint="default" w:ascii="Times New Roman" w:hAnsi="Times New Roman" w:cs="Times New Roman"/>
                <w:color w:val="auto"/>
                <w:spacing w:val="0"/>
                <w:sz w:val="24"/>
                <w:szCs w:val="24"/>
                <w:highlight w:val="none"/>
              </w:rPr>
              <w:t>。各类堆场在倾倒、堆放过程中会产生扬尘，主要的无组织扬尘面源。</w:t>
            </w:r>
          </w:p>
          <w:p w14:paraId="7B52710D">
            <w:pPr>
              <w:pStyle w:val="11"/>
              <w:keepNext w:val="0"/>
              <w:keepLines w:val="0"/>
              <w:pageBreakBefore w:val="0"/>
              <w:shd w:val="clear"/>
              <w:kinsoku/>
              <w:wordWrap/>
              <w:overflowPunct/>
              <w:topLinePunct w:val="0"/>
              <w:autoSpaceDE/>
              <w:autoSpaceDN/>
              <w:bidi w:val="0"/>
              <w:adjustRightIn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i w:val="0"/>
                <w:iCs w:val="0"/>
                <w:color w:val="auto"/>
                <w:spacing w:val="0"/>
                <w:w w:val="100"/>
                <w:position w:val="0"/>
                <w:sz w:val="24"/>
                <w:szCs w:val="24"/>
                <w:highlight w:val="none"/>
              </w:rPr>
            </w:pPr>
            <w:r>
              <w:rPr>
                <w:rFonts w:hint="default" w:ascii="Times New Roman" w:hAnsi="Times New Roman" w:cs="Times New Roman"/>
                <w:bCs/>
                <w:color w:val="auto"/>
                <w:spacing w:val="0"/>
                <w:kern w:val="0"/>
                <w:position w:val="0"/>
                <w:sz w:val="24"/>
                <w:szCs w:val="24"/>
                <w:highlight w:val="none"/>
              </w:rPr>
              <w:t>根据《排放源统计调查产排污核算方法和系数手册（2021年版）》中附表2固体物料堆存颗粒物产排污核算系数手册装卸扬尘和风蚀扬尘产生量核算公式核算本项目的堆场扬尘：</w:t>
            </w:r>
          </w:p>
          <w:p w14:paraId="2ABD2345">
            <w:pPr>
              <w:pStyle w:val="39"/>
              <w:keepNext w:val="0"/>
              <w:keepLines w:val="0"/>
              <w:pageBreakBefore w:val="0"/>
              <w:widowControl w:val="0"/>
              <w:shd w:val="clear"/>
              <w:kinsoku/>
              <w:wordWrap/>
              <w:overflowPunct/>
              <w:topLinePunct w:val="0"/>
              <w:bidi w:val="0"/>
              <w:spacing w:beforeAutospacing="0" w:afterAutospacing="0" w:line="360" w:lineRule="auto"/>
              <w:ind w:left="0" w:leftChars="0" w:right="0" w:firstLine="480" w:firstLineChars="200"/>
              <w:jc w:val="center"/>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P=ZCy+FCy={Nc×D×(a/b)+2×E</w:t>
            </w:r>
            <w:r>
              <w:rPr>
                <w:rFonts w:hint="default" w:ascii="Times New Roman" w:hAnsi="Times New Roman" w:cs="Times New Roman"/>
                <w:b w:val="0"/>
                <w:bCs w:val="0"/>
                <w:color w:val="auto"/>
                <w:spacing w:val="0"/>
                <w:position w:val="0"/>
                <w:sz w:val="24"/>
                <w:szCs w:val="24"/>
                <w:highlight w:val="none"/>
                <w:vertAlign w:val="subscript"/>
                <w:lang w:val="en-US" w:eastAsia="zh-CN"/>
              </w:rPr>
              <w:t>f</w:t>
            </w:r>
            <w:r>
              <w:rPr>
                <w:rFonts w:hint="default" w:ascii="Times New Roman" w:hAnsi="Times New Roman" w:cs="Times New Roman"/>
                <w:b w:val="0"/>
                <w:bCs w:val="0"/>
                <w:color w:val="auto"/>
                <w:spacing w:val="0"/>
                <w:position w:val="0"/>
                <w:sz w:val="24"/>
                <w:szCs w:val="24"/>
                <w:highlight w:val="none"/>
                <w:lang w:val="en-US" w:eastAsia="zh-CN"/>
              </w:rPr>
              <w:t>×S}×10</w:t>
            </w:r>
            <w:r>
              <w:rPr>
                <w:rFonts w:hint="default" w:ascii="Times New Roman" w:hAnsi="Times New Roman" w:cs="Times New Roman"/>
                <w:b w:val="0"/>
                <w:bCs w:val="0"/>
                <w:color w:val="auto"/>
                <w:spacing w:val="0"/>
                <w:position w:val="0"/>
                <w:sz w:val="24"/>
                <w:szCs w:val="24"/>
                <w:highlight w:val="none"/>
                <w:vertAlign w:val="superscript"/>
                <w:lang w:val="en-US" w:eastAsia="zh-CN"/>
              </w:rPr>
              <w:t>-3</w:t>
            </w:r>
          </w:p>
          <w:p w14:paraId="07A1FC68">
            <w:pPr>
              <w:pStyle w:val="39"/>
              <w:keepNext w:val="0"/>
              <w:keepLines w:val="0"/>
              <w:pageBreakBefore w:val="0"/>
              <w:widowControl w:val="0"/>
              <w:shd w:val="clear"/>
              <w:kinsoku/>
              <w:wordWrap/>
              <w:overflowPunct/>
              <w:topLinePunct w:val="0"/>
              <w:bidi w:val="0"/>
              <w:spacing w:beforeAutospacing="0" w:afterAutospacing="0" w:line="360" w:lineRule="auto"/>
              <w:ind w:left="0" w:leftChars="0" w:right="0" w:firstLine="480" w:firstLineChars="2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式中：P指颗粒物产生量(单位：吨)；</w:t>
            </w:r>
          </w:p>
          <w:p w14:paraId="493976B5">
            <w:pPr>
              <w:pStyle w:val="39"/>
              <w:keepNext w:val="0"/>
              <w:keepLines w:val="0"/>
              <w:pageBreakBefore w:val="0"/>
              <w:widowControl w:val="0"/>
              <w:shd w:val="clear"/>
              <w:kinsoku/>
              <w:wordWrap/>
              <w:overflowPunct/>
              <w:topLinePunct w:val="0"/>
              <w:bidi w:val="0"/>
              <w:spacing w:beforeAutospacing="0" w:afterAutospacing="0" w:line="360" w:lineRule="auto"/>
              <w:ind w:left="0" w:leftChars="0" w:right="0" w:firstLine="1200" w:firstLineChars="5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ZCy指装卸扬尘产生量(单位：吨)；</w:t>
            </w:r>
          </w:p>
          <w:p w14:paraId="5453344B">
            <w:pPr>
              <w:pStyle w:val="39"/>
              <w:keepNext w:val="0"/>
              <w:keepLines w:val="0"/>
              <w:pageBreakBefore w:val="0"/>
              <w:widowControl w:val="0"/>
              <w:shd w:val="clear"/>
              <w:kinsoku/>
              <w:wordWrap/>
              <w:overflowPunct/>
              <w:topLinePunct w:val="0"/>
              <w:bidi w:val="0"/>
              <w:spacing w:beforeAutospacing="0" w:afterAutospacing="0" w:line="360" w:lineRule="auto"/>
              <w:ind w:left="0" w:leftChars="0" w:right="0" w:firstLine="1200" w:firstLineChars="5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FCy指风蚀扬尘产生量(单位：吨)；</w:t>
            </w:r>
          </w:p>
          <w:p w14:paraId="18085790">
            <w:pPr>
              <w:pStyle w:val="39"/>
              <w:keepNext w:val="0"/>
              <w:keepLines w:val="0"/>
              <w:pageBreakBefore w:val="0"/>
              <w:widowControl w:val="0"/>
              <w:shd w:val="clear"/>
              <w:kinsoku/>
              <w:wordWrap/>
              <w:overflowPunct/>
              <w:topLinePunct w:val="0"/>
              <w:bidi w:val="0"/>
              <w:spacing w:beforeAutospacing="0" w:afterAutospacing="0" w:line="360" w:lineRule="auto"/>
              <w:ind w:left="0" w:leftChars="0" w:right="0" w:firstLine="1200" w:firstLineChars="5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Nc指年物料运载车次(单位：车)；</w:t>
            </w:r>
          </w:p>
          <w:p w14:paraId="3B66AFC9">
            <w:pPr>
              <w:pStyle w:val="39"/>
              <w:keepNext w:val="0"/>
              <w:keepLines w:val="0"/>
              <w:pageBreakBefore w:val="0"/>
              <w:widowControl w:val="0"/>
              <w:shd w:val="clear"/>
              <w:kinsoku/>
              <w:wordWrap/>
              <w:overflowPunct/>
              <w:topLinePunct w:val="0"/>
              <w:bidi w:val="0"/>
              <w:spacing w:beforeAutospacing="0" w:afterAutospacing="0" w:line="360" w:lineRule="auto"/>
              <w:ind w:left="0" w:leftChars="0" w:right="0" w:firstLine="1200" w:firstLineChars="5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D指单车平均运载量(单位：吨/车)；</w:t>
            </w:r>
          </w:p>
          <w:p w14:paraId="154C5DE5">
            <w:pPr>
              <w:pStyle w:val="39"/>
              <w:keepNext w:val="0"/>
              <w:keepLines w:val="0"/>
              <w:pageBreakBefore w:val="0"/>
              <w:widowControl w:val="0"/>
              <w:shd w:val="clear"/>
              <w:kinsoku/>
              <w:wordWrap/>
              <w:overflowPunct/>
              <w:topLinePunct w:val="0"/>
              <w:bidi w:val="0"/>
              <w:spacing w:beforeAutospacing="0" w:afterAutospacing="0" w:line="360" w:lineRule="auto"/>
              <w:ind w:left="0" w:leftChars="0" w:right="0" w:firstLine="1200" w:firstLineChars="5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(a/b)指装卸扬尘概化系数(单位：千克/吨)，a指各省风速概化系数，b指物料含水率概化系数。</w:t>
            </w:r>
          </w:p>
          <w:p w14:paraId="39B39AA5">
            <w:pPr>
              <w:pStyle w:val="39"/>
              <w:keepNext w:val="0"/>
              <w:keepLines w:val="0"/>
              <w:pageBreakBefore w:val="0"/>
              <w:widowControl w:val="0"/>
              <w:shd w:val="clear"/>
              <w:kinsoku/>
              <w:wordWrap/>
              <w:overflowPunct/>
              <w:topLinePunct w:val="0"/>
              <w:bidi w:val="0"/>
              <w:spacing w:beforeAutospacing="0" w:afterAutospacing="0" w:line="360" w:lineRule="auto"/>
              <w:ind w:left="0" w:leftChars="0" w:right="0" w:firstLine="1200" w:firstLineChars="5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E</w:t>
            </w:r>
            <w:r>
              <w:rPr>
                <w:rFonts w:hint="default" w:ascii="Times New Roman" w:hAnsi="Times New Roman" w:cs="Times New Roman"/>
                <w:b w:val="0"/>
                <w:bCs w:val="0"/>
                <w:color w:val="auto"/>
                <w:spacing w:val="0"/>
                <w:position w:val="0"/>
                <w:sz w:val="24"/>
                <w:szCs w:val="24"/>
                <w:highlight w:val="none"/>
                <w:vertAlign w:val="subscript"/>
                <w:lang w:val="en-US" w:eastAsia="zh-CN"/>
              </w:rPr>
              <w:t>f</w:t>
            </w:r>
            <w:r>
              <w:rPr>
                <w:rFonts w:hint="default" w:ascii="Times New Roman" w:hAnsi="Times New Roman" w:cs="Times New Roman"/>
                <w:b w:val="0"/>
                <w:bCs w:val="0"/>
                <w:color w:val="auto"/>
                <w:spacing w:val="0"/>
                <w:position w:val="0"/>
                <w:sz w:val="24"/>
                <w:szCs w:val="24"/>
                <w:highlight w:val="none"/>
                <w:lang w:val="en-US" w:eastAsia="zh-CN"/>
              </w:rPr>
              <w:t>指堆场风蚀扬尘概化系数；</w:t>
            </w:r>
          </w:p>
          <w:p w14:paraId="2457AF7C">
            <w:pPr>
              <w:pStyle w:val="39"/>
              <w:keepNext w:val="0"/>
              <w:keepLines w:val="0"/>
              <w:pageBreakBefore w:val="0"/>
              <w:widowControl w:val="0"/>
              <w:shd w:val="clear"/>
              <w:kinsoku/>
              <w:wordWrap/>
              <w:overflowPunct/>
              <w:topLinePunct w:val="0"/>
              <w:bidi w:val="0"/>
              <w:spacing w:beforeAutospacing="0" w:afterAutospacing="0" w:line="360" w:lineRule="auto"/>
              <w:ind w:left="0" w:leftChars="0" w:right="0" w:firstLine="1200" w:firstLineChars="5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S指堆场占地面积(单位：平方米)。</w:t>
            </w:r>
          </w:p>
          <w:p w14:paraId="0FD763F4">
            <w:pPr>
              <w:pStyle w:val="39"/>
              <w:keepNext w:val="0"/>
              <w:keepLines w:val="0"/>
              <w:pageBreakBefore w:val="0"/>
              <w:widowControl w:val="0"/>
              <w:shd w:val="clear"/>
              <w:kinsoku/>
              <w:wordWrap/>
              <w:overflowPunct/>
              <w:topLinePunct w:val="0"/>
              <w:bidi w:val="0"/>
              <w:spacing w:beforeAutospacing="0" w:afterAutospacing="0" w:line="360" w:lineRule="auto"/>
              <w:ind w:left="0" w:leftChars="0" w:right="0" w:firstLine="480" w:firstLineChars="2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本项目Nc取27000次/年，D取15吨/车。a取0.0011；b取0.0084；E</w:t>
            </w:r>
            <w:r>
              <w:rPr>
                <w:rFonts w:hint="default" w:ascii="Times New Roman" w:hAnsi="Times New Roman" w:cs="Times New Roman"/>
                <w:b w:val="0"/>
                <w:bCs w:val="0"/>
                <w:color w:val="auto"/>
                <w:spacing w:val="0"/>
                <w:position w:val="0"/>
                <w:sz w:val="24"/>
                <w:szCs w:val="24"/>
                <w:highlight w:val="none"/>
                <w:vertAlign w:val="subscript"/>
                <w:lang w:val="en-US" w:eastAsia="zh-CN"/>
              </w:rPr>
              <w:t>f</w:t>
            </w:r>
            <w:r>
              <w:rPr>
                <w:rFonts w:hint="default" w:ascii="Times New Roman" w:hAnsi="Times New Roman" w:cs="Times New Roman"/>
                <w:b w:val="0"/>
                <w:bCs w:val="0"/>
                <w:color w:val="auto"/>
                <w:spacing w:val="0"/>
                <w:position w:val="0"/>
                <w:sz w:val="24"/>
                <w:szCs w:val="24"/>
                <w:highlight w:val="none"/>
                <w:lang w:val="en-US" w:eastAsia="zh-CN"/>
              </w:rPr>
              <w:t>风蚀扬尘概化系数取0，S取</w:t>
            </w:r>
            <w:r>
              <w:rPr>
                <w:rFonts w:hint="default" w:ascii="Times New Roman" w:hAnsi="Times New Roman" w:cs="Times New Roman"/>
                <w:color w:val="auto"/>
                <w:spacing w:val="0"/>
                <w:sz w:val="24"/>
                <w:szCs w:val="24"/>
                <w:highlight w:val="none"/>
                <w:lang w:val="en-US" w:eastAsia="zh-CN"/>
              </w:rPr>
              <w:t>42200</w:t>
            </w:r>
            <w:r>
              <w:rPr>
                <w:rFonts w:hint="default" w:ascii="Times New Roman" w:hAnsi="Times New Roman" w:eastAsia="宋体" w:cs="Times New Roman"/>
                <w:i w:val="0"/>
                <w:iCs w:val="0"/>
                <w:color w:val="auto"/>
                <w:spacing w:val="0"/>
                <w:w w:val="100"/>
                <w:kern w:val="0"/>
                <w:position w:val="0"/>
                <w:sz w:val="24"/>
                <w:szCs w:val="24"/>
                <w:highlight w:val="none"/>
                <w:lang w:val="en-US" w:eastAsia="zh-CN" w:bidi="ar"/>
              </w:rPr>
              <w:t>m</w:t>
            </w:r>
            <w:r>
              <w:rPr>
                <w:rFonts w:hint="default" w:ascii="Times New Roman" w:hAnsi="Times New Roman" w:eastAsia="宋体" w:cs="Times New Roman"/>
                <w:i w:val="0"/>
                <w:iCs w:val="0"/>
                <w:color w:val="auto"/>
                <w:spacing w:val="0"/>
                <w:w w:val="100"/>
                <w:kern w:val="0"/>
                <w:position w:val="0"/>
                <w:sz w:val="24"/>
                <w:szCs w:val="24"/>
                <w:highlight w:val="none"/>
                <w:vertAlign w:val="superscript"/>
                <w:lang w:val="en-US" w:eastAsia="zh-CN" w:bidi="ar"/>
              </w:rPr>
              <w:t>2</w:t>
            </w:r>
            <w:r>
              <w:rPr>
                <w:rFonts w:hint="default" w:ascii="Times New Roman" w:hAnsi="Times New Roman" w:cs="Times New Roman"/>
                <w:b w:val="0"/>
                <w:bCs w:val="0"/>
                <w:color w:val="auto"/>
                <w:spacing w:val="0"/>
                <w:position w:val="0"/>
                <w:sz w:val="24"/>
                <w:szCs w:val="24"/>
                <w:highlight w:val="none"/>
                <w:lang w:val="en-US" w:eastAsia="zh-CN"/>
              </w:rPr>
              <w:t>，综上，本项目堆场粉尘产生量约：29.8t/a。</w:t>
            </w:r>
          </w:p>
          <w:p w14:paraId="687AE27B">
            <w:pPr>
              <w:pStyle w:val="39"/>
              <w:keepNext w:val="0"/>
              <w:keepLines w:val="0"/>
              <w:pageBreakBefore w:val="0"/>
              <w:widowControl w:val="0"/>
              <w:shd w:val="clear"/>
              <w:kinsoku/>
              <w:wordWrap/>
              <w:overflowPunct/>
              <w:topLinePunct w:val="0"/>
              <w:bidi w:val="0"/>
              <w:spacing w:beforeAutospacing="0" w:afterAutospacing="0" w:line="360" w:lineRule="auto"/>
              <w:ind w:left="0" w:leftChars="0" w:right="0" w:firstLine="480" w:firstLineChars="2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工业企业固体物料堆场颗粒物排放量核算公式如下：</w:t>
            </w:r>
          </w:p>
          <w:p w14:paraId="29CAEF2F">
            <w:pPr>
              <w:pStyle w:val="39"/>
              <w:keepNext w:val="0"/>
              <w:keepLines w:val="0"/>
              <w:pageBreakBefore w:val="0"/>
              <w:widowControl w:val="0"/>
              <w:shd w:val="clear"/>
              <w:kinsoku/>
              <w:wordWrap/>
              <w:overflowPunct/>
              <w:topLinePunct w:val="0"/>
              <w:bidi w:val="0"/>
              <w:spacing w:beforeAutospacing="0" w:afterAutospacing="0" w:line="360" w:lineRule="auto"/>
              <w:ind w:left="0" w:leftChars="0" w:right="0" w:firstLine="480" w:firstLineChars="200"/>
              <w:jc w:val="center"/>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Uc=P×(1-Cm)×(1-Tm)</w:t>
            </w:r>
          </w:p>
          <w:p w14:paraId="60827E48">
            <w:pPr>
              <w:pStyle w:val="39"/>
              <w:keepNext w:val="0"/>
              <w:keepLines w:val="0"/>
              <w:pageBreakBefore w:val="0"/>
              <w:widowControl w:val="0"/>
              <w:shd w:val="clear"/>
              <w:kinsoku/>
              <w:wordWrap/>
              <w:overflowPunct/>
              <w:topLinePunct w:val="0"/>
              <w:bidi w:val="0"/>
              <w:spacing w:beforeAutospacing="0" w:afterAutospacing="0" w:line="360" w:lineRule="auto"/>
              <w:ind w:left="0" w:leftChars="0" w:right="0" w:firstLine="480" w:firstLineChars="2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式中：P指颗粒物产生量(单位：吨)；</w:t>
            </w:r>
          </w:p>
          <w:p w14:paraId="2279D319">
            <w:pPr>
              <w:pStyle w:val="39"/>
              <w:keepNext w:val="0"/>
              <w:keepLines w:val="0"/>
              <w:pageBreakBefore w:val="0"/>
              <w:widowControl w:val="0"/>
              <w:shd w:val="clear"/>
              <w:kinsoku/>
              <w:wordWrap/>
              <w:overflowPunct/>
              <w:topLinePunct w:val="0"/>
              <w:bidi w:val="0"/>
              <w:spacing w:beforeAutospacing="0" w:afterAutospacing="0" w:line="360" w:lineRule="auto"/>
              <w:ind w:left="0" w:leftChars="0" w:right="0" w:firstLine="480" w:firstLineChars="2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Uc指颗粒物排放量(单位：吨)；</w:t>
            </w:r>
          </w:p>
          <w:p w14:paraId="4524309F">
            <w:pPr>
              <w:pStyle w:val="39"/>
              <w:keepNext w:val="0"/>
              <w:keepLines w:val="0"/>
              <w:pageBreakBefore w:val="0"/>
              <w:widowControl w:val="0"/>
              <w:shd w:val="clear"/>
              <w:kinsoku/>
              <w:wordWrap/>
              <w:overflowPunct/>
              <w:topLinePunct w:val="0"/>
              <w:bidi w:val="0"/>
              <w:spacing w:beforeAutospacing="0" w:afterAutospacing="0" w:line="360" w:lineRule="auto"/>
              <w:ind w:left="0" w:leftChars="0" w:right="0" w:firstLine="480" w:firstLineChars="2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Cm指颗粒物控制措施控制效率(单位：%)，;</w:t>
            </w:r>
          </w:p>
          <w:p w14:paraId="789D8F66">
            <w:pPr>
              <w:pStyle w:val="39"/>
              <w:keepNext w:val="0"/>
              <w:keepLines w:val="0"/>
              <w:pageBreakBefore w:val="0"/>
              <w:widowControl w:val="0"/>
              <w:shd w:val="clear"/>
              <w:kinsoku/>
              <w:wordWrap/>
              <w:overflowPunct/>
              <w:topLinePunct w:val="0"/>
              <w:bidi w:val="0"/>
              <w:spacing w:beforeAutospacing="0" w:afterAutospacing="0" w:line="360" w:lineRule="auto"/>
              <w:ind w:left="0" w:leftChars="0" w:right="0" w:firstLine="480" w:firstLineChars="2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Tm指堆场类型控制效率(单位：%)，</w:t>
            </w:r>
          </w:p>
          <w:p w14:paraId="61C226A4">
            <w:pPr>
              <w:pStyle w:val="61"/>
              <w:keepNext w:val="0"/>
              <w:keepLines w:val="0"/>
              <w:pageBreakBefore w:val="0"/>
              <w:shd w:val="clear"/>
              <w:kinsoku/>
              <w:wordWrap/>
              <w:overflowPunct/>
              <w:topLinePunct w:val="0"/>
              <w:bidi w:val="0"/>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kern w:val="2"/>
                <w:position w:val="0"/>
                <w:sz w:val="24"/>
                <w:szCs w:val="24"/>
                <w:highlight w:val="none"/>
                <w:lang w:val="en-US" w:eastAsia="zh-CN" w:bidi="ar-SA"/>
              </w:rPr>
              <w:t>综上所述，</w:t>
            </w:r>
            <w:r>
              <w:rPr>
                <w:rFonts w:hint="default" w:ascii="Times New Roman" w:hAnsi="Times New Roman" w:cs="Times New Roman"/>
                <w:color w:val="auto"/>
                <w:spacing w:val="0"/>
                <w:sz w:val="24"/>
                <w:szCs w:val="24"/>
                <w:highlight w:val="none"/>
              </w:rPr>
              <w:t>建设单位在堆放过程中进行平整、压实；并全覆盖防尘网以降低风力起尘，并对堆场进行撒水降尘，采取上述降尘措施后，堆场扬尘对周边大气环境影响</w:t>
            </w:r>
            <w:r>
              <w:rPr>
                <w:rFonts w:hint="default" w:ascii="Times New Roman" w:hAnsi="Times New Roman" w:eastAsia="宋体" w:cs="Times New Roman"/>
                <w:color w:val="auto"/>
                <w:spacing w:val="0"/>
                <w:sz w:val="24"/>
                <w:szCs w:val="24"/>
                <w:highlight w:val="none"/>
              </w:rPr>
              <w:t>较小。</w:t>
            </w:r>
            <w:r>
              <w:rPr>
                <w:rFonts w:hint="default" w:ascii="Times New Roman" w:hAnsi="Times New Roman" w:eastAsia="宋体" w:cs="Times New Roman"/>
                <w:color w:val="auto"/>
                <w:spacing w:val="0"/>
                <w:sz w:val="24"/>
                <w:szCs w:val="24"/>
                <w:highlight w:val="none"/>
                <w:lang w:val="en-US" w:eastAsia="zh-CN"/>
              </w:rPr>
              <w:t>堆场粉尘为2.28t/a。</w:t>
            </w:r>
          </w:p>
          <w:p w14:paraId="0F35DBBC">
            <w:pPr>
              <w:pStyle w:val="61"/>
              <w:keepNext w:val="0"/>
              <w:keepLines w:val="0"/>
              <w:pageBreakBefore w:val="0"/>
              <w:shd w:val="clear"/>
              <w:kinsoku/>
              <w:wordWrap/>
              <w:overflowPunct/>
              <w:topLinePunct w:val="0"/>
              <w:bidi w:val="0"/>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本次环评要求建设单位严格落实“六个百分百”要求，即做到施工现场100%围挡、物料100%覆盖、土方开挖等100%湿法作业、工地路面100%硬化、出入车辆100%清洗、渣土车辆100%密闭运输。</w:t>
            </w:r>
          </w:p>
          <w:p w14:paraId="3EE66DF0">
            <w:pPr>
              <w:keepNext w:val="0"/>
              <w:keepLines w:val="0"/>
              <w:pageBreakBefore w:val="0"/>
              <w:shd w:val="clear"/>
              <w:kinsoku/>
              <w:wordWrap/>
              <w:overflowPunct/>
              <w:topLinePunct w:val="0"/>
              <w:autoSpaceDE/>
              <w:autoSpaceDN/>
              <w:bidi w:val="0"/>
              <w:spacing w:line="360" w:lineRule="auto"/>
              <w:ind w:left="0" w:right="0"/>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2.2</w:t>
            </w:r>
            <w:r>
              <w:rPr>
                <w:rFonts w:hint="default" w:ascii="Times New Roman" w:hAnsi="Times New Roman" w:eastAsia="宋体" w:cs="Times New Roman"/>
                <w:color w:val="auto"/>
                <w:spacing w:val="0"/>
                <w:position w:val="0"/>
                <w:sz w:val="24"/>
                <w:szCs w:val="24"/>
                <w:highlight w:val="none"/>
                <w14:textOutline w14:w="4358" w14:cap="sq" w14:cmpd="sng">
                  <w14:solidFill>
                    <w14:srgbClr w14:val="000000"/>
                  </w14:solidFill>
                  <w14:prstDash w14:val="solid"/>
                  <w14:bevel/>
                </w14:textOutline>
              </w:rPr>
              <w:t>施工机械燃油废气</w:t>
            </w:r>
          </w:p>
          <w:p w14:paraId="306EF8DC">
            <w:pPr>
              <w:keepNext w:val="0"/>
              <w:keepLines w:val="0"/>
              <w:pageBreakBefore w:val="0"/>
              <w:shd w:val="clear"/>
              <w:kinsoku/>
              <w:wordWrap/>
              <w:overflowPunct/>
              <w:topLinePunct w:val="0"/>
              <w:autoSpaceDE/>
              <w:autoSpaceDN/>
              <w:bidi w:val="0"/>
              <w:spacing w:line="360" w:lineRule="auto"/>
              <w:ind w:left="0" w:right="0" w:firstLine="483"/>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各种施工机械</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如推土机、挖掘机、打桩机等</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和运输车辆燃油时会产生SO</w:t>
            </w:r>
            <w:r>
              <w:rPr>
                <w:rFonts w:hint="default" w:ascii="Times New Roman" w:hAnsi="Times New Roman" w:eastAsia="宋体" w:cs="Times New Roman"/>
                <w:color w:val="auto"/>
                <w:spacing w:val="0"/>
                <w:position w:val="0"/>
                <w:sz w:val="24"/>
                <w:szCs w:val="24"/>
                <w:highlight w:val="none"/>
                <w:vertAlign w:val="subscript"/>
              </w:rPr>
              <w:t>2</w:t>
            </w:r>
            <w:r>
              <w:rPr>
                <w:rFonts w:hint="default" w:ascii="Times New Roman" w:hAnsi="Times New Roman" w:eastAsia="宋体" w:cs="Times New Roman"/>
                <w:color w:val="auto"/>
                <w:spacing w:val="0"/>
                <w:position w:val="0"/>
                <w:sz w:val="24"/>
                <w:szCs w:val="24"/>
                <w:highlight w:val="none"/>
              </w:rPr>
              <w:t>、NO</w:t>
            </w:r>
            <w:r>
              <w:rPr>
                <w:rFonts w:hint="default" w:ascii="Times New Roman" w:hAnsi="Times New Roman" w:eastAsia="宋体" w:cs="Times New Roman"/>
                <w:color w:val="auto"/>
                <w:spacing w:val="0"/>
                <w:position w:val="0"/>
                <w:sz w:val="24"/>
                <w:szCs w:val="24"/>
                <w:highlight w:val="none"/>
                <w:vertAlign w:val="subscript"/>
              </w:rPr>
              <w:t>2</w:t>
            </w:r>
            <w:r>
              <w:rPr>
                <w:rFonts w:hint="default" w:ascii="Times New Roman" w:hAnsi="Times New Roman" w:eastAsia="宋体" w:cs="Times New Roman"/>
                <w:color w:val="auto"/>
                <w:spacing w:val="0"/>
                <w:position w:val="0"/>
                <w:sz w:val="24"/>
                <w:szCs w:val="24"/>
                <w:highlight w:val="none"/>
              </w:rPr>
              <w:t>、CO、烃类等大气污染物，施工车辆在现场范围内活动，尾气呈面源污染形式，燃油废气排放具有流动、分散的特点，由于施工点分散，施工场地开阔，污染物扩散能力强。由于在施工规划中，施工方案采用分段施工，施工场地为线状分布，同一施工区域中不同工程内容施工时间不同，施工尾气排放源密度不大，且施工区域为河滩区，地势平坦开阔，有较好的扩散条件。工程运输和施工过程中产生的汽车燃油尾气排放不会对区域环境空气质量产生大的影响。</w:t>
            </w:r>
          </w:p>
          <w:p w14:paraId="593B0EFC">
            <w:pPr>
              <w:keepNext w:val="0"/>
              <w:keepLines w:val="0"/>
              <w:pageBreakBefore w:val="0"/>
              <w:shd w:val="clear"/>
              <w:kinsoku/>
              <w:wordWrap/>
              <w:overflowPunct/>
              <w:topLinePunct w:val="0"/>
              <w:autoSpaceDE/>
              <w:autoSpaceDN/>
              <w:bidi w:val="0"/>
              <w:spacing w:line="360" w:lineRule="auto"/>
              <w:ind w:left="0" w:right="0"/>
              <w:outlineLvl w:val="1"/>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3</w:t>
            </w:r>
            <w:r>
              <w:rPr>
                <w:rFonts w:hint="default" w:ascii="Times New Roman" w:hAnsi="Times New Roman" w:eastAsia="宋体" w:cs="Times New Roman"/>
                <w:color w:val="auto"/>
                <w:spacing w:val="0"/>
                <w:position w:val="0"/>
                <w:sz w:val="24"/>
                <w:szCs w:val="24"/>
                <w:highlight w:val="none"/>
                <w:lang w:val="en-US" w:eastAsia="zh-CN"/>
                <w14:textOutline w14:w="4358" w14:cap="sq" w14:cmpd="sng">
                  <w14:solidFill>
                    <w14:srgbClr w14:val="000000"/>
                  </w14:solidFill>
                  <w14:prstDash w14:val="solid"/>
                  <w14:bevel/>
                </w14:textOutline>
              </w:rPr>
              <w:t>.</w:t>
            </w:r>
            <w:r>
              <w:rPr>
                <w:rFonts w:hint="default" w:ascii="Times New Roman" w:hAnsi="Times New Roman" w:eastAsia="宋体" w:cs="Times New Roman"/>
                <w:color w:val="auto"/>
                <w:spacing w:val="0"/>
                <w:position w:val="0"/>
                <w:sz w:val="24"/>
                <w:szCs w:val="24"/>
                <w:highlight w:val="none"/>
                <w14:textOutline w14:w="4358" w14:cap="sq" w14:cmpd="sng">
                  <w14:solidFill>
                    <w14:srgbClr w14:val="000000"/>
                  </w14:solidFill>
                  <w14:prstDash w14:val="solid"/>
                  <w14:bevel/>
                </w14:textOutline>
              </w:rPr>
              <w:t>水环境影响分析</w:t>
            </w:r>
          </w:p>
          <w:p w14:paraId="2DC47EF5">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1</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施工废水</w:t>
            </w:r>
          </w:p>
          <w:p w14:paraId="6247EC32">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工程混凝土购买商品混凝土，不在施工区设混凝土拌合站；施工机械设备的主要维修和冲洗依靠社会力量解决，施工区不设置机械冲洗和维修设施，因此施工废水主要为混凝土养护废水，主要含泥沙等污染物，不含有毒物质。</w:t>
            </w:r>
          </w:p>
          <w:p w14:paraId="7E32784B">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val="en-US" w:eastAsia="zh-CN"/>
              </w:rPr>
              <w:t>本次环评</w:t>
            </w:r>
            <w:r>
              <w:rPr>
                <w:rFonts w:hint="default" w:ascii="Times New Roman" w:hAnsi="Times New Roman" w:eastAsia="宋体" w:cs="Times New Roman"/>
                <w:color w:val="auto"/>
                <w:spacing w:val="0"/>
                <w:position w:val="0"/>
                <w:sz w:val="24"/>
                <w:szCs w:val="24"/>
                <w:highlight w:val="none"/>
              </w:rPr>
              <w:t>要求建设单位控制养护用水量，减少养护水的排放</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禁止养护水过多产生径流，草席使用结束后自然晾干，用于下一工程混凝土养护，不外排。</w:t>
            </w:r>
          </w:p>
          <w:p w14:paraId="3709834D">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lang w:eastAsia="zh-CN"/>
              </w:rPr>
            </w:pP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2</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施工人员生活污水</w:t>
            </w:r>
          </w:p>
          <w:p w14:paraId="336840C6">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施工期每天人数约50人，施工期</w:t>
            </w:r>
            <w:r>
              <w:rPr>
                <w:rFonts w:hint="default" w:ascii="Times New Roman" w:hAnsi="Times New Roman" w:eastAsia="宋体" w:cs="Times New Roman"/>
                <w:color w:val="auto"/>
                <w:spacing w:val="0"/>
                <w:position w:val="0"/>
                <w:sz w:val="24"/>
                <w:szCs w:val="24"/>
                <w:highlight w:val="none"/>
                <w:lang w:val="en-US" w:eastAsia="zh-CN"/>
              </w:rPr>
              <w:t>4</w:t>
            </w:r>
            <w:r>
              <w:rPr>
                <w:rFonts w:hint="default" w:ascii="Times New Roman" w:hAnsi="Times New Roman" w:eastAsia="宋体" w:cs="Times New Roman"/>
                <w:color w:val="auto"/>
                <w:spacing w:val="0"/>
                <w:position w:val="0"/>
                <w:sz w:val="24"/>
                <w:szCs w:val="24"/>
                <w:highlight w:val="none"/>
              </w:rPr>
              <w:t>个月</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lang w:val="en-US" w:eastAsia="zh-CN"/>
              </w:rPr>
              <w:t>12</w:t>
            </w:r>
            <w:r>
              <w:rPr>
                <w:rFonts w:hint="default" w:ascii="Times New Roman" w:hAnsi="Times New Roman" w:eastAsia="宋体" w:cs="Times New Roman"/>
                <w:color w:val="auto"/>
                <w:spacing w:val="0"/>
                <w:position w:val="0"/>
                <w:sz w:val="24"/>
                <w:szCs w:val="24"/>
                <w:highlight w:val="none"/>
              </w:rPr>
              <w:t>0天</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，施工人员均为当地村民，租用当地现有房屋，施工期项目区无生活废水排放，施工场地设置临时移动厕所，方便施工人员使用，对周围水环境产生</w:t>
            </w:r>
            <w:r>
              <w:rPr>
                <w:rFonts w:hint="default" w:ascii="Times New Roman" w:hAnsi="Times New Roman" w:eastAsia="宋体" w:cs="Times New Roman"/>
                <w:color w:val="auto"/>
                <w:spacing w:val="0"/>
                <w:position w:val="0"/>
                <w:sz w:val="24"/>
                <w:szCs w:val="24"/>
                <w:highlight w:val="none"/>
                <w:lang w:eastAsia="zh-CN"/>
              </w:rPr>
              <w:t>影响程度较小</w:t>
            </w:r>
            <w:r>
              <w:rPr>
                <w:rFonts w:hint="default" w:ascii="Times New Roman" w:hAnsi="Times New Roman" w:eastAsia="宋体" w:cs="Times New Roman"/>
                <w:color w:val="auto"/>
                <w:spacing w:val="0"/>
                <w:position w:val="0"/>
                <w:sz w:val="24"/>
                <w:szCs w:val="24"/>
                <w:highlight w:val="none"/>
              </w:rPr>
              <w:t>。</w:t>
            </w:r>
          </w:p>
          <w:p w14:paraId="28C55523">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lang w:val="en-US" w:eastAsia="zh-CN"/>
              </w:rPr>
              <w:t>3</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使用柴油发电机组对水环境的影响分析</w:t>
            </w:r>
          </w:p>
          <w:p w14:paraId="6D04EE19">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项目施工期间使用柴油发电机，本环评要求柴油发电机房的地面全部进行硬化和防渗处理；贮存柴油的容器必须完好，不能泄漏或损坏；柴油的贮存量不应过多，应限制在仅够使生产正常运行所必须的量；安全取用柴油，防止 柴油使用过程中的跑、冒、滴、漏。</w:t>
            </w:r>
          </w:p>
          <w:p w14:paraId="705ECE96">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4</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施工对河道水文情势影响</w:t>
            </w:r>
          </w:p>
          <w:p w14:paraId="4D18E82E">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本河流为季节性河流，汛期不施工，仅在断流期施工，施工期间，河道内施工对河段地表水水位、流量等水文情势不会产生显著影响。</w:t>
            </w:r>
          </w:p>
          <w:p w14:paraId="7D2785F6">
            <w:pPr>
              <w:keepNext w:val="0"/>
              <w:keepLines w:val="0"/>
              <w:pageBreakBefore w:val="0"/>
              <w:widowControl w:val="0"/>
              <w:shd w:val="clear"/>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4</w:t>
            </w:r>
            <w:r>
              <w:rPr>
                <w:rFonts w:hint="default" w:ascii="Times New Roman" w:hAnsi="Times New Roman" w:eastAsia="宋体" w:cs="Times New Roman"/>
                <w:color w:val="auto"/>
                <w:spacing w:val="0"/>
                <w:position w:val="0"/>
                <w:sz w:val="24"/>
                <w:szCs w:val="24"/>
                <w:highlight w:val="none"/>
                <w:lang w:val="en-US" w:eastAsia="zh-CN"/>
                <w14:textOutline w14:w="4358" w14:cap="sq" w14:cmpd="sng">
                  <w14:solidFill>
                    <w14:srgbClr w14:val="000000"/>
                  </w14:solidFill>
                  <w14:prstDash w14:val="solid"/>
                  <w14:bevel/>
                </w14:textOutline>
              </w:rPr>
              <w:t>.</w:t>
            </w:r>
            <w:r>
              <w:rPr>
                <w:rFonts w:hint="default" w:ascii="Times New Roman" w:hAnsi="Times New Roman" w:eastAsia="宋体" w:cs="Times New Roman"/>
                <w:color w:val="auto"/>
                <w:spacing w:val="0"/>
                <w:position w:val="0"/>
                <w:sz w:val="24"/>
                <w:szCs w:val="24"/>
                <w:highlight w:val="none"/>
                <w14:textOutline w14:w="4358" w14:cap="sq" w14:cmpd="sng">
                  <w14:solidFill>
                    <w14:srgbClr w14:val="000000"/>
                  </w14:solidFill>
                  <w14:prstDash w14:val="solid"/>
                  <w14:bevel/>
                </w14:textOutline>
              </w:rPr>
              <w:t>声环境影响分析</w:t>
            </w:r>
          </w:p>
          <w:p w14:paraId="4B19EC4D">
            <w:pPr>
              <w:keepNext w:val="0"/>
              <w:keepLines w:val="0"/>
              <w:pageBreakBefore w:val="0"/>
              <w:shd w:val="clear"/>
              <w:kinsoku/>
              <w:wordWrap/>
              <w:overflowPunct/>
              <w:topLinePunct w:val="0"/>
              <w:autoSpaceDE/>
              <w:autoSpaceDN/>
              <w:bidi w:val="0"/>
              <w:spacing w:line="360" w:lineRule="auto"/>
              <w:ind w:left="0" w:right="0"/>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4.1</w:t>
            </w:r>
            <w:r>
              <w:rPr>
                <w:rFonts w:hint="default" w:ascii="Times New Roman" w:hAnsi="Times New Roman" w:eastAsia="宋体" w:cs="Times New Roman"/>
                <w:color w:val="auto"/>
                <w:spacing w:val="0"/>
                <w:position w:val="0"/>
                <w:sz w:val="24"/>
                <w:szCs w:val="24"/>
                <w:highlight w:val="none"/>
                <w14:textOutline w14:w="4358" w14:cap="sq" w14:cmpd="sng">
                  <w14:solidFill>
                    <w14:srgbClr w14:val="000000"/>
                  </w14:solidFill>
                  <w14:prstDash w14:val="solid"/>
                  <w14:bevel/>
                </w14:textOutline>
              </w:rPr>
              <w:t>施工噪声</w:t>
            </w:r>
          </w:p>
          <w:p w14:paraId="0AD2511C">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本工程施工期噪声污染源包括两部分，一个是主要来自施工机械噪声，主要有推土机、挖掘机、打夯机等，噪声级一般在73~85dB</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A</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之间；另一个是交通运输噪声。工程使用的运输车辆主要为自卸汽车、混凝土搅拌</w:t>
            </w:r>
            <w:r>
              <w:rPr>
                <w:rFonts w:hint="default" w:ascii="Times New Roman" w:hAnsi="Times New Roman" w:eastAsia="宋体" w:cs="Times New Roman"/>
                <w:color w:val="auto"/>
                <w:spacing w:val="0"/>
                <w:position w:val="0"/>
                <w:sz w:val="24"/>
                <w:szCs w:val="24"/>
                <w:highlight w:val="none"/>
                <w:lang w:eastAsia="zh-CN"/>
              </w:rPr>
              <w:t>运输车</w:t>
            </w:r>
            <w:r>
              <w:rPr>
                <w:rFonts w:hint="default" w:ascii="Times New Roman" w:hAnsi="Times New Roman" w:eastAsia="宋体" w:cs="Times New Roman"/>
                <w:color w:val="auto"/>
                <w:spacing w:val="0"/>
                <w:position w:val="0"/>
                <w:sz w:val="24"/>
                <w:szCs w:val="24"/>
                <w:highlight w:val="none"/>
              </w:rPr>
              <w:t>等，噪声级一般在72~85dB</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A</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之间。本工程主要施工机械及运输车辆噪声源强见表</w:t>
            </w:r>
            <w:r>
              <w:rPr>
                <w:rFonts w:hint="default" w:ascii="Times New Roman" w:hAnsi="Times New Roman" w:eastAsia="宋体" w:cs="Times New Roman"/>
                <w:color w:val="auto"/>
                <w:spacing w:val="0"/>
                <w:position w:val="0"/>
                <w:sz w:val="24"/>
                <w:szCs w:val="24"/>
                <w:highlight w:val="none"/>
                <w:lang w:val="en-US" w:eastAsia="zh-CN"/>
              </w:rPr>
              <w:t>4-5</w:t>
            </w:r>
            <w:r>
              <w:rPr>
                <w:rFonts w:hint="default" w:ascii="Times New Roman" w:hAnsi="Times New Roman" w:eastAsia="宋体" w:cs="Times New Roman"/>
                <w:color w:val="auto"/>
                <w:spacing w:val="0"/>
                <w:position w:val="0"/>
                <w:sz w:val="24"/>
                <w:szCs w:val="24"/>
                <w:highlight w:val="none"/>
              </w:rPr>
              <w:t>：</w:t>
            </w:r>
          </w:p>
          <w:p w14:paraId="40A4A749">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highlight w:val="none"/>
                <w:lang w:eastAsia="zh-CN"/>
              </w:rPr>
            </w:pPr>
            <w:r>
              <w:rPr>
                <w:rFonts w:hint="default" w:ascii="Times New Roman" w:hAnsi="Times New Roman" w:eastAsia="宋体" w:cs="Times New Roman"/>
                <w:color w:val="auto"/>
                <w:spacing w:val="0"/>
                <w:position w:val="0"/>
                <w:sz w:val="20"/>
                <w:szCs w:val="20"/>
                <w:highlight w:val="none"/>
                <w14:textOutline w14:w="3795" w14:cap="sq" w14:cmpd="sng">
                  <w14:solidFill>
                    <w14:srgbClr w14:val="000000"/>
                  </w14:solidFill>
                  <w14:prstDash w14:val="solid"/>
                  <w14:bevel/>
                </w14:textOutline>
              </w:rPr>
              <w:t>表</w:t>
            </w:r>
            <w:r>
              <w:rPr>
                <w:rFonts w:hint="default" w:ascii="Times New Roman" w:hAnsi="Times New Roman" w:eastAsia="宋体" w:cs="Times New Roman"/>
                <w:b/>
                <w:bCs/>
                <w:color w:val="auto"/>
                <w:spacing w:val="0"/>
                <w:position w:val="0"/>
                <w:sz w:val="20"/>
                <w:szCs w:val="20"/>
                <w:highlight w:val="none"/>
              </w:rPr>
              <w:t>4-5</w:t>
            </w:r>
            <w:r>
              <w:rPr>
                <w:rFonts w:hint="default" w:ascii="Times New Roman" w:hAnsi="Times New Roman" w:eastAsia="宋体" w:cs="Times New Roman"/>
                <w:b/>
                <w:bCs/>
                <w:color w:val="auto"/>
                <w:spacing w:val="0"/>
                <w:position w:val="0"/>
                <w:sz w:val="20"/>
                <w:szCs w:val="20"/>
                <w:highlight w:val="none"/>
                <w:lang w:val="en-US" w:eastAsia="zh-CN"/>
              </w:rPr>
              <w:t xml:space="preserve">   </w:t>
            </w:r>
            <w:r>
              <w:rPr>
                <w:rFonts w:hint="default" w:ascii="Times New Roman" w:hAnsi="Times New Roman" w:eastAsia="宋体" w:cs="Times New Roman"/>
                <w:color w:val="auto"/>
                <w:spacing w:val="0"/>
                <w:position w:val="0"/>
                <w:sz w:val="20"/>
                <w:szCs w:val="20"/>
                <w:highlight w:val="none"/>
                <w14:textOutline w14:w="3795" w14:cap="sq" w14:cmpd="sng">
                  <w14:solidFill>
                    <w14:srgbClr w14:val="000000"/>
                  </w14:solidFill>
                  <w14:prstDash w14:val="solid"/>
                  <w14:bevel/>
                </w14:textOutline>
              </w:rPr>
              <w:t>工程主要施工机械及交通噪声源强一览表</w:t>
            </w:r>
          </w:p>
          <w:tbl>
            <w:tblPr>
              <w:tblStyle w:val="91"/>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082"/>
              <w:gridCol w:w="1982"/>
              <w:gridCol w:w="1557"/>
              <w:gridCol w:w="2047"/>
            </w:tblGrid>
            <w:tr w14:paraId="32AF593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58" w:type="pct"/>
                  <w:tcBorders>
                    <w:bottom w:val="single" w:color="000000" w:sz="12" w:space="0"/>
                  </w:tcBorders>
                  <w:vAlign w:val="center"/>
                </w:tcPr>
                <w:p w14:paraId="6E69C63C">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施工机械设备名称</w:t>
                  </w:r>
                </w:p>
              </w:tc>
              <w:tc>
                <w:tcPr>
                  <w:tcW w:w="1292" w:type="pct"/>
                  <w:tcBorders>
                    <w:bottom w:val="single" w:color="000000" w:sz="12" w:space="0"/>
                  </w:tcBorders>
                  <w:vAlign w:val="center"/>
                </w:tcPr>
                <w:p w14:paraId="22136EF0">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噪声强度</w:t>
                  </w:r>
                  <w:r>
                    <w:rPr>
                      <w:rFonts w:hint="default" w:ascii="Times New Roman" w:hAnsi="Times New Roman" w:eastAsia="宋体" w:cs="Times New Roman"/>
                      <w:b/>
                      <w:bCs/>
                      <w:color w:val="auto"/>
                      <w:spacing w:val="0"/>
                      <w:position w:val="0"/>
                      <w:sz w:val="21"/>
                      <w:szCs w:val="21"/>
                      <w:highlight w:val="none"/>
                    </w:rPr>
                    <w:t>dB</w:t>
                  </w:r>
                  <w:r>
                    <w:rPr>
                      <w:rFonts w:hint="default" w:ascii="Times New Roman" w:hAnsi="Times New Roman" w:eastAsia="宋体" w:cs="Times New Roman"/>
                      <w:color w:val="auto"/>
                      <w:spacing w:val="0"/>
                      <w:position w:val="0"/>
                      <w:sz w:val="21"/>
                      <w:szCs w:val="21"/>
                      <w:highlight w:val="none"/>
                      <w:lang w:eastAsia="zh-CN"/>
                      <w14:textOutline w14:w="3795" w14:cap="sq" w14:cmpd="sng">
                        <w14:solidFill>
                          <w14:srgbClr w14:val="000000"/>
                        </w14:solidFill>
                        <w14:prstDash w14:val="solid"/>
                        <w14:bevel/>
                      </w14:textOutline>
                    </w:rPr>
                    <w:t>（</w:t>
                  </w:r>
                  <w:r>
                    <w:rPr>
                      <w:rFonts w:hint="default" w:ascii="Times New Roman" w:hAnsi="Times New Roman" w:eastAsia="宋体" w:cs="Times New Roman"/>
                      <w:b/>
                      <w:bCs/>
                      <w:color w:val="auto"/>
                      <w:spacing w:val="0"/>
                      <w:position w:val="0"/>
                      <w:sz w:val="21"/>
                      <w:szCs w:val="21"/>
                      <w:highlight w:val="none"/>
                    </w:rPr>
                    <w:t>A</w:t>
                  </w:r>
                  <w:r>
                    <w:rPr>
                      <w:rFonts w:hint="default" w:ascii="Times New Roman" w:hAnsi="Times New Roman" w:eastAsia="宋体" w:cs="Times New Roman"/>
                      <w:color w:val="auto"/>
                      <w:spacing w:val="0"/>
                      <w:position w:val="0"/>
                      <w:sz w:val="21"/>
                      <w:szCs w:val="21"/>
                      <w:highlight w:val="none"/>
                      <w:lang w:eastAsia="zh-CN"/>
                      <w14:textOutline w14:w="3795" w14:cap="sq" w14:cmpd="sng">
                        <w14:solidFill>
                          <w14:srgbClr w14:val="000000"/>
                        </w14:solidFill>
                        <w14:prstDash w14:val="solid"/>
                        <w14:bevel/>
                      </w14:textOutline>
                    </w:rPr>
                    <w:t>）</w:t>
                  </w:r>
                </w:p>
              </w:tc>
              <w:tc>
                <w:tcPr>
                  <w:tcW w:w="1015" w:type="pct"/>
                  <w:tcBorders>
                    <w:bottom w:val="single" w:color="000000" w:sz="12" w:space="0"/>
                  </w:tcBorders>
                  <w:vAlign w:val="center"/>
                </w:tcPr>
                <w:p w14:paraId="1A51D9CF">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运输车辆名称</w:t>
                  </w:r>
                </w:p>
              </w:tc>
              <w:tc>
                <w:tcPr>
                  <w:tcW w:w="1334" w:type="pct"/>
                  <w:tcBorders>
                    <w:bottom w:val="single" w:color="000000" w:sz="12" w:space="0"/>
                  </w:tcBorders>
                  <w:vAlign w:val="center"/>
                </w:tcPr>
                <w:p w14:paraId="04796657">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噪声强度</w:t>
                  </w:r>
                  <w:r>
                    <w:rPr>
                      <w:rFonts w:hint="default" w:ascii="Times New Roman" w:hAnsi="Times New Roman" w:eastAsia="宋体" w:cs="Times New Roman"/>
                      <w:b/>
                      <w:bCs/>
                      <w:color w:val="auto"/>
                      <w:spacing w:val="0"/>
                      <w:position w:val="0"/>
                      <w:sz w:val="21"/>
                      <w:szCs w:val="21"/>
                      <w:highlight w:val="none"/>
                    </w:rPr>
                    <w:t>dB</w:t>
                  </w:r>
                  <w:r>
                    <w:rPr>
                      <w:rFonts w:hint="default" w:ascii="Times New Roman" w:hAnsi="Times New Roman" w:eastAsia="宋体" w:cs="Times New Roman"/>
                      <w:color w:val="auto"/>
                      <w:spacing w:val="0"/>
                      <w:position w:val="0"/>
                      <w:sz w:val="21"/>
                      <w:szCs w:val="21"/>
                      <w:highlight w:val="none"/>
                      <w:lang w:eastAsia="zh-CN"/>
                      <w14:textOutline w14:w="3795" w14:cap="sq" w14:cmpd="sng">
                        <w14:solidFill>
                          <w14:srgbClr w14:val="000000"/>
                        </w14:solidFill>
                        <w14:prstDash w14:val="solid"/>
                        <w14:bevel/>
                      </w14:textOutline>
                    </w:rPr>
                    <w:t>（</w:t>
                  </w:r>
                  <w:r>
                    <w:rPr>
                      <w:rFonts w:hint="default" w:ascii="Times New Roman" w:hAnsi="Times New Roman" w:eastAsia="宋体" w:cs="Times New Roman"/>
                      <w:b/>
                      <w:bCs/>
                      <w:color w:val="auto"/>
                      <w:spacing w:val="0"/>
                      <w:position w:val="0"/>
                      <w:sz w:val="21"/>
                      <w:szCs w:val="21"/>
                      <w:highlight w:val="none"/>
                    </w:rPr>
                    <w:t>A</w:t>
                  </w:r>
                  <w:r>
                    <w:rPr>
                      <w:rFonts w:hint="default" w:ascii="Times New Roman" w:hAnsi="Times New Roman" w:eastAsia="宋体" w:cs="Times New Roman"/>
                      <w:color w:val="auto"/>
                      <w:spacing w:val="0"/>
                      <w:position w:val="0"/>
                      <w:sz w:val="21"/>
                      <w:szCs w:val="21"/>
                      <w:highlight w:val="none"/>
                      <w:lang w:eastAsia="zh-CN"/>
                      <w14:textOutline w14:w="3795" w14:cap="sq" w14:cmpd="sng">
                        <w14:solidFill>
                          <w14:srgbClr w14:val="000000"/>
                        </w14:solidFill>
                        <w14:prstDash w14:val="solid"/>
                        <w14:bevel/>
                      </w14:textOutline>
                    </w:rPr>
                    <w:t>）</w:t>
                  </w:r>
                </w:p>
              </w:tc>
            </w:tr>
            <w:tr w14:paraId="5CA3380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58" w:type="pct"/>
                  <w:tcBorders>
                    <w:top w:val="single" w:color="000000" w:sz="12" w:space="0"/>
                    <w:tl2br w:val="nil"/>
                    <w:tr2bl w:val="nil"/>
                  </w:tcBorders>
                  <w:vAlign w:val="center"/>
                </w:tcPr>
                <w:p w14:paraId="1A5EFF1F">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挖掘机</w:t>
                  </w:r>
                </w:p>
              </w:tc>
              <w:tc>
                <w:tcPr>
                  <w:tcW w:w="1292" w:type="pct"/>
                  <w:tcBorders>
                    <w:top w:val="single" w:color="000000" w:sz="12" w:space="0"/>
                    <w:tl2br w:val="nil"/>
                    <w:tr2bl w:val="nil"/>
                  </w:tcBorders>
                  <w:vAlign w:val="center"/>
                </w:tcPr>
                <w:p w14:paraId="4FD5DE96">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85</w:t>
                  </w:r>
                </w:p>
              </w:tc>
              <w:tc>
                <w:tcPr>
                  <w:tcW w:w="1015" w:type="pct"/>
                  <w:tcBorders>
                    <w:top w:val="single" w:color="000000" w:sz="12" w:space="0"/>
                    <w:tl2br w:val="nil"/>
                    <w:tr2bl w:val="nil"/>
                  </w:tcBorders>
                  <w:vAlign w:val="center"/>
                </w:tcPr>
                <w:p w14:paraId="6C988B29">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自卸汽车</w:t>
                  </w:r>
                </w:p>
              </w:tc>
              <w:tc>
                <w:tcPr>
                  <w:tcW w:w="1334" w:type="pct"/>
                  <w:tcBorders>
                    <w:top w:val="single" w:color="000000" w:sz="12" w:space="0"/>
                    <w:tl2br w:val="nil"/>
                    <w:tr2bl w:val="nil"/>
                  </w:tcBorders>
                  <w:vAlign w:val="center"/>
                </w:tcPr>
                <w:p w14:paraId="222BF079">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80</w:t>
                  </w:r>
                </w:p>
              </w:tc>
            </w:tr>
            <w:tr w14:paraId="172FFE8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58" w:type="pct"/>
                  <w:tcBorders>
                    <w:tl2br w:val="nil"/>
                    <w:tr2bl w:val="nil"/>
                  </w:tcBorders>
                  <w:vAlign w:val="center"/>
                </w:tcPr>
                <w:p w14:paraId="4B62B7A1">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推土机</w:t>
                  </w:r>
                </w:p>
              </w:tc>
              <w:tc>
                <w:tcPr>
                  <w:tcW w:w="1292" w:type="pct"/>
                  <w:tcBorders>
                    <w:tl2br w:val="nil"/>
                    <w:tr2bl w:val="nil"/>
                  </w:tcBorders>
                  <w:vAlign w:val="center"/>
                </w:tcPr>
                <w:p w14:paraId="13AE163B">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85</w:t>
                  </w:r>
                </w:p>
              </w:tc>
              <w:tc>
                <w:tcPr>
                  <w:tcW w:w="1015" w:type="pct"/>
                  <w:tcBorders>
                    <w:tl2br w:val="nil"/>
                    <w:tr2bl w:val="nil"/>
                  </w:tcBorders>
                  <w:vAlign w:val="center"/>
                </w:tcPr>
                <w:p w14:paraId="07BD3DED">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砼搅拌运输车</w:t>
                  </w:r>
                </w:p>
              </w:tc>
              <w:tc>
                <w:tcPr>
                  <w:tcW w:w="1334" w:type="pct"/>
                  <w:tcBorders>
                    <w:tl2br w:val="nil"/>
                    <w:tr2bl w:val="nil"/>
                  </w:tcBorders>
                  <w:vAlign w:val="center"/>
                </w:tcPr>
                <w:p w14:paraId="41185413">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72</w:t>
                  </w:r>
                </w:p>
              </w:tc>
            </w:tr>
            <w:tr w14:paraId="2C350CA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58" w:type="pct"/>
                  <w:tcBorders>
                    <w:tl2br w:val="nil"/>
                    <w:tr2bl w:val="nil"/>
                  </w:tcBorders>
                  <w:vAlign w:val="center"/>
                </w:tcPr>
                <w:p w14:paraId="24E3CD1A">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夯机</w:t>
                  </w:r>
                </w:p>
              </w:tc>
              <w:tc>
                <w:tcPr>
                  <w:tcW w:w="1292" w:type="pct"/>
                  <w:tcBorders>
                    <w:tl2br w:val="nil"/>
                    <w:tr2bl w:val="nil"/>
                  </w:tcBorders>
                  <w:vAlign w:val="center"/>
                </w:tcPr>
                <w:p w14:paraId="5BA36456">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85</w:t>
                  </w:r>
                </w:p>
              </w:tc>
              <w:tc>
                <w:tcPr>
                  <w:tcW w:w="1015" w:type="pct"/>
                  <w:tcBorders>
                    <w:tl2br w:val="nil"/>
                    <w:tr2bl w:val="nil"/>
                  </w:tcBorders>
                  <w:vAlign w:val="center"/>
                </w:tcPr>
                <w:p w14:paraId="057EE2EA">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振捣器</w:t>
                  </w:r>
                </w:p>
              </w:tc>
              <w:tc>
                <w:tcPr>
                  <w:tcW w:w="1334" w:type="pct"/>
                  <w:tcBorders>
                    <w:tl2br w:val="nil"/>
                    <w:tr2bl w:val="nil"/>
                  </w:tcBorders>
                  <w:vAlign w:val="center"/>
                </w:tcPr>
                <w:p w14:paraId="7B4B7FB2">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75</w:t>
                  </w:r>
                </w:p>
              </w:tc>
            </w:tr>
            <w:tr w14:paraId="5B18EB6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58" w:type="pct"/>
                  <w:tcBorders>
                    <w:tl2br w:val="nil"/>
                    <w:tr2bl w:val="nil"/>
                  </w:tcBorders>
                  <w:vAlign w:val="center"/>
                </w:tcPr>
                <w:p w14:paraId="0549E159">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发电机</w:t>
                  </w:r>
                </w:p>
              </w:tc>
              <w:tc>
                <w:tcPr>
                  <w:tcW w:w="1292" w:type="pct"/>
                  <w:tcBorders>
                    <w:tl2br w:val="nil"/>
                    <w:tr2bl w:val="nil"/>
                  </w:tcBorders>
                  <w:vAlign w:val="center"/>
                </w:tcPr>
                <w:p w14:paraId="62D6A300">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80</w:t>
                  </w:r>
                </w:p>
              </w:tc>
              <w:tc>
                <w:tcPr>
                  <w:tcW w:w="1015" w:type="pct"/>
                  <w:tcBorders>
                    <w:tl2br w:val="nil"/>
                    <w:tr2bl w:val="nil"/>
                  </w:tcBorders>
                  <w:vAlign w:val="center"/>
                </w:tcPr>
                <w:p w14:paraId="6AB04B64">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p>
              </w:tc>
              <w:tc>
                <w:tcPr>
                  <w:tcW w:w="1334" w:type="pct"/>
                  <w:tcBorders>
                    <w:tl2br w:val="nil"/>
                    <w:tr2bl w:val="nil"/>
                  </w:tcBorders>
                  <w:vAlign w:val="center"/>
                </w:tcPr>
                <w:p w14:paraId="730AB6CF">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p>
              </w:tc>
            </w:tr>
          </w:tbl>
          <w:p w14:paraId="4A9380FB">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根据施工特点，主要声源来自机械设备作业施工。施工机械作业时环境噪声的评价标准为《建筑施工场界环境噪声排放标准》</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GB12523-2011</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标准。</w:t>
            </w:r>
          </w:p>
          <w:p w14:paraId="5A21A036">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jc w:val="left"/>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工程施工建设分几个阶段进行。各施工阶段的设备作业时需要一定的作业空间，施工机械操作运转时有一定的工作间距，因此噪声源强为点声源，其噪声影响随距离增加而逐渐衰减，噪声衰减</w:t>
            </w:r>
            <w:r>
              <w:rPr>
                <w:rFonts w:hint="default" w:ascii="Times New Roman" w:hAnsi="Times New Roman" w:eastAsia="宋体" w:cs="Times New Roman"/>
                <w:color w:val="auto"/>
                <w:spacing w:val="0"/>
                <w:position w:val="0"/>
                <w:sz w:val="24"/>
                <w:szCs w:val="24"/>
                <w:highlight w:val="none"/>
                <w:lang w:eastAsia="zh-CN"/>
              </w:rPr>
              <w:t>公式</w:t>
            </w:r>
            <w:r>
              <w:rPr>
                <w:rFonts w:hint="default" w:ascii="Times New Roman" w:hAnsi="Times New Roman" w:eastAsia="宋体" w:cs="Times New Roman"/>
                <w:color w:val="auto"/>
                <w:spacing w:val="0"/>
                <w:position w:val="0"/>
                <w:sz w:val="24"/>
                <w:szCs w:val="24"/>
                <w:highlight w:val="none"/>
              </w:rPr>
              <w:t>如下：</w:t>
            </w:r>
          </w:p>
          <w:p w14:paraId="25F131A3">
            <w:pPr>
              <w:keepNext w:val="0"/>
              <w:keepLines w:val="0"/>
              <w:pageBreakBefore w:val="0"/>
              <w:widowControl w:val="0"/>
              <w:shd w:val="clear"/>
              <w:kinsoku/>
              <w:wordWrap/>
              <w:overflowPunct/>
              <w:topLinePunct w:val="0"/>
              <w:autoSpaceDE/>
              <w:autoSpaceDN/>
              <w:bidi w:val="0"/>
              <w:adjustRightInd/>
              <w:snapToGrid/>
              <w:spacing w:line="360" w:lineRule="auto"/>
              <w:ind w:left="0" w:right="0" w:firstLine="1680" w:firstLineChars="700"/>
              <w:textAlignment w:val="auto"/>
              <w:rPr>
                <w:rFonts w:hint="default" w:ascii="Times New Roman" w:hAnsi="Times New Roman" w:eastAsia="宋体" w:cs="Times New Roman"/>
                <w:color w:val="auto"/>
                <w:spacing w:val="0"/>
                <w:position w:val="0"/>
                <w:sz w:val="24"/>
                <w:szCs w:val="24"/>
                <w:highlight w:val="none"/>
                <w:lang w:eastAsia="zh-CN"/>
              </w:rPr>
            </w:pPr>
            <w:r>
              <w:rPr>
                <w:rFonts w:hint="default" w:ascii="Times New Roman" w:hAnsi="Times New Roman" w:eastAsia="宋体" w:cs="Times New Roman"/>
                <w:color w:val="auto"/>
                <w:spacing w:val="0"/>
                <w:position w:val="0"/>
                <w:sz w:val="24"/>
                <w:szCs w:val="24"/>
                <w:highlight w:val="none"/>
              </w:rPr>
              <w:t>LA</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r</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＝LA</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r0</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－20lg</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r/r0</w:t>
            </w:r>
            <w:r>
              <w:rPr>
                <w:rFonts w:hint="default" w:ascii="Times New Roman" w:hAnsi="Times New Roman" w:eastAsia="宋体" w:cs="Times New Roman"/>
                <w:color w:val="auto"/>
                <w:spacing w:val="0"/>
                <w:position w:val="0"/>
                <w:sz w:val="24"/>
                <w:szCs w:val="24"/>
                <w:highlight w:val="none"/>
                <w:lang w:eastAsia="zh-CN"/>
              </w:rPr>
              <w:t>）</w:t>
            </w:r>
          </w:p>
          <w:p w14:paraId="7BFE1013">
            <w:pPr>
              <w:keepNext w:val="0"/>
              <w:keepLines w:val="0"/>
              <w:pageBreakBefore w:val="0"/>
              <w:widowControl w:val="0"/>
              <w:shd w:val="clear"/>
              <w:kinsoku/>
              <w:wordWrap/>
              <w:overflowPunct/>
              <w:topLinePunct w:val="0"/>
              <w:autoSpaceDE/>
              <w:autoSpaceDN/>
              <w:bidi w:val="0"/>
              <w:adjustRightInd/>
              <w:snapToGrid/>
              <w:spacing w:line="360" w:lineRule="auto"/>
              <w:ind w:left="0" w:right="0" w:firstLine="960" w:firstLineChars="4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式中：LA—距声源为rA的声级，dB</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A</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w:t>
            </w:r>
          </w:p>
          <w:p w14:paraId="3653EBF6">
            <w:pPr>
              <w:keepNext w:val="0"/>
              <w:keepLines w:val="0"/>
              <w:pageBreakBefore w:val="0"/>
              <w:widowControl w:val="0"/>
              <w:shd w:val="clear"/>
              <w:kinsoku/>
              <w:wordWrap/>
              <w:overflowPunct/>
              <w:topLinePunct w:val="0"/>
              <w:autoSpaceDE/>
              <w:autoSpaceDN/>
              <w:bidi w:val="0"/>
              <w:adjustRightInd/>
              <w:snapToGrid/>
              <w:spacing w:line="360" w:lineRule="auto"/>
              <w:ind w:left="0" w:right="0" w:firstLine="1680" w:firstLineChars="7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L0—距声源为r0的声级，dB</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A</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w:t>
            </w:r>
          </w:p>
          <w:p w14:paraId="53E93E15">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通过上述噪声衰减</w:t>
            </w:r>
            <w:r>
              <w:rPr>
                <w:rFonts w:hint="default" w:ascii="Times New Roman" w:hAnsi="Times New Roman" w:eastAsia="宋体" w:cs="Times New Roman"/>
                <w:color w:val="auto"/>
                <w:spacing w:val="0"/>
                <w:position w:val="0"/>
                <w:sz w:val="24"/>
                <w:szCs w:val="24"/>
                <w:highlight w:val="none"/>
                <w:lang w:eastAsia="zh-CN"/>
              </w:rPr>
              <w:t>公式</w:t>
            </w:r>
            <w:r>
              <w:rPr>
                <w:rFonts w:hint="default" w:ascii="Times New Roman" w:hAnsi="Times New Roman" w:eastAsia="宋体" w:cs="Times New Roman"/>
                <w:color w:val="auto"/>
                <w:spacing w:val="0"/>
                <w:position w:val="0"/>
                <w:sz w:val="24"/>
                <w:szCs w:val="24"/>
                <w:highlight w:val="none"/>
              </w:rPr>
              <w:t>并根据施工场界噪声限值标准的要求，计算出施工机械噪声对环境的影响范围，预测结果见表4-6：</w:t>
            </w:r>
          </w:p>
          <w:p w14:paraId="7BBF5B6A">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表</w:t>
            </w:r>
            <w:r>
              <w:rPr>
                <w:rFonts w:hint="default" w:ascii="Times New Roman" w:hAnsi="Times New Roman" w:eastAsia="宋体" w:cs="Times New Roman"/>
                <w:b/>
                <w:bCs/>
                <w:color w:val="auto"/>
                <w:spacing w:val="0"/>
                <w:position w:val="0"/>
                <w:sz w:val="21"/>
                <w:szCs w:val="21"/>
                <w:highlight w:val="none"/>
              </w:rPr>
              <w:t>4-6</w:t>
            </w:r>
            <w:r>
              <w:rPr>
                <w:rFonts w:hint="default" w:ascii="Times New Roman" w:hAnsi="Times New Roman" w:eastAsia="宋体" w:cs="Times New Roman"/>
                <w:b/>
                <w:bCs/>
                <w:color w:val="auto"/>
                <w:spacing w:val="0"/>
                <w:position w:val="0"/>
                <w:sz w:val="21"/>
                <w:szCs w:val="21"/>
                <w:highlight w:val="none"/>
                <w:lang w:val="en-US" w:eastAsia="zh-CN"/>
              </w:rPr>
              <w:t xml:space="preserve">   </w:t>
            </w: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施工机械噪声影响范围单位：</w:t>
            </w:r>
            <w:r>
              <w:rPr>
                <w:rFonts w:hint="default" w:ascii="Times New Roman" w:hAnsi="Times New Roman" w:eastAsia="宋体" w:cs="Times New Roman"/>
                <w:b/>
                <w:bCs/>
                <w:color w:val="auto"/>
                <w:spacing w:val="0"/>
                <w:position w:val="0"/>
                <w:sz w:val="21"/>
                <w:szCs w:val="21"/>
                <w:highlight w:val="none"/>
              </w:rPr>
              <w:t>dB</w:t>
            </w:r>
            <w:r>
              <w:rPr>
                <w:rFonts w:hint="default" w:ascii="Times New Roman" w:hAnsi="Times New Roman" w:eastAsia="宋体" w:cs="Times New Roman"/>
                <w:color w:val="auto"/>
                <w:spacing w:val="0"/>
                <w:position w:val="0"/>
                <w:sz w:val="21"/>
                <w:szCs w:val="21"/>
                <w:highlight w:val="none"/>
                <w:lang w:eastAsia="zh-CN"/>
                <w14:textOutline w14:w="3795" w14:cap="sq" w14:cmpd="sng">
                  <w14:solidFill>
                    <w14:srgbClr w14:val="000000"/>
                  </w14:solidFill>
                  <w14:prstDash w14:val="solid"/>
                  <w14:bevel/>
                </w14:textOutline>
              </w:rPr>
              <w:t>（</w:t>
            </w:r>
            <w:r>
              <w:rPr>
                <w:rFonts w:hint="default" w:ascii="Times New Roman" w:hAnsi="Times New Roman" w:eastAsia="宋体" w:cs="Times New Roman"/>
                <w:b/>
                <w:bCs/>
                <w:color w:val="auto"/>
                <w:spacing w:val="0"/>
                <w:position w:val="0"/>
                <w:sz w:val="21"/>
                <w:szCs w:val="21"/>
                <w:highlight w:val="none"/>
              </w:rPr>
              <w:t>A</w:t>
            </w:r>
            <w:r>
              <w:rPr>
                <w:rFonts w:hint="default" w:ascii="Times New Roman" w:hAnsi="Times New Roman" w:eastAsia="宋体" w:cs="Times New Roman"/>
                <w:color w:val="auto"/>
                <w:spacing w:val="0"/>
                <w:position w:val="0"/>
                <w:sz w:val="21"/>
                <w:szCs w:val="21"/>
                <w:highlight w:val="none"/>
                <w:lang w:eastAsia="zh-CN"/>
                <w14:textOutline w14:w="3795" w14:cap="sq" w14:cmpd="sng">
                  <w14:solidFill>
                    <w14:srgbClr w14:val="000000"/>
                  </w14:solidFill>
                  <w14:prstDash w14:val="solid"/>
                  <w14:bevel/>
                </w14:textOutline>
              </w:rPr>
              <w:t>）</w:t>
            </w:r>
          </w:p>
          <w:tbl>
            <w:tblPr>
              <w:tblStyle w:val="91"/>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58"/>
              <w:gridCol w:w="645"/>
              <w:gridCol w:w="461"/>
              <w:gridCol w:w="506"/>
              <w:gridCol w:w="480"/>
              <w:gridCol w:w="571"/>
              <w:gridCol w:w="450"/>
              <w:gridCol w:w="541"/>
              <w:gridCol w:w="597"/>
              <w:gridCol w:w="510"/>
              <w:gridCol w:w="618"/>
              <w:gridCol w:w="641"/>
              <w:gridCol w:w="589"/>
            </w:tblGrid>
            <w:tr w14:paraId="3255AFE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88" w:type="pct"/>
                  <w:vMerge w:val="restart"/>
                  <w:vAlign w:val="center"/>
                </w:tcPr>
                <w:p w14:paraId="0D5AF92F">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设备</w:t>
                  </w:r>
                </w:p>
              </w:tc>
              <w:tc>
                <w:tcPr>
                  <w:tcW w:w="421" w:type="pct"/>
                  <w:vMerge w:val="restart"/>
                  <w:vAlign w:val="center"/>
                </w:tcPr>
                <w:p w14:paraId="0DABAE29">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源强</w:t>
                  </w:r>
                </w:p>
              </w:tc>
              <w:tc>
                <w:tcPr>
                  <w:tcW w:w="2350" w:type="pct"/>
                  <w:gridSpan w:val="7"/>
                  <w:vAlign w:val="center"/>
                </w:tcPr>
                <w:p w14:paraId="3A3F35B0">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距离</w:t>
                  </w:r>
                  <w:r>
                    <w:rPr>
                      <w:rFonts w:hint="default" w:ascii="Times New Roman" w:hAnsi="Times New Roman" w:eastAsia="宋体" w:cs="Times New Roman"/>
                      <w:color w:val="auto"/>
                      <w:spacing w:val="0"/>
                      <w:position w:val="0"/>
                      <w:sz w:val="21"/>
                      <w:szCs w:val="21"/>
                      <w:highlight w:val="none"/>
                      <w:lang w:eastAsia="zh-CN"/>
                      <w14:textOutline w14:w="3795" w14:cap="sq" w14:cmpd="sng">
                        <w14:solidFill>
                          <w14:srgbClr w14:val="000000"/>
                        </w14:solidFill>
                        <w14:prstDash w14:val="solid"/>
                        <w14:bevel/>
                      </w14:textOutline>
                    </w:rPr>
                    <w:t>（</w:t>
                  </w:r>
                  <w:r>
                    <w:rPr>
                      <w:rFonts w:hint="default" w:ascii="Times New Roman" w:hAnsi="Times New Roman" w:eastAsia="宋体" w:cs="Times New Roman"/>
                      <w:b/>
                      <w:bCs/>
                      <w:color w:val="auto"/>
                      <w:spacing w:val="0"/>
                      <w:position w:val="0"/>
                      <w:sz w:val="21"/>
                      <w:szCs w:val="21"/>
                      <w:highlight w:val="none"/>
                    </w:rPr>
                    <w:t>m</w:t>
                  </w:r>
                  <w:r>
                    <w:rPr>
                      <w:rFonts w:hint="default" w:ascii="Times New Roman" w:hAnsi="Times New Roman" w:eastAsia="宋体" w:cs="Times New Roman"/>
                      <w:color w:val="auto"/>
                      <w:spacing w:val="0"/>
                      <w:position w:val="0"/>
                      <w:sz w:val="21"/>
                      <w:szCs w:val="21"/>
                      <w:highlight w:val="none"/>
                      <w:lang w:eastAsia="zh-CN"/>
                      <w14:textOutline w14:w="3795" w14:cap="sq" w14:cmpd="sng">
                        <w14:solidFill>
                          <w14:srgbClr w14:val="000000"/>
                        </w14:solidFill>
                        <w14:prstDash w14:val="solid"/>
                        <w14:bevel/>
                      </w14:textOutline>
                    </w:rPr>
                    <w:t>）</w:t>
                  </w:r>
                </w:p>
              </w:tc>
              <w:tc>
                <w:tcPr>
                  <w:tcW w:w="736" w:type="pct"/>
                  <w:gridSpan w:val="2"/>
                  <w:vAlign w:val="center"/>
                </w:tcPr>
                <w:p w14:paraId="0CFA8815">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标准值</w:t>
                  </w:r>
                </w:p>
              </w:tc>
              <w:tc>
                <w:tcPr>
                  <w:tcW w:w="802" w:type="pct"/>
                  <w:gridSpan w:val="2"/>
                  <w:vAlign w:val="center"/>
                </w:tcPr>
                <w:p w14:paraId="51752DDC">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达标距离</w:t>
                  </w:r>
                </w:p>
                <w:p w14:paraId="2F52586D">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m</w:t>
                  </w:r>
                </w:p>
              </w:tc>
            </w:tr>
            <w:tr w14:paraId="22EFBE3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688" w:type="pct"/>
                  <w:vMerge w:val="continue"/>
                  <w:tcBorders>
                    <w:bottom w:val="single" w:color="000000" w:sz="12" w:space="0"/>
                  </w:tcBorders>
                  <w:vAlign w:val="center"/>
                </w:tcPr>
                <w:p w14:paraId="5FE7C401">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p>
              </w:tc>
              <w:tc>
                <w:tcPr>
                  <w:tcW w:w="421" w:type="pct"/>
                  <w:vMerge w:val="continue"/>
                  <w:tcBorders>
                    <w:bottom w:val="single" w:color="000000" w:sz="12" w:space="0"/>
                  </w:tcBorders>
                  <w:vAlign w:val="center"/>
                </w:tcPr>
                <w:p w14:paraId="62F7EB31">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p>
              </w:tc>
              <w:tc>
                <w:tcPr>
                  <w:tcW w:w="300" w:type="pct"/>
                  <w:tcBorders>
                    <w:bottom w:val="single" w:color="000000" w:sz="12" w:space="0"/>
                  </w:tcBorders>
                  <w:vAlign w:val="center"/>
                </w:tcPr>
                <w:p w14:paraId="096E2F15">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10</w:t>
                  </w:r>
                </w:p>
              </w:tc>
              <w:tc>
                <w:tcPr>
                  <w:tcW w:w="330" w:type="pct"/>
                  <w:tcBorders>
                    <w:bottom w:val="single" w:color="000000" w:sz="12" w:space="0"/>
                  </w:tcBorders>
                  <w:vAlign w:val="center"/>
                </w:tcPr>
                <w:p w14:paraId="2B34AC64">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20</w:t>
                  </w:r>
                </w:p>
              </w:tc>
              <w:tc>
                <w:tcPr>
                  <w:tcW w:w="313" w:type="pct"/>
                  <w:tcBorders>
                    <w:bottom w:val="single" w:color="000000" w:sz="12" w:space="0"/>
                  </w:tcBorders>
                  <w:vAlign w:val="center"/>
                </w:tcPr>
                <w:p w14:paraId="46041B16">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40</w:t>
                  </w:r>
                </w:p>
              </w:tc>
              <w:tc>
                <w:tcPr>
                  <w:tcW w:w="372" w:type="pct"/>
                  <w:tcBorders>
                    <w:bottom w:val="single" w:color="000000" w:sz="12" w:space="0"/>
                  </w:tcBorders>
                  <w:vAlign w:val="center"/>
                </w:tcPr>
                <w:p w14:paraId="4B4037E7">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60</w:t>
                  </w:r>
                </w:p>
              </w:tc>
              <w:tc>
                <w:tcPr>
                  <w:tcW w:w="293" w:type="pct"/>
                  <w:tcBorders>
                    <w:bottom w:val="single" w:color="000000" w:sz="12" w:space="0"/>
                  </w:tcBorders>
                  <w:vAlign w:val="center"/>
                </w:tcPr>
                <w:p w14:paraId="0D140A5E">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80</w:t>
                  </w:r>
                </w:p>
              </w:tc>
              <w:tc>
                <w:tcPr>
                  <w:tcW w:w="353" w:type="pct"/>
                  <w:tcBorders>
                    <w:bottom w:val="single" w:color="000000" w:sz="12" w:space="0"/>
                  </w:tcBorders>
                  <w:vAlign w:val="center"/>
                </w:tcPr>
                <w:p w14:paraId="76A793BE">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100</w:t>
                  </w:r>
                </w:p>
              </w:tc>
              <w:tc>
                <w:tcPr>
                  <w:tcW w:w="385" w:type="pct"/>
                  <w:tcBorders>
                    <w:bottom w:val="single" w:color="000000" w:sz="12" w:space="0"/>
                  </w:tcBorders>
                  <w:vAlign w:val="center"/>
                </w:tcPr>
                <w:p w14:paraId="28D24318">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150</w:t>
                  </w:r>
                </w:p>
              </w:tc>
              <w:tc>
                <w:tcPr>
                  <w:tcW w:w="333" w:type="pct"/>
                  <w:tcBorders>
                    <w:bottom w:val="single" w:color="000000" w:sz="12" w:space="0"/>
                  </w:tcBorders>
                  <w:vAlign w:val="center"/>
                </w:tcPr>
                <w:p w14:paraId="6D4AED07">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昼</w:t>
                  </w:r>
                </w:p>
              </w:tc>
              <w:tc>
                <w:tcPr>
                  <w:tcW w:w="403" w:type="pct"/>
                  <w:tcBorders>
                    <w:bottom w:val="single" w:color="000000" w:sz="12" w:space="0"/>
                  </w:tcBorders>
                  <w:vAlign w:val="center"/>
                </w:tcPr>
                <w:p w14:paraId="10E0D824">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夜</w:t>
                  </w:r>
                </w:p>
              </w:tc>
              <w:tc>
                <w:tcPr>
                  <w:tcW w:w="418" w:type="pct"/>
                  <w:tcBorders>
                    <w:bottom w:val="single" w:color="000000" w:sz="12" w:space="0"/>
                  </w:tcBorders>
                  <w:vAlign w:val="center"/>
                </w:tcPr>
                <w:p w14:paraId="71689FFA">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昼</w:t>
                  </w:r>
                </w:p>
              </w:tc>
              <w:tc>
                <w:tcPr>
                  <w:tcW w:w="384" w:type="pct"/>
                  <w:tcBorders>
                    <w:bottom w:val="single" w:color="000000" w:sz="12" w:space="0"/>
                  </w:tcBorders>
                  <w:vAlign w:val="center"/>
                </w:tcPr>
                <w:p w14:paraId="1EDF4A03">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14:textOutline w14:w="3795" w14:cap="sq" w14:cmpd="sng">
                        <w14:solidFill>
                          <w14:srgbClr w14:val="000000"/>
                        </w14:solidFill>
                        <w14:prstDash w14:val="solid"/>
                        <w14:bevel/>
                      </w14:textOutline>
                    </w:rPr>
                    <w:t>夜</w:t>
                  </w:r>
                </w:p>
              </w:tc>
            </w:tr>
            <w:tr w14:paraId="15098E6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88" w:type="pct"/>
                  <w:tcBorders>
                    <w:top w:val="single" w:color="000000" w:sz="12" w:space="0"/>
                    <w:tl2br w:val="nil"/>
                    <w:tr2bl w:val="nil"/>
                  </w:tcBorders>
                  <w:vAlign w:val="center"/>
                </w:tcPr>
                <w:p w14:paraId="4AE75F7B">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挖掘机</w:t>
                  </w:r>
                </w:p>
              </w:tc>
              <w:tc>
                <w:tcPr>
                  <w:tcW w:w="421" w:type="pct"/>
                  <w:tcBorders>
                    <w:top w:val="single" w:color="000000" w:sz="12" w:space="0"/>
                    <w:tl2br w:val="nil"/>
                    <w:tr2bl w:val="nil"/>
                  </w:tcBorders>
                  <w:vAlign w:val="center"/>
                </w:tcPr>
                <w:p w14:paraId="0DEA4D30">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85</w:t>
                  </w:r>
                </w:p>
              </w:tc>
              <w:tc>
                <w:tcPr>
                  <w:tcW w:w="300" w:type="pct"/>
                  <w:tcBorders>
                    <w:top w:val="single" w:color="000000" w:sz="12" w:space="0"/>
                    <w:tl2br w:val="nil"/>
                    <w:tr2bl w:val="nil"/>
                  </w:tcBorders>
                  <w:vAlign w:val="center"/>
                </w:tcPr>
                <w:p w14:paraId="0E8DEFDE">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65</w:t>
                  </w:r>
                </w:p>
              </w:tc>
              <w:tc>
                <w:tcPr>
                  <w:tcW w:w="330" w:type="pct"/>
                  <w:tcBorders>
                    <w:top w:val="single" w:color="000000" w:sz="12" w:space="0"/>
                    <w:tl2br w:val="nil"/>
                    <w:tr2bl w:val="nil"/>
                  </w:tcBorders>
                  <w:vAlign w:val="center"/>
                </w:tcPr>
                <w:p w14:paraId="1F0F8819">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59</w:t>
                  </w:r>
                </w:p>
              </w:tc>
              <w:tc>
                <w:tcPr>
                  <w:tcW w:w="313" w:type="pct"/>
                  <w:tcBorders>
                    <w:top w:val="single" w:color="000000" w:sz="12" w:space="0"/>
                    <w:tl2br w:val="nil"/>
                    <w:tr2bl w:val="nil"/>
                  </w:tcBorders>
                  <w:vAlign w:val="center"/>
                </w:tcPr>
                <w:p w14:paraId="3D8BD4C2">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53</w:t>
                  </w:r>
                </w:p>
              </w:tc>
              <w:tc>
                <w:tcPr>
                  <w:tcW w:w="372" w:type="pct"/>
                  <w:tcBorders>
                    <w:top w:val="single" w:color="000000" w:sz="12" w:space="0"/>
                    <w:tl2br w:val="nil"/>
                    <w:tr2bl w:val="nil"/>
                  </w:tcBorders>
                  <w:vAlign w:val="center"/>
                </w:tcPr>
                <w:p w14:paraId="4C9806DD">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49</w:t>
                  </w:r>
                </w:p>
              </w:tc>
              <w:tc>
                <w:tcPr>
                  <w:tcW w:w="293" w:type="pct"/>
                  <w:tcBorders>
                    <w:top w:val="single" w:color="000000" w:sz="12" w:space="0"/>
                    <w:tl2br w:val="nil"/>
                    <w:tr2bl w:val="nil"/>
                  </w:tcBorders>
                  <w:vAlign w:val="center"/>
                </w:tcPr>
                <w:p w14:paraId="40A64521">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47</w:t>
                  </w:r>
                </w:p>
              </w:tc>
              <w:tc>
                <w:tcPr>
                  <w:tcW w:w="353" w:type="pct"/>
                  <w:tcBorders>
                    <w:top w:val="single" w:color="000000" w:sz="12" w:space="0"/>
                    <w:tl2br w:val="nil"/>
                    <w:tr2bl w:val="nil"/>
                  </w:tcBorders>
                  <w:vAlign w:val="center"/>
                </w:tcPr>
                <w:p w14:paraId="67F72A93">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45</w:t>
                  </w:r>
                </w:p>
              </w:tc>
              <w:tc>
                <w:tcPr>
                  <w:tcW w:w="385" w:type="pct"/>
                  <w:tcBorders>
                    <w:top w:val="single" w:color="000000" w:sz="12" w:space="0"/>
                    <w:tl2br w:val="nil"/>
                    <w:tr2bl w:val="nil"/>
                  </w:tcBorders>
                  <w:vAlign w:val="center"/>
                </w:tcPr>
                <w:p w14:paraId="4C161428">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41</w:t>
                  </w:r>
                </w:p>
              </w:tc>
              <w:tc>
                <w:tcPr>
                  <w:tcW w:w="333" w:type="pct"/>
                  <w:vMerge w:val="restart"/>
                  <w:tcBorders>
                    <w:top w:val="single" w:color="000000" w:sz="12" w:space="0"/>
                    <w:tl2br w:val="nil"/>
                    <w:tr2bl w:val="nil"/>
                  </w:tcBorders>
                  <w:vAlign w:val="center"/>
                </w:tcPr>
                <w:p w14:paraId="3509FA0C">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70</w:t>
                  </w:r>
                </w:p>
              </w:tc>
              <w:tc>
                <w:tcPr>
                  <w:tcW w:w="403" w:type="pct"/>
                  <w:vMerge w:val="restart"/>
                  <w:tcBorders>
                    <w:top w:val="single" w:color="000000" w:sz="12" w:space="0"/>
                    <w:tl2br w:val="nil"/>
                    <w:tr2bl w:val="nil"/>
                  </w:tcBorders>
                  <w:vAlign w:val="center"/>
                </w:tcPr>
                <w:p w14:paraId="595305AB">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55</w:t>
                  </w:r>
                </w:p>
              </w:tc>
              <w:tc>
                <w:tcPr>
                  <w:tcW w:w="418" w:type="pct"/>
                  <w:tcBorders>
                    <w:top w:val="single" w:color="000000" w:sz="12" w:space="0"/>
                    <w:tl2br w:val="nil"/>
                    <w:tr2bl w:val="nil"/>
                  </w:tcBorders>
                  <w:vAlign w:val="center"/>
                </w:tcPr>
                <w:p w14:paraId="6228E3EE">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18</w:t>
                  </w:r>
                </w:p>
              </w:tc>
              <w:tc>
                <w:tcPr>
                  <w:tcW w:w="384" w:type="pct"/>
                  <w:tcBorders>
                    <w:top w:val="single" w:color="000000" w:sz="12" w:space="0"/>
                    <w:tl2br w:val="nil"/>
                    <w:tr2bl w:val="nil"/>
                  </w:tcBorders>
                  <w:vAlign w:val="center"/>
                </w:tcPr>
                <w:p w14:paraId="364AA42E">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55</w:t>
                  </w:r>
                </w:p>
              </w:tc>
            </w:tr>
            <w:tr w14:paraId="2180137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88" w:type="pct"/>
                  <w:tcBorders>
                    <w:tl2br w:val="nil"/>
                    <w:tr2bl w:val="nil"/>
                  </w:tcBorders>
                  <w:vAlign w:val="center"/>
                </w:tcPr>
                <w:p w14:paraId="1545B03B">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推土机</w:t>
                  </w:r>
                </w:p>
              </w:tc>
              <w:tc>
                <w:tcPr>
                  <w:tcW w:w="421" w:type="pct"/>
                  <w:tcBorders>
                    <w:tl2br w:val="nil"/>
                    <w:tr2bl w:val="nil"/>
                  </w:tcBorders>
                  <w:vAlign w:val="center"/>
                </w:tcPr>
                <w:p w14:paraId="70740282">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85</w:t>
                  </w:r>
                </w:p>
              </w:tc>
              <w:tc>
                <w:tcPr>
                  <w:tcW w:w="300" w:type="pct"/>
                  <w:tcBorders>
                    <w:tl2br w:val="nil"/>
                    <w:tr2bl w:val="nil"/>
                  </w:tcBorders>
                  <w:vAlign w:val="center"/>
                </w:tcPr>
                <w:p w14:paraId="7B69E500">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65</w:t>
                  </w:r>
                </w:p>
              </w:tc>
              <w:tc>
                <w:tcPr>
                  <w:tcW w:w="330" w:type="pct"/>
                  <w:tcBorders>
                    <w:tl2br w:val="nil"/>
                    <w:tr2bl w:val="nil"/>
                  </w:tcBorders>
                  <w:vAlign w:val="center"/>
                </w:tcPr>
                <w:p w14:paraId="25294CA6">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59</w:t>
                  </w:r>
                </w:p>
              </w:tc>
              <w:tc>
                <w:tcPr>
                  <w:tcW w:w="313" w:type="pct"/>
                  <w:tcBorders>
                    <w:tl2br w:val="nil"/>
                    <w:tr2bl w:val="nil"/>
                  </w:tcBorders>
                  <w:vAlign w:val="center"/>
                </w:tcPr>
                <w:p w14:paraId="5085340C">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53</w:t>
                  </w:r>
                </w:p>
              </w:tc>
              <w:tc>
                <w:tcPr>
                  <w:tcW w:w="372" w:type="pct"/>
                  <w:tcBorders>
                    <w:tl2br w:val="nil"/>
                    <w:tr2bl w:val="nil"/>
                  </w:tcBorders>
                  <w:vAlign w:val="center"/>
                </w:tcPr>
                <w:p w14:paraId="1CC16759">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49</w:t>
                  </w:r>
                </w:p>
              </w:tc>
              <w:tc>
                <w:tcPr>
                  <w:tcW w:w="293" w:type="pct"/>
                  <w:tcBorders>
                    <w:tl2br w:val="nil"/>
                    <w:tr2bl w:val="nil"/>
                  </w:tcBorders>
                  <w:vAlign w:val="center"/>
                </w:tcPr>
                <w:p w14:paraId="485B4474">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47</w:t>
                  </w:r>
                </w:p>
              </w:tc>
              <w:tc>
                <w:tcPr>
                  <w:tcW w:w="353" w:type="pct"/>
                  <w:tcBorders>
                    <w:tl2br w:val="nil"/>
                    <w:tr2bl w:val="nil"/>
                  </w:tcBorders>
                  <w:vAlign w:val="center"/>
                </w:tcPr>
                <w:p w14:paraId="7D07E228">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45</w:t>
                  </w:r>
                </w:p>
              </w:tc>
              <w:tc>
                <w:tcPr>
                  <w:tcW w:w="385" w:type="pct"/>
                  <w:tcBorders>
                    <w:tl2br w:val="nil"/>
                    <w:tr2bl w:val="nil"/>
                  </w:tcBorders>
                  <w:vAlign w:val="center"/>
                </w:tcPr>
                <w:p w14:paraId="4CA64F20">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41</w:t>
                  </w:r>
                </w:p>
              </w:tc>
              <w:tc>
                <w:tcPr>
                  <w:tcW w:w="333" w:type="pct"/>
                  <w:vMerge w:val="continue"/>
                  <w:tcBorders>
                    <w:tl2br w:val="nil"/>
                    <w:tr2bl w:val="nil"/>
                  </w:tcBorders>
                  <w:vAlign w:val="center"/>
                </w:tcPr>
                <w:p w14:paraId="4DF5356F">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p>
              </w:tc>
              <w:tc>
                <w:tcPr>
                  <w:tcW w:w="403" w:type="pct"/>
                  <w:vMerge w:val="continue"/>
                  <w:tcBorders>
                    <w:tl2br w:val="nil"/>
                    <w:tr2bl w:val="nil"/>
                  </w:tcBorders>
                  <w:vAlign w:val="center"/>
                </w:tcPr>
                <w:p w14:paraId="210EABD8">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p>
              </w:tc>
              <w:tc>
                <w:tcPr>
                  <w:tcW w:w="418" w:type="pct"/>
                  <w:tcBorders>
                    <w:tl2br w:val="nil"/>
                    <w:tr2bl w:val="nil"/>
                  </w:tcBorders>
                  <w:vAlign w:val="center"/>
                </w:tcPr>
                <w:p w14:paraId="03BC9EC6">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18</w:t>
                  </w:r>
                </w:p>
              </w:tc>
              <w:tc>
                <w:tcPr>
                  <w:tcW w:w="384" w:type="pct"/>
                  <w:tcBorders>
                    <w:tl2br w:val="nil"/>
                    <w:tr2bl w:val="nil"/>
                  </w:tcBorders>
                  <w:vAlign w:val="center"/>
                </w:tcPr>
                <w:p w14:paraId="145DA0AA">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55</w:t>
                  </w:r>
                </w:p>
              </w:tc>
            </w:tr>
            <w:tr w14:paraId="2678870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88" w:type="pct"/>
                  <w:tcBorders>
                    <w:tl2br w:val="nil"/>
                    <w:tr2bl w:val="nil"/>
                  </w:tcBorders>
                  <w:vAlign w:val="center"/>
                </w:tcPr>
                <w:p w14:paraId="269BC23E">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夯机</w:t>
                  </w:r>
                </w:p>
              </w:tc>
              <w:tc>
                <w:tcPr>
                  <w:tcW w:w="421" w:type="pct"/>
                  <w:tcBorders>
                    <w:tl2br w:val="nil"/>
                    <w:tr2bl w:val="nil"/>
                  </w:tcBorders>
                  <w:vAlign w:val="center"/>
                </w:tcPr>
                <w:p w14:paraId="7DA120D9">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85</w:t>
                  </w:r>
                </w:p>
              </w:tc>
              <w:tc>
                <w:tcPr>
                  <w:tcW w:w="300" w:type="pct"/>
                  <w:tcBorders>
                    <w:tl2br w:val="nil"/>
                    <w:tr2bl w:val="nil"/>
                  </w:tcBorders>
                  <w:vAlign w:val="center"/>
                </w:tcPr>
                <w:p w14:paraId="0160BB09">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65</w:t>
                  </w:r>
                </w:p>
              </w:tc>
              <w:tc>
                <w:tcPr>
                  <w:tcW w:w="330" w:type="pct"/>
                  <w:tcBorders>
                    <w:tl2br w:val="nil"/>
                    <w:tr2bl w:val="nil"/>
                  </w:tcBorders>
                  <w:vAlign w:val="center"/>
                </w:tcPr>
                <w:p w14:paraId="64A338F1">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59</w:t>
                  </w:r>
                </w:p>
              </w:tc>
              <w:tc>
                <w:tcPr>
                  <w:tcW w:w="313" w:type="pct"/>
                  <w:tcBorders>
                    <w:tl2br w:val="nil"/>
                    <w:tr2bl w:val="nil"/>
                  </w:tcBorders>
                  <w:vAlign w:val="center"/>
                </w:tcPr>
                <w:p w14:paraId="2C58DC42">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53</w:t>
                  </w:r>
                </w:p>
              </w:tc>
              <w:tc>
                <w:tcPr>
                  <w:tcW w:w="372" w:type="pct"/>
                  <w:tcBorders>
                    <w:tl2br w:val="nil"/>
                    <w:tr2bl w:val="nil"/>
                  </w:tcBorders>
                  <w:vAlign w:val="center"/>
                </w:tcPr>
                <w:p w14:paraId="4E196A2E">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49</w:t>
                  </w:r>
                </w:p>
              </w:tc>
              <w:tc>
                <w:tcPr>
                  <w:tcW w:w="293" w:type="pct"/>
                  <w:tcBorders>
                    <w:tl2br w:val="nil"/>
                    <w:tr2bl w:val="nil"/>
                  </w:tcBorders>
                  <w:vAlign w:val="center"/>
                </w:tcPr>
                <w:p w14:paraId="0795463B">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47</w:t>
                  </w:r>
                </w:p>
              </w:tc>
              <w:tc>
                <w:tcPr>
                  <w:tcW w:w="353" w:type="pct"/>
                  <w:tcBorders>
                    <w:tl2br w:val="nil"/>
                    <w:tr2bl w:val="nil"/>
                  </w:tcBorders>
                  <w:vAlign w:val="center"/>
                </w:tcPr>
                <w:p w14:paraId="085A6EE5">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45</w:t>
                  </w:r>
                </w:p>
              </w:tc>
              <w:tc>
                <w:tcPr>
                  <w:tcW w:w="385" w:type="pct"/>
                  <w:tcBorders>
                    <w:tl2br w:val="nil"/>
                    <w:tr2bl w:val="nil"/>
                  </w:tcBorders>
                  <w:vAlign w:val="center"/>
                </w:tcPr>
                <w:p w14:paraId="5DE3FBF0">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41</w:t>
                  </w:r>
                </w:p>
              </w:tc>
              <w:tc>
                <w:tcPr>
                  <w:tcW w:w="333" w:type="pct"/>
                  <w:vMerge w:val="continue"/>
                  <w:tcBorders>
                    <w:tl2br w:val="nil"/>
                    <w:tr2bl w:val="nil"/>
                  </w:tcBorders>
                  <w:vAlign w:val="center"/>
                </w:tcPr>
                <w:p w14:paraId="065733E1">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p>
              </w:tc>
              <w:tc>
                <w:tcPr>
                  <w:tcW w:w="403" w:type="pct"/>
                  <w:vMerge w:val="continue"/>
                  <w:tcBorders>
                    <w:tl2br w:val="nil"/>
                    <w:tr2bl w:val="nil"/>
                  </w:tcBorders>
                  <w:vAlign w:val="center"/>
                </w:tcPr>
                <w:p w14:paraId="02012C62">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p>
              </w:tc>
              <w:tc>
                <w:tcPr>
                  <w:tcW w:w="418" w:type="pct"/>
                  <w:tcBorders>
                    <w:tl2br w:val="nil"/>
                    <w:tr2bl w:val="nil"/>
                  </w:tcBorders>
                  <w:vAlign w:val="center"/>
                </w:tcPr>
                <w:p w14:paraId="39128D61">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18</w:t>
                  </w:r>
                </w:p>
              </w:tc>
              <w:tc>
                <w:tcPr>
                  <w:tcW w:w="384" w:type="pct"/>
                  <w:tcBorders>
                    <w:tl2br w:val="nil"/>
                    <w:tr2bl w:val="nil"/>
                  </w:tcBorders>
                  <w:vAlign w:val="center"/>
                </w:tcPr>
                <w:p w14:paraId="4628CD2E">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55</w:t>
                  </w:r>
                </w:p>
              </w:tc>
            </w:tr>
            <w:tr w14:paraId="46E0514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88" w:type="pct"/>
                  <w:tcBorders>
                    <w:tl2br w:val="nil"/>
                    <w:tr2bl w:val="nil"/>
                  </w:tcBorders>
                  <w:vAlign w:val="center"/>
                </w:tcPr>
                <w:p w14:paraId="6D29AB78">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发电机</w:t>
                  </w:r>
                </w:p>
              </w:tc>
              <w:tc>
                <w:tcPr>
                  <w:tcW w:w="421" w:type="pct"/>
                  <w:tcBorders>
                    <w:tl2br w:val="nil"/>
                    <w:tr2bl w:val="nil"/>
                  </w:tcBorders>
                  <w:vAlign w:val="center"/>
                </w:tcPr>
                <w:p w14:paraId="59CBB1A4">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80</w:t>
                  </w:r>
                </w:p>
              </w:tc>
              <w:tc>
                <w:tcPr>
                  <w:tcW w:w="300" w:type="pct"/>
                  <w:tcBorders>
                    <w:tl2br w:val="nil"/>
                    <w:tr2bl w:val="nil"/>
                  </w:tcBorders>
                  <w:vAlign w:val="center"/>
                </w:tcPr>
                <w:p w14:paraId="5A4516CC">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60</w:t>
                  </w:r>
                </w:p>
              </w:tc>
              <w:tc>
                <w:tcPr>
                  <w:tcW w:w="330" w:type="pct"/>
                  <w:tcBorders>
                    <w:tl2br w:val="nil"/>
                    <w:tr2bl w:val="nil"/>
                  </w:tcBorders>
                  <w:vAlign w:val="center"/>
                </w:tcPr>
                <w:p w14:paraId="2F23B3B5">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54</w:t>
                  </w:r>
                </w:p>
              </w:tc>
              <w:tc>
                <w:tcPr>
                  <w:tcW w:w="313" w:type="pct"/>
                  <w:tcBorders>
                    <w:tl2br w:val="nil"/>
                    <w:tr2bl w:val="nil"/>
                  </w:tcBorders>
                  <w:vAlign w:val="center"/>
                </w:tcPr>
                <w:p w14:paraId="5C39643D">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48</w:t>
                  </w:r>
                </w:p>
              </w:tc>
              <w:tc>
                <w:tcPr>
                  <w:tcW w:w="372" w:type="pct"/>
                  <w:tcBorders>
                    <w:tl2br w:val="nil"/>
                    <w:tr2bl w:val="nil"/>
                  </w:tcBorders>
                  <w:vAlign w:val="center"/>
                </w:tcPr>
                <w:p w14:paraId="3DA3DD12">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44</w:t>
                  </w:r>
                </w:p>
              </w:tc>
              <w:tc>
                <w:tcPr>
                  <w:tcW w:w="293" w:type="pct"/>
                  <w:tcBorders>
                    <w:tl2br w:val="nil"/>
                    <w:tr2bl w:val="nil"/>
                  </w:tcBorders>
                  <w:vAlign w:val="center"/>
                </w:tcPr>
                <w:p w14:paraId="0C833BD8">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42</w:t>
                  </w:r>
                </w:p>
              </w:tc>
              <w:tc>
                <w:tcPr>
                  <w:tcW w:w="353" w:type="pct"/>
                  <w:tcBorders>
                    <w:tl2br w:val="nil"/>
                    <w:tr2bl w:val="nil"/>
                  </w:tcBorders>
                  <w:vAlign w:val="center"/>
                </w:tcPr>
                <w:p w14:paraId="112EE0D2">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40</w:t>
                  </w:r>
                </w:p>
              </w:tc>
              <w:tc>
                <w:tcPr>
                  <w:tcW w:w="385" w:type="pct"/>
                  <w:tcBorders>
                    <w:tl2br w:val="nil"/>
                    <w:tr2bl w:val="nil"/>
                  </w:tcBorders>
                  <w:vAlign w:val="center"/>
                </w:tcPr>
                <w:p w14:paraId="6D830813">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39</w:t>
                  </w:r>
                </w:p>
              </w:tc>
              <w:tc>
                <w:tcPr>
                  <w:tcW w:w="333" w:type="pct"/>
                  <w:vMerge w:val="continue"/>
                  <w:tcBorders>
                    <w:tl2br w:val="nil"/>
                    <w:tr2bl w:val="nil"/>
                  </w:tcBorders>
                  <w:vAlign w:val="center"/>
                </w:tcPr>
                <w:p w14:paraId="0C1FD3EE">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p>
              </w:tc>
              <w:tc>
                <w:tcPr>
                  <w:tcW w:w="403" w:type="pct"/>
                  <w:vMerge w:val="continue"/>
                  <w:tcBorders>
                    <w:tl2br w:val="nil"/>
                    <w:tr2bl w:val="nil"/>
                  </w:tcBorders>
                  <w:vAlign w:val="center"/>
                </w:tcPr>
                <w:p w14:paraId="3D017848">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p>
              </w:tc>
              <w:tc>
                <w:tcPr>
                  <w:tcW w:w="418" w:type="pct"/>
                  <w:tcBorders>
                    <w:tl2br w:val="nil"/>
                    <w:tr2bl w:val="nil"/>
                  </w:tcBorders>
                  <w:vAlign w:val="center"/>
                </w:tcPr>
                <w:p w14:paraId="3815FD5A">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11</w:t>
                  </w:r>
                </w:p>
              </w:tc>
              <w:tc>
                <w:tcPr>
                  <w:tcW w:w="384" w:type="pct"/>
                  <w:tcBorders>
                    <w:tl2br w:val="nil"/>
                    <w:tr2bl w:val="nil"/>
                  </w:tcBorders>
                  <w:vAlign w:val="center"/>
                </w:tcPr>
                <w:p w14:paraId="16441DA0">
                  <w:pPr>
                    <w:keepNext w:val="0"/>
                    <w:keepLines w:val="0"/>
                    <w:pageBreakBefore w:val="0"/>
                    <w:shd w:val="clear"/>
                    <w:kinsoku/>
                    <w:wordWrap/>
                    <w:overflowPunct/>
                    <w:topLinePunct w:val="0"/>
                    <w:autoSpaceDE/>
                    <w:autoSpaceDN/>
                    <w:bidi w:val="0"/>
                    <w:spacing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34</w:t>
                  </w:r>
                </w:p>
              </w:tc>
            </w:tr>
          </w:tbl>
          <w:p w14:paraId="414D4777">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从上表数据可以看出，施工机械本身的作业噪声较高，随着距离的增加，噪声逐渐衰减。</w:t>
            </w:r>
          </w:p>
          <w:p w14:paraId="32B1287E">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本次</w:t>
            </w:r>
            <w:r>
              <w:rPr>
                <w:rFonts w:hint="default" w:ascii="Times New Roman" w:hAnsi="Times New Roman" w:eastAsia="宋体" w:cs="Times New Roman"/>
                <w:color w:val="auto"/>
                <w:spacing w:val="0"/>
                <w:position w:val="0"/>
                <w:sz w:val="24"/>
                <w:szCs w:val="24"/>
                <w:highlight w:val="none"/>
                <w:lang w:eastAsia="zh-CN"/>
              </w:rPr>
              <w:t>修整护岸</w:t>
            </w:r>
            <w:r>
              <w:rPr>
                <w:rFonts w:hint="default" w:ascii="Times New Roman" w:hAnsi="Times New Roman" w:eastAsia="宋体" w:cs="Times New Roman"/>
                <w:color w:val="auto"/>
                <w:spacing w:val="0"/>
                <w:position w:val="0"/>
                <w:sz w:val="24"/>
                <w:szCs w:val="24"/>
                <w:highlight w:val="none"/>
              </w:rPr>
              <w:t>工程总长</w:t>
            </w:r>
            <w:r>
              <w:rPr>
                <w:rFonts w:hint="default" w:ascii="Times New Roman" w:hAnsi="Times New Roman" w:cs="Times New Roman"/>
                <w:color w:val="auto"/>
                <w:spacing w:val="0"/>
                <w:position w:val="0"/>
                <w:sz w:val="24"/>
                <w:szCs w:val="24"/>
                <w:highlight w:val="none"/>
                <w:lang w:val="en-US" w:eastAsia="zh-CN"/>
              </w:rPr>
              <w:t>12.98km</w:t>
            </w:r>
            <w:r>
              <w:rPr>
                <w:rFonts w:hint="default" w:ascii="Times New Roman" w:hAnsi="Times New Roman" w:eastAsia="宋体" w:cs="Times New Roman"/>
                <w:color w:val="auto"/>
                <w:spacing w:val="0"/>
                <w:position w:val="0"/>
                <w:sz w:val="24"/>
                <w:szCs w:val="24"/>
                <w:highlight w:val="none"/>
              </w:rPr>
              <w:t>，对噪声影响较大的60m范围内没有常住居民，仅有施工人员施工营地会受到施工噪声的影响。</w:t>
            </w:r>
          </w:p>
          <w:p w14:paraId="5504E597">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施工机械噪声对周围环境的影响范围为白天18m，夜间55m，超出此范围即可满足《建筑施工场界环境噪声排放标准》</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GB12523-2011</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的要求。施工期产生的噪声为临时性流动声源，其影响随着施工期的结束而结束。</w:t>
            </w:r>
          </w:p>
          <w:p w14:paraId="6D957D06">
            <w:pPr>
              <w:keepNext w:val="0"/>
              <w:keepLines w:val="0"/>
              <w:pageBreakBefore w:val="0"/>
              <w:widowControl w:val="0"/>
              <w:shd w:val="clear"/>
              <w:kinsoku/>
              <w:wordWrap/>
              <w:overflowPunct/>
              <w:topLinePunct w:val="0"/>
              <w:autoSpaceDE/>
              <w:autoSpaceDN/>
              <w:bidi w:val="0"/>
              <w:spacing w:line="360" w:lineRule="auto"/>
              <w:ind w:left="0" w:right="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4.2</w:t>
            </w:r>
            <w:r>
              <w:rPr>
                <w:rFonts w:hint="default" w:ascii="Times New Roman" w:hAnsi="Times New Roman" w:eastAsia="宋体" w:cs="Times New Roman"/>
                <w:color w:val="auto"/>
                <w:spacing w:val="0"/>
                <w:position w:val="0"/>
                <w:sz w:val="24"/>
                <w:szCs w:val="24"/>
                <w:highlight w:val="none"/>
                <w14:textOutline w14:w="4358" w14:cap="sq" w14:cmpd="sng">
                  <w14:solidFill>
                    <w14:srgbClr w14:val="000000"/>
                  </w14:solidFill>
                  <w14:prstDash w14:val="solid"/>
                  <w14:bevel/>
                </w14:textOutline>
              </w:rPr>
              <w:t>交通运输噪声影响分析</w:t>
            </w:r>
          </w:p>
          <w:p w14:paraId="637015F1">
            <w:pPr>
              <w:keepNext w:val="0"/>
              <w:keepLines w:val="0"/>
              <w:pageBreakBefore w:val="0"/>
              <w:widowControl w:val="0"/>
              <w:shd w:val="clear"/>
              <w:kinsoku/>
              <w:wordWrap/>
              <w:overflowPunct/>
              <w:topLinePunct w:val="0"/>
              <w:autoSpaceDE/>
              <w:autoSpaceDN/>
              <w:bidi w:val="0"/>
              <w:spacing w:line="360" w:lineRule="auto"/>
              <w:ind w:left="0" w:right="0" w:firstLine="481"/>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本工程施工运输利用工程区域内的道路，施工道路均为原有道路。工程运输主要为外来物资进场等，根据工程施工布局及施工强度分析，由于本工程规模较小，工程外来物资运输、运料交通噪声对村庄附近路段的</w:t>
            </w:r>
            <w:r>
              <w:rPr>
                <w:rFonts w:hint="default" w:ascii="Times New Roman" w:hAnsi="Times New Roman" w:eastAsia="宋体" w:cs="Times New Roman"/>
                <w:color w:val="auto"/>
                <w:spacing w:val="0"/>
                <w:position w:val="0"/>
                <w:sz w:val="24"/>
                <w:szCs w:val="24"/>
                <w:highlight w:val="none"/>
                <w:lang w:eastAsia="zh-CN"/>
              </w:rPr>
              <w:t>影响程度较小</w:t>
            </w:r>
            <w:r>
              <w:rPr>
                <w:rFonts w:hint="default" w:ascii="Times New Roman" w:hAnsi="Times New Roman" w:eastAsia="宋体" w:cs="Times New Roman"/>
                <w:color w:val="auto"/>
                <w:spacing w:val="0"/>
                <w:position w:val="0"/>
                <w:sz w:val="24"/>
                <w:szCs w:val="24"/>
                <w:highlight w:val="none"/>
              </w:rPr>
              <w:t>，工程区施工运输昼间增加车流量约1</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2辆/h，夜间增加车流量更少。</w:t>
            </w:r>
          </w:p>
          <w:p w14:paraId="4D6D92B6">
            <w:pPr>
              <w:keepNext w:val="0"/>
              <w:keepLines w:val="0"/>
              <w:pageBreakBefore w:val="0"/>
              <w:widowControl w:val="0"/>
              <w:shd w:val="clear"/>
              <w:kinsoku/>
              <w:wordWrap/>
              <w:overflowPunct/>
              <w:topLinePunct w:val="0"/>
              <w:autoSpaceDE/>
              <w:autoSpaceDN/>
              <w:bidi w:val="0"/>
              <w:spacing w:line="360" w:lineRule="auto"/>
              <w:ind w:left="0" w:right="0"/>
              <w:textAlignment w:val="auto"/>
              <w:outlineLvl w:val="1"/>
              <w:rPr>
                <w:rFonts w:hint="default" w:ascii="Times New Roman" w:hAnsi="Times New Roman" w:eastAsia="宋体" w:cs="Times New Roman"/>
                <w:color w:val="0000FF"/>
                <w:spacing w:val="0"/>
                <w:position w:val="0"/>
                <w:sz w:val="24"/>
                <w:szCs w:val="24"/>
                <w:highlight w:val="none"/>
              </w:rPr>
            </w:pPr>
            <w:r>
              <w:rPr>
                <w:rFonts w:hint="default" w:ascii="Times New Roman" w:hAnsi="Times New Roman" w:eastAsia="宋体" w:cs="Times New Roman"/>
                <w:b/>
                <w:bCs/>
                <w:color w:val="0000FF"/>
                <w:spacing w:val="0"/>
                <w:position w:val="0"/>
                <w:sz w:val="24"/>
                <w:szCs w:val="24"/>
                <w:highlight w:val="none"/>
              </w:rPr>
              <w:t>5</w:t>
            </w:r>
            <w:r>
              <w:rPr>
                <w:rFonts w:hint="default" w:ascii="Times New Roman" w:hAnsi="Times New Roman" w:eastAsia="宋体" w:cs="Times New Roman"/>
                <w:color w:val="0000FF"/>
                <w:spacing w:val="0"/>
                <w:position w:val="0"/>
                <w:sz w:val="24"/>
                <w:szCs w:val="24"/>
                <w:highlight w:val="none"/>
                <w:lang w:val="en-US" w:eastAsia="zh-CN"/>
                <w14:textOutline w14:w="4358" w14:cap="sq" w14:cmpd="sng">
                  <w14:solidFill>
                    <w14:srgbClr w14:val="000000"/>
                  </w14:solidFill>
                  <w14:prstDash w14:val="solid"/>
                  <w14:bevel/>
                </w14:textOutline>
              </w:rPr>
              <w:t>.</w:t>
            </w:r>
            <w:r>
              <w:rPr>
                <w:rFonts w:hint="default" w:ascii="Times New Roman" w:hAnsi="Times New Roman" w:eastAsia="宋体" w:cs="Times New Roman"/>
                <w:color w:val="0000FF"/>
                <w:spacing w:val="0"/>
                <w:position w:val="0"/>
                <w:sz w:val="24"/>
                <w:szCs w:val="24"/>
                <w:highlight w:val="none"/>
                <w14:textOutline w14:w="4358" w14:cap="sq" w14:cmpd="sng">
                  <w14:solidFill>
                    <w14:srgbClr w14:val="000000"/>
                  </w14:solidFill>
                  <w14:prstDash w14:val="solid"/>
                  <w14:bevel/>
                </w14:textOutline>
              </w:rPr>
              <w:t>固体废弃物影响分析</w:t>
            </w:r>
          </w:p>
          <w:p w14:paraId="1C54964B">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FF"/>
                <w:spacing w:val="0"/>
                <w:position w:val="0"/>
                <w:sz w:val="24"/>
                <w:szCs w:val="24"/>
                <w:highlight w:val="none"/>
              </w:rPr>
            </w:pPr>
            <w:r>
              <w:rPr>
                <w:rFonts w:hint="default" w:ascii="Times New Roman" w:hAnsi="Times New Roman" w:eastAsia="宋体" w:cs="Times New Roman"/>
                <w:color w:val="0000FF"/>
                <w:spacing w:val="0"/>
                <w:position w:val="0"/>
                <w:sz w:val="24"/>
                <w:szCs w:val="24"/>
                <w:highlight w:val="none"/>
              </w:rPr>
              <w:t>本项目工程施工产生的固体废弃物主要废弃的土石方和施工人员生活垃圾，若处置不当，可能对当地环境有影响。</w:t>
            </w:r>
          </w:p>
          <w:p w14:paraId="349D9A5E">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2" w:firstLineChars="200"/>
              <w:textAlignment w:val="auto"/>
              <w:rPr>
                <w:rFonts w:hint="default" w:ascii="Times New Roman" w:hAnsi="Times New Roman" w:eastAsia="宋体" w:cs="Times New Roman"/>
                <w:b/>
                <w:bCs/>
                <w:color w:val="0000FF"/>
                <w:spacing w:val="0"/>
                <w:kern w:val="0"/>
                <w:position w:val="0"/>
                <w:sz w:val="24"/>
                <w:szCs w:val="24"/>
                <w:highlight w:val="none"/>
                <w:lang w:val="en-US" w:eastAsia="zh-CN" w:bidi="ar"/>
              </w:rPr>
            </w:pPr>
            <w:r>
              <w:rPr>
                <w:rFonts w:hint="default" w:ascii="Times New Roman" w:hAnsi="Times New Roman" w:eastAsia="宋体" w:cs="Times New Roman"/>
                <w:b/>
                <w:bCs/>
                <w:color w:val="0000FF"/>
                <w:spacing w:val="0"/>
                <w:kern w:val="0"/>
                <w:position w:val="0"/>
                <w:sz w:val="24"/>
                <w:szCs w:val="24"/>
                <w:highlight w:val="none"/>
                <w:lang w:val="en-US" w:eastAsia="zh-CN" w:bidi="ar"/>
              </w:rPr>
              <w:t>（1）河道</w:t>
            </w:r>
            <w:r>
              <w:rPr>
                <w:rFonts w:hint="default" w:ascii="Times New Roman" w:hAnsi="Times New Roman" w:cs="Times New Roman"/>
                <w:b/>
                <w:bCs/>
                <w:color w:val="0000FF"/>
                <w:spacing w:val="0"/>
                <w:kern w:val="0"/>
                <w:position w:val="0"/>
                <w:sz w:val="24"/>
                <w:szCs w:val="24"/>
                <w:highlight w:val="none"/>
                <w:lang w:val="en-US" w:eastAsia="zh-CN" w:bidi="ar"/>
              </w:rPr>
              <w:t>淤泥及废土</w:t>
            </w:r>
          </w:p>
          <w:p w14:paraId="2CFA049C">
            <w:pPr>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FF"/>
                <w:spacing w:val="0"/>
                <w:position w:val="0"/>
                <w:sz w:val="24"/>
                <w:szCs w:val="24"/>
                <w:highlight w:val="none"/>
              </w:rPr>
            </w:pPr>
            <w:r>
              <w:rPr>
                <w:rFonts w:hint="default" w:ascii="Times New Roman" w:hAnsi="Times New Roman" w:eastAsia="宋体" w:cs="Times New Roman"/>
                <w:color w:val="0000FF"/>
                <w:spacing w:val="0"/>
                <w:kern w:val="0"/>
                <w:position w:val="0"/>
                <w:sz w:val="24"/>
                <w:szCs w:val="24"/>
                <w:highlight w:val="none"/>
                <w:lang w:val="en-US" w:eastAsia="zh-CN" w:bidi="ar"/>
              </w:rPr>
              <w:t>工程建设时防洪基础开挖产生河道淤泥、弃土、石渣。通过计算，主体工程建设将开挖该防洪工程土石方开挖量51.2万m</w:t>
            </w:r>
            <w:r>
              <w:rPr>
                <w:rFonts w:hint="default" w:ascii="Times New Roman" w:hAnsi="Times New Roman" w:eastAsia="宋体" w:cs="Times New Roman"/>
                <w:color w:val="0000FF"/>
                <w:spacing w:val="0"/>
                <w:kern w:val="0"/>
                <w:position w:val="0"/>
                <w:sz w:val="24"/>
                <w:szCs w:val="24"/>
                <w:highlight w:val="none"/>
                <w:vertAlign w:val="superscript"/>
                <w:lang w:val="en-US" w:eastAsia="zh-CN" w:bidi="ar"/>
              </w:rPr>
              <w:t>3</w:t>
            </w:r>
            <w:r>
              <w:rPr>
                <w:rFonts w:hint="default" w:ascii="Times New Roman" w:hAnsi="Times New Roman" w:eastAsia="宋体" w:cs="Times New Roman"/>
                <w:color w:val="0000FF"/>
                <w:spacing w:val="0"/>
                <w:kern w:val="0"/>
                <w:position w:val="0"/>
                <w:sz w:val="24"/>
                <w:szCs w:val="24"/>
                <w:highlight w:val="none"/>
                <w:lang w:val="en-US" w:eastAsia="zh-CN" w:bidi="ar"/>
              </w:rPr>
              <w:t>，回填利用土方18.7万m</w:t>
            </w:r>
            <w:r>
              <w:rPr>
                <w:rFonts w:hint="default" w:ascii="Times New Roman" w:hAnsi="Times New Roman" w:eastAsia="宋体" w:cs="Times New Roman"/>
                <w:color w:val="0000FF"/>
                <w:spacing w:val="0"/>
                <w:kern w:val="0"/>
                <w:position w:val="0"/>
                <w:sz w:val="24"/>
                <w:szCs w:val="24"/>
                <w:highlight w:val="none"/>
                <w:vertAlign w:val="superscript"/>
                <w:lang w:val="en-US" w:eastAsia="zh-CN" w:bidi="ar"/>
              </w:rPr>
              <w:t>3</w:t>
            </w:r>
            <w:r>
              <w:rPr>
                <w:rFonts w:hint="default" w:ascii="Times New Roman" w:hAnsi="Times New Roman" w:eastAsia="宋体" w:cs="Times New Roman"/>
                <w:color w:val="0000FF"/>
                <w:spacing w:val="0"/>
                <w:kern w:val="0"/>
                <w:position w:val="0"/>
                <w:sz w:val="24"/>
                <w:szCs w:val="24"/>
                <w:highlight w:val="none"/>
                <w:lang w:val="en-US" w:eastAsia="zh-CN" w:bidi="ar"/>
              </w:rPr>
              <w:t>，最后产生弃渣32.5万m</w:t>
            </w:r>
            <w:r>
              <w:rPr>
                <w:rFonts w:hint="default" w:ascii="Times New Roman" w:hAnsi="Times New Roman" w:eastAsia="宋体" w:cs="Times New Roman"/>
                <w:color w:val="0000FF"/>
                <w:spacing w:val="0"/>
                <w:kern w:val="0"/>
                <w:position w:val="0"/>
                <w:sz w:val="24"/>
                <w:szCs w:val="24"/>
                <w:highlight w:val="none"/>
                <w:vertAlign w:val="superscript"/>
                <w:lang w:val="en-US" w:eastAsia="zh-CN" w:bidi="ar"/>
              </w:rPr>
              <w:t>3</w:t>
            </w:r>
            <w:r>
              <w:rPr>
                <w:rFonts w:hint="default" w:ascii="Times New Roman" w:hAnsi="Times New Roman" w:eastAsia="宋体" w:cs="Times New Roman"/>
                <w:color w:val="0000FF"/>
                <w:spacing w:val="0"/>
                <w:kern w:val="0"/>
                <w:position w:val="0"/>
                <w:sz w:val="24"/>
                <w:szCs w:val="24"/>
                <w:highlight w:val="none"/>
                <w:lang w:val="en-US" w:eastAsia="zh-CN" w:bidi="ar"/>
              </w:rPr>
              <w:t>，处弃渣场全部位于堤防后裁弯取直区域，位于堤防的背水侧，迎水面为本次工程新建的堤防，4处弃渣场堆高约3.0m，基本与原地面一致，堆放边坡比为1:1.5。填埋后仍有余量的土方在工程结束后将多余土方用于坝后填土来加宽堤顶，以稳固堤身</w:t>
            </w:r>
            <w:r>
              <w:rPr>
                <w:rFonts w:hint="default" w:ascii="Times New Roman" w:hAnsi="Times New Roman" w:eastAsia="宋体" w:cs="Times New Roman"/>
                <w:color w:val="0000FF"/>
                <w:spacing w:val="0"/>
                <w:position w:val="0"/>
                <w:sz w:val="24"/>
                <w:szCs w:val="24"/>
                <w:highlight w:val="none"/>
              </w:rPr>
              <w:t>。工程土石方平衡情况见表4-7。</w:t>
            </w:r>
          </w:p>
          <w:p w14:paraId="750E96E0">
            <w:pPr>
              <w:keepNext w:val="0"/>
              <w:keepLines w:val="0"/>
              <w:pageBreakBefore w:val="0"/>
              <w:widowControl w:val="0"/>
              <w:shd w:val="clear"/>
              <w:kinsoku/>
              <w:wordWrap/>
              <w:overflowPunct/>
              <w:topLinePunct w:val="0"/>
              <w:autoSpaceDE/>
              <w:autoSpaceDN/>
              <w:bidi w:val="0"/>
              <w:spacing w:line="240" w:lineRule="auto"/>
              <w:ind w:left="0" w:right="0"/>
              <w:jc w:val="center"/>
              <w:textAlignment w:val="auto"/>
              <w:rPr>
                <w:rFonts w:hint="default" w:ascii="Times New Roman" w:hAnsi="Times New Roman" w:eastAsia="宋体" w:cs="Times New Roman"/>
                <w:b/>
                <w:bCs/>
                <w:color w:val="0000FF"/>
                <w:spacing w:val="0"/>
                <w:position w:val="0"/>
                <w:sz w:val="21"/>
                <w:szCs w:val="21"/>
                <w:highlight w:val="none"/>
              </w:rPr>
            </w:pPr>
            <w:r>
              <w:rPr>
                <w:rFonts w:hint="default" w:ascii="Times New Roman" w:hAnsi="Times New Roman" w:eastAsia="宋体" w:cs="Times New Roman"/>
                <w:color w:val="0000FF"/>
                <w:spacing w:val="0"/>
                <w:position w:val="0"/>
                <w:sz w:val="21"/>
                <w:szCs w:val="21"/>
                <w:highlight w:val="none"/>
                <w14:textOutline w14:w="3795" w14:cap="sq" w14:cmpd="sng">
                  <w14:solidFill>
                    <w14:srgbClr w14:val="000000"/>
                  </w14:solidFill>
                  <w14:prstDash w14:val="solid"/>
                  <w14:bevel/>
                </w14:textOutline>
              </w:rPr>
              <w:t>表</w:t>
            </w:r>
            <w:r>
              <w:rPr>
                <w:rFonts w:hint="default" w:ascii="Times New Roman" w:hAnsi="Times New Roman" w:eastAsia="宋体" w:cs="Times New Roman"/>
                <w:b/>
                <w:bCs/>
                <w:color w:val="0000FF"/>
                <w:spacing w:val="0"/>
                <w:position w:val="0"/>
                <w:sz w:val="21"/>
                <w:szCs w:val="21"/>
                <w:highlight w:val="none"/>
              </w:rPr>
              <w:t>4-7</w:t>
            </w:r>
            <w:r>
              <w:rPr>
                <w:rFonts w:hint="default" w:ascii="Times New Roman" w:hAnsi="Times New Roman" w:eastAsia="宋体" w:cs="Times New Roman"/>
                <w:b/>
                <w:bCs/>
                <w:color w:val="0000FF"/>
                <w:spacing w:val="0"/>
                <w:position w:val="0"/>
                <w:sz w:val="21"/>
                <w:szCs w:val="21"/>
                <w:highlight w:val="none"/>
                <w:lang w:val="en-US" w:eastAsia="zh-CN"/>
              </w:rPr>
              <w:t xml:space="preserve">    </w:t>
            </w:r>
            <w:r>
              <w:rPr>
                <w:rFonts w:hint="default" w:ascii="Times New Roman" w:hAnsi="Times New Roman" w:eastAsia="宋体" w:cs="Times New Roman"/>
                <w:color w:val="0000FF"/>
                <w:spacing w:val="0"/>
                <w:position w:val="0"/>
                <w:sz w:val="21"/>
                <w:szCs w:val="21"/>
                <w:highlight w:val="none"/>
                <w14:textOutline w14:w="3795" w14:cap="sq" w14:cmpd="sng">
                  <w14:solidFill>
                    <w14:srgbClr w14:val="000000"/>
                  </w14:solidFill>
                  <w14:prstDash w14:val="solid"/>
                  <w14:bevel/>
                </w14:textOutline>
              </w:rPr>
              <w:t>土石方平衡表单位</w:t>
            </w:r>
            <w:r>
              <w:rPr>
                <w:rFonts w:hint="default" w:ascii="Times New Roman" w:hAnsi="Times New Roman" w:eastAsia="宋体" w:cs="Times New Roman"/>
                <w:b/>
                <w:bCs/>
                <w:color w:val="0000FF"/>
                <w:spacing w:val="0"/>
                <w:position w:val="0"/>
                <w:sz w:val="21"/>
                <w:szCs w:val="21"/>
                <w:highlight w:val="none"/>
                <w:lang w:val="en-US" w:eastAsia="zh-CN"/>
              </w:rPr>
              <w:t xml:space="preserve">    </w:t>
            </w:r>
            <w:r>
              <w:rPr>
                <w:rFonts w:hint="default" w:ascii="Times New Roman" w:hAnsi="Times New Roman" w:eastAsia="宋体" w:cs="Times New Roman"/>
                <w:color w:val="0000FF"/>
                <w:spacing w:val="0"/>
                <w:position w:val="0"/>
                <w:sz w:val="21"/>
                <w:szCs w:val="21"/>
                <w:highlight w:val="none"/>
                <w14:textOutline w14:w="3795" w14:cap="sq" w14:cmpd="sng">
                  <w14:solidFill>
                    <w14:srgbClr w14:val="000000"/>
                  </w14:solidFill>
                  <w14:prstDash w14:val="solid"/>
                  <w14:bevel/>
                </w14:textOutline>
              </w:rPr>
              <w:t>万</w:t>
            </w:r>
            <w:r>
              <w:rPr>
                <w:rFonts w:hint="default" w:ascii="Times New Roman" w:hAnsi="Times New Roman" w:eastAsia="宋体" w:cs="Times New Roman"/>
                <w:b/>
                <w:bCs/>
                <w:color w:val="0000FF"/>
                <w:spacing w:val="0"/>
                <w:position w:val="0"/>
                <w:sz w:val="21"/>
                <w:szCs w:val="21"/>
                <w:highlight w:val="none"/>
              </w:rPr>
              <w:t>m</w:t>
            </w:r>
            <w:r>
              <w:rPr>
                <w:rFonts w:hint="default" w:ascii="Times New Roman" w:hAnsi="Times New Roman" w:eastAsia="宋体" w:cs="Times New Roman"/>
                <w:b/>
                <w:bCs/>
                <w:color w:val="0000FF"/>
                <w:spacing w:val="0"/>
                <w:position w:val="0"/>
                <w:sz w:val="21"/>
                <w:szCs w:val="21"/>
                <w:highlight w:val="none"/>
                <w:vertAlign w:val="superscript"/>
              </w:rPr>
              <w:t>3</w:t>
            </w:r>
          </w:p>
          <w:tbl>
            <w:tblPr>
              <w:tblStyle w:val="91"/>
              <w:tblW w:w="4981"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71"/>
              <w:gridCol w:w="762"/>
              <w:gridCol w:w="1073"/>
              <w:gridCol w:w="923"/>
              <w:gridCol w:w="4113"/>
            </w:tblGrid>
            <w:tr w14:paraId="1519CBE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04" w:type="pct"/>
                  <w:tcBorders>
                    <w:bottom w:val="single" w:color="000000" w:sz="12" w:space="0"/>
                  </w:tcBorders>
                  <w:vAlign w:val="center"/>
                </w:tcPr>
                <w:p w14:paraId="2C5BA410">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0000FF"/>
                      <w:spacing w:val="0"/>
                      <w:position w:val="0"/>
                      <w:sz w:val="21"/>
                      <w:szCs w:val="21"/>
                      <w:highlight w:val="none"/>
                      <w:lang w:val="en-US" w:eastAsia="zh-CN"/>
                    </w:rPr>
                  </w:pPr>
                  <w:r>
                    <w:rPr>
                      <w:rFonts w:hint="default" w:ascii="Times New Roman" w:hAnsi="Times New Roman" w:eastAsia="宋体" w:cs="Times New Roman"/>
                      <w:b/>
                      <w:bCs/>
                      <w:color w:val="0000FF"/>
                      <w:spacing w:val="0"/>
                      <w:position w:val="0"/>
                      <w:sz w:val="21"/>
                      <w:szCs w:val="21"/>
                      <w:highlight w:val="none"/>
                      <w:lang w:val="en-US" w:eastAsia="zh-CN"/>
                    </w:rPr>
                    <w:t>项目</w:t>
                  </w:r>
                </w:p>
              </w:tc>
              <w:tc>
                <w:tcPr>
                  <w:tcW w:w="498" w:type="pct"/>
                  <w:tcBorders>
                    <w:bottom w:val="single" w:color="000000" w:sz="12" w:space="0"/>
                  </w:tcBorders>
                  <w:vAlign w:val="center"/>
                </w:tcPr>
                <w:p w14:paraId="70118AB7">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0000FF"/>
                      <w:spacing w:val="0"/>
                      <w:position w:val="0"/>
                      <w:sz w:val="21"/>
                      <w:szCs w:val="21"/>
                      <w:highlight w:val="none"/>
                      <w:lang w:val="en-US" w:eastAsia="zh-CN"/>
                    </w:rPr>
                  </w:pPr>
                  <w:r>
                    <w:rPr>
                      <w:rFonts w:hint="default" w:ascii="Times New Roman" w:hAnsi="Times New Roman" w:eastAsia="宋体" w:cs="Times New Roman"/>
                      <w:b/>
                      <w:bCs/>
                      <w:color w:val="0000FF"/>
                      <w:spacing w:val="0"/>
                      <w:position w:val="0"/>
                      <w:sz w:val="21"/>
                      <w:szCs w:val="21"/>
                      <w:highlight w:val="none"/>
                      <w:lang w:val="en-US" w:eastAsia="zh-CN"/>
                    </w:rPr>
                    <w:t>挖方</w:t>
                  </w:r>
                </w:p>
              </w:tc>
              <w:tc>
                <w:tcPr>
                  <w:tcW w:w="702" w:type="pct"/>
                  <w:tcBorders>
                    <w:bottom w:val="single" w:color="000000" w:sz="12" w:space="0"/>
                  </w:tcBorders>
                  <w:vAlign w:val="center"/>
                </w:tcPr>
                <w:p w14:paraId="56727F21">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0000FF"/>
                      <w:spacing w:val="0"/>
                      <w:position w:val="0"/>
                      <w:sz w:val="21"/>
                      <w:szCs w:val="21"/>
                      <w:highlight w:val="none"/>
                      <w:lang w:val="en-US" w:eastAsia="zh-CN"/>
                    </w:rPr>
                  </w:pPr>
                  <w:r>
                    <w:rPr>
                      <w:rFonts w:hint="default" w:ascii="Times New Roman" w:hAnsi="Times New Roman" w:eastAsia="宋体" w:cs="Times New Roman"/>
                      <w:b/>
                      <w:bCs/>
                      <w:color w:val="0000FF"/>
                      <w:spacing w:val="0"/>
                      <w:position w:val="0"/>
                      <w:sz w:val="21"/>
                      <w:szCs w:val="21"/>
                      <w:highlight w:val="none"/>
                      <w:lang w:val="en-US" w:eastAsia="zh-CN"/>
                    </w:rPr>
                    <w:t>利用填方</w:t>
                  </w:r>
                </w:p>
              </w:tc>
              <w:tc>
                <w:tcPr>
                  <w:tcW w:w="603" w:type="pct"/>
                  <w:tcBorders>
                    <w:bottom w:val="single" w:color="000000" w:sz="12" w:space="0"/>
                  </w:tcBorders>
                  <w:vAlign w:val="center"/>
                </w:tcPr>
                <w:p w14:paraId="7A4B07C8">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0000FF"/>
                      <w:spacing w:val="0"/>
                      <w:position w:val="0"/>
                      <w:sz w:val="21"/>
                      <w:szCs w:val="21"/>
                      <w:highlight w:val="none"/>
                      <w:lang w:val="en-US" w:eastAsia="zh-CN"/>
                    </w:rPr>
                  </w:pPr>
                  <w:r>
                    <w:rPr>
                      <w:rFonts w:hint="default" w:ascii="Times New Roman" w:hAnsi="Times New Roman" w:eastAsia="宋体" w:cs="Times New Roman"/>
                      <w:b/>
                      <w:bCs/>
                      <w:color w:val="0000FF"/>
                      <w:spacing w:val="0"/>
                      <w:position w:val="0"/>
                      <w:sz w:val="21"/>
                      <w:szCs w:val="21"/>
                      <w:highlight w:val="none"/>
                      <w:lang w:val="en-US" w:eastAsia="zh-CN"/>
                    </w:rPr>
                    <w:t>弃料方</w:t>
                  </w:r>
                </w:p>
              </w:tc>
              <w:tc>
                <w:tcPr>
                  <w:tcW w:w="2691" w:type="pct"/>
                  <w:tcBorders>
                    <w:bottom w:val="single" w:color="000000" w:sz="12" w:space="0"/>
                  </w:tcBorders>
                  <w:vAlign w:val="center"/>
                </w:tcPr>
                <w:p w14:paraId="55DCB24C">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0000FF"/>
                      <w:spacing w:val="0"/>
                      <w:position w:val="0"/>
                      <w:sz w:val="21"/>
                      <w:szCs w:val="21"/>
                      <w:highlight w:val="none"/>
                    </w:rPr>
                  </w:pPr>
                  <w:r>
                    <w:rPr>
                      <w:rFonts w:hint="default" w:ascii="Times New Roman" w:hAnsi="Times New Roman" w:eastAsia="宋体" w:cs="Times New Roman"/>
                      <w:b/>
                      <w:bCs/>
                      <w:color w:val="0000FF"/>
                      <w:spacing w:val="0"/>
                      <w:position w:val="0"/>
                      <w:sz w:val="21"/>
                      <w:szCs w:val="21"/>
                      <w:highlight w:val="none"/>
                    </w:rPr>
                    <w:t>备注</w:t>
                  </w:r>
                </w:p>
              </w:tc>
            </w:tr>
            <w:tr w14:paraId="230087D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04" w:type="pct"/>
                  <w:tcBorders>
                    <w:top w:val="single" w:color="000000" w:sz="12" w:space="0"/>
                    <w:tl2br w:val="nil"/>
                    <w:tr2bl w:val="nil"/>
                  </w:tcBorders>
                  <w:vAlign w:val="center"/>
                </w:tcPr>
                <w:p w14:paraId="355BC72A">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FF"/>
                      <w:spacing w:val="0"/>
                      <w:position w:val="0"/>
                      <w:sz w:val="21"/>
                      <w:szCs w:val="21"/>
                      <w:highlight w:val="none"/>
                      <w:lang w:val="en-US" w:eastAsia="zh-CN"/>
                    </w:rPr>
                  </w:pPr>
                  <w:r>
                    <w:rPr>
                      <w:rFonts w:hint="default" w:ascii="Times New Roman" w:hAnsi="Times New Roman" w:eastAsia="宋体" w:cs="Times New Roman"/>
                      <w:color w:val="0000FF"/>
                      <w:spacing w:val="0"/>
                      <w:position w:val="0"/>
                      <w:sz w:val="21"/>
                      <w:szCs w:val="21"/>
                      <w:highlight w:val="none"/>
                      <w:lang w:val="en-US" w:eastAsia="zh-CN"/>
                    </w:rPr>
                    <w:t>治理河道</w:t>
                  </w:r>
                </w:p>
              </w:tc>
              <w:tc>
                <w:tcPr>
                  <w:tcW w:w="498" w:type="pct"/>
                  <w:tcBorders>
                    <w:top w:val="single" w:color="000000" w:sz="12" w:space="0"/>
                    <w:tl2br w:val="nil"/>
                    <w:tr2bl w:val="nil"/>
                  </w:tcBorders>
                  <w:vAlign w:val="center"/>
                </w:tcPr>
                <w:p w14:paraId="32A944F3">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FF"/>
                      <w:spacing w:val="0"/>
                      <w:position w:val="0"/>
                      <w:sz w:val="21"/>
                      <w:szCs w:val="21"/>
                      <w:highlight w:val="none"/>
                      <w:lang w:val="en-US" w:eastAsia="zh-CN"/>
                    </w:rPr>
                  </w:pPr>
                  <w:r>
                    <w:rPr>
                      <w:rFonts w:hint="default" w:ascii="Times New Roman" w:hAnsi="Times New Roman" w:cs="Times New Roman"/>
                      <w:color w:val="0000FF"/>
                      <w:spacing w:val="0"/>
                      <w:position w:val="0"/>
                      <w:sz w:val="21"/>
                      <w:szCs w:val="21"/>
                      <w:highlight w:val="none"/>
                      <w:lang w:val="en-US" w:eastAsia="zh-CN"/>
                    </w:rPr>
                    <w:t>51.2</w:t>
                  </w:r>
                </w:p>
              </w:tc>
              <w:tc>
                <w:tcPr>
                  <w:tcW w:w="702" w:type="pct"/>
                  <w:tcBorders>
                    <w:top w:val="single" w:color="000000" w:sz="12" w:space="0"/>
                    <w:tl2br w:val="nil"/>
                    <w:tr2bl w:val="nil"/>
                  </w:tcBorders>
                  <w:vAlign w:val="center"/>
                </w:tcPr>
                <w:p w14:paraId="134F7086">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FF"/>
                      <w:spacing w:val="0"/>
                      <w:position w:val="0"/>
                      <w:sz w:val="21"/>
                      <w:szCs w:val="21"/>
                      <w:highlight w:val="none"/>
                      <w:lang w:val="en-US" w:eastAsia="zh-CN"/>
                    </w:rPr>
                  </w:pPr>
                  <w:r>
                    <w:rPr>
                      <w:rFonts w:hint="default" w:ascii="Times New Roman" w:hAnsi="Times New Roman" w:cs="Times New Roman"/>
                      <w:color w:val="0000FF"/>
                      <w:spacing w:val="0"/>
                      <w:position w:val="0"/>
                      <w:sz w:val="21"/>
                      <w:szCs w:val="21"/>
                      <w:highlight w:val="none"/>
                      <w:lang w:val="en-US" w:eastAsia="zh-CN"/>
                    </w:rPr>
                    <w:t>18.7</w:t>
                  </w:r>
                </w:p>
              </w:tc>
              <w:tc>
                <w:tcPr>
                  <w:tcW w:w="603" w:type="pct"/>
                  <w:tcBorders>
                    <w:top w:val="single" w:color="000000" w:sz="12" w:space="0"/>
                    <w:tl2br w:val="nil"/>
                    <w:tr2bl w:val="nil"/>
                  </w:tcBorders>
                  <w:vAlign w:val="center"/>
                </w:tcPr>
                <w:p w14:paraId="1EFF5606">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FF"/>
                      <w:spacing w:val="0"/>
                      <w:position w:val="0"/>
                      <w:sz w:val="21"/>
                      <w:szCs w:val="21"/>
                      <w:highlight w:val="none"/>
                      <w:lang w:val="en-US" w:eastAsia="zh-CN"/>
                    </w:rPr>
                  </w:pPr>
                  <w:r>
                    <w:rPr>
                      <w:rFonts w:hint="default" w:ascii="Times New Roman" w:hAnsi="Times New Roman" w:cs="Times New Roman"/>
                      <w:color w:val="0000FF"/>
                      <w:spacing w:val="0"/>
                      <w:position w:val="0"/>
                      <w:sz w:val="21"/>
                      <w:szCs w:val="21"/>
                      <w:highlight w:val="none"/>
                      <w:lang w:val="en-US" w:eastAsia="zh-CN"/>
                    </w:rPr>
                    <w:t>32.5</w:t>
                  </w:r>
                </w:p>
              </w:tc>
              <w:tc>
                <w:tcPr>
                  <w:tcW w:w="2691" w:type="pct"/>
                  <w:vMerge w:val="restart"/>
                  <w:tcBorders>
                    <w:top w:val="single" w:color="000000" w:sz="12" w:space="0"/>
                    <w:tl2br w:val="nil"/>
                    <w:tr2bl w:val="nil"/>
                  </w:tcBorders>
                  <w:vAlign w:val="center"/>
                </w:tcPr>
                <w:p w14:paraId="1606C838">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FF"/>
                      <w:spacing w:val="0"/>
                      <w:position w:val="0"/>
                      <w:sz w:val="21"/>
                      <w:szCs w:val="21"/>
                      <w:highlight w:val="none"/>
                    </w:rPr>
                  </w:pPr>
                  <w:r>
                    <w:rPr>
                      <w:rFonts w:hint="default" w:ascii="Times New Roman" w:hAnsi="Times New Roman" w:eastAsia="宋体" w:cs="Times New Roman"/>
                      <w:color w:val="0000FF"/>
                      <w:spacing w:val="0"/>
                      <w:kern w:val="0"/>
                      <w:position w:val="0"/>
                      <w:sz w:val="21"/>
                      <w:szCs w:val="21"/>
                      <w:highlight w:val="none"/>
                      <w:lang w:val="en-US" w:eastAsia="zh-CN" w:bidi="ar"/>
                    </w:rPr>
                    <w:t>处弃渣场全部位于堤防后裁弯取直区域，位于堤防的背水侧，迎水面为本次工程新建的堤防，弃渣用于填埋库尔阿根河道内，填埋后仍有余量的土方在工程结束后将多余土方用于坝后填土来加宽堤顶，以稳固堤身</w:t>
                  </w:r>
                </w:p>
              </w:tc>
            </w:tr>
            <w:tr w14:paraId="3F4AC8D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04" w:type="pct"/>
                  <w:tcBorders>
                    <w:tl2br w:val="nil"/>
                    <w:tr2bl w:val="nil"/>
                  </w:tcBorders>
                  <w:vAlign w:val="center"/>
                </w:tcPr>
                <w:p w14:paraId="17B8EE39">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FF"/>
                      <w:spacing w:val="0"/>
                      <w:position w:val="0"/>
                      <w:sz w:val="21"/>
                      <w:szCs w:val="21"/>
                      <w:highlight w:val="none"/>
                      <w:lang w:val="en-US" w:eastAsia="zh-CN"/>
                    </w:rPr>
                  </w:pPr>
                  <w:r>
                    <w:rPr>
                      <w:rFonts w:hint="default" w:ascii="Times New Roman" w:hAnsi="Times New Roman" w:eastAsia="宋体" w:cs="Times New Roman"/>
                      <w:color w:val="0000FF"/>
                      <w:spacing w:val="0"/>
                      <w:position w:val="0"/>
                      <w:sz w:val="21"/>
                      <w:szCs w:val="21"/>
                      <w:highlight w:val="none"/>
                      <w:lang w:val="en-US" w:eastAsia="zh-CN"/>
                    </w:rPr>
                    <w:t>合计</w:t>
                  </w:r>
                </w:p>
              </w:tc>
              <w:tc>
                <w:tcPr>
                  <w:tcW w:w="498" w:type="pct"/>
                  <w:tcBorders>
                    <w:tl2br w:val="nil"/>
                    <w:tr2bl w:val="nil"/>
                  </w:tcBorders>
                  <w:vAlign w:val="center"/>
                </w:tcPr>
                <w:p w14:paraId="55DF3AE8">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FF"/>
                      <w:spacing w:val="0"/>
                      <w:position w:val="0"/>
                      <w:sz w:val="21"/>
                      <w:szCs w:val="21"/>
                      <w:highlight w:val="none"/>
                      <w:lang w:val="en-US" w:eastAsia="zh-CN"/>
                    </w:rPr>
                  </w:pPr>
                  <w:r>
                    <w:rPr>
                      <w:rFonts w:hint="default" w:ascii="Times New Roman" w:hAnsi="Times New Roman" w:cs="Times New Roman"/>
                      <w:color w:val="0000FF"/>
                      <w:spacing w:val="0"/>
                      <w:position w:val="0"/>
                      <w:sz w:val="21"/>
                      <w:szCs w:val="21"/>
                      <w:highlight w:val="none"/>
                      <w:lang w:val="en-US" w:eastAsia="zh-CN"/>
                    </w:rPr>
                    <w:t>51.2</w:t>
                  </w:r>
                </w:p>
              </w:tc>
              <w:tc>
                <w:tcPr>
                  <w:tcW w:w="702" w:type="pct"/>
                  <w:tcBorders>
                    <w:tl2br w:val="nil"/>
                    <w:tr2bl w:val="nil"/>
                  </w:tcBorders>
                  <w:vAlign w:val="center"/>
                </w:tcPr>
                <w:p w14:paraId="5023817A">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FF"/>
                      <w:spacing w:val="0"/>
                      <w:position w:val="0"/>
                      <w:sz w:val="21"/>
                      <w:szCs w:val="21"/>
                      <w:highlight w:val="none"/>
                      <w:lang w:val="en-US" w:eastAsia="zh-CN"/>
                    </w:rPr>
                  </w:pPr>
                  <w:r>
                    <w:rPr>
                      <w:rFonts w:hint="default" w:ascii="Times New Roman" w:hAnsi="Times New Roman" w:cs="Times New Roman"/>
                      <w:color w:val="0000FF"/>
                      <w:spacing w:val="0"/>
                      <w:position w:val="0"/>
                      <w:sz w:val="21"/>
                      <w:szCs w:val="21"/>
                      <w:highlight w:val="none"/>
                      <w:lang w:val="en-US" w:eastAsia="zh-CN"/>
                    </w:rPr>
                    <w:t>18.7</w:t>
                  </w:r>
                </w:p>
              </w:tc>
              <w:tc>
                <w:tcPr>
                  <w:tcW w:w="603" w:type="pct"/>
                  <w:tcBorders>
                    <w:tl2br w:val="nil"/>
                    <w:tr2bl w:val="nil"/>
                  </w:tcBorders>
                  <w:vAlign w:val="center"/>
                </w:tcPr>
                <w:p w14:paraId="6400C325">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FF"/>
                      <w:spacing w:val="0"/>
                      <w:position w:val="0"/>
                      <w:sz w:val="21"/>
                      <w:szCs w:val="21"/>
                      <w:highlight w:val="none"/>
                      <w:lang w:val="en-US" w:eastAsia="zh-CN"/>
                    </w:rPr>
                  </w:pPr>
                  <w:r>
                    <w:rPr>
                      <w:rFonts w:hint="default" w:ascii="Times New Roman" w:hAnsi="Times New Roman" w:cs="Times New Roman"/>
                      <w:color w:val="0000FF"/>
                      <w:spacing w:val="0"/>
                      <w:position w:val="0"/>
                      <w:sz w:val="21"/>
                      <w:szCs w:val="21"/>
                      <w:highlight w:val="none"/>
                      <w:lang w:val="en-US" w:eastAsia="zh-CN"/>
                    </w:rPr>
                    <w:t>32.5</w:t>
                  </w:r>
                </w:p>
              </w:tc>
              <w:tc>
                <w:tcPr>
                  <w:tcW w:w="2691" w:type="pct"/>
                  <w:vMerge w:val="continue"/>
                  <w:tcBorders>
                    <w:tl2br w:val="nil"/>
                    <w:tr2bl w:val="nil"/>
                  </w:tcBorders>
                  <w:vAlign w:val="center"/>
                </w:tcPr>
                <w:p w14:paraId="395FE121">
                  <w:pPr>
                    <w:keepNext w:val="0"/>
                    <w:keepLines w:val="0"/>
                    <w:pageBreakBefore w:val="0"/>
                    <w:widowControl w:val="0"/>
                    <w:shd w:val="clear"/>
                    <w:kinsoku/>
                    <w:wordWrap/>
                    <w:overflowPunct/>
                    <w:topLinePunct w:val="0"/>
                    <w:autoSpaceDE/>
                    <w:autoSpaceDN/>
                    <w:bidi w:val="0"/>
                    <w:spacing w:line="240" w:lineRule="auto"/>
                    <w:ind w:left="0" w:right="0"/>
                    <w:jc w:val="center"/>
                    <w:textAlignment w:val="auto"/>
                    <w:rPr>
                      <w:rFonts w:hint="default" w:ascii="Times New Roman" w:hAnsi="Times New Roman" w:eastAsia="宋体" w:cs="Times New Roman"/>
                      <w:color w:val="0000FF"/>
                      <w:spacing w:val="0"/>
                      <w:position w:val="0"/>
                      <w:sz w:val="21"/>
                      <w:szCs w:val="21"/>
                      <w:highlight w:val="none"/>
                    </w:rPr>
                  </w:pPr>
                </w:p>
              </w:tc>
            </w:tr>
          </w:tbl>
          <w:p w14:paraId="2B9E8B00">
            <w:pPr>
              <w:keepNext w:val="0"/>
              <w:keepLines w:val="0"/>
              <w:pageBreakBefore w:val="0"/>
              <w:widowControl w:val="0"/>
              <w:shd w:val="clear"/>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0000FF"/>
                <w:spacing w:val="0"/>
                <w:sz w:val="24"/>
                <w:szCs w:val="24"/>
                <w:highlight w:val="none"/>
              </w:rPr>
            </w:pPr>
            <w:r>
              <w:rPr>
                <w:rFonts w:hint="default" w:ascii="Times New Roman" w:hAnsi="Times New Roman" w:eastAsia="宋体" w:cs="Times New Roman"/>
                <w:color w:val="0000FF"/>
                <w:spacing w:val="0"/>
                <w:position w:val="0"/>
                <w:sz w:val="24"/>
                <w:szCs w:val="24"/>
                <w:highlight w:val="none"/>
                <w:lang w:val="en-US" w:eastAsia="zh-CN"/>
              </w:rPr>
              <w:t>①将可用于</w:t>
            </w:r>
            <w:r>
              <w:rPr>
                <w:rFonts w:hint="default" w:ascii="Times New Roman" w:hAnsi="Times New Roman" w:eastAsia="宋体" w:cs="Times New Roman"/>
                <w:color w:val="0000FF"/>
                <w:spacing w:val="0"/>
                <w:sz w:val="24"/>
                <w:szCs w:val="24"/>
                <w:highlight w:val="none"/>
              </w:rPr>
              <w:t>回填的临时弃土弃渣堆放区进行定期洒水，防止风吹扬尘，使用防尘网覆盖，待施工结果后，</w:t>
            </w:r>
            <w:r>
              <w:rPr>
                <w:rFonts w:hint="default" w:ascii="Times New Roman" w:hAnsi="Times New Roman" w:eastAsia="宋体" w:cs="Times New Roman"/>
                <w:color w:val="0000FF"/>
                <w:spacing w:val="0"/>
                <w:sz w:val="24"/>
                <w:szCs w:val="24"/>
                <w:highlight w:val="none"/>
                <w:lang w:val="en-US" w:eastAsia="zh-CN"/>
              </w:rPr>
              <w:t>弃土</w:t>
            </w:r>
            <w:r>
              <w:rPr>
                <w:rFonts w:hint="default" w:ascii="Times New Roman" w:hAnsi="Times New Roman" w:eastAsia="宋体" w:cs="Times New Roman"/>
                <w:color w:val="0000FF"/>
                <w:spacing w:val="0"/>
                <w:position w:val="0"/>
                <w:sz w:val="24"/>
                <w:szCs w:val="24"/>
                <w:highlight w:val="none"/>
              </w:rPr>
              <w:t>用于坝后填土来加宽堤顶，以稳固堤身；</w:t>
            </w:r>
            <w:r>
              <w:rPr>
                <w:rFonts w:hint="default" w:ascii="Times New Roman" w:hAnsi="Times New Roman" w:eastAsia="宋体" w:cs="Times New Roman"/>
                <w:color w:val="0000FF"/>
                <w:spacing w:val="0"/>
                <w:sz w:val="24"/>
                <w:szCs w:val="24"/>
                <w:highlight w:val="none"/>
              </w:rPr>
              <w:t>加强施工 期的管理，杜绝施工弃土、弃渣的随意丢弃。</w:t>
            </w:r>
          </w:p>
          <w:p w14:paraId="6C3B9A1A">
            <w:pPr>
              <w:keepNext w:val="0"/>
              <w:keepLines w:val="0"/>
              <w:pageBreakBefore w:val="0"/>
              <w:widowControl w:val="0"/>
              <w:shd w:val="clear"/>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0000FF"/>
                <w:spacing w:val="0"/>
                <w:sz w:val="24"/>
                <w:szCs w:val="24"/>
                <w:highlight w:val="none"/>
              </w:rPr>
            </w:pPr>
            <w:r>
              <w:rPr>
                <w:rFonts w:hint="default" w:ascii="Times New Roman" w:hAnsi="Times New Roman" w:eastAsia="宋体" w:cs="Times New Roman"/>
                <w:color w:val="0000FF"/>
                <w:spacing w:val="0"/>
                <w:sz w:val="24"/>
                <w:szCs w:val="24"/>
                <w:highlight w:val="none"/>
                <w:lang w:val="en-US" w:eastAsia="zh-CN"/>
              </w:rPr>
              <w:t>②</w:t>
            </w:r>
            <w:r>
              <w:rPr>
                <w:rFonts w:hint="default" w:ascii="Times New Roman" w:hAnsi="Times New Roman" w:eastAsia="宋体" w:cs="Times New Roman"/>
                <w:color w:val="0000FF"/>
                <w:spacing w:val="0"/>
                <w:sz w:val="24"/>
                <w:szCs w:val="24"/>
                <w:highlight w:val="none"/>
              </w:rPr>
              <w:t>废弃方的布置</w:t>
            </w:r>
            <w:r>
              <w:rPr>
                <w:rFonts w:hint="default" w:ascii="Times New Roman" w:hAnsi="Times New Roman" w:eastAsia="宋体" w:cs="Times New Roman"/>
                <w:color w:val="0000FF"/>
                <w:spacing w:val="0"/>
                <w:sz w:val="24"/>
                <w:szCs w:val="24"/>
                <w:highlight w:val="none"/>
                <w:lang w:val="en-US" w:eastAsia="zh-CN"/>
              </w:rPr>
              <w:t>不</w:t>
            </w:r>
            <w:r>
              <w:rPr>
                <w:rFonts w:hint="default" w:ascii="Times New Roman" w:hAnsi="Times New Roman" w:eastAsia="宋体" w:cs="Times New Roman"/>
                <w:color w:val="0000FF"/>
                <w:spacing w:val="0"/>
                <w:sz w:val="24"/>
                <w:szCs w:val="24"/>
                <w:highlight w:val="none"/>
              </w:rPr>
              <w:t>设置在对公共设施、基础设施、居民企业点等有重大影响的区域；</w:t>
            </w:r>
          </w:p>
          <w:p w14:paraId="6371E467">
            <w:pPr>
              <w:keepNext w:val="0"/>
              <w:keepLines w:val="0"/>
              <w:pageBreakBefore w:val="0"/>
              <w:widowControl w:val="0"/>
              <w:shd w:val="clear"/>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0000FF"/>
                <w:spacing w:val="0"/>
                <w:sz w:val="24"/>
                <w:szCs w:val="24"/>
                <w:highlight w:val="none"/>
                <w:lang w:val="en-US" w:eastAsia="zh-CN"/>
              </w:rPr>
            </w:pPr>
            <w:r>
              <w:rPr>
                <w:rFonts w:hint="default" w:ascii="Times New Roman" w:hAnsi="Times New Roman" w:eastAsia="宋体" w:cs="Times New Roman"/>
                <w:color w:val="0000FF"/>
                <w:spacing w:val="0"/>
                <w:sz w:val="24"/>
                <w:szCs w:val="24"/>
                <w:highlight w:val="none"/>
                <w:lang w:val="en-US" w:eastAsia="zh-CN"/>
              </w:rPr>
              <w:t>在采取以上措施后，能够确保弃土渣在施工期内对周边的不利影响降至最低。</w:t>
            </w:r>
          </w:p>
          <w:p w14:paraId="64C6596D">
            <w:pPr>
              <w:keepNext w:val="0"/>
              <w:keepLines w:val="0"/>
              <w:pageBreakBefore w:val="0"/>
              <w:widowControl w:val="0"/>
              <w:shd w:val="clear"/>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FF0000"/>
                <w:spacing w:val="0"/>
                <w:sz w:val="24"/>
                <w:szCs w:val="24"/>
                <w:highlight w:val="none"/>
              </w:rPr>
            </w:pPr>
            <w:r>
              <w:rPr>
                <w:rFonts w:hint="default" w:ascii="Times New Roman" w:hAnsi="Times New Roman" w:eastAsia="宋体" w:cs="Times New Roman"/>
                <w:color w:val="FF0000"/>
                <w:spacing w:val="0"/>
                <w:sz w:val="24"/>
                <w:szCs w:val="24"/>
                <w:highlight w:val="none"/>
                <w:lang w:eastAsia="zh-CN"/>
              </w:rPr>
              <w:t>（</w:t>
            </w:r>
            <w:r>
              <w:rPr>
                <w:rFonts w:hint="default" w:ascii="Times New Roman" w:hAnsi="Times New Roman" w:eastAsia="宋体" w:cs="Times New Roman"/>
                <w:color w:val="FF0000"/>
                <w:spacing w:val="0"/>
                <w:sz w:val="24"/>
                <w:szCs w:val="24"/>
                <w:highlight w:val="none"/>
                <w:lang w:val="en-US" w:eastAsia="zh-CN"/>
              </w:rPr>
              <w:t>2</w:t>
            </w:r>
            <w:r>
              <w:rPr>
                <w:rFonts w:hint="default" w:ascii="Times New Roman" w:hAnsi="Times New Roman" w:eastAsia="宋体" w:cs="Times New Roman"/>
                <w:color w:val="FF0000"/>
                <w:spacing w:val="0"/>
                <w:sz w:val="24"/>
                <w:szCs w:val="24"/>
                <w:highlight w:val="none"/>
                <w:lang w:eastAsia="zh-CN"/>
              </w:rPr>
              <w:t>）</w:t>
            </w:r>
            <w:r>
              <w:rPr>
                <w:rFonts w:hint="default" w:ascii="Times New Roman" w:hAnsi="Times New Roman" w:eastAsia="宋体" w:cs="Times New Roman"/>
                <w:color w:val="FF0000"/>
                <w:spacing w:val="0"/>
                <w:sz w:val="24"/>
                <w:szCs w:val="24"/>
                <w:highlight w:val="none"/>
              </w:rPr>
              <w:t>建筑垃圾</w:t>
            </w:r>
          </w:p>
          <w:p w14:paraId="0F8F17DE">
            <w:pPr>
              <w:keepNext w:val="0"/>
              <w:keepLines w:val="0"/>
              <w:pageBreakBefore w:val="0"/>
              <w:widowControl w:val="0"/>
              <w:shd w:val="clear"/>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FF0000"/>
                <w:spacing w:val="0"/>
                <w:position w:val="0"/>
                <w:sz w:val="24"/>
                <w:szCs w:val="24"/>
                <w:highlight w:val="none"/>
              </w:rPr>
            </w:pPr>
            <w:r>
              <w:rPr>
                <w:rFonts w:hint="default" w:ascii="Times New Roman" w:hAnsi="Times New Roman" w:eastAsia="宋体" w:cs="Times New Roman"/>
                <w:color w:val="FF0000"/>
                <w:spacing w:val="0"/>
                <w:position w:val="0"/>
                <w:sz w:val="24"/>
                <w:szCs w:val="24"/>
                <w:highlight w:val="none"/>
              </w:rPr>
              <w:t>主要包括施工过程中的砂石使用、混凝土使用、构筑物拆除、加固、维修等施工作业产生的废砼、</w:t>
            </w:r>
            <w:r>
              <w:rPr>
                <w:rFonts w:hint="default" w:ascii="Times New Roman" w:hAnsi="Times New Roman" w:cs="Times New Roman"/>
                <w:color w:val="FF0000"/>
                <w:spacing w:val="0"/>
                <w:position w:val="0"/>
                <w:sz w:val="24"/>
                <w:szCs w:val="24"/>
                <w:highlight w:val="none"/>
                <w:lang w:val="en-US" w:eastAsia="zh-CN"/>
              </w:rPr>
              <w:t>废钢筋、</w:t>
            </w:r>
            <w:r>
              <w:rPr>
                <w:rFonts w:hint="default" w:ascii="Times New Roman" w:hAnsi="Times New Roman" w:eastAsia="宋体" w:cs="Times New Roman"/>
                <w:color w:val="FF0000"/>
                <w:spacing w:val="0"/>
                <w:position w:val="0"/>
                <w:sz w:val="24"/>
                <w:szCs w:val="24"/>
                <w:highlight w:val="none"/>
              </w:rPr>
              <w:t>废砂石等。对于建筑垃圾，尽量回用，没有利用价值的建筑垃圾由施工单位使用建筑垃圾运输车辆运</w:t>
            </w:r>
            <w:r>
              <w:rPr>
                <w:rFonts w:hint="default" w:ascii="Times New Roman" w:hAnsi="Times New Roman" w:eastAsia="宋体" w:cs="Times New Roman"/>
                <w:color w:val="FF0000"/>
                <w:spacing w:val="0"/>
                <w:position w:val="0"/>
                <w:sz w:val="24"/>
                <w:szCs w:val="24"/>
                <w:highlight w:val="none"/>
                <w:lang w:eastAsia="zh-CN"/>
              </w:rPr>
              <w:t>至</w:t>
            </w:r>
            <w:r>
              <w:rPr>
                <w:rFonts w:hint="default" w:ascii="Times New Roman" w:hAnsi="Times New Roman" w:cs="Times New Roman"/>
                <w:color w:val="FF0000"/>
                <w:spacing w:val="0"/>
                <w:position w:val="0"/>
                <w:sz w:val="24"/>
                <w:szCs w:val="24"/>
                <w:highlight w:val="none"/>
                <w:lang w:val="en-US" w:eastAsia="zh-CN"/>
              </w:rPr>
              <w:t>建筑垃圾回收单位进行</w:t>
            </w:r>
            <w:r>
              <w:rPr>
                <w:rFonts w:hint="default" w:ascii="Times New Roman" w:hAnsi="Times New Roman" w:eastAsia="宋体" w:cs="Times New Roman"/>
                <w:color w:val="FF0000"/>
                <w:spacing w:val="0"/>
                <w:position w:val="0"/>
                <w:sz w:val="24"/>
                <w:szCs w:val="24"/>
                <w:highlight w:val="none"/>
              </w:rPr>
              <w:t>处置，不会对环境产生明显影响。</w:t>
            </w:r>
          </w:p>
          <w:p w14:paraId="63AB8C1F">
            <w:pPr>
              <w:keepNext w:val="0"/>
              <w:keepLines w:val="0"/>
              <w:pageBreakBefore w:val="0"/>
              <w:widowControl w:val="0"/>
              <w:shd w:val="clear"/>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0000FF"/>
                <w:spacing w:val="0"/>
                <w:position w:val="0"/>
                <w:sz w:val="24"/>
                <w:szCs w:val="24"/>
                <w:highlight w:val="none"/>
              </w:rPr>
            </w:pPr>
            <w:r>
              <w:rPr>
                <w:rFonts w:hint="default" w:ascii="Times New Roman" w:hAnsi="Times New Roman" w:eastAsia="宋体" w:cs="Times New Roman"/>
                <w:color w:val="0000FF"/>
                <w:spacing w:val="0"/>
                <w:position w:val="0"/>
                <w:sz w:val="24"/>
                <w:szCs w:val="24"/>
                <w:highlight w:val="none"/>
                <w:lang w:eastAsia="zh-CN"/>
              </w:rPr>
              <w:t>（</w:t>
            </w:r>
            <w:r>
              <w:rPr>
                <w:rFonts w:hint="default" w:ascii="Times New Roman" w:hAnsi="Times New Roman" w:eastAsia="宋体" w:cs="Times New Roman"/>
                <w:color w:val="0000FF"/>
                <w:spacing w:val="0"/>
                <w:position w:val="0"/>
                <w:sz w:val="24"/>
                <w:szCs w:val="24"/>
                <w:highlight w:val="none"/>
                <w:lang w:val="en-US" w:eastAsia="zh-CN"/>
              </w:rPr>
              <w:t>3</w:t>
            </w:r>
            <w:r>
              <w:rPr>
                <w:rFonts w:hint="default" w:ascii="Times New Roman" w:hAnsi="Times New Roman" w:eastAsia="宋体" w:cs="Times New Roman"/>
                <w:color w:val="0000FF"/>
                <w:spacing w:val="0"/>
                <w:position w:val="0"/>
                <w:sz w:val="24"/>
                <w:szCs w:val="24"/>
                <w:highlight w:val="none"/>
                <w:lang w:eastAsia="zh-CN"/>
              </w:rPr>
              <w:t>）</w:t>
            </w:r>
            <w:r>
              <w:rPr>
                <w:rFonts w:hint="default" w:ascii="Times New Roman" w:hAnsi="Times New Roman" w:eastAsia="宋体" w:cs="Times New Roman"/>
                <w:color w:val="0000FF"/>
                <w:spacing w:val="0"/>
                <w:position w:val="0"/>
                <w:sz w:val="24"/>
                <w:szCs w:val="24"/>
                <w:highlight w:val="none"/>
              </w:rPr>
              <w:t>生活垃圾</w:t>
            </w:r>
          </w:p>
          <w:p w14:paraId="7072B6D9">
            <w:pPr>
              <w:pStyle w:val="61"/>
              <w:keepNext w:val="0"/>
              <w:keepLines w:val="0"/>
              <w:pageBreakBefore w:val="0"/>
              <w:shd w:val="clear"/>
              <w:kinsoku/>
              <w:overflowPunct/>
              <w:topLinePunct w:val="0"/>
              <w:bidi w:val="0"/>
              <w:spacing w:beforeAutospacing="0" w:afterAutospacing="0" w:line="360" w:lineRule="auto"/>
              <w:ind w:left="0" w:leftChars="0" w:right="0" w:firstLine="0" w:firstLineChars="0"/>
              <w:rPr>
                <w:rFonts w:hint="eastAsia" w:ascii="Times New Roman" w:hAnsi="Times New Roman" w:cs="Times New Roman"/>
                <w:color w:val="0000FF"/>
                <w:spacing w:val="0"/>
                <w:position w:val="0"/>
                <w:sz w:val="24"/>
                <w:szCs w:val="24"/>
                <w:highlight w:val="none"/>
                <w:lang w:val="en-US" w:eastAsia="zh-CN"/>
              </w:rPr>
            </w:pPr>
            <w:r>
              <w:rPr>
                <w:rFonts w:hint="default" w:ascii="Times New Roman" w:hAnsi="Times New Roman" w:eastAsia="宋体" w:cs="Times New Roman"/>
                <w:color w:val="0000FF"/>
                <w:spacing w:val="0"/>
                <w:position w:val="0"/>
                <w:sz w:val="24"/>
                <w:szCs w:val="24"/>
                <w:highlight w:val="none"/>
                <w:lang w:val="en-US" w:eastAsia="zh-CN"/>
              </w:rPr>
              <w:t>本项目施工期约120天，施工人数约50人，按每人每天产生生活垃圾0.2kg计算，则本项目施工期生活垃圾最大产生量约1.2t</w:t>
            </w:r>
            <w:r>
              <w:rPr>
                <w:rFonts w:hint="default" w:ascii="Times New Roman" w:hAnsi="Times New Roman" w:eastAsia="宋体" w:cs="Times New Roman"/>
                <w:color w:val="0000FF"/>
                <w:spacing w:val="0"/>
                <w:position w:val="0"/>
                <w:sz w:val="24"/>
                <w:szCs w:val="24"/>
                <w:highlight w:val="none"/>
              </w:rPr>
              <w:t>。施工营</w:t>
            </w:r>
            <w:r>
              <w:rPr>
                <w:rFonts w:hint="default" w:ascii="Times New Roman" w:hAnsi="Times New Roman" w:eastAsia="宋体" w:cs="Times New Roman"/>
                <w:color w:val="0000FF"/>
                <w:spacing w:val="0"/>
                <w:position w:val="0"/>
                <w:sz w:val="24"/>
                <w:szCs w:val="24"/>
                <w:highlight w:val="none"/>
                <w:lang w:val="en-US" w:eastAsia="zh-CN"/>
              </w:rPr>
              <w:t>地设置垃圾收集箱集中收集，定期由施工单位将生活垃圾集中收集后送至昌吉市生活垃圾填埋场</w:t>
            </w:r>
            <w:r>
              <w:rPr>
                <w:rFonts w:hint="default" w:ascii="Times New Roman" w:hAnsi="Times New Roman" w:cs="Times New Roman"/>
                <w:color w:val="0000FF"/>
                <w:spacing w:val="0"/>
                <w:position w:val="0"/>
                <w:sz w:val="24"/>
                <w:szCs w:val="24"/>
                <w:highlight w:val="none"/>
                <w:lang w:val="en-US" w:eastAsia="zh-CN"/>
              </w:rPr>
              <w:t>，</w:t>
            </w:r>
            <w:r>
              <w:rPr>
                <w:rFonts w:hint="default" w:ascii="Times New Roman" w:hAnsi="Times New Roman" w:eastAsia="宋体" w:cs="Times New Roman"/>
                <w:color w:val="0000FF"/>
                <w:spacing w:val="0"/>
                <w:position w:val="0"/>
                <w:sz w:val="24"/>
                <w:szCs w:val="24"/>
                <w:highlight w:val="none"/>
                <w:lang w:val="en-US" w:eastAsia="zh-CN"/>
              </w:rPr>
              <w:t>昌吉市生活垃圾填埋场</w:t>
            </w:r>
            <w:r>
              <w:rPr>
                <w:rFonts w:hint="default" w:ascii="Times New Roman" w:hAnsi="Times New Roman" w:cs="Times New Roman"/>
                <w:color w:val="0000FF"/>
                <w:spacing w:val="0"/>
                <w:position w:val="0"/>
                <w:sz w:val="24"/>
                <w:szCs w:val="24"/>
                <w:highlight w:val="none"/>
                <w:lang w:val="en-US" w:eastAsia="zh-CN"/>
              </w:rPr>
              <w:t>位于</w:t>
            </w:r>
            <w:r>
              <w:rPr>
                <w:rFonts w:hint="default" w:ascii="Times New Roman" w:hAnsi="Times New Roman" w:eastAsia="宋体" w:cs="Times New Roman"/>
                <w:color w:val="0000FF"/>
                <w:spacing w:val="0"/>
                <w:position w:val="0"/>
                <w:sz w:val="24"/>
                <w:szCs w:val="24"/>
                <w:highlight w:val="none"/>
                <w:lang w:val="en-US" w:eastAsia="zh-CN"/>
              </w:rPr>
              <w:t>昌吉回族自治州昌吉市庙尔沟乡和谐二村以北1.8公里处</w:t>
            </w:r>
            <w:r>
              <w:rPr>
                <w:rFonts w:hint="default" w:ascii="Times New Roman" w:hAnsi="Times New Roman" w:cs="Times New Roman"/>
                <w:color w:val="0000FF"/>
                <w:spacing w:val="0"/>
                <w:position w:val="0"/>
                <w:sz w:val="24"/>
                <w:szCs w:val="24"/>
                <w:highlight w:val="none"/>
                <w:lang w:val="en-US" w:eastAsia="zh-CN"/>
              </w:rPr>
              <w:t>（中心地理坐标：87°17′16.944″ 44°24'53.348″），距本项目约45公里。</w:t>
            </w:r>
          </w:p>
          <w:p w14:paraId="549E2D1E">
            <w:pPr>
              <w:pStyle w:val="61"/>
              <w:keepNext w:val="0"/>
              <w:keepLines w:val="0"/>
              <w:pageBreakBefore w:val="0"/>
              <w:shd w:val="clear"/>
              <w:kinsoku/>
              <w:overflowPunct/>
              <w:topLinePunct w:val="0"/>
              <w:bidi w:val="0"/>
              <w:spacing w:beforeAutospacing="0" w:afterAutospacing="0" w:line="360" w:lineRule="auto"/>
              <w:ind w:left="0" w:leftChars="0" w:right="0" w:firstLine="0" w:firstLineChars="0"/>
              <w:rPr>
                <w:rFonts w:hint="default" w:ascii="Times New Roman" w:hAnsi="Times New Roman" w:cs="Times New Roman"/>
                <w:b/>
                <w:bCs/>
                <w:i w:val="0"/>
                <w:iCs w:val="0"/>
                <w:color w:val="auto"/>
                <w:spacing w:val="0"/>
                <w:w w:val="100"/>
                <w:position w:val="0"/>
                <w:highlight w:val="none"/>
              </w:rPr>
            </w:pPr>
            <w:r>
              <w:rPr>
                <w:rFonts w:hint="default" w:ascii="Times New Roman" w:hAnsi="Times New Roman" w:cs="Times New Roman"/>
                <w:b/>
                <w:color w:val="auto"/>
                <w:spacing w:val="0"/>
                <w:highlight w:val="none"/>
                <w:lang w:val="en-US" w:eastAsia="zh-CN"/>
              </w:rPr>
              <w:t>6.</w:t>
            </w:r>
            <w:r>
              <w:rPr>
                <w:rFonts w:hint="default" w:ascii="Times New Roman" w:hAnsi="Times New Roman" w:cs="Times New Roman"/>
                <w:b/>
                <w:bCs/>
                <w:i w:val="0"/>
                <w:iCs w:val="0"/>
                <w:color w:val="auto"/>
                <w:spacing w:val="0"/>
                <w:w w:val="100"/>
                <w:position w:val="0"/>
                <w:highlight w:val="none"/>
              </w:rPr>
              <w:t>环境风险分析</w:t>
            </w:r>
          </w:p>
          <w:p w14:paraId="16F37A43">
            <w:pPr>
              <w:pStyle w:val="61"/>
              <w:keepNext w:val="0"/>
              <w:keepLines w:val="0"/>
              <w:pageBreakBefore w:val="0"/>
              <w:shd w:val="clear"/>
              <w:kinsoku/>
              <w:overflowPunct/>
              <w:topLinePunct w:val="0"/>
              <w:bidi w:val="0"/>
              <w:spacing w:beforeAutospacing="0" w:afterAutospacing="0" w:line="360" w:lineRule="auto"/>
              <w:ind w:left="0" w:leftChars="0" w:right="0" w:firstLine="0" w:firstLineChars="0"/>
              <w:rPr>
                <w:rFonts w:hint="default" w:ascii="Times New Roman" w:hAnsi="Times New Roman" w:cs="Times New Roman"/>
                <w:b/>
                <w:bCs/>
                <w:i w:val="0"/>
                <w:iCs w:val="0"/>
                <w:color w:val="auto"/>
                <w:spacing w:val="0"/>
                <w:w w:val="100"/>
                <w:position w:val="0"/>
                <w:highlight w:val="none"/>
              </w:rPr>
            </w:pPr>
            <w:r>
              <w:rPr>
                <w:rFonts w:hint="default" w:ascii="Times New Roman" w:hAnsi="Times New Roman" w:cs="Times New Roman"/>
                <w:b/>
                <w:bCs/>
                <w:i w:val="0"/>
                <w:iCs w:val="0"/>
                <w:color w:val="auto"/>
                <w:spacing w:val="0"/>
                <w:w w:val="100"/>
                <w:position w:val="0"/>
                <w:highlight w:val="none"/>
                <w:lang w:val="en-US" w:eastAsia="zh-CN"/>
              </w:rPr>
              <w:t>6.</w:t>
            </w:r>
            <w:r>
              <w:rPr>
                <w:rFonts w:hint="default" w:ascii="Times New Roman" w:hAnsi="Times New Roman" w:cs="Times New Roman"/>
                <w:b/>
                <w:bCs/>
                <w:i w:val="0"/>
                <w:iCs w:val="0"/>
                <w:color w:val="auto"/>
                <w:spacing w:val="0"/>
                <w:w w:val="100"/>
                <w:position w:val="0"/>
                <w:highlight w:val="none"/>
              </w:rPr>
              <w:t>1风险调查</w:t>
            </w:r>
          </w:p>
          <w:p w14:paraId="1ECD34CB">
            <w:pPr>
              <w:pStyle w:val="61"/>
              <w:keepNext w:val="0"/>
              <w:keepLines w:val="0"/>
              <w:pageBreakBefore w:val="0"/>
              <w:shd w:val="clear"/>
              <w:kinsoku/>
              <w:overflowPunct/>
              <w:topLinePunct w:val="0"/>
              <w:bidi w:val="0"/>
              <w:spacing w:beforeAutospacing="0" w:afterAutospacing="0" w:line="360" w:lineRule="auto"/>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参照《建设项目环境风险评价技术导则》(HJ/T169-2018)，本项目不涉及高温、高压、易燃易爆工艺，项目所在地不属于环境敏感地区；项目营运期的废气主要为TSP，无生产废水排放，危险废物为</w:t>
            </w:r>
            <w:r>
              <w:rPr>
                <w:rFonts w:hint="default" w:ascii="Times New Roman" w:hAnsi="Times New Roman" w:cs="Times New Roman"/>
                <w:i w:val="0"/>
                <w:iCs w:val="0"/>
                <w:color w:val="auto"/>
                <w:spacing w:val="0"/>
                <w:w w:val="100"/>
                <w:position w:val="0"/>
                <w:highlight w:val="none"/>
                <w:lang w:val="en-US" w:eastAsia="zh-CN"/>
              </w:rPr>
              <w:t>柴油</w:t>
            </w:r>
            <w:r>
              <w:rPr>
                <w:rFonts w:hint="default" w:ascii="Times New Roman" w:hAnsi="Times New Roman" w:cs="Times New Roman"/>
                <w:i w:val="0"/>
                <w:iCs w:val="0"/>
                <w:color w:val="auto"/>
                <w:spacing w:val="0"/>
                <w:w w:val="100"/>
                <w:position w:val="0"/>
                <w:highlight w:val="none"/>
              </w:rPr>
              <w:t>。因此项目涉及危险物质为</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，地质灾害为开采、堆放过程造成的滑坡。</w:t>
            </w:r>
          </w:p>
          <w:p w14:paraId="73B3E305">
            <w:pPr>
              <w:pStyle w:val="61"/>
              <w:keepNext w:val="0"/>
              <w:keepLines w:val="0"/>
              <w:pageBreakBefore w:val="0"/>
              <w:shd w:val="clear"/>
              <w:kinsoku/>
              <w:overflowPunct/>
              <w:topLinePunct w:val="0"/>
              <w:bidi w:val="0"/>
              <w:spacing w:beforeAutospacing="0" w:afterAutospacing="0" w:line="360" w:lineRule="auto"/>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本项目可能发生的风险事故主要有：地质灾害为开采、堆放过程造成的滑坡、</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lang w:val="en-US" w:eastAsia="zh-CN"/>
              </w:rPr>
              <w:t>发电机</w:t>
            </w:r>
            <w:r>
              <w:rPr>
                <w:rFonts w:hint="default" w:ascii="Times New Roman" w:hAnsi="Times New Roman" w:cs="Times New Roman"/>
                <w:i w:val="0"/>
                <w:iCs w:val="0"/>
                <w:color w:val="auto"/>
                <w:spacing w:val="0"/>
                <w:w w:val="100"/>
                <w:position w:val="0"/>
                <w:highlight w:val="none"/>
              </w:rPr>
              <w:t>事故性泄漏；</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在运输过程中发生意外事故。</w:t>
            </w:r>
          </w:p>
          <w:p w14:paraId="4FA8C3E9">
            <w:pPr>
              <w:pStyle w:val="61"/>
              <w:keepNext w:val="0"/>
              <w:keepLines w:val="0"/>
              <w:pageBreakBefore w:val="0"/>
              <w:shd w:val="clear"/>
              <w:kinsoku/>
              <w:overflowPunct/>
              <w:topLinePunct w:val="0"/>
              <w:bidi w:val="0"/>
              <w:spacing w:beforeAutospacing="0" w:afterAutospacing="0" w:line="360" w:lineRule="auto"/>
              <w:ind w:left="0" w:leftChars="0" w:right="0" w:firstLine="0" w:firstLineChars="0"/>
              <w:rPr>
                <w:rFonts w:hint="default" w:ascii="Times New Roman" w:hAnsi="Times New Roman" w:cs="Times New Roman"/>
                <w:b/>
                <w:bCs/>
                <w:i w:val="0"/>
                <w:iCs w:val="0"/>
                <w:color w:val="auto"/>
                <w:spacing w:val="0"/>
                <w:w w:val="100"/>
                <w:position w:val="0"/>
                <w:highlight w:val="none"/>
              </w:rPr>
            </w:pPr>
            <w:r>
              <w:rPr>
                <w:rFonts w:hint="default" w:ascii="Times New Roman" w:hAnsi="Times New Roman" w:cs="Times New Roman"/>
                <w:b/>
                <w:bCs/>
                <w:i w:val="0"/>
                <w:iCs w:val="0"/>
                <w:color w:val="auto"/>
                <w:spacing w:val="0"/>
                <w:w w:val="100"/>
                <w:position w:val="0"/>
                <w:highlight w:val="none"/>
                <w:lang w:val="en-US" w:eastAsia="zh-CN"/>
              </w:rPr>
              <w:t>7.</w:t>
            </w:r>
            <w:r>
              <w:rPr>
                <w:rFonts w:hint="default" w:ascii="Times New Roman" w:hAnsi="Times New Roman" w:cs="Times New Roman"/>
                <w:b/>
                <w:bCs/>
                <w:i w:val="0"/>
                <w:iCs w:val="0"/>
                <w:color w:val="auto"/>
                <w:spacing w:val="0"/>
                <w:w w:val="100"/>
                <w:position w:val="0"/>
                <w:highlight w:val="none"/>
              </w:rPr>
              <w:t>2环境风险潜势初判与评价等级划分</w:t>
            </w:r>
          </w:p>
          <w:p w14:paraId="41597C0C">
            <w:pPr>
              <w:pStyle w:val="61"/>
              <w:keepNext w:val="0"/>
              <w:keepLines w:val="0"/>
              <w:pageBreakBefore w:val="0"/>
              <w:shd w:val="clear"/>
              <w:kinsoku/>
              <w:overflowPunct/>
              <w:topLinePunct w:val="0"/>
              <w:bidi w:val="0"/>
              <w:spacing w:beforeAutospacing="0" w:afterAutospacing="0" w:line="360" w:lineRule="auto"/>
              <w:ind w:left="0" w:leftChars="0" w:right="0" w:firstLine="480"/>
              <w:rPr>
                <w:rFonts w:hint="default" w:ascii="Times New Roman" w:hAnsi="Times New Roman" w:cs="Times New Roman"/>
                <w:b/>
                <w:bCs/>
                <w:i w:val="0"/>
                <w:iCs w:val="0"/>
                <w:color w:val="auto"/>
                <w:spacing w:val="0"/>
                <w:w w:val="100"/>
                <w:position w:val="0"/>
                <w:highlight w:val="none"/>
              </w:rPr>
            </w:pPr>
            <w:r>
              <w:rPr>
                <w:rFonts w:hint="default" w:ascii="Times New Roman" w:hAnsi="Times New Roman" w:cs="Times New Roman"/>
                <w:b/>
                <w:bCs/>
                <w:i w:val="0"/>
                <w:iCs w:val="0"/>
                <w:color w:val="auto"/>
                <w:spacing w:val="0"/>
                <w:w w:val="100"/>
                <w:position w:val="0"/>
                <w:highlight w:val="none"/>
                <w:lang w:val="en-US" w:eastAsia="zh-CN"/>
              </w:rPr>
              <w:t>（1）</w:t>
            </w:r>
            <w:r>
              <w:rPr>
                <w:rFonts w:hint="default" w:ascii="Times New Roman" w:hAnsi="Times New Roman" w:cs="Times New Roman"/>
                <w:b/>
                <w:bCs/>
                <w:i w:val="0"/>
                <w:iCs w:val="0"/>
                <w:color w:val="auto"/>
                <w:spacing w:val="0"/>
                <w:w w:val="100"/>
                <w:position w:val="0"/>
                <w:highlight w:val="none"/>
              </w:rPr>
              <w:t>环境风险潜势初判</w:t>
            </w:r>
          </w:p>
          <w:p w14:paraId="5BB731A0">
            <w:pPr>
              <w:pStyle w:val="61"/>
              <w:keepNext w:val="0"/>
              <w:keepLines w:val="0"/>
              <w:pageBreakBefore w:val="0"/>
              <w:shd w:val="clear"/>
              <w:kinsoku/>
              <w:overflowPunct/>
              <w:topLinePunct w:val="0"/>
              <w:bidi w:val="0"/>
              <w:spacing w:beforeAutospacing="0" w:afterAutospacing="0" w:line="360" w:lineRule="auto"/>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计算所涉及的每种环境风险物质在厂界内的最大存在总量（如存在总量呈动态变化，则按公历年度内某一天最大存在总量计算；在不同厂区的同一种物质，按其在厂界内的最大存在总量计算）与其在附录B中对应的临界量的比值Q：当企业只涉及一种环境危险物质时，计算该物质的总数量与其临界量比值，即为Q；</w:t>
            </w:r>
          </w:p>
          <w:p w14:paraId="6F174B9E">
            <w:pPr>
              <w:pStyle w:val="61"/>
              <w:keepNext w:val="0"/>
              <w:keepLines w:val="0"/>
              <w:pageBreakBefore w:val="0"/>
              <w:shd w:val="clear"/>
              <w:kinsoku/>
              <w:overflowPunct/>
              <w:topLinePunct w:val="0"/>
              <w:bidi w:val="0"/>
              <w:spacing w:beforeAutospacing="0" w:afterAutospacing="0" w:line="360" w:lineRule="auto"/>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当企业存在多种环境危险物质时，则按下式计算物质总量与其临界量比值：</w:t>
            </w:r>
          </w:p>
          <w:p w14:paraId="1B3FC804">
            <w:pPr>
              <w:pStyle w:val="61"/>
              <w:keepNext w:val="0"/>
              <w:keepLines w:val="0"/>
              <w:pageBreakBefore w:val="0"/>
              <w:shd w:val="clear"/>
              <w:kinsoku/>
              <w:overflowPunct/>
              <w:topLinePunct w:val="0"/>
              <w:bidi w:val="0"/>
              <w:spacing w:beforeAutospacing="0" w:afterAutospacing="0" w:line="240" w:lineRule="auto"/>
              <w:ind w:left="0" w:leftChars="0" w:right="0" w:firstLine="0" w:firstLineChars="0"/>
              <w:jc w:val="center"/>
              <w:rPr>
                <w:rFonts w:hint="default" w:ascii="Times New Roman" w:hAnsi="Times New Roman" w:cs="Times New Roman"/>
                <w:i w:val="0"/>
                <w:iCs w:val="0"/>
                <w:color w:val="auto"/>
                <w:spacing w:val="0"/>
                <w:w w:val="100"/>
                <w:position w:val="0"/>
                <w:sz w:val="28"/>
                <w:szCs w:val="28"/>
                <w:highlight w:val="none"/>
              </w:rPr>
            </w:pPr>
            <w:r>
              <w:rPr>
                <w:rFonts w:hint="default" w:ascii="Times New Roman" w:hAnsi="Times New Roman" w:cs="Times New Roman"/>
                <w:i w:val="0"/>
                <w:iCs w:val="0"/>
                <w:color w:val="auto"/>
                <w:spacing w:val="0"/>
                <w:w w:val="100"/>
                <w:position w:val="0"/>
                <w:sz w:val="28"/>
                <w:szCs w:val="28"/>
                <w:highlight w:val="none"/>
              </w:rPr>
              <w:drawing>
                <wp:inline distT="0" distB="0" distL="114300" distR="114300">
                  <wp:extent cx="1233805" cy="459740"/>
                  <wp:effectExtent l="0" t="0" r="4445" b="1651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13"/>
                          <a:stretch>
                            <a:fillRect/>
                          </a:stretch>
                        </pic:blipFill>
                        <pic:spPr>
                          <a:xfrm>
                            <a:off x="0" y="0"/>
                            <a:ext cx="1233805" cy="459740"/>
                          </a:xfrm>
                          <a:prstGeom prst="rect">
                            <a:avLst/>
                          </a:prstGeom>
                          <a:noFill/>
                          <a:ln>
                            <a:noFill/>
                          </a:ln>
                        </pic:spPr>
                      </pic:pic>
                    </a:graphicData>
                  </a:graphic>
                </wp:inline>
              </w:drawing>
            </w:r>
          </w:p>
          <w:p w14:paraId="5A46D2C9">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式中：q—该物质最大存在量，t；</w:t>
            </w:r>
          </w:p>
          <w:p w14:paraId="7DB3E9D2">
            <w:pPr>
              <w:pStyle w:val="61"/>
              <w:keepNext w:val="0"/>
              <w:keepLines w:val="0"/>
              <w:pageBreakBefore w:val="0"/>
              <w:shd w:val="clear"/>
              <w:kinsoku/>
              <w:overflowPunct/>
              <w:topLinePunct w:val="0"/>
              <w:bidi w:val="0"/>
              <w:spacing w:beforeAutospacing="0" w:afterAutospacing="0"/>
              <w:ind w:left="0" w:leftChars="0" w:right="0" w:firstLine="1200" w:firstLineChars="50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Q—该物质临界量，t。</w:t>
            </w:r>
          </w:p>
          <w:p w14:paraId="6F905451">
            <w:pPr>
              <w:pStyle w:val="84"/>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
                <w:bCs/>
                <w:i w:val="0"/>
                <w:iCs w:val="0"/>
                <w:color w:val="auto"/>
                <w:spacing w:val="0"/>
                <w:w w:val="100"/>
                <w:position w:val="0"/>
                <w:sz w:val="21"/>
                <w:szCs w:val="21"/>
                <w:highlight w:val="none"/>
              </w:rPr>
            </w:pPr>
            <w:r>
              <w:rPr>
                <w:rFonts w:hint="default" w:ascii="Times New Roman" w:hAnsi="Times New Roman" w:eastAsia="宋体" w:cs="Times New Roman"/>
                <w:b/>
                <w:bCs/>
                <w:i w:val="0"/>
                <w:iCs w:val="0"/>
                <w:color w:val="auto"/>
                <w:spacing w:val="0"/>
                <w:w w:val="100"/>
                <w:position w:val="0"/>
                <w:sz w:val="21"/>
                <w:szCs w:val="21"/>
                <w:highlight w:val="none"/>
              </w:rPr>
              <w:t>表4-</w:t>
            </w:r>
            <w:r>
              <w:rPr>
                <w:rFonts w:hint="default" w:ascii="Times New Roman" w:hAnsi="Times New Roman" w:eastAsia="宋体" w:cs="Times New Roman"/>
                <w:b/>
                <w:bCs/>
                <w:i w:val="0"/>
                <w:iCs w:val="0"/>
                <w:color w:val="auto"/>
                <w:spacing w:val="0"/>
                <w:w w:val="100"/>
                <w:position w:val="0"/>
                <w:sz w:val="21"/>
                <w:szCs w:val="21"/>
                <w:highlight w:val="none"/>
                <w:lang w:val="en-US" w:eastAsia="zh-CN"/>
              </w:rPr>
              <w:t>9</w:t>
            </w:r>
            <w:r>
              <w:rPr>
                <w:rFonts w:hint="default" w:ascii="Times New Roman" w:hAnsi="Times New Roman" w:eastAsia="宋体" w:cs="Times New Roman"/>
                <w:b/>
                <w:bCs/>
                <w:i w:val="0"/>
                <w:iCs w:val="0"/>
                <w:color w:val="auto"/>
                <w:spacing w:val="0"/>
                <w:w w:val="100"/>
                <w:position w:val="0"/>
                <w:sz w:val="21"/>
                <w:szCs w:val="21"/>
                <w:highlight w:val="none"/>
              </w:rPr>
              <w:t xml:space="preserve">    风险物质最大存在量与临界值表</w:t>
            </w:r>
          </w:p>
          <w:tbl>
            <w:tblPr>
              <w:tblStyle w:val="3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2347"/>
              <w:gridCol w:w="2568"/>
              <w:gridCol w:w="1608"/>
            </w:tblGrid>
            <w:tr w14:paraId="374614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pct"/>
                  <w:noWrap w:val="0"/>
                  <w:vAlign w:val="center"/>
                </w:tcPr>
                <w:p w14:paraId="2AAF5A02">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eastAsia="宋体" w:cs="Times New Roman"/>
                      <w:b/>
                      <w:bCs/>
                      <w:i w:val="0"/>
                      <w:iCs w:val="0"/>
                      <w:color w:val="auto"/>
                      <w:spacing w:val="0"/>
                      <w:w w:val="100"/>
                      <w:position w:val="0"/>
                      <w:sz w:val="21"/>
                      <w:szCs w:val="21"/>
                      <w:highlight w:val="none"/>
                    </w:rPr>
                  </w:pPr>
                  <w:r>
                    <w:rPr>
                      <w:rFonts w:hint="default" w:ascii="Times New Roman" w:hAnsi="Times New Roman" w:eastAsia="宋体" w:cs="Times New Roman"/>
                      <w:b/>
                      <w:bCs/>
                      <w:i w:val="0"/>
                      <w:iCs w:val="0"/>
                      <w:color w:val="auto"/>
                      <w:spacing w:val="0"/>
                      <w:w w:val="100"/>
                      <w:position w:val="0"/>
                      <w:sz w:val="21"/>
                      <w:szCs w:val="21"/>
                      <w:highlight w:val="none"/>
                    </w:rPr>
                    <w:t>序号</w:t>
                  </w:r>
                </w:p>
              </w:tc>
              <w:tc>
                <w:tcPr>
                  <w:tcW w:w="1530" w:type="pct"/>
                  <w:noWrap w:val="0"/>
                  <w:vAlign w:val="center"/>
                </w:tcPr>
                <w:p w14:paraId="3160DD1C">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eastAsia="宋体" w:cs="Times New Roman"/>
                      <w:b/>
                      <w:bCs/>
                      <w:i w:val="0"/>
                      <w:iCs w:val="0"/>
                      <w:color w:val="auto"/>
                      <w:spacing w:val="0"/>
                      <w:w w:val="100"/>
                      <w:position w:val="0"/>
                      <w:sz w:val="21"/>
                      <w:szCs w:val="21"/>
                      <w:highlight w:val="none"/>
                    </w:rPr>
                  </w:pPr>
                  <w:r>
                    <w:rPr>
                      <w:rFonts w:hint="default" w:ascii="Times New Roman" w:hAnsi="Times New Roman" w:eastAsia="宋体" w:cs="Times New Roman"/>
                      <w:b/>
                      <w:bCs/>
                      <w:i w:val="0"/>
                      <w:iCs w:val="0"/>
                      <w:color w:val="auto"/>
                      <w:spacing w:val="0"/>
                      <w:w w:val="100"/>
                      <w:position w:val="0"/>
                      <w:sz w:val="21"/>
                      <w:szCs w:val="21"/>
                      <w:highlight w:val="none"/>
                    </w:rPr>
                    <w:t>名称</w:t>
                  </w:r>
                </w:p>
              </w:tc>
              <w:tc>
                <w:tcPr>
                  <w:tcW w:w="1674" w:type="pct"/>
                  <w:noWrap w:val="0"/>
                  <w:vAlign w:val="center"/>
                </w:tcPr>
                <w:p w14:paraId="4F6750C7">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eastAsia="宋体" w:cs="Times New Roman"/>
                      <w:b/>
                      <w:bCs/>
                      <w:i w:val="0"/>
                      <w:iCs w:val="0"/>
                      <w:color w:val="auto"/>
                      <w:spacing w:val="0"/>
                      <w:w w:val="100"/>
                      <w:position w:val="0"/>
                      <w:sz w:val="21"/>
                      <w:szCs w:val="21"/>
                      <w:highlight w:val="none"/>
                    </w:rPr>
                  </w:pPr>
                  <w:r>
                    <w:rPr>
                      <w:rFonts w:hint="default" w:ascii="Times New Roman" w:hAnsi="Times New Roman" w:eastAsia="宋体" w:cs="Times New Roman"/>
                      <w:b/>
                      <w:bCs/>
                      <w:i w:val="0"/>
                      <w:iCs w:val="0"/>
                      <w:color w:val="auto"/>
                      <w:spacing w:val="0"/>
                      <w:w w:val="100"/>
                      <w:position w:val="0"/>
                      <w:sz w:val="21"/>
                      <w:szCs w:val="21"/>
                      <w:highlight w:val="none"/>
                    </w:rPr>
                    <w:t>风险物质最大存在量/t</w:t>
                  </w:r>
                </w:p>
              </w:tc>
              <w:tc>
                <w:tcPr>
                  <w:tcW w:w="1048" w:type="pct"/>
                  <w:noWrap w:val="0"/>
                  <w:vAlign w:val="center"/>
                </w:tcPr>
                <w:p w14:paraId="3923934F">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eastAsia="宋体" w:cs="Times New Roman"/>
                      <w:b/>
                      <w:bCs/>
                      <w:i w:val="0"/>
                      <w:iCs w:val="0"/>
                      <w:color w:val="auto"/>
                      <w:spacing w:val="0"/>
                      <w:w w:val="100"/>
                      <w:position w:val="0"/>
                      <w:sz w:val="21"/>
                      <w:szCs w:val="21"/>
                      <w:highlight w:val="none"/>
                    </w:rPr>
                  </w:pPr>
                  <w:r>
                    <w:rPr>
                      <w:rFonts w:hint="default" w:ascii="Times New Roman" w:hAnsi="Times New Roman" w:eastAsia="宋体" w:cs="Times New Roman"/>
                      <w:b/>
                      <w:bCs/>
                      <w:i w:val="0"/>
                      <w:iCs w:val="0"/>
                      <w:color w:val="auto"/>
                      <w:spacing w:val="0"/>
                      <w:w w:val="100"/>
                      <w:position w:val="0"/>
                      <w:sz w:val="21"/>
                      <w:szCs w:val="21"/>
                      <w:highlight w:val="none"/>
                    </w:rPr>
                    <w:t>临界值/t</w:t>
                  </w:r>
                </w:p>
              </w:tc>
            </w:tr>
            <w:tr w14:paraId="651580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7" w:type="pct"/>
                  <w:noWrap w:val="0"/>
                  <w:vAlign w:val="center"/>
                </w:tcPr>
                <w:p w14:paraId="34DFF8AF">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eastAsia="宋体" w:cs="Times New Roman"/>
                      <w:i w:val="0"/>
                      <w:iCs w:val="0"/>
                      <w:color w:val="auto"/>
                      <w:spacing w:val="0"/>
                      <w:w w:val="100"/>
                      <w:position w:val="0"/>
                      <w:sz w:val="21"/>
                      <w:szCs w:val="21"/>
                      <w:highlight w:val="none"/>
                    </w:rPr>
                  </w:pPr>
                  <w:r>
                    <w:rPr>
                      <w:rFonts w:hint="default" w:ascii="Times New Roman" w:hAnsi="Times New Roman" w:eastAsia="宋体" w:cs="Times New Roman"/>
                      <w:i w:val="0"/>
                      <w:iCs w:val="0"/>
                      <w:color w:val="auto"/>
                      <w:spacing w:val="0"/>
                      <w:w w:val="100"/>
                      <w:position w:val="0"/>
                      <w:sz w:val="21"/>
                      <w:szCs w:val="21"/>
                      <w:highlight w:val="none"/>
                    </w:rPr>
                    <w:t>1</w:t>
                  </w:r>
                </w:p>
              </w:tc>
              <w:tc>
                <w:tcPr>
                  <w:tcW w:w="1530" w:type="pct"/>
                  <w:noWrap w:val="0"/>
                  <w:vAlign w:val="center"/>
                </w:tcPr>
                <w:p w14:paraId="4095E44F">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eastAsia="宋体" w:cs="Times New Roman"/>
                      <w:i w:val="0"/>
                      <w:iCs w:val="0"/>
                      <w:color w:val="auto"/>
                      <w:spacing w:val="0"/>
                      <w:w w:val="100"/>
                      <w:position w:val="0"/>
                      <w:sz w:val="21"/>
                      <w:szCs w:val="21"/>
                      <w:highlight w:val="none"/>
                      <w:lang w:eastAsia="zh-CN"/>
                    </w:rPr>
                  </w:pPr>
                  <w:r>
                    <w:rPr>
                      <w:rFonts w:hint="default" w:ascii="Times New Roman" w:hAnsi="Times New Roman" w:eastAsia="宋体" w:cs="Times New Roman"/>
                      <w:i w:val="0"/>
                      <w:iCs w:val="0"/>
                      <w:color w:val="auto"/>
                      <w:spacing w:val="0"/>
                      <w:w w:val="100"/>
                      <w:position w:val="0"/>
                      <w:sz w:val="21"/>
                      <w:szCs w:val="21"/>
                      <w:highlight w:val="none"/>
                      <w:lang w:eastAsia="zh-CN"/>
                    </w:rPr>
                    <w:t>柴油</w:t>
                  </w:r>
                </w:p>
              </w:tc>
              <w:tc>
                <w:tcPr>
                  <w:tcW w:w="1674" w:type="pct"/>
                  <w:noWrap w:val="0"/>
                  <w:vAlign w:val="center"/>
                </w:tcPr>
                <w:p w14:paraId="14E7197E">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eastAsia="宋体" w:cs="Times New Roman"/>
                      <w:i w:val="0"/>
                      <w:iCs w:val="0"/>
                      <w:color w:val="auto"/>
                      <w:spacing w:val="0"/>
                      <w:w w:val="100"/>
                      <w:position w:val="0"/>
                      <w:sz w:val="21"/>
                      <w:szCs w:val="21"/>
                      <w:highlight w:val="none"/>
                    </w:rPr>
                  </w:pPr>
                  <w:r>
                    <w:rPr>
                      <w:rFonts w:hint="default" w:ascii="Times New Roman" w:hAnsi="Times New Roman" w:eastAsia="宋体" w:cs="Times New Roman"/>
                      <w:i w:val="0"/>
                      <w:iCs w:val="0"/>
                      <w:color w:val="auto"/>
                      <w:spacing w:val="0"/>
                      <w:w w:val="100"/>
                      <w:position w:val="0"/>
                      <w:sz w:val="21"/>
                      <w:szCs w:val="21"/>
                      <w:highlight w:val="none"/>
                    </w:rPr>
                    <w:t>0.5</w:t>
                  </w:r>
                </w:p>
              </w:tc>
              <w:tc>
                <w:tcPr>
                  <w:tcW w:w="1048" w:type="pct"/>
                  <w:noWrap w:val="0"/>
                  <w:vAlign w:val="center"/>
                </w:tcPr>
                <w:p w14:paraId="08B6182D">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eastAsia="宋体" w:cs="Times New Roman"/>
                      <w:i w:val="0"/>
                      <w:iCs w:val="0"/>
                      <w:color w:val="auto"/>
                      <w:spacing w:val="0"/>
                      <w:w w:val="100"/>
                      <w:position w:val="0"/>
                      <w:sz w:val="21"/>
                      <w:szCs w:val="21"/>
                      <w:highlight w:val="none"/>
                    </w:rPr>
                  </w:pPr>
                  <w:r>
                    <w:rPr>
                      <w:rFonts w:hint="default" w:ascii="Times New Roman" w:hAnsi="Times New Roman" w:eastAsia="宋体" w:cs="Times New Roman"/>
                      <w:i w:val="0"/>
                      <w:iCs w:val="0"/>
                      <w:color w:val="auto"/>
                      <w:spacing w:val="0"/>
                      <w:w w:val="100"/>
                      <w:position w:val="0"/>
                      <w:sz w:val="21"/>
                      <w:szCs w:val="21"/>
                      <w:highlight w:val="none"/>
                    </w:rPr>
                    <w:t>2500</w:t>
                  </w:r>
                </w:p>
              </w:tc>
            </w:tr>
          </w:tbl>
          <w:p w14:paraId="4C59136C">
            <w:pPr>
              <w:pStyle w:val="84"/>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
                <w:bCs/>
                <w:i w:val="0"/>
                <w:iCs w:val="0"/>
                <w:color w:val="auto"/>
                <w:spacing w:val="0"/>
                <w:w w:val="100"/>
                <w:position w:val="0"/>
                <w:sz w:val="21"/>
                <w:szCs w:val="21"/>
                <w:highlight w:val="none"/>
              </w:rPr>
            </w:pPr>
            <w:r>
              <w:rPr>
                <w:rFonts w:hint="default" w:ascii="Times New Roman" w:hAnsi="Times New Roman" w:eastAsia="宋体" w:cs="Times New Roman"/>
                <w:b/>
                <w:bCs/>
                <w:i w:val="0"/>
                <w:iCs w:val="0"/>
                <w:color w:val="auto"/>
                <w:spacing w:val="0"/>
                <w:w w:val="100"/>
                <w:position w:val="0"/>
                <w:sz w:val="21"/>
                <w:szCs w:val="21"/>
                <w:highlight w:val="none"/>
              </w:rPr>
              <w:t>表4-1</w:t>
            </w:r>
            <w:r>
              <w:rPr>
                <w:rFonts w:hint="default" w:ascii="Times New Roman" w:hAnsi="Times New Roman" w:eastAsia="宋体" w:cs="Times New Roman"/>
                <w:b/>
                <w:bCs/>
                <w:i w:val="0"/>
                <w:iCs w:val="0"/>
                <w:color w:val="auto"/>
                <w:spacing w:val="0"/>
                <w:w w:val="100"/>
                <w:position w:val="0"/>
                <w:sz w:val="21"/>
                <w:szCs w:val="21"/>
                <w:highlight w:val="none"/>
                <w:lang w:val="en-US" w:eastAsia="zh-CN"/>
              </w:rPr>
              <w:t>0</w:t>
            </w:r>
            <w:r>
              <w:rPr>
                <w:rFonts w:hint="default" w:ascii="Times New Roman" w:hAnsi="Times New Roman" w:eastAsia="宋体" w:cs="Times New Roman"/>
                <w:b/>
                <w:bCs/>
                <w:i w:val="0"/>
                <w:iCs w:val="0"/>
                <w:color w:val="auto"/>
                <w:spacing w:val="0"/>
                <w:w w:val="100"/>
                <w:position w:val="0"/>
                <w:sz w:val="21"/>
                <w:szCs w:val="21"/>
                <w:highlight w:val="none"/>
              </w:rPr>
              <w:t xml:space="preserve">        Q值的划分</w:t>
            </w:r>
          </w:p>
          <w:tbl>
            <w:tblPr>
              <w:tblStyle w:val="31"/>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611"/>
              <w:gridCol w:w="4838"/>
            </w:tblGrid>
            <w:tr w14:paraId="79D660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5" w:type="pct"/>
                  <w:tcBorders>
                    <w:bottom w:val="single" w:color="auto" w:sz="12" w:space="0"/>
                  </w:tcBorders>
                  <w:noWrap w:val="0"/>
                  <w:vAlign w:val="center"/>
                </w:tcPr>
                <w:p w14:paraId="72C32308">
                  <w:pPr>
                    <w:pStyle w:val="61"/>
                    <w:keepNext w:val="0"/>
                    <w:keepLines w:val="0"/>
                    <w:pageBreakBefore w:val="0"/>
                    <w:shd w:val="clear"/>
                    <w:kinsoku/>
                    <w:overflowPunct/>
                    <w:topLinePunct w:val="0"/>
                    <w:bidi w:val="0"/>
                    <w:adjustRightInd w:val="0"/>
                    <w:spacing w:beforeAutospacing="0" w:afterAutospacing="0" w:line="240" w:lineRule="auto"/>
                    <w:ind w:left="0" w:leftChars="0" w:right="0" w:firstLine="0" w:firstLineChars="0"/>
                    <w:jc w:val="center"/>
                    <w:rPr>
                      <w:rFonts w:hint="default" w:ascii="Times New Roman" w:hAnsi="Times New Roman" w:cs="Times New Roman"/>
                      <w:b/>
                      <w:bCs/>
                      <w:i w:val="0"/>
                      <w:iCs w:val="0"/>
                      <w:color w:val="auto"/>
                      <w:spacing w:val="0"/>
                      <w:w w:val="100"/>
                      <w:position w:val="0"/>
                      <w:sz w:val="21"/>
                      <w:highlight w:val="none"/>
                    </w:rPr>
                  </w:pPr>
                  <w:r>
                    <w:rPr>
                      <w:rFonts w:hint="default" w:ascii="Times New Roman" w:hAnsi="Times New Roman" w:cs="Times New Roman"/>
                      <w:b/>
                      <w:bCs/>
                      <w:i w:val="0"/>
                      <w:iCs w:val="0"/>
                      <w:color w:val="auto"/>
                      <w:spacing w:val="0"/>
                      <w:w w:val="100"/>
                      <w:position w:val="0"/>
                      <w:sz w:val="21"/>
                      <w:highlight w:val="none"/>
                    </w:rPr>
                    <w:t>序号</w:t>
                  </w:r>
                </w:p>
              </w:tc>
              <w:tc>
                <w:tcPr>
                  <w:tcW w:w="4204" w:type="pct"/>
                  <w:gridSpan w:val="2"/>
                  <w:tcBorders>
                    <w:bottom w:val="single" w:color="auto" w:sz="12" w:space="0"/>
                  </w:tcBorders>
                  <w:noWrap w:val="0"/>
                  <w:vAlign w:val="center"/>
                </w:tcPr>
                <w:p w14:paraId="32EE7208">
                  <w:pPr>
                    <w:pStyle w:val="61"/>
                    <w:keepNext w:val="0"/>
                    <w:keepLines w:val="0"/>
                    <w:pageBreakBefore w:val="0"/>
                    <w:shd w:val="clear"/>
                    <w:kinsoku/>
                    <w:overflowPunct/>
                    <w:topLinePunct w:val="0"/>
                    <w:bidi w:val="0"/>
                    <w:adjustRightInd w:val="0"/>
                    <w:spacing w:beforeAutospacing="0" w:afterAutospacing="0" w:line="240" w:lineRule="auto"/>
                    <w:ind w:left="0" w:leftChars="0" w:right="0" w:firstLine="0" w:firstLineChars="0"/>
                    <w:jc w:val="center"/>
                    <w:rPr>
                      <w:rFonts w:hint="default" w:ascii="Times New Roman" w:hAnsi="Times New Roman" w:cs="Times New Roman"/>
                      <w:b/>
                      <w:bCs/>
                      <w:i w:val="0"/>
                      <w:iCs w:val="0"/>
                      <w:color w:val="auto"/>
                      <w:spacing w:val="0"/>
                      <w:w w:val="100"/>
                      <w:position w:val="0"/>
                      <w:sz w:val="21"/>
                      <w:highlight w:val="none"/>
                    </w:rPr>
                  </w:pPr>
                  <w:r>
                    <w:rPr>
                      <w:rFonts w:hint="default" w:ascii="Times New Roman" w:hAnsi="Times New Roman" w:cs="Times New Roman"/>
                      <w:b/>
                      <w:bCs/>
                      <w:i w:val="0"/>
                      <w:iCs w:val="0"/>
                      <w:color w:val="auto"/>
                      <w:spacing w:val="0"/>
                      <w:w w:val="100"/>
                      <w:position w:val="0"/>
                      <w:sz w:val="21"/>
                      <w:highlight w:val="none"/>
                    </w:rPr>
                    <w:t>Q值划分</w:t>
                  </w:r>
                </w:p>
              </w:tc>
            </w:tr>
            <w:tr w14:paraId="420365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5" w:type="pct"/>
                  <w:tcBorders>
                    <w:top w:val="single" w:color="auto" w:sz="12" w:space="0"/>
                    <w:bottom w:val="single" w:color="auto" w:sz="4" w:space="0"/>
                  </w:tcBorders>
                  <w:noWrap w:val="0"/>
                  <w:vAlign w:val="center"/>
                </w:tcPr>
                <w:p w14:paraId="5824D202">
                  <w:pPr>
                    <w:pStyle w:val="61"/>
                    <w:keepNext w:val="0"/>
                    <w:keepLines w:val="0"/>
                    <w:pageBreakBefore w:val="0"/>
                    <w:shd w:val="clear"/>
                    <w:kinsoku/>
                    <w:overflowPunct/>
                    <w:topLinePunct w:val="0"/>
                    <w:bidi w:val="0"/>
                    <w:adjustRightInd w:val="0"/>
                    <w:spacing w:beforeAutospacing="0" w:afterAutospacing="0" w:line="240" w:lineRule="auto"/>
                    <w:ind w:left="0" w:leftChars="0" w:right="0" w:firstLine="0" w:firstLineChars="0"/>
                    <w:jc w:val="center"/>
                    <w:rPr>
                      <w:rFonts w:hint="default" w:ascii="Times New Roman" w:hAnsi="Times New Roman" w:cs="Times New Roman"/>
                      <w:i w:val="0"/>
                      <w:iCs w:val="0"/>
                      <w:color w:val="auto"/>
                      <w:spacing w:val="0"/>
                      <w:w w:val="100"/>
                      <w:position w:val="0"/>
                      <w:sz w:val="21"/>
                      <w:highlight w:val="none"/>
                    </w:rPr>
                  </w:pPr>
                  <w:r>
                    <w:rPr>
                      <w:rFonts w:hint="default" w:ascii="Times New Roman" w:hAnsi="Times New Roman" w:cs="Times New Roman"/>
                      <w:i w:val="0"/>
                      <w:iCs w:val="0"/>
                      <w:color w:val="auto"/>
                      <w:spacing w:val="0"/>
                      <w:w w:val="100"/>
                      <w:position w:val="0"/>
                      <w:sz w:val="21"/>
                      <w:highlight w:val="none"/>
                    </w:rPr>
                    <w:t>1</w:t>
                  </w:r>
                </w:p>
              </w:tc>
              <w:tc>
                <w:tcPr>
                  <w:tcW w:w="1050" w:type="pct"/>
                  <w:tcBorders>
                    <w:top w:val="single" w:color="auto" w:sz="12" w:space="0"/>
                    <w:bottom w:val="single" w:color="auto" w:sz="4" w:space="0"/>
                  </w:tcBorders>
                  <w:noWrap w:val="0"/>
                  <w:vAlign w:val="center"/>
                </w:tcPr>
                <w:p w14:paraId="0B2CE764">
                  <w:pPr>
                    <w:pStyle w:val="61"/>
                    <w:keepNext w:val="0"/>
                    <w:keepLines w:val="0"/>
                    <w:pageBreakBefore w:val="0"/>
                    <w:shd w:val="clear"/>
                    <w:kinsoku/>
                    <w:overflowPunct/>
                    <w:topLinePunct w:val="0"/>
                    <w:bidi w:val="0"/>
                    <w:adjustRightInd w:val="0"/>
                    <w:spacing w:beforeAutospacing="0" w:afterAutospacing="0" w:line="240" w:lineRule="auto"/>
                    <w:ind w:left="0" w:leftChars="0" w:right="0" w:firstLine="0" w:firstLineChars="0"/>
                    <w:jc w:val="center"/>
                    <w:rPr>
                      <w:rFonts w:hint="default" w:ascii="Times New Roman" w:hAnsi="Times New Roman" w:cs="Times New Roman"/>
                      <w:i w:val="0"/>
                      <w:iCs w:val="0"/>
                      <w:color w:val="auto"/>
                      <w:spacing w:val="0"/>
                      <w:w w:val="100"/>
                      <w:position w:val="0"/>
                      <w:sz w:val="21"/>
                      <w:highlight w:val="none"/>
                    </w:rPr>
                  </w:pPr>
                  <w:r>
                    <w:rPr>
                      <w:rFonts w:hint="default" w:ascii="Times New Roman" w:hAnsi="Times New Roman" w:cs="Times New Roman"/>
                      <w:i w:val="0"/>
                      <w:iCs w:val="0"/>
                      <w:color w:val="auto"/>
                      <w:spacing w:val="0"/>
                      <w:w w:val="100"/>
                      <w:position w:val="0"/>
                      <w:sz w:val="21"/>
                      <w:highlight w:val="none"/>
                    </w:rPr>
                    <w:t>Q＜1</w:t>
                  </w:r>
                </w:p>
              </w:tc>
              <w:tc>
                <w:tcPr>
                  <w:tcW w:w="3153" w:type="pct"/>
                  <w:tcBorders>
                    <w:top w:val="single" w:color="auto" w:sz="12" w:space="0"/>
                    <w:bottom w:val="single" w:color="auto" w:sz="4" w:space="0"/>
                  </w:tcBorders>
                  <w:noWrap w:val="0"/>
                  <w:vAlign w:val="center"/>
                </w:tcPr>
                <w:p w14:paraId="547D2A81">
                  <w:pPr>
                    <w:pStyle w:val="61"/>
                    <w:keepNext w:val="0"/>
                    <w:keepLines w:val="0"/>
                    <w:pageBreakBefore w:val="0"/>
                    <w:shd w:val="clear"/>
                    <w:kinsoku/>
                    <w:overflowPunct/>
                    <w:topLinePunct w:val="0"/>
                    <w:bidi w:val="0"/>
                    <w:adjustRightInd w:val="0"/>
                    <w:spacing w:beforeAutospacing="0" w:afterAutospacing="0" w:line="240" w:lineRule="auto"/>
                    <w:ind w:left="0" w:leftChars="0" w:right="0" w:firstLine="0" w:firstLineChars="0"/>
                    <w:jc w:val="center"/>
                    <w:rPr>
                      <w:rFonts w:hint="default" w:ascii="Times New Roman" w:hAnsi="Times New Roman" w:cs="Times New Roman"/>
                      <w:i w:val="0"/>
                      <w:iCs w:val="0"/>
                      <w:color w:val="auto"/>
                      <w:spacing w:val="0"/>
                      <w:w w:val="100"/>
                      <w:position w:val="0"/>
                      <w:sz w:val="21"/>
                      <w:highlight w:val="none"/>
                    </w:rPr>
                  </w:pPr>
                  <w:r>
                    <w:rPr>
                      <w:rFonts w:hint="default" w:ascii="Times New Roman" w:hAnsi="Times New Roman" w:cs="Times New Roman"/>
                      <w:i w:val="0"/>
                      <w:iCs w:val="0"/>
                      <w:color w:val="auto"/>
                      <w:spacing w:val="0"/>
                      <w:w w:val="100"/>
                      <w:position w:val="0"/>
                      <w:sz w:val="21"/>
                      <w:highlight w:val="none"/>
                    </w:rPr>
                    <w:t>环境风险潜势为I</w:t>
                  </w:r>
                </w:p>
              </w:tc>
            </w:tr>
            <w:tr w14:paraId="7DC8B2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5" w:type="pct"/>
                  <w:tcBorders>
                    <w:top w:val="single" w:color="auto" w:sz="4" w:space="0"/>
                    <w:bottom w:val="single" w:color="auto" w:sz="4" w:space="0"/>
                  </w:tcBorders>
                  <w:noWrap w:val="0"/>
                  <w:vAlign w:val="center"/>
                </w:tcPr>
                <w:p w14:paraId="0FC947B4">
                  <w:pPr>
                    <w:pStyle w:val="61"/>
                    <w:keepNext w:val="0"/>
                    <w:keepLines w:val="0"/>
                    <w:pageBreakBefore w:val="0"/>
                    <w:shd w:val="clear"/>
                    <w:kinsoku/>
                    <w:overflowPunct/>
                    <w:topLinePunct w:val="0"/>
                    <w:bidi w:val="0"/>
                    <w:adjustRightInd w:val="0"/>
                    <w:spacing w:beforeAutospacing="0" w:afterAutospacing="0" w:line="240" w:lineRule="auto"/>
                    <w:ind w:left="0" w:leftChars="0" w:right="0" w:firstLine="0" w:firstLineChars="0"/>
                    <w:jc w:val="center"/>
                    <w:rPr>
                      <w:rFonts w:hint="default" w:ascii="Times New Roman" w:hAnsi="Times New Roman" w:cs="Times New Roman"/>
                      <w:i w:val="0"/>
                      <w:iCs w:val="0"/>
                      <w:color w:val="auto"/>
                      <w:spacing w:val="0"/>
                      <w:w w:val="100"/>
                      <w:position w:val="0"/>
                      <w:sz w:val="21"/>
                      <w:highlight w:val="none"/>
                    </w:rPr>
                  </w:pPr>
                  <w:r>
                    <w:rPr>
                      <w:rFonts w:hint="default" w:ascii="Times New Roman" w:hAnsi="Times New Roman" w:cs="Times New Roman"/>
                      <w:i w:val="0"/>
                      <w:iCs w:val="0"/>
                      <w:color w:val="auto"/>
                      <w:spacing w:val="0"/>
                      <w:w w:val="100"/>
                      <w:position w:val="0"/>
                      <w:sz w:val="21"/>
                      <w:highlight w:val="none"/>
                    </w:rPr>
                    <w:t>2</w:t>
                  </w:r>
                </w:p>
              </w:tc>
              <w:tc>
                <w:tcPr>
                  <w:tcW w:w="1050" w:type="pct"/>
                  <w:vMerge w:val="restart"/>
                  <w:tcBorders>
                    <w:top w:val="single" w:color="auto" w:sz="4" w:space="0"/>
                  </w:tcBorders>
                  <w:noWrap w:val="0"/>
                  <w:vAlign w:val="center"/>
                </w:tcPr>
                <w:p w14:paraId="1F6AE5A1">
                  <w:pPr>
                    <w:pStyle w:val="61"/>
                    <w:keepNext w:val="0"/>
                    <w:keepLines w:val="0"/>
                    <w:pageBreakBefore w:val="0"/>
                    <w:shd w:val="clear"/>
                    <w:kinsoku/>
                    <w:overflowPunct/>
                    <w:topLinePunct w:val="0"/>
                    <w:bidi w:val="0"/>
                    <w:adjustRightInd w:val="0"/>
                    <w:spacing w:beforeAutospacing="0" w:afterAutospacing="0" w:line="240" w:lineRule="auto"/>
                    <w:ind w:left="0" w:leftChars="0" w:right="0" w:firstLine="0" w:firstLineChars="0"/>
                    <w:jc w:val="center"/>
                    <w:rPr>
                      <w:rFonts w:hint="default" w:ascii="Times New Roman" w:hAnsi="Times New Roman" w:cs="Times New Roman"/>
                      <w:i w:val="0"/>
                      <w:iCs w:val="0"/>
                      <w:color w:val="auto"/>
                      <w:spacing w:val="0"/>
                      <w:w w:val="100"/>
                      <w:position w:val="0"/>
                      <w:sz w:val="21"/>
                      <w:highlight w:val="none"/>
                    </w:rPr>
                  </w:pPr>
                  <w:r>
                    <w:rPr>
                      <w:rFonts w:hint="default" w:ascii="Times New Roman" w:hAnsi="Times New Roman" w:cs="Times New Roman"/>
                      <w:i w:val="0"/>
                      <w:iCs w:val="0"/>
                      <w:color w:val="auto"/>
                      <w:spacing w:val="0"/>
                      <w:w w:val="100"/>
                      <w:position w:val="0"/>
                      <w:sz w:val="21"/>
                      <w:highlight w:val="none"/>
                    </w:rPr>
                    <w:t>Q≥1</w:t>
                  </w:r>
                </w:p>
              </w:tc>
              <w:tc>
                <w:tcPr>
                  <w:tcW w:w="3153" w:type="pct"/>
                  <w:tcBorders>
                    <w:top w:val="single" w:color="auto" w:sz="4" w:space="0"/>
                    <w:bottom w:val="single" w:color="auto" w:sz="4" w:space="0"/>
                  </w:tcBorders>
                  <w:noWrap w:val="0"/>
                  <w:vAlign w:val="center"/>
                </w:tcPr>
                <w:p w14:paraId="44844F93">
                  <w:pPr>
                    <w:pStyle w:val="61"/>
                    <w:keepNext w:val="0"/>
                    <w:keepLines w:val="0"/>
                    <w:pageBreakBefore w:val="0"/>
                    <w:shd w:val="clear"/>
                    <w:kinsoku/>
                    <w:overflowPunct/>
                    <w:topLinePunct w:val="0"/>
                    <w:bidi w:val="0"/>
                    <w:adjustRightInd w:val="0"/>
                    <w:spacing w:beforeAutospacing="0" w:afterAutospacing="0" w:line="240" w:lineRule="auto"/>
                    <w:ind w:left="0" w:leftChars="0" w:right="0" w:firstLine="0" w:firstLineChars="0"/>
                    <w:jc w:val="center"/>
                    <w:rPr>
                      <w:rFonts w:hint="default" w:ascii="Times New Roman" w:hAnsi="Times New Roman" w:cs="Times New Roman"/>
                      <w:i w:val="0"/>
                      <w:iCs w:val="0"/>
                      <w:color w:val="auto"/>
                      <w:spacing w:val="0"/>
                      <w:w w:val="100"/>
                      <w:position w:val="0"/>
                      <w:sz w:val="21"/>
                      <w:highlight w:val="none"/>
                    </w:rPr>
                  </w:pPr>
                  <w:r>
                    <w:rPr>
                      <w:rFonts w:hint="default" w:ascii="Times New Roman" w:hAnsi="Times New Roman" w:cs="Times New Roman"/>
                      <w:i w:val="0"/>
                      <w:iCs w:val="0"/>
                      <w:color w:val="auto"/>
                      <w:spacing w:val="0"/>
                      <w:w w:val="100"/>
                      <w:position w:val="0"/>
                      <w:sz w:val="21"/>
                      <w:highlight w:val="none"/>
                    </w:rPr>
                    <w:t>1≤Q＜10</w:t>
                  </w:r>
                </w:p>
              </w:tc>
            </w:tr>
            <w:tr w14:paraId="111059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5" w:type="pct"/>
                  <w:tcBorders>
                    <w:top w:val="single" w:color="auto" w:sz="4" w:space="0"/>
                    <w:bottom w:val="single" w:color="auto" w:sz="4" w:space="0"/>
                  </w:tcBorders>
                  <w:noWrap w:val="0"/>
                  <w:vAlign w:val="center"/>
                </w:tcPr>
                <w:p w14:paraId="565C1B62">
                  <w:pPr>
                    <w:pStyle w:val="61"/>
                    <w:keepNext w:val="0"/>
                    <w:keepLines w:val="0"/>
                    <w:pageBreakBefore w:val="0"/>
                    <w:shd w:val="clear"/>
                    <w:kinsoku/>
                    <w:overflowPunct/>
                    <w:topLinePunct w:val="0"/>
                    <w:bidi w:val="0"/>
                    <w:adjustRightInd w:val="0"/>
                    <w:spacing w:beforeAutospacing="0" w:afterAutospacing="0" w:line="240" w:lineRule="auto"/>
                    <w:ind w:left="0" w:leftChars="0" w:right="0" w:firstLine="0" w:firstLineChars="0"/>
                    <w:jc w:val="center"/>
                    <w:rPr>
                      <w:rFonts w:hint="default" w:ascii="Times New Roman" w:hAnsi="Times New Roman" w:cs="Times New Roman"/>
                      <w:i w:val="0"/>
                      <w:iCs w:val="0"/>
                      <w:color w:val="auto"/>
                      <w:spacing w:val="0"/>
                      <w:w w:val="100"/>
                      <w:position w:val="0"/>
                      <w:sz w:val="21"/>
                      <w:highlight w:val="none"/>
                    </w:rPr>
                  </w:pPr>
                  <w:r>
                    <w:rPr>
                      <w:rFonts w:hint="default" w:ascii="Times New Roman" w:hAnsi="Times New Roman" w:cs="Times New Roman"/>
                      <w:i w:val="0"/>
                      <w:iCs w:val="0"/>
                      <w:color w:val="auto"/>
                      <w:spacing w:val="0"/>
                      <w:w w:val="100"/>
                      <w:position w:val="0"/>
                      <w:sz w:val="21"/>
                      <w:highlight w:val="none"/>
                    </w:rPr>
                    <w:t>3</w:t>
                  </w:r>
                </w:p>
              </w:tc>
              <w:tc>
                <w:tcPr>
                  <w:tcW w:w="1050" w:type="pct"/>
                  <w:vMerge w:val="continue"/>
                  <w:noWrap w:val="0"/>
                  <w:vAlign w:val="center"/>
                </w:tcPr>
                <w:p w14:paraId="3360AD3A">
                  <w:pPr>
                    <w:pStyle w:val="61"/>
                    <w:keepNext w:val="0"/>
                    <w:keepLines w:val="0"/>
                    <w:pageBreakBefore w:val="0"/>
                    <w:shd w:val="clear"/>
                    <w:kinsoku/>
                    <w:overflowPunct/>
                    <w:topLinePunct w:val="0"/>
                    <w:bidi w:val="0"/>
                    <w:adjustRightInd w:val="0"/>
                    <w:spacing w:beforeAutospacing="0" w:afterAutospacing="0" w:line="240" w:lineRule="auto"/>
                    <w:ind w:left="0" w:leftChars="0" w:right="0" w:firstLine="0" w:firstLineChars="0"/>
                    <w:jc w:val="center"/>
                    <w:rPr>
                      <w:rFonts w:hint="default" w:ascii="Times New Roman" w:hAnsi="Times New Roman" w:cs="Times New Roman"/>
                      <w:i w:val="0"/>
                      <w:iCs w:val="0"/>
                      <w:color w:val="auto"/>
                      <w:spacing w:val="0"/>
                      <w:w w:val="100"/>
                      <w:position w:val="0"/>
                      <w:sz w:val="21"/>
                      <w:highlight w:val="none"/>
                    </w:rPr>
                  </w:pPr>
                </w:p>
              </w:tc>
              <w:tc>
                <w:tcPr>
                  <w:tcW w:w="3153" w:type="pct"/>
                  <w:tcBorders>
                    <w:top w:val="single" w:color="auto" w:sz="4" w:space="0"/>
                    <w:bottom w:val="single" w:color="auto" w:sz="4" w:space="0"/>
                  </w:tcBorders>
                  <w:noWrap w:val="0"/>
                  <w:vAlign w:val="center"/>
                </w:tcPr>
                <w:p w14:paraId="1A8539A1">
                  <w:pPr>
                    <w:pStyle w:val="61"/>
                    <w:keepNext w:val="0"/>
                    <w:keepLines w:val="0"/>
                    <w:pageBreakBefore w:val="0"/>
                    <w:shd w:val="clear"/>
                    <w:kinsoku/>
                    <w:overflowPunct/>
                    <w:topLinePunct w:val="0"/>
                    <w:bidi w:val="0"/>
                    <w:adjustRightInd w:val="0"/>
                    <w:spacing w:beforeAutospacing="0" w:afterAutospacing="0" w:line="240" w:lineRule="auto"/>
                    <w:ind w:left="0" w:leftChars="0" w:right="0" w:firstLine="0" w:firstLineChars="0"/>
                    <w:jc w:val="center"/>
                    <w:rPr>
                      <w:rFonts w:hint="default" w:ascii="Times New Roman" w:hAnsi="Times New Roman" w:cs="Times New Roman"/>
                      <w:i w:val="0"/>
                      <w:iCs w:val="0"/>
                      <w:color w:val="auto"/>
                      <w:spacing w:val="0"/>
                      <w:w w:val="100"/>
                      <w:position w:val="0"/>
                      <w:sz w:val="21"/>
                      <w:highlight w:val="none"/>
                    </w:rPr>
                  </w:pPr>
                  <w:r>
                    <w:rPr>
                      <w:rFonts w:hint="default" w:ascii="Times New Roman" w:hAnsi="Times New Roman" w:cs="Times New Roman"/>
                      <w:i w:val="0"/>
                      <w:iCs w:val="0"/>
                      <w:color w:val="auto"/>
                      <w:spacing w:val="0"/>
                      <w:w w:val="100"/>
                      <w:position w:val="0"/>
                      <w:sz w:val="21"/>
                      <w:highlight w:val="none"/>
                    </w:rPr>
                    <w:t>10≤Q＜100</w:t>
                  </w:r>
                </w:p>
              </w:tc>
            </w:tr>
            <w:tr w14:paraId="44BA42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795" w:type="pct"/>
                  <w:tcBorders>
                    <w:top w:val="single" w:color="auto" w:sz="4" w:space="0"/>
                  </w:tcBorders>
                  <w:noWrap w:val="0"/>
                  <w:vAlign w:val="center"/>
                </w:tcPr>
                <w:p w14:paraId="45B2761E">
                  <w:pPr>
                    <w:pStyle w:val="61"/>
                    <w:keepNext w:val="0"/>
                    <w:keepLines w:val="0"/>
                    <w:pageBreakBefore w:val="0"/>
                    <w:shd w:val="clear"/>
                    <w:kinsoku/>
                    <w:overflowPunct/>
                    <w:topLinePunct w:val="0"/>
                    <w:bidi w:val="0"/>
                    <w:adjustRightInd w:val="0"/>
                    <w:spacing w:beforeAutospacing="0" w:afterAutospacing="0" w:line="240" w:lineRule="auto"/>
                    <w:ind w:left="0" w:leftChars="0" w:right="0" w:firstLine="0" w:firstLineChars="0"/>
                    <w:jc w:val="center"/>
                    <w:rPr>
                      <w:rFonts w:hint="default" w:ascii="Times New Roman" w:hAnsi="Times New Roman" w:cs="Times New Roman"/>
                      <w:i w:val="0"/>
                      <w:iCs w:val="0"/>
                      <w:color w:val="auto"/>
                      <w:spacing w:val="0"/>
                      <w:w w:val="100"/>
                      <w:position w:val="0"/>
                      <w:sz w:val="21"/>
                      <w:highlight w:val="none"/>
                    </w:rPr>
                  </w:pPr>
                  <w:r>
                    <w:rPr>
                      <w:rFonts w:hint="default" w:ascii="Times New Roman" w:hAnsi="Times New Roman" w:cs="Times New Roman"/>
                      <w:i w:val="0"/>
                      <w:iCs w:val="0"/>
                      <w:color w:val="auto"/>
                      <w:spacing w:val="0"/>
                      <w:w w:val="100"/>
                      <w:position w:val="0"/>
                      <w:sz w:val="21"/>
                      <w:highlight w:val="none"/>
                    </w:rPr>
                    <w:t>4</w:t>
                  </w:r>
                </w:p>
              </w:tc>
              <w:tc>
                <w:tcPr>
                  <w:tcW w:w="1050" w:type="pct"/>
                  <w:vMerge w:val="continue"/>
                  <w:noWrap w:val="0"/>
                  <w:vAlign w:val="center"/>
                </w:tcPr>
                <w:p w14:paraId="2757BAED">
                  <w:pPr>
                    <w:pStyle w:val="61"/>
                    <w:keepNext w:val="0"/>
                    <w:keepLines w:val="0"/>
                    <w:pageBreakBefore w:val="0"/>
                    <w:shd w:val="clear"/>
                    <w:kinsoku/>
                    <w:overflowPunct/>
                    <w:topLinePunct w:val="0"/>
                    <w:bidi w:val="0"/>
                    <w:adjustRightInd w:val="0"/>
                    <w:spacing w:beforeAutospacing="0" w:afterAutospacing="0" w:line="240" w:lineRule="auto"/>
                    <w:ind w:left="0" w:leftChars="0" w:right="0" w:firstLine="0" w:firstLineChars="0"/>
                    <w:jc w:val="center"/>
                    <w:rPr>
                      <w:rFonts w:hint="default" w:ascii="Times New Roman" w:hAnsi="Times New Roman" w:cs="Times New Roman"/>
                      <w:i w:val="0"/>
                      <w:iCs w:val="0"/>
                      <w:color w:val="auto"/>
                      <w:spacing w:val="0"/>
                      <w:w w:val="100"/>
                      <w:position w:val="0"/>
                      <w:sz w:val="21"/>
                      <w:highlight w:val="none"/>
                    </w:rPr>
                  </w:pPr>
                </w:p>
              </w:tc>
              <w:tc>
                <w:tcPr>
                  <w:tcW w:w="3153" w:type="pct"/>
                  <w:tcBorders>
                    <w:top w:val="single" w:color="auto" w:sz="4" w:space="0"/>
                  </w:tcBorders>
                  <w:noWrap w:val="0"/>
                  <w:vAlign w:val="center"/>
                </w:tcPr>
                <w:p w14:paraId="7F83CE77">
                  <w:pPr>
                    <w:pStyle w:val="61"/>
                    <w:keepNext w:val="0"/>
                    <w:keepLines w:val="0"/>
                    <w:pageBreakBefore w:val="0"/>
                    <w:shd w:val="clear"/>
                    <w:kinsoku/>
                    <w:overflowPunct/>
                    <w:topLinePunct w:val="0"/>
                    <w:bidi w:val="0"/>
                    <w:adjustRightInd w:val="0"/>
                    <w:spacing w:beforeAutospacing="0" w:afterAutospacing="0" w:line="240" w:lineRule="auto"/>
                    <w:ind w:left="0" w:leftChars="0" w:right="0" w:firstLine="0" w:firstLineChars="0"/>
                    <w:jc w:val="center"/>
                    <w:rPr>
                      <w:rFonts w:hint="default" w:ascii="Times New Roman" w:hAnsi="Times New Roman" w:cs="Times New Roman"/>
                      <w:i w:val="0"/>
                      <w:iCs w:val="0"/>
                      <w:color w:val="auto"/>
                      <w:spacing w:val="0"/>
                      <w:w w:val="100"/>
                      <w:position w:val="0"/>
                      <w:sz w:val="21"/>
                      <w:highlight w:val="none"/>
                    </w:rPr>
                  </w:pPr>
                  <w:r>
                    <w:rPr>
                      <w:rFonts w:hint="default" w:ascii="Times New Roman" w:hAnsi="Times New Roman" w:cs="Times New Roman"/>
                      <w:i w:val="0"/>
                      <w:iCs w:val="0"/>
                      <w:color w:val="auto"/>
                      <w:spacing w:val="0"/>
                      <w:w w:val="100"/>
                      <w:position w:val="0"/>
                      <w:sz w:val="21"/>
                      <w:highlight w:val="none"/>
                    </w:rPr>
                    <w:t>Q≥100</w:t>
                  </w:r>
                </w:p>
              </w:tc>
            </w:tr>
          </w:tbl>
          <w:p w14:paraId="4B9B9841">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根据本项目实际情况，计算得Q值为2×10</w:t>
            </w:r>
            <w:r>
              <w:rPr>
                <w:rFonts w:hint="default" w:ascii="Times New Roman" w:hAnsi="Times New Roman" w:cs="Times New Roman"/>
                <w:i w:val="0"/>
                <w:iCs w:val="0"/>
                <w:color w:val="auto"/>
                <w:spacing w:val="0"/>
                <w:w w:val="100"/>
                <w:position w:val="0"/>
                <w:highlight w:val="none"/>
                <w:vertAlign w:val="superscript"/>
              </w:rPr>
              <w:t>-4</w:t>
            </w:r>
            <w:r>
              <w:rPr>
                <w:rFonts w:hint="default" w:ascii="Times New Roman" w:hAnsi="Times New Roman" w:cs="Times New Roman"/>
                <w:i w:val="0"/>
                <w:iCs w:val="0"/>
                <w:color w:val="auto"/>
                <w:spacing w:val="0"/>
                <w:w w:val="100"/>
                <w:position w:val="0"/>
                <w:highlight w:val="none"/>
              </w:rPr>
              <w:t>，Q＜1，确定项目风险潜势为I。</w:t>
            </w:r>
          </w:p>
          <w:p w14:paraId="6574B37F">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b/>
                <w:bCs/>
                <w:i w:val="0"/>
                <w:iCs w:val="0"/>
                <w:color w:val="auto"/>
                <w:spacing w:val="0"/>
                <w:w w:val="100"/>
                <w:position w:val="0"/>
                <w:highlight w:val="none"/>
              </w:rPr>
            </w:pPr>
            <w:r>
              <w:rPr>
                <w:rFonts w:hint="default" w:ascii="Times New Roman" w:hAnsi="Times New Roman" w:cs="Times New Roman"/>
                <w:b/>
                <w:bCs/>
                <w:i w:val="0"/>
                <w:iCs w:val="0"/>
                <w:color w:val="auto"/>
                <w:spacing w:val="0"/>
                <w:w w:val="100"/>
                <w:position w:val="0"/>
                <w:highlight w:val="none"/>
                <w:lang w:val="en-US" w:eastAsia="zh-CN"/>
              </w:rPr>
              <w:t>（2）</w:t>
            </w:r>
            <w:r>
              <w:rPr>
                <w:rFonts w:hint="default" w:ascii="Times New Roman" w:hAnsi="Times New Roman" w:cs="Times New Roman"/>
                <w:b/>
                <w:bCs/>
                <w:i w:val="0"/>
                <w:iCs w:val="0"/>
                <w:color w:val="auto"/>
                <w:spacing w:val="0"/>
                <w:w w:val="100"/>
                <w:position w:val="0"/>
                <w:highlight w:val="none"/>
              </w:rPr>
              <w:t>评价等级划分</w:t>
            </w:r>
          </w:p>
          <w:p w14:paraId="08B70433">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根据《建设项目环境风险评价技术导则》（HJ/T169-2018）确定本项目评价等级，环境风险评价等级划分见表4-1</w:t>
            </w:r>
            <w:r>
              <w:rPr>
                <w:rFonts w:hint="default" w:ascii="Times New Roman" w:hAnsi="Times New Roman" w:cs="Times New Roman"/>
                <w:i w:val="0"/>
                <w:iCs w:val="0"/>
                <w:color w:val="auto"/>
                <w:spacing w:val="0"/>
                <w:w w:val="100"/>
                <w:position w:val="0"/>
                <w:highlight w:val="none"/>
                <w:lang w:val="en-US" w:eastAsia="zh-CN"/>
              </w:rPr>
              <w:t>1</w:t>
            </w:r>
            <w:r>
              <w:rPr>
                <w:rFonts w:hint="default" w:ascii="Times New Roman" w:hAnsi="Times New Roman" w:cs="Times New Roman"/>
                <w:i w:val="0"/>
                <w:iCs w:val="0"/>
                <w:color w:val="auto"/>
                <w:spacing w:val="0"/>
                <w:w w:val="100"/>
                <w:position w:val="0"/>
                <w:highlight w:val="none"/>
              </w:rPr>
              <w:t>。</w:t>
            </w:r>
          </w:p>
          <w:p w14:paraId="490B3C53">
            <w:pPr>
              <w:pStyle w:val="84"/>
              <w:keepNext w:val="0"/>
              <w:keepLines w:val="0"/>
              <w:pageBreakBefore w:val="0"/>
              <w:shd w:val="clear"/>
              <w:kinsoku/>
              <w:overflowPunct/>
              <w:topLinePunct w:val="0"/>
              <w:bidi w:val="0"/>
              <w:spacing w:beforeAutospacing="0" w:afterAutospacing="0" w:line="240" w:lineRule="auto"/>
              <w:ind w:left="0" w:leftChars="0" w:right="0"/>
              <w:jc w:val="center"/>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表4-1</w:t>
            </w:r>
            <w:r>
              <w:rPr>
                <w:rFonts w:hint="default" w:ascii="Times New Roman" w:hAnsi="Times New Roman" w:cs="Times New Roman"/>
                <w:i w:val="0"/>
                <w:iCs w:val="0"/>
                <w:color w:val="auto"/>
                <w:spacing w:val="0"/>
                <w:w w:val="100"/>
                <w:position w:val="0"/>
                <w:highlight w:val="none"/>
                <w:lang w:val="en-US" w:eastAsia="zh-CN"/>
              </w:rPr>
              <w:t>1</w:t>
            </w:r>
            <w:r>
              <w:rPr>
                <w:rFonts w:hint="default" w:ascii="Times New Roman" w:hAnsi="Times New Roman" w:cs="Times New Roman"/>
                <w:i w:val="0"/>
                <w:iCs w:val="0"/>
                <w:color w:val="auto"/>
                <w:spacing w:val="0"/>
                <w:w w:val="100"/>
                <w:position w:val="0"/>
                <w:highlight w:val="none"/>
              </w:rPr>
              <w:t xml:space="preserve">  </w:t>
            </w:r>
            <w:r>
              <w:rPr>
                <w:rFonts w:hint="default" w:ascii="Times New Roman" w:hAnsi="Times New Roman" w:cs="Times New Roman"/>
                <w:i w:val="0"/>
                <w:iCs w:val="0"/>
                <w:color w:val="auto"/>
                <w:spacing w:val="0"/>
                <w:w w:val="100"/>
                <w:position w:val="0"/>
                <w:highlight w:val="none"/>
                <w:lang w:val="en-US" w:eastAsia="zh-CN"/>
              </w:rPr>
              <w:t xml:space="preserve"> </w:t>
            </w:r>
            <w:r>
              <w:rPr>
                <w:rFonts w:hint="default" w:ascii="Times New Roman" w:hAnsi="Times New Roman" w:cs="Times New Roman"/>
                <w:i w:val="0"/>
                <w:iCs w:val="0"/>
                <w:color w:val="auto"/>
                <w:spacing w:val="0"/>
                <w:w w:val="100"/>
                <w:position w:val="0"/>
                <w:highlight w:val="none"/>
              </w:rPr>
              <w:t xml:space="preserve"> 评价工作等级</w:t>
            </w:r>
          </w:p>
          <w:tbl>
            <w:tblPr>
              <w:tblStyle w:val="31"/>
              <w:tblW w:w="4997"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32"/>
              <w:gridCol w:w="1532"/>
              <w:gridCol w:w="1532"/>
              <w:gridCol w:w="1532"/>
              <w:gridCol w:w="1539"/>
            </w:tblGrid>
            <w:tr w14:paraId="5CB90E1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99" w:type="pct"/>
                  <w:noWrap w:val="0"/>
                  <w:vAlign w:val="center"/>
                </w:tcPr>
                <w:p w14:paraId="1F1EBCD9">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环境风险潜势</w:t>
                  </w:r>
                </w:p>
              </w:tc>
              <w:tc>
                <w:tcPr>
                  <w:tcW w:w="999" w:type="pct"/>
                  <w:noWrap w:val="0"/>
                  <w:vAlign w:val="center"/>
                </w:tcPr>
                <w:p w14:paraId="73655DBB">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IV、IV</w:t>
                  </w:r>
                  <w:r>
                    <w:rPr>
                      <w:rFonts w:hint="default" w:ascii="Times New Roman" w:hAnsi="Times New Roman" w:cs="Times New Roman"/>
                      <w:i w:val="0"/>
                      <w:iCs w:val="0"/>
                      <w:color w:val="auto"/>
                      <w:spacing w:val="0"/>
                      <w:w w:val="100"/>
                      <w:position w:val="0"/>
                      <w:highlight w:val="none"/>
                      <w:vertAlign w:val="superscript"/>
                    </w:rPr>
                    <w:t>+</w:t>
                  </w:r>
                </w:p>
              </w:tc>
              <w:tc>
                <w:tcPr>
                  <w:tcW w:w="999" w:type="pct"/>
                  <w:noWrap w:val="0"/>
                  <w:vAlign w:val="center"/>
                </w:tcPr>
                <w:p w14:paraId="2B923FE4">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III</w:t>
                  </w:r>
                </w:p>
              </w:tc>
              <w:tc>
                <w:tcPr>
                  <w:tcW w:w="999" w:type="pct"/>
                  <w:noWrap w:val="0"/>
                  <w:vAlign w:val="center"/>
                </w:tcPr>
                <w:p w14:paraId="2A9F500D">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II</w:t>
                  </w:r>
                </w:p>
              </w:tc>
              <w:tc>
                <w:tcPr>
                  <w:tcW w:w="1002" w:type="pct"/>
                  <w:noWrap w:val="0"/>
                  <w:vAlign w:val="center"/>
                </w:tcPr>
                <w:p w14:paraId="77AAF036">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I</w:t>
                  </w:r>
                </w:p>
              </w:tc>
            </w:tr>
            <w:tr w14:paraId="4C513E6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99" w:type="pct"/>
                  <w:noWrap w:val="0"/>
                  <w:vAlign w:val="center"/>
                </w:tcPr>
                <w:p w14:paraId="374F930C">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评价工作等级</w:t>
                  </w:r>
                </w:p>
              </w:tc>
              <w:tc>
                <w:tcPr>
                  <w:tcW w:w="999" w:type="pct"/>
                  <w:noWrap w:val="0"/>
                  <w:vAlign w:val="center"/>
                </w:tcPr>
                <w:p w14:paraId="008F13CF">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一</w:t>
                  </w:r>
                </w:p>
              </w:tc>
              <w:tc>
                <w:tcPr>
                  <w:tcW w:w="999" w:type="pct"/>
                  <w:noWrap w:val="0"/>
                  <w:vAlign w:val="center"/>
                </w:tcPr>
                <w:p w14:paraId="1E4F4C5B">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二</w:t>
                  </w:r>
                </w:p>
              </w:tc>
              <w:tc>
                <w:tcPr>
                  <w:tcW w:w="999" w:type="pct"/>
                  <w:noWrap w:val="0"/>
                  <w:vAlign w:val="center"/>
                </w:tcPr>
                <w:p w14:paraId="0276B8EA">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三</w:t>
                  </w:r>
                </w:p>
              </w:tc>
              <w:tc>
                <w:tcPr>
                  <w:tcW w:w="1002" w:type="pct"/>
                  <w:noWrap w:val="0"/>
                  <w:vAlign w:val="center"/>
                </w:tcPr>
                <w:p w14:paraId="5101563D">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简单分析</w:t>
                  </w:r>
                  <w:r>
                    <w:rPr>
                      <w:rFonts w:hint="default" w:ascii="Times New Roman" w:hAnsi="Times New Roman" w:cs="Times New Roman"/>
                      <w:i w:val="0"/>
                      <w:iCs w:val="0"/>
                      <w:color w:val="auto"/>
                      <w:spacing w:val="0"/>
                      <w:w w:val="100"/>
                      <w:position w:val="0"/>
                      <w:highlight w:val="none"/>
                      <w:vertAlign w:val="superscript"/>
                    </w:rPr>
                    <w:t>a</w:t>
                  </w:r>
                </w:p>
              </w:tc>
            </w:tr>
            <w:tr w14:paraId="553AAF9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000" w:type="pct"/>
                  <w:gridSpan w:val="5"/>
                  <w:noWrap w:val="0"/>
                  <w:vAlign w:val="center"/>
                </w:tcPr>
                <w:p w14:paraId="7009CAA5">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i w:val="0"/>
                      <w:iCs w:val="0"/>
                      <w:color w:val="auto"/>
                      <w:spacing w:val="0"/>
                      <w:w w:val="100"/>
                      <w:position w:val="0"/>
                      <w:sz w:val="18"/>
                      <w:szCs w:val="18"/>
                      <w:highlight w:val="none"/>
                    </w:rPr>
                  </w:pPr>
                  <w:r>
                    <w:rPr>
                      <w:rFonts w:hint="default" w:ascii="Times New Roman" w:hAnsi="Times New Roman" w:cs="Times New Roman"/>
                      <w:i w:val="0"/>
                      <w:iCs w:val="0"/>
                      <w:color w:val="auto"/>
                      <w:spacing w:val="0"/>
                      <w:w w:val="100"/>
                      <w:position w:val="0"/>
                      <w:sz w:val="18"/>
                      <w:szCs w:val="18"/>
                      <w:highlight w:val="none"/>
                    </w:rPr>
                    <w:t>a 是相对于详细评价工作内容而言，在描述危险物质、环境影响途径、环境危害后果、风险防范措施等方面给出定性的说明。</w:t>
                  </w:r>
                </w:p>
              </w:tc>
            </w:tr>
          </w:tbl>
          <w:p w14:paraId="51AC7F3E">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计算得本项目Q＜1，项目风险潜势为I，因此确定评价工作等级为简单分析。根据简单分析的要求，本项目在描述危险物质、环境影响途径、环境危害后果、风险防范措施等方面给出定性的说明。</w:t>
            </w:r>
          </w:p>
          <w:p w14:paraId="55B735E1">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b/>
                <w:bCs/>
                <w:i w:val="0"/>
                <w:iCs w:val="0"/>
                <w:color w:val="auto"/>
                <w:spacing w:val="0"/>
                <w:w w:val="100"/>
                <w:position w:val="0"/>
                <w:highlight w:val="none"/>
              </w:rPr>
            </w:pPr>
            <w:r>
              <w:rPr>
                <w:rFonts w:hint="default" w:ascii="Times New Roman" w:hAnsi="Times New Roman" w:cs="Times New Roman"/>
                <w:b/>
                <w:bCs/>
                <w:i w:val="0"/>
                <w:iCs w:val="0"/>
                <w:color w:val="auto"/>
                <w:spacing w:val="0"/>
                <w:w w:val="100"/>
                <w:position w:val="0"/>
                <w:highlight w:val="none"/>
                <w:lang w:eastAsia="zh-CN"/>
              </w:rPr>
              <w:t>（</w:t>
            </w:r>
            <w:r>
              <w:rPr>
                <w:rFonts w:hint="default" w:ascii="Times New Roman" w:hAnsi="Times New Roman" w:cs="Times New Roman"/>
                <w:b/>
                <w:bCs/>
                <w:i w:val="0"/>
                <w:iCs w:val="0"/>
                <w:color w:val="auto"/>
                <w:spacing w:val="0"/>
                <w:w w:val="100"/>
                <w:position w:val="0"/>
                <w:highlight w:val="none"/>
                <w:lang w:val="en-US" w:eastAsia="zh-CN"/>
              </w:rPr>
              <w:t>3</w:t>
            </w:r>
            <w:r>
              <w:rPr>
                <w:rFonts w:hint="default" w:ascii="Times New Roman" w:hAnsi="Times New Roman" w:cs="Times New Roman"/>
                <w:b/>
                <w:bCs/>
                <w:i w:val="0"/>
                <w:iCs w:val="0"/>
                <w:color w:val="auto"/>
                <w:spacing w:val="0"/>
                <w:w w:val="100"/>
                <w:position w:val="0"/>
                <w:highlight w:val="none"/>
                <w:lang w:eastAsia="zh-CN"/>
              </w:rPr>
              <w:t>）</w:t>
            </w:r>
            <w:r>
              <w:rPr>
                <w:rFonts w:hint="default" w:ascii="Times New Roman" w:hAnsi="Times New Roman" w:cs="Times New Roman"/>
                <w:b/>
                <w:bCs/>
                <w:i w:val="0"/>
                <w:iCs w:val="0"/>
                <w:color w:val="auto"/>
                <w:spacing w:val="0"/>
                <w:w w:val="100"/>
                <w:position w:val="0"/>
                <w:highlight w:val="none"/>
              </w:rPr>
              <w:t>环境风险识别</w:t>
            </w:r>
          </w:p>
          <w:p w14:paraId="4CE8C41F">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根据《建设项目环境风险评价技术导则》（HJ169-2018）内容，环境风险识别内容如下：</w:t>
            </w:r>
          </w:p>
          <w:p w14:paraId="7629A188">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lang w:val="en-US" w:eastAsia="zh-CN"/>
              </w:rPr>
              <w:t>①</w:t>
            </w:r>
            <w:r>
              <w:rPr>
                <w:rFonts w:hint="default" w:ascii="Times New Roman" w:hAnsi="Times New Roman" w:cs="Times New Roman"/>
                <w:i w:val="0"/>
                <w:iCs w:val="0"/>
                <w:color w:val="auto"/>
                <w:spacing w:val="0"/>
                <w:w w:val="100"/>
                <w:position w:val="0"/>
                <w:highlight w:val="none"/>
              </w:rPr>
              <w:t>危险性识别</w:t>
            </w:r>
          </w:p>
          <w:p w14:paraId="3ED0A07F">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lang w:val="zh-CN" w:bidi="ar"/>
              </w:rPr>
              <w:t>本项目涉及的风险物质</w:t>
            </w:r>
            <w:r>
              <w:rPr>
                <w:rFonts w:hint="default" w:ascii="Times New Roman" w:hAnsi="Times New Roman" w:cs="Times New Roman"/>
                <w:i w:val="0"/>
                <w:iCs w:val="0"/>
                <w:color w:val="auto"/>
                <w:spacing w:val="0"/>
                <w:w w:val="100"/>
                <w:position w:val="0"/>
                <w:highlight w:val="none"/>
              </w:rPr>
              <w:t>为</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危险特性见表4-1</w:t>
            </w:r>
            <w:r>
              <w:rPr>
                <w:rFonts w:hint="default" w:ascii="Times New Roman" w:hAnsi="Times New Roman" w:cs="Times New Roman"/>
                <w:i w:val="0"/>
                <w:iCs w:val="0"/>
                <w:color w:val="auto"/>
                <w:spacing w:val="0"/>
                <w:w w:val="100"/>
                <w:position w:val="0"/>
                <w:highlight w:val="none"/>
                <w:lang w:val="en-US" w:eastAsia="zh-CN"/>
              </w:rPr>
              <w:t>2</w:t>
            </w:r>
            <w:r>
              <w:rPr>
                <w:rFonts w:hint="default" w:ascii="Times New Roman" w:hAnsi="Times New Roman" w:cs="Times New Roman"/>
                <w:i w:val="0"/>
                <w:iCs w:val="0"/>
                <w:color w:val="auto"/>
                <w:spacing w:val="0"/>
                <w:w w:val="100"/>
                <w:position w:val="0"/>
                <w:highlight w:val="none"/>
              </w:rPr>
              <w:t>。</w:t>
            </w:r>
          </w:p>
          <w:p w14:paraId="3E6143D2">
            <w:pPr>
              <w:pStyle w:val="84"/>
              <w:keepNext w:val="0"/>
              <w:keepLines w:val="0"/>
              <w:pageBreakBefore w:val="0"/>
              <w:shd w:val="clear"/>
              <w:kinsoku/>
              <w:overflowPunct/>
              <w:topLinePunct w:val="0"/>
              <w:bidi w:val="0"/>
              <w:spacing w:beforeAutospacing="0" w:afterAutospacing="0"/>
              <w:ind w:left="0" w:leftChars="0" w:right="0"/>
              <w:jc w:val="center"/>
              <w:rPr>
                <w:rFonts w:hint="default" w:ascii="Times New Roman" w:hAnsi="Times New Roman" w:eastAsia="宋体" w:cs="Times New Roman"/>
                <w:b/>
                <w:bCs/>
                <w:i w:val="0"/>
                <w:iCs w:val="0"/>
                <w:color w:val="auto"/>
                <w:spacing w:val="0"/>
                <w:w w:val="100"/>
                <w:position w:val="0"/>
                <w:highlight w:val="none"/>
              </w:rPr>
            </w:pPr>
            <w:r>
              <w:rPr>
                <w:rFonts w:hint="default" w:ascii="Times New Roman" w:hAnsi="Times New Roman" w:eastAsia="宋体" w:cs="Times New Roman"/>
                <w:b/>
                <w:bCs/>
                <w:i w:val="0"/>
                <w:iCs w:val="0"/>
                <w:color w:val="auto"/>
                <w:spacing w:val="0"/>
                <w:w w:val="100"/>
                <w:position w:val="0"/>
                <w:highlight w:val="none"/>
              </w:rPr>
              <w:t>表4-1</w:t>
            </w:r>
            <w:r>
              <w:rPr>
                <w:rFonts w:hint="default" w:ascii="Times New Roman" w:hAnsi="Times New Roman" w:eastAsia="宋体" w:cs="Times New Roman"/>
                <w:b/>
                <w:bCs/>
                <w:i w:val="0"/>
                <w:iCs w:val="0"/>
                <w:color w:val="auto"/>
                <w:spacing w:val="0"/>
                <w:w w:val="100"/>
                <w:position w:val="0"/>
                <w:highlight w:val="none"/>
                <w:lang w:val="en-US" w:eastAsia="zh-CN"/>
              </w:rPr>
              <w:t>2</w:t>
            </w:r>
            <w:r>
              <w:rPr>
                <w:rFonts w:hint="default" w:ascii="Times New Roman" w:hAnsi="Times New Roman" w:eastAsia="宋体" w:cs="Times New Roman"/>
                <w:b/>
                <w:bCs/>
                <w:i w:val="0"/>
                <w:iCs w:val="0"/>
                <w:color w:val="auto"/>
                <w:spacing w:val="0"/>
                <w:w w:val="100"/>
                <w:position w:val="0"/>
                <w:highlight w:val="none"/>
              </w:rPr>
              <w:t xml:space="preserve">  </w:t>
            </w:r>
            <w:r>
              <w:rPr>
                <w:rFonts w:hint="default" w:ascii="Times New Roman" w:hAnsi="Times New Roman" w:eastAsia="宋体" w:cs="Times New Roman"/>
                <w:b/>
                <w:bCs/>
                <w:i w:val="0"/>
                <w:iCs w:val="0"/>
                <w:color w:val="auto"/>
                <w:spacing w:val="0"/>
                <w:w w:val="100"/>
                <w:position w:val="0"/>
                <w:highlight w:val="none"/>
                <w:lang w:val="en-US" w:eastAsia="zh-CN"/>
              </w:rPr>
              <w:t xml:space="preserve"> </w:t>
            </w:r>
            <w:r>
              <w:rPr>
                <w:rFonts w:hint="default" w:ascii="Times New Roman" w:hAnsi="Times New Roman" w:eastAsia="宋体" w:cs="Times New Roman"/>
                <w:b/>
                <w:bCs/>
                <w:i w:val="0"/>
                <w:iCs w:val="0"/>
                <w:color w:val="auto"/>
                <w:spacing w:val="0"/>
                <w:w w:val="100"/>
                <w:position w:val="0"/>
                <w:highlight w:val="none"/>
              </w:rPr>
              <w:t xml:space="preserve"> </w:t>
            </w:r>
            <w:r>
              <w:rPr>
                <w:rFonts w:hint="default" w:ascii="Times New Roman" w:hAnsi="Times New Roman" w:eastAsia="宋体" w:cs="Times New Roman"/>
                <w:b/>
                <w:bCs/>
                <w:i w:val="0"/>
                <w:iCs w:val="0"/>
                <w:color w:val="auto"/>
                <w:spacing w:val="0"/>
                <w:w w:val="100"/>
                <w:position w:val="0"/>
                <w:highlight w:val="none"/>
                <w:lang w:eastAsia="zh-CN"/>
              </w:rPr>
              <w:t>柴油</w:t>
            </w:r>
            <w:r>
              <w:rPr>
                <w:rFonts w:hint="default" w:ascii="Times New Roman" w:hAnsi="Times New Roman" w:eastAsia="宋体" w:cs="Times New Roman"/>
                <w:b/>
                <w:bCs/>
                <w:i w:val="0"/>
                <w:iCs w:val="0"/>
                <w:color w:val="auto"/>
                <w:spacing w:val="0"/>
                <w:w w:val="100"/>
                <w:position w:val="0"/>
                <w:highlight w:val="none"/>
              </w:rPr>
              <w:t>危害性质及应急处置</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6577"/>
            </w:tblGrid>
            <w:tr w14:paraId="1DF7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pct"/>
                  <w:vMerge w:val="restart"/>
                  <w:tcBorders>
                    <w:top w:val="single" w:color="auto" w:sz="12" w:space="0"/>
                    <w:left w:val="nil"/>
                  </w:tcBorders>
                  <w:noWrap w:val="0"/>
                  <w:vAlign w:val="center"/>
                </w:tcPr>
                <w:p w14:paraId="651F1504">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highlight w:val="none"/>
                    </w:rPr>
                  </w:pPr>
                  <w:r>
                    <w:rPr>
                      <w:rFonts w:hint="default" w:ascii="Times New Roman" w:hAnsi="Times New Roman" w:cs="Times New Roman"/>
                      <w:b/>
                      <w:bCs/>
                      <w:i w:val="0"/>
                      <w:iCs w:val="0"/>
                      <w:color w:val="auto"/>
                      <w:spacing w:val="0"/>
                      <w:w w:val="100"/>
                      <w:position w:val="0"/>
                      <w:highlight w:val="none"/>
                    </w:rPr>
                    <w:t>标识</w:t>
                  </w:r>
                </w:p>
              </w:tc>
              <w:tc>
                <w:tcPr>
                  <w:tcW w:w="4294" w:type="pct"/>
                  <w:tcBorders>
                    <w:top w:val="single" w:color="auto" w:sz="12" w:space="0"/>
                    <w:right w:val="nil"/>
                  </w:tcBorders>
                  <w:noWrap w:val="0"/>
                  <w:vAlign w:val="center"/>
                </w:tcPr>
                <w:p w14:paraId="24F6C59A">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i w:val="0"/>
                      <w:iCs w:val="0"/>
                      <w:color w:val="auto"/>
                      <w:spacing w:val="0"/>
                      <w:w w:val="100"/>
                      <w:position w:val="0"/>
                      <w:highlight w:val="none"/>
                      <w:lang w:eastAsia="zh-CN"/>
                    </w:rPr>
                  </w:pPr>
                  <w:r>
                    <w:rPr>
                      <w:rFonts w:hint="default" w:ascii="Times New Roman" w:hAnsi="Times New Roman" w:cs="Times New Roman"/>
                      <w:i w:val="0"/>
                      <w:iCs w:val="0"/>
                      <w:color w:val="auto"/>
                      <w:spacing w:val="0"/>
                      <w:w w:val="100"/>
                      <w:position w:val="0"/>
                      <w:highlight w:val="none"/>
                    </w:rPr>
                    <w:t>中文名：</w:t>
                  </w:r>
                  <w:r>
                    <w:rPr>
                      <w:rFonts w:hint="default" w:ascii="Times New Roman" w:hAnsi="Times New Roman" w:cs="Times New Roman"/>
                      <w:i w:val="0"/>
                      <w:iCs w:val="0"/>
                      <w:color w:val="auto"/>
                      <w:spacing w:val="0"/>
                      <w:w w:val="100"/>
                      <w:position w:val="0"/>
                      <w:highlight w:val="none"/>
                      <w:lang w:eastAsia="zh-CN"/>
                    </w:rPr>
                    <w:t>柴油</w:t>
                  </w:r>
                </w:p>
              </w:tc>
            </w:tr>
            <w:tr w14:paraId="358F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pct"/>
                  <w:vMerge w:val="continue"/>
                  <w:tcBorders>
                    <w:left w:val="nil"/>
                  </w:tcBorders>
                  <w:noWrap w:val="0"/>
                  <w:vAlign w:val="center"/>
                </w:tcPr>
                <w:p w14:paraId="76A34590">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highlight w:val="none"/>
                    </w:rPr>
                  </w:pPr>
                </w:p>
              </w:tc>
              <w:tc>
                <w:tcPr>
                  <w:tcW w:w="4294" w:type="pct"/>
                  <w:tcBorders>
                    <w:right w:val="nil"/>
                  </w:tcBorders>
                  <w:noWrap w:val="0"/>
                  <w:vAlign w:val="center"/>
                </w:tcPr>
                <w:p w14:paraId="7FEB1D46">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危险特性：T/In</w:t>
                  </w:r>
                </w:p>
              </w:tc>
            </w:tr>
            <w:tr w14:paraId="15EC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pct"/>
                  <w:tcBorders>
                    <w:left w:val="nil"/>
                  </w:tcBorders>
                  <w:noWrap w:val="0"/>
                  <w:vAlign w:val="center"/>
                </w:tcPr>
                <w:p w14:paraId="0A5AB34E">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highlight w:val="none"/>
                    </w:rPr>
                  </w:pPr>
                  <w:r>
                    <w:rPr>
                      <w:rFonts w:hint="default" w:ascii="Times New Roman" w:hAnsi="Times New Roman" w:cs="Times New Roman"/>
                      <w:b/>
                      <w:bCs/>
                      <w:i w:val="0"/>
                      <w:iCs w:val="0"/>
                      <w:color w:val="auto"/>
                      <w:spacing w:val="0"/>
                      <w:w w:val="100"/>
                      <w:position w:val="0"/>
                      <w:highlight w:val="none"/>
                    </w:rPr>
                    <w:t>理化性质</w:t>
                  </w:r>
                </w:p>
              </w:tc>
              <w:tc>
                <w:tcPr>
                  <w:tcW w:w="4294" w:type="pct"/>
                  <w:tcBorders>
                    <w:right w:val="nil"/>
                  </w:tcBorders>
                  <w:noWrap w:val="0"/>
                  <w:vAlign w:val="center"/>
                </w:tcPr>
                <w:p w14:paraId="63AFB94D">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形状：液体</w:t>
                  </w:r>
                </w:p>
              </w:tc>
            </w:tr>
            <w:tr w14:paraId="671E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pct"/>
                  <w:vMerge w:val="restart"/>
                  <w:tcBorders>
                    <w:left w:val="nil"/>
                  </w:tcBorders>
                  <w:noWrap w:val="0"/>
                  <w:vAlign w:val="center"/>
                </w:tcPr>
                <w:p w14:paraId="7801AA26">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highlight w:val="none"/>
                    </w:rPr>
                  </w:pPr>
                  <w:r>
                    <w:rPr>
                      <w:rFonts w:hint="default" w:ascii="Times New Roman" w:hAnsi="Times New Roman" w:cs="Times New Roman"/>
                      <w:b/>
                      <w:bCs/>
                      <w:i w:val="0"/>
                      <w:iCs w:val="0"/>
                      <w:color w:val="auto"/>
                      <w:spacing w:val="0"/>
                      <w:w w:val="100"/>
                      <w:position w:val="0"/>
                      <w:highlight w:val="none"/>
                    </w:rPr>
                    <w:t>燃烧爆炸危险特性</w:t>
                  </w:r>
                </w:p>
              </w:tc>
              <w:tc>
                <w:tcPr>
                  <w:tcW w:w="4294" w:type="pct"/>
                  <w:tcBorders>
                    <w:right w:val="nil"/>
                  </w:tcBorders>
                  <w:noWrap w:val="0"/>
                  <w:vAlign w:val="center"/>
                </w:tcPr>
                <w:p w14:paraId="74AA9E87">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燃爆危险：可燃</w:t>
                  </w:r>
                </w:p>
              </w:tc>
            </w:tr>
            <w:tr w14:paraId="14B4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pct"/>
                  <w:vMerge w:val="continue"/>
                  <w:tcBorders>
                    <w:left w:val="nil"/>
                  </w:tcBorders>
                  <w:noWrap w:val="0"/>
                  <w:vAlign w:val="center"/>
                </w:tcPr>
                <w:p w14:paraId="5B3FA951">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highlight w:val="none"/>
                    </w:rPr>
                  </w:pPr>
                </w:p>
              </w:tc>
              <w:tc>
                <w:tcPr>
                  <w:tcW w:w="4294" w:type="pct"/>
                  <w:tcBorders>
                    <w:right w:val="nil"/>
                  </w:tcBorders>
                  <w:noWrap w:val="0"/>
                  <w:vAlign w:val="center"/>
                </w:tcPr>
                <w:p w14:paraId="77053BFA">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危险特性：易燃、火灾、毒性</w:t>
                  </w:r>
                </w:p>
              </w:tc>
            </w:tr>
            <w:tr w14:paraId="471A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pct"/>
                  <w:vMerge w:val="continue"/>
                  <w:tcBorders>
                    <w:left w:val="nil"/>
                  </w:tcBorders>
                  <w:noWrap w:val="0"/>
                  <w:vAlign w:val="center"/>
                </w:tcPr>
                <w:p w14:paraId="691AB3CF">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highlight w:val="none"/>
                    </w:rPr>
                  </w:pPr>
                </w:p>
              </w:tc>
              <w:tc>
                <w:tcPr>
                  <w:tcW w:w="4294" w:type="pct"/>
                  <w:tcBorders>
                    <w:right w:val="nil"/>
                  </w:tcBorders>
                  <w:noWrap w:val="0"/>
                  <w:vAlign w:val="center"/>
                </w:tcPr>
                <w:p w14:paraId="0962576E">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燃烧分解产物：一氧化碳、碳氢化合物、氮氧化物</w:t>
                  </w:r>
                </w:p>
              </w:tc>
            </w:tr>
            <w:tr w14:paraId="2848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pct"/>
                  <w:vMerge w:val="continue"/>
                  <w:tcBorders>
                    <w:left w:val="nil"/>
                  </w:tcBorders>
                  <w:noWrap w:val="0"/>
                  <w:vAlign w:val="center"/>
                </w:tcPr>
                <w:p w14:paraId="7AEB9CBC">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highlight w:val="none"/>
                    </w:rPr>
                  </w:pPr>
                </w:p>
              </w:tc>
              <w:tc>
                <w:tcPr>
                  <w:tcW w:w="4294" w:type="pct"/>
                  <w:tcBorders>
                    <w:right w:val="nil"/>
                  </w:tcBorders>
                  <w:noWrap w:val="0"/>
                  <w:vAlign w:val="center"/>
                </w:tcPr>
                <w:p w14:paraId="6E75D214">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灭火方法：消防人员须佩戴防毒面具、穿全身消防服，在上风向灭火</w:t>
                  </w:r>
                </w:p>
              </w:tc>
            </w:tr>
            <w:tr w14:paraId="147C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pct"/>
                  <w:vMerge w:val="continue"/>
                  <w:tcBorders>
                    <w:left w:val="nil"/>
                  </w:tcBorders>
                  <w:noWrap w:val="0"/>
                  <w:vAlign w:val="center"/>
                </w:tcPr>
                <w:p w14:paraId="4A28CF9F">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highlight w:val="none"/>
                    </w:rPr>
                  </w:pPr>
                </w:p>
              </w:tc>
              <w:tc>
                <w:tcPr>
                  <w:tcW w:w="4294" w:type="pct"/>
                  <w:tcBorders>
                    <w:right w:val="nil"/>
                  </w:tcBorders>
                  <w:noWrap w:val="0"/>
                  <w:vAlign w:val="center"/>
                </w:tcPr>
                <w:p w14:paraId="49549223">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灭火剂：泡沫、干粉、二氧化碳、砂土</w:t>
                  </w:r>
                </w:p>
              </w:tc>
            </w:tr>
            <w:tr w14:paraId="3AD5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pct"/>
                  <w:vMerge w:val="restart"/>
                  <w:tcBorders>
                    <w:left w:val="nil"/>
                  </w:tcBorders>
                  <w:noWrap w:val="0"/>
                  <w:vAlign w:val="center"/>
                </w:tcPr>
                <w:p w14:paraId="6EBF2C90">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highlight w:val="none"/>
                    </w:rPr>
                  </w:pPr>
                  <w:r>
                    <w:rPr>
                      <w:rFonts w:hint="default" w:ascii="Times New Roman" w:hAnsi="Times New Roman" w:cs="Times New Roman"/>
                      <w:b/>
                      <w:bCs/>
                      <w:i w:val="0"/>
                      <w:iCs w:val="0"/>
                      <w:color w:val="auto"/>
                      <w:spacing w:val="0"/>
                      <w:w w:val="100"/>
                      <w:position w:val="0"/>
                      <w:highlight w:val="none"/>
                    </w:rPr>
                    <w:t>健康危害</w:t>
                  </w:r>
                </w:p>
              </w:tc>
              <w:tc>
                <w:tcPr>
                  <w:tcW w:w="4294" w:type="pct"/>
                  <w:tcBorders>
                    <w:right w:val="nil"/>
                  </w:tcBorders>
                  <w:noWrap w:val="0"/>
                  <w:vAlign w:val="center"/>
                </w:tcPr>
                <w:p w14:paraId="6C20638E">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侵入途径：食入、经皮吸入</w:t>
                  </w:r>
                </w:p>
              </w:tc>
            </w:tr>
            <w:tr w14:paraId="1A4E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pct"/>
                  <w:vMerge w:val="continue"/>
                  <w:tcBorders>
                    <w:left w:val="nil"/>
                  </w:tcBorders>
                  <w:noWrap w:val="0"/>
                  <w:vAlign w:val="center"/>
                </w:tcPr>
                <w:p w14:paraId="132C1568">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highlight w:val="none"/>
                    </w:rPr>
                  </w:pPr>
                </w:p>
              </w:tc>
              <w:tc>
                <w:tcPr>
                  <w:tcW w:w="4294" w:type="pct"/>
                  <w:tcBorders>
                    <w:right w:val="nil"/>
                  </w:tcBorders>
                  <w:noWrap w:val="0"/>
                  <w:vAlign w:val="center"/>
                </w:tcPr>
                <w:p w14:paraId="63497CBE">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健康危害：封闭毛孔，皮肤不能正常代谢，造成皮肤生理功能受损</w:t>
                  </w:r>
                </w:p>
              </w:tc>
            </w:tr>
            <w:tr w14:paraId="5B03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pct"/>
                  <w:tcBorders>
                    <w:left w:val="nil"/>
                  </w:tcBorders>
                  <w:noWrap w:val="0"/>
                  <w:vAlign w:val="center"/>
                </w:tcPr>
                <w:p w14:paraId="6B946ABB">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highlight w:val="none"/>
                    </w:rPr>
                  </w:pPr>
                  <w:r>
                    <w:rPr>
                      <w:rFonts w:hint="default" w:ascii="Times New Roman" w:hAnsi="Times New Roman" w:cs="Times New Roman"/>
                      <w:b/>
                      <w:bCs/>
                      <w:i w:val="0"/>
                      <w:iCs w:val="0"/>
                      <w:color w:val="auto"/>
                      <w:spacing w:val="0"/>
                      <w:w w:val="100"/>
                      <w:position w:val="0"/>
                      <w:highlight w:val="none"/>
                    </w:rPr>
                    <w:t>环境危害</w:t>
                  </w:r>
                </w:p>
              </w:tc>
              <w:tc>
                <w:tcPr>
                  <w:tcW w:w="4294" w:type="pct"/>
                  <w:tcBorders>
                    <w:right w:val="nil"/>
                  </w:tcBorders>
                  <w:noWrap w:val="0"/>
                  <w:vAlign w:val="center"/>
                </w:tcPr>
                <w:p w14:paraId="6676E59B">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对土壤、水体有危害</w:t>
                  </w:r>
                </w:p>
              </w:tc>
            </w:tr>
            <w:tr w14:paraId="7B67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pct"/>
                  <w:vMerge w:val="restart"/>
                  <w:tcBorders>
                    <w:left w:val="nil"/>
                  </w:tcBorders>
                  <w:noWrap w:val="0"/>
                  <w:vAlign w:val="center"/>
                </w:tcPr>
                <w:p w14:paraId="70D3C9A2">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highlight w:val="none"/>
                    </w:rPr>
                  </w:pPr>
                  <w:r>
                    <w:rPr>
                      <w:rFonts w:hint="default" w:ascii="Times New Roman" w:hAnsi="Times New Roman" w:cs="Times New Roman"/>
                      <w:b/>
                      <w:bCs/>
                      <w:i w:val="0"/>
                      <w:iCs w:val="0"/>
                      <w:color w:val="auto"/>
                      <w:spacing w:val="0"/>
                      <w:w w:val="100"/>
                      <w:position w:val="0"/>
                      <w:highlight w:val="none"/>
                    </w:rPr>
                    <w:t>急救措施</w:t>
                  </w:r>
                </w:p>
              </w:tc>
              <w:tc>
                <w:tcPr>
                  <w:tcW w:w="4294" w:type="pct"/>
                  <w:tcBorders>
                    <w:right w:val="nil"/>
                  </w:tcBorders>
                  <w:noWrap w:val="0"/>
                  <w:vAlign w:val="center"/>
                </w:tcPr>
                <w:p w14:paraId="6C48C313">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皮肤接触：及时清洗。</w:t>
                  </w:r>
                </w:p>
              </w:tc>
            </w:tr>
            <w:tr w14:paraId="74B7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pct"/>
                  <w:vMerge w:val="continue"/>
                  <w:tcBorders>
                    <w:left w:val="nil"/>
                  </w:tcBorders>
                  <w:noWrap w:val="0"/>
                  <w:vAlign w:val="center"/>
                </w:tcPr>
                <w:p w14:paraId="3A5B227F">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highlight w:val="none"/>
                    </w:rPr>
                  </w:pPr>
                </w:p>
              </w:tc>
              <w:tc>
                <w:tcPr>
                  <w:tcW w:w="4294" w:type="pct"/>
                  <w:tcBorders>
                    <w:right w:val="nil"/>
                  </w:tcBorders>
                  <w:noWrap w:val="0"/>
                  <w:vAlign w:val="center"/>
                </w:tcPr>
                <w:p w14:paraId="58CEF4CC">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眼睛接触：提起眼睑,用流动清水或生理盐水冲洗，就医</w:t>
                  </w:r>
                </w:p>
              </w:tc>
            </w:tr>
            <w:tr w14:paraId="0B1F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pct"/>
                  <w:vMerge w:val="continue"/>
                  <w:tcBorders>
                    <w:left w:val="nil"/>
                  </w:tcBorders>
                  <w:noWrap w:val="0"/>
                  <w:vAlign w:val="center"/>
                </w:tcPr>
                <w:p w14:paraId="7DE57F91">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highlight w:val="none"/>
                    </w:rPr>
                  </w:pPr>
                </w:p>
              </w:tc>
              <w:tc>
                <w:tcPr>
                  <w:tcW w:w="4294" w:type="pct"/>
                  <w:tcBorders>
                    <w:right w:val="nil"/>
                  </w:tcBorders>
                  <w:noWrap w:val="0"/>
                  <w:vAlign w:val="center"/>
                </w:tcPr>
                <w:p w14:paraId="40817C70">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食入：饮足量温水，催吐，就医</w:t>
                  </w:r>
                </w:p>
              </w:tc>
            </w:tr>
            <w:tr w14:paraId="77B2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pct"/>
                  <w:tcBorders>
                    <w:left w:val="nil"/>
                    <w:bottom w:val="single" w:color="auto" w:sz="4" w:space="0"/>
                  </w:tcBorders>
                  <w:noWrap w:val="0"/>
                  <w:vAlign w:val="center"/>
                </w:tcPr>
                <w:p w14:paraId="57A182D1">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highlight w:val="none"/>
                    </w:rPr>
                  </w:pPr>
                  <w:r>
                    <w:rPr>
                      <w:rFonts w:hint="default" w:ascii="Times New Roman" w:hAnsi="Times New Roman" w:cs="Times New Roman"/>
                      <w:b/>
                      <w:bCs/>
                      <w:i w:val="0"/>
                      <w:iCs w:val="0"/>
                      <w:color w:val="auto"/>
                      <w:spacing w:val="0"/>
                      <w:w w:val="100"/>
                      <w:position w:val="0"/>
                      <w:highlight w:val="none"/>
                    </w:rPr>
                    <w:t>防护措施</w:t>
                  </w:r>
                </w:p>
              </w:tc>
              <w:tc>
                <w:tcPr>
                  <w:tcW w:w="4294" w:type="pct"/>
                  <w:tcBorders>
                    <w:bottom w:val="single" w:color="auto" w:sz="4" w:space="0"/>
                    <w:right w:val="nil"/>
                  </w:tcBorders>
                  <w:noWrap w:val="0"/>
                  <w:vAlign w:val="center"/>
                </w:tcPr>
                <w:p w14:paraId="63F32C3B">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工程控制：提供良好的自然通风条件，地面采用防渗漏处理</w:t>
                  </w:r>
                </w:p>
                <w:p w14:paraId="146BA134">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眼睛防护：戴化学安全防护眼镜</w:t>
                  </w:r>
                </w:p>
                <w:p w14:paraId="2A89805B">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手防护：戴橡胶耐油手套</w:t>
                  </w:r>
                </w:p>
                <w:p w14:paraId="0B9806D4">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其它防护：工作现场严禁吸烟</w:t>
                  </w:r>
                </w:p>
              </w:tc>
            </w:tr>
            <w:tr w14:paraId="5EF3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pct"/>
                  <w:tcBorders>
                    <w:left w:val="nil"/>
                    <w:bottom w:val="single" w:color="auto" w:sz="12" w:space="0"/>
                  </w:tcBorders>
                  <w:noWrap w:val="0"/>
                  <w:vAlign w:val="center"/>
                </w:tcPr>
                <w:p w14:paraId="07222D92">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highlight w:val="none"/>
                    </w:rPr>
                  </w:pPr>
                  <w:r>
                    <w:rPr>
                      <w:rFonts w:hint="default" w:ascii="Times New Roman" w:hAnsi="Times New Roman" w:cs="Times New Roman"/>
                      <w:b/>
                      <w:bCs/>
                      <w:i w:val="0"/>
                      <w:iCs w:val="0"/>
                      <w:color w:val="auto"/>
                      <w:spacing w:val="0"/>
                      <w:w w:val="100"/>
                      <w:position w:val="0"/>
                      <w:highlight w:val="none"/>
                    </w:rPr>
                    <w:t>泄漏处理</w:t>
                  </w:r>
                </w:p>
              </w:tc>
              <w:tc>
                <w:tcPr>
                  <w:tcW w:w="4294" w:type="pct"/>
                  <w:tcBorders>
                    <w:bottom w:val="single" w:color="auto" w:sz="12" w:space="0"/>
                    <w:right w:val="nil"/>
                  </w:tcBorders>
                  <w:noWrap w:val="0"/>
                  <w:vAlign w:val="center"/>
                </w:tcPr>
                <w:p w14:paraId="4BA6D8AB">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应急处置：迅速撤离泄漏污染区人员至安全区,并进行隔离，严格限制出入。</w:t>
                  </w:r>
                </w:p>
                <w:p w14:paraId="616437AE">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建议应急处理人员戴自给正压式呼吸器，穿防毒服。</w:t>
                  </w:r>
                </w:p>
                <w:p w14:paraId="0E41468C">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尽可能切断泄漏源。防止流入下水道、排洪沟等限制性空间</w:t>
                  </w:r>
                </w:p>
              </w:tc>
            </w:tr>
          </w:tbl>
          <w:p w14:paraId="3EE0FDED">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lang w:val="en-US" w:eastAsia="zh-CN"/>
              </w:rPr>
              <w:t>②</w:t>
            </w:r>
            <w:r>
              <w:rPr>
                <w:rFonts w:hint="default" w:ascii="Times New Roman" w:hAnsi="Times New Roman" w:cs="Times New Roman"/>
                <w:i w:val="0"/>
                <w:iCs w:val="0"/>
                <w:color w:val="auto"/>
                <w:spacing w:val="0"/>
                <w:w w:val="100"/>
                <w:position w:val="0"/>
                <w:highlight w:val="none"/>
              </w:rPr>
              <w:t>环境风险类型</w:t>
            </w:r>
          </w:p>
          <w:p w14:paraId="484845E6">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本项目可能发生的事故包括：</w:t>
            </w:r>
          </w:p>
          <w:p w14:paraId="114F29CD">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①地质灾害为开采、堆放过程造成的滑坡；</w:t>
            </w:r>
          </w:p>
          <w:p w14:paraId="05027389">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②危险物质泄露造成环境污染。</w:t>
            </w:r>
          </w:p>
          <w:p w14:paraId="429BCC79">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b/>
                <w:bCs/>
                <w:i w:val="0"/>
                <w:iCs w:val="0"/>
                <w:color w:val="auto"/>
                <w:spacing w:val="0"/>
                <w:w w:val="100"/>
                <w:position w:val="0"/>
                <w:highlight w:val="none"/>
              </w:rPr>
            </w:pPr>
            <w:r>
              <w:rPr>
                <w:rFonts w:hint="default" w:ascii="Times New Roman" w:hAnsi="Times New Roman" w:cs="Times New Roman"/>
                <w:b/>
                <w:bCs/>
                <w:i w:val="0"/>
                <w:iCs w:val="0"/>
                <w:color w:val="auto"/>
                <w:spacing w:val="0"/>
                <w:w w:val="100"/>
                <w:position w:val="0"/>
                <w:highlight w:val="none"/>
                <w:lang w:eastAsia="zh-CN"/>
              </w:rPr>
              <w:t>（</w:t>
            </w:r>
            <w:r>
              <w:rPr>
                <w:rFonts w:hint="default" w:ascii="Times New Roman" w:hAnsi="Times New Roman" w:cs="Times New Roman"/>
                <w:b/>
                <w:bCs/>
                <w:i w:val="0"/>
                <w:iCs w:val="0"/>
                <w:color w:val="auto"/>
                <w:spacing w:val="0"/>
                <w:w w:val="100"/>
                <w:position w:val="0"/>
                <w:highlight w:val="none"/>
                <w:lang w:val="en-US" w:eastAsia="zh-CN"/>
              </w:rPr>
              <w:t>4</w:t>
            </w:r>
            <w:r>
              <w:rPr>
                <w:rFonts w:hint="default" w:ascii="Times New Roman" w:hAnsi="Times New Roman" w:cs="Times New Roman"/>
                <w:b/>
                <w:bCs/>
                <w:i w:val="0"/>
                <w:iCs w:val="0"/>
                <w:color w:val="auto"/>
                <w:spacing w:val="0"/>
                <w:w w:val="100"/>
                <w:position w:val="0"/>
                <w:highlight w:val="none"/>
                <w:lang w:eastAsia="zh-CN"/>
              </w:rPr>
              <w:t>）</w:t>
            </w:r>
            <w:r>
              <w:rPr>
                <w:rFonts w:hint="default" w:ascii="Times New Roman" w:hAnsi="Times New Roman" w:cs="Times New Roman"/>
                <w:b/>
                <w:bCs/>
                <w:i w:val="0"/>
                <w:iCs w:val="0"/>
                <w:color w:val="auto"/>
                <w:spacing w:val="0"/>
                <w:w w:val="100"/>
                <w:position w:val="0"/>
                <w:highlight w:val="none"/>
              </w:rPr>
              <w:t>环境风险影响分析</w:t>
            </w:r>
          </w:p>
          <w:p w14:paraId="0F380E4B">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lang w:val="en-US" w:eastAsia="zh-CN"/>
              </w:rPr>
              <w:t>①</w:t>
            </w:r>
            <w:r>
              <w:rPr>
                <w:rFonts w:hint="default" w:ascii="Times New Roman" w:hAnsi="Times New Roman" w:cs="Times New Roman"/>
                <w:i w:val="0"/>
                <w:iCs w:val="0"/>
                <w:color w:val="auto"/>
                <w:spacing w:val="0"/>
                <w:w w:val="100"/>
                <w:position w:val="0"/>
                <w:highlight w:val="none"/>
              </w:rPr>
              <w:t>地质灾害风险分析</w:t>
            </w:r>
          </w:p>
          <w:p w14:paraId="4270523A">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地质灾害主要是由于采挖作业造成的滑坡现象。滑坡是因边坡开挖后，破坏了岩体内部初始应力的平衡引起岩体大规模位移的现象。按破坏形式，滑坡可分为塌落和倾倒式破坏。滑坡发生时对处于危险区的设备、设施可能造成破坏，对处于危险区人员可能构成伤亡。</w:t>
            </w:r>
          </w:p>
          <w:p w14:paraId="430A9804">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引地起滑坡的主要原因有：不良地质条件；地压过高；凿岩不当；降水影响；维护加固不当；边坡过高过陡等。本项目产生的覆土、沉淀池底泥进行压实堆放，后期用于回填，主要应关注采场的边坡滑坡、塌方的风险。</w:t>
            </w:r>
          </w:p>
          <w:p w14:paraId="720111C6">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b/>
                <w:bCs/>
                <w:i w:val="0"/>
                <w:iCs w:val="0"/>
                <w:color w:val="auto"/>
                <w:spacing w:val="0"/>
                <w:w w:val="100"/>
                <w:position w:val="0"/>
                <w:highlight w:val="none"/>
              </w:rPr>
            </w:pPr>
            <w:r>
              <w:rPr>
                <w:rFonts w:hint="default" w:ascii="Times New Roman" w:hAnsi="Times New Roman" w:cs="Times New Roman"/>
                <w:b/>
                <w:bCs/>
                <w:i w:val="0"/>
                <w:iCs w:val="0"/>
                <w:color w:val="auto"/>
                <w:spacing w:val="0"/>
                <w:w w:val="100"/>
                <w:position w:val="0"/>
                <w:highlight w:val="none"/>
                <w:lang w:eastAsia="zh-CN"/>
              </w:rPr>
              <w:t>（</w:t>
            </w:r>
            <w:r>
              <w:rPr>
                <w:rFonts w:hint="default" w:ascii="Times New Roman" w:hAnsi="Times New Roman" w:cs="Times New Roman"/>
                <w:b/>
                <w:bCs/>
                <w:i w:val="0"/>
                <w:iCs w:val="0"/>
                <w:color w:val="auto"/>
                <w:spacing w:val="0"/>
                <w:w w:val="100"/>
                <w:position w:val="0"/>
                <w:highlight w:val="none"/>
                <w:lang w:val="en-US" w:eastAsia="zh-CN"/>
              </w:rPr>
              <w:t>5</w:t>
            </w:r>
            <w:r>
              <w:rPr>
                <w:rFonts w:hint="default" w:ascii="Times New Roman" w:hAnsi="Times New Roman" w:cs="Times New Roman"/>
                <w:b/>
                <w:bCs/>
                <w:i w:val="0"/>
                <w:iCs w:val="0"/>
                <w:color w:val="auto"/>
                <w:spacing w:val="0"/>
                <w:w w:val="100"/>
                <w:position w:val="0"/>
                <w:highlight w:val="none"/>
                <w:lang w:eastAsia="zh-CN"/>
              </w:rPr>
              <w:t>）</w:t>
            </w:r>
            <w:r>
              <w:rPr>
                <w:rFonts w:hint="default" w:ascii="Times New Roman" w:hAnsi="Times New Roman" w:cs="Times New Roman"/>
                <w:b/>
                <w:bCs/>
                <w:i w:val="0"/>
                <w:iCs w:val="0"/>
                <w:color w:val="auto"/>
                <w:spacing w:val="0"/>
                <w:w w:val="100"/>
                <w:position w:val="0"/>
                <w:highlight w:val="none"/>
              </w:rPr>
              <w:t>环境风险防范措施</w:t>
            </w:r>
          </w:p>
          <w:p w14:paraId="687574B8">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lang w:val="en-US" w:eastAsia="zh-CN"/>
              </w:rPr>
              <w:t>①</w:t>
            </w:r>
            <w:r>
              <w:rPr>
                <w:rFonts w:hint="default" w:ascii="Times New Roman" w:hAnsi="Times New Roman" w:cs="Times New Roman"/>
                <w:i w:val="0"/>
                <w:iCs w:val="0"/>
                <w:color w:val="auto"/>
                <w:spacing w:val="0"/>
                <w:w w:val="100"/>
                <w:position w:val="0"/>
                <w:highlight w:val="none"/>
              </w:rPr>
              <w:t>采取公共安全防范措施</w:t>
            </w:r>
          </w:p>
          <w:p w14:paraId="20FD751B">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矿区应在总体规划布局时，建立健全的规章制度，加强管理，尤其是要严格对堆场坡脚、开采坡脚防护设施的管理和安全检查，保证安全运行。</w:t>
            </w:r>
          </w:p>
          <w:p w14:paraId="1499C9DA">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lang w:val="en-US" w:eastAsia="zh-CN"/>
              </w:rPr>
              <w:t>②</w:t>
            </w:r>
            <w:r>
              <w:rPr>
                <w:rFonts w:hint="default" w:ascii="Times New Roman" w:hAnsi="Times New Roman" w:cs="Times New Roman"/>
                <w:i w:val="0"/>
                <w:iCs w:val="0"/>
                <w:color w:val="auto"/>
                <w:spacing w:val="0"/>
                <w:w w:val="100"/>
                <w:position w:val="0"/>
                <w:highlight w:val="none"/>
              </w:rPr>
              <w:t>地质灾害事故防范措施</w:t>
            </w:r>
          </w:p>
          <w:p w14:paraId="594A93E7">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本项目覆土堆放过程中有可能引发堆场边坡滑坡、塌方等地质灾害，现提出以下地质灾害预防措施：</w:t>
            </w:r>
          </w:p>
          <w:p w14:paraId="191D346D">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lang w:val="en-US" w:eastAsia="zh-CN"/>
              </w:rPr>
              <w:t>1</w:t>
            </w:r>
            <w:r>
              <w:rPr>
                <w:rFonts w:hint="default" w:ascii="Times New Roman" w:hAnsi="Times New Roman" w:cs="Times New Roman"/>
                <w:i w:val="0"/>
                <w:iCs w:val="0"/>
                <w:color w:val="auto"/>
                <w:spacing w:val="0"/>
                <w:w w:val="100"/>
                <w:position w:val="0"/>
                <w:highlight w:val="none"/>
              </w:rPr>
              <w:t>）在各类物料堆场中进行压实作业。</w:t>
            </w:r>
          </w:p>
          <w:p w14:paraId="4B8B94E5">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lang w:val="en-US" w:eastAsia="zh-CN"/>
              </w:rPr>
              <w:t>2</w:t>
            </w:r>
            <w:r>
              <w:rPr>
                <w:rFonts w:hint="default" w:ascii="Times New Roman" w:hAnsi="Times New Roman" w:cs="Times New Roman"/>
                <w:i w:val="0"/>
                <w:iCs w:val="0"/>
                <w:color w:val="auto"/>
                <w:spacing w:val="0"/>
                <w:w w:val="100"/>
                <w:position w:val="0"/>
                <w:highlight w:val="none"/>
              </w:rPr>
              <w:t>）在可能发生地质灾害区段设置警示标志。</w:t>
            </w:r>
          </w:p>
          <w:p w14:paraId="3D221412">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lang w:val="en-US" w:eastAsia="zh-CN"/>
              </w:rPr>
              <w:t>3</w:t>
            </w:r>
            <w:r>
              <w:rPr>
                <w:rFonts w:hint="default" w:ascii="Times New Roman" w:hAnsi="Times New Roman" w:cs="Times New Roman"/>
                <w:i w:val="0"/>
                <w:iCs w:val="0"/>
                <w:color w:val="auto"/>
                <w:spacing w:val="0"/>
                <w:w w:val="100"/>
                <w:position w:val="0"/>
                <w:highlight w:val="none"/>
              </w:rPr>
              <w:t>）不超挖坡底，不留伞檐，进行科学、合理的采剥。</w:t>
            </w:r>
          </w:p>
          <w:p w14:paraId="2AB17023">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lang w:val="en-US" w:eastAsia="zh-CN"/>
              </w:rPr>
              <w:t>4</w:t>
            </w:r>
            <w:r>
              <w:rPr>
                <w:rFonts w:hint="default" w:ascii="Times New Roman" w:hAnsi="Times New Roman" w:cs="Times New Roman"/>
                <w:i w:val="0"/>
                <w:iCs w:val="0"/>
                <w:color w:val="auto"/>
                <w:spacing w:val="0"/>
                <w:w w:val="100"/>
                <w:position w:val="0"/>
                <w:highlight w:val="none"/>
              </w:rPr>
              <w:t>）严禁采场内台阶上下垂直方向双层作业。</w:t>
            </w:r>
          </w:p>
          <w:p w14:paraId="459AEBA8">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lang w:val="en-US" w:eastAsia="zh-CN"/>
              </w:rPr>
              <w:t>5</w:t>
            </w:r>
            <w:r>
              <w:rPr>
                <w:rFonts w:hint="default" w:ascii="Times New Roman" w:hAnsi="Times New Roman" w:cs="Times New Roman"/>
                <w:i w:val="0"/>
                <w:iCs w:val="0"/>
                <w:color w:val="auto"/>
                <w:spacing w:val="0"/>
                <w:w w:val="100"/>
                <w:position w:val="0"/>
                <w:highlight w:val="none"/>
              </w:rPr>
              <w:t>）在台阶坡面作业时，必须佩戴安全带。</w:t>
            </w:r>
          </w:p>
          <w:p w14:paraId="54384F69">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lang w:val="en-US" w:eastAsia="zh-CN"/>
              </w:rPr>
              <w:t>6</w:t>
            </w:r>
            <w:r>
              <w:rPr>
                <w:rFonts w:hint="default" w:ascii="Times New Roman" w:hAnsi="Times New Roman" w:cs="Times New Roman"/>
                <w:i w:val="0"/>
                <w:iCs w:val="0"/>
                <w:color w:val="auto"/>
                <w:spacing w:val="0"/>
                <w:w w:val="100"/>
                <w:position w:val="0"/>
                <w:highlight w:val="none"/>
              </w:rPr>
              <w:t>）大雾、大雨、暴风雨时应停止作业。</w:t>
            </w:r>
          </w:p>
          <w:p w14:paraId="5A148247">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lang w:val="en-US" w:eastAsia="zh-CN"/>
              </w:rPr>
              <w:t>③</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泄露预防措施</w:t>
            </w:r>
          </w:p>
          <w:p w14:paraId="1B94DFB1">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1）使用符合标准的容器盛装</w:t>
            </w:r>
            <w:r>
              <w:rPr>
                <w:rFonts w:hint="default" w:ascii="Times New Roman" w:hAnsi="Times New Roman" w:cs="Times New Roman"/>
                <w:i w:val="0"/>
                <w:iCs w:val="0"/>
                <w:color w:val="auto"/>
                <w:spacing w:val="0"/>
                <w:w w:val="100"/>
                <w:position w:val="0"/>
                <w:highlight w:val="none"/>
                <w:lang w:val="en-US" w:eastAsia="zh-CN"/>
              </w:rPr>
              <w:t>柴油</w:t>
            </w:r>
            <w:r>
              <w:rPr>
                <w:rFonts w:hint="default" w:ascii="Times New Roman" w:hAnsi="Times New Roman" w:cs="Times New Roman"/>
                <w:i w:val="0"/>
                <w:iCs w:val="0"/>
                <w:color w:val="auto"/>
                <w:spacing w:val="0"/>
                <w:w w:val="100"/>
                <w:position w:val="0"/>
                <w:highlight w:val="none"/>
              </w:rPr>
              <w:t>；应定期对暂时贮存</w:t>
            </w:r>
            <w:r>
              <w:rPr>
                <w:rFonts w:hint="default" w:ascii="Times New Roman" w:hAnsi="Times New Roman" w:cs="Times New Roman"/>
                <w:i w:val="0"/>
                <w:iCs w:val="0"/>
                <w:color w:val="auto"/>
                <w:spacing w:val="0"/>
                <w:w w:val="100"/>
                <w:position w:val="0"/>
                <w:highlight w:val="none"/>
                <w:lang w:val="en-US" w:eastAsia="zh-CN"/>
              </w:rPr>
              <w:t>柴油</w:t>
            </w:r>
            <w:r>
              <w:rPr>
                <w:rFonts w:hint="default" w:ascii="Times New Roman" w:hAnsi="Times New Roman" w:cs="Times New Roman"/>
                <w:i w:val="0"/>
                <w:iCs w:val="0"/>
                <w:color w:val="auto"/>
                <w:spacing w:val="0"/>
                <w:w w:val="100"/>
                <w:position w:val="0"/>
                <w:highlight w:val="none"/>
              </w:rPr>
              <w:t>包装及设施进行检查，发现破损，及时采取措施清理更换；</w:t>
            </w:r>
          </w:p>
          <w:p w14:paraId="6CFEF821">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2）设有专人负责</w:t>
            </w:r>
            <w:r>
              <w:rPr>
                <w:rFonts w:hint="default" w:ascii="Times New Roman" w:hAnsi="Times New Roman" w:cs="Times New Roman"/>
                <w:i w:val="0"/>
                <w:iCs w:val="0"/>
                <w:color w:val="auto"/>
                <w:spacing w:val="0"/>
                <w:w w:val="100"/>
                <w:position w:val="0"/>
                <w:highlight w:val="none"/>
                <w:lang w:val="en-US" w:eastAsia="zh-CN"/>
              </w:rPr>
              <w:t>柴油</w:t>
            </w:r>
            <w:r>
              <w:rPr>
                <w:rFonts w:hint="default" w:ascii="Times New Roman" w:hAnsi="Times New Roman" w:cs="Times New Roman"/>
                <w:i w:val="0"/>
                <w:iCs w:val="0"/>
                <w:color w:val="auto"/>
                <w:spacing w:val="0"/>
                <w:w w:val="100"/>
                <w:position w:val="0"/>
                <w:highlight w:val="none"/>
              </w:rPr>
              <w:t>管理，避免因危险废物泄露、乱堆乱弃造成环境污染；</w:t>
            </w:r>
          </w:p>
          <w:p w14:paraId="65BB5901">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3）应指定专人负责</w:t>
            </w:r>
            <w:r>
              <w:rPr>
                <w:rFonts w:hint="default" w:ascii="Times New Roman" w:hAnsi="Times New Roman" w:cs="Times New Roman"/>
                <w:i w:val="0"/>
                <w:iCs w:val="0"/>
                <w:color w:val="auto"/>
                <w:spacing w:val="0"/>
                <w:w w:val="100"/>
                <w:position w:val="0"/>
                <w:highlight w:val="none"/>
                <w:lang w:val="en-US" w:eastAsia="zh-CN"/>
              </w:rPr>
              <w:t>柴油</w:t>
            </w:r>
            <w:r>
              <w:rPr>
                <w:rFonts w:hint="default" w:ascii="Times New Roman" w:hAnsi="Times New Roman" w:cs="Times New Roman"/>
                <w:i w:val="0"/>
                <w:iCs w:val="0"/>
                <w:color w:val="auto"/>
                <w:spacing w:val="0"/>
                <w:w w:val="100"/>
                <w:position w:val="0"/>
                <w:highlight w:val="none"/>
              </w:rPr>
              <w:t>的运输管理工作，运输车辆的司机和押运人员应经专业培训。</w:t>
            </w:r>
          </w:p>
          <w:p w14:paraId="1CDE728B">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b/>
                <w:bCs w:val="0"/>
                <w:i w:val="0"/>
                <w:iCs w:val="0"/>
                <w:color w:val="auto"/>
                <w:spacing w:val="0"/>
                <w:w w:val="100"/>
                <w:position w:val="0"/>
                <w:highlight w:val="none"/>
              </w:rPr>
            </w:pPr>
            <w:r>
              <w:rPr>
                <w:rFonts w:hint="default" w:ascii="Times New Roman" w:hAnsi="Times New Roman" w:cs="Times New Roman"/>
                <w:b/>
                <w:bCs w:val="0"/>
                <w:i w:val="0"/>
                <w:iCs w:val="0"/>
                <w:color w:val="auto"/>
                <w:spacing w:val="0"/>
                <w:w w:val="100"/>
                <w:position w:val="0"/>
                <w:highlight w:val="none"/>
                <w:lang w:eastAsia="zh-CN"/>
              </w:rPr>
              <w:t>（</w:t>
            </w:r>
            <w:r>
              <w:rPr>
                <w:rFonts w:hint="default" w:ascii="Times New Roman" w:hAnsi="Times New Roman" w:cs="Times New Roman"/>
                <w:b/>
                <w:bCs w:val="0"/>
                <w:i w:val="0"/>
                <w:iCs w:val="0"/>
                <w:color w:val="auto"/>
                <w:spacing w:val="0"/>
                <w:w w:val="100"/>
                <w:position w:val="0"/>
                <w:highlight w:val="none"/>
                <w:lang w:val="en-US" w:eastAsia="zh-CN"/>
              </w:rPr>
              <w:t>6</w:t>
            </w:r>
            <w:r>
              <w:rPr>
                <w:rFonts w:hint="default" w:ascii="Times New Roman" w:hAnsi="Times New Roman" w:cs="Times New Roman"/>
                <w:b/>
                <w:bCs w:val="0"/>
                <w:i w:val="0"/>
                <w:iCs w:val="0"/>
                <w:color w:val="auto"/>
                <w:spacing w:val="0"/>
                <w:w w:val="100"/>
                <w:position w:val="0"/>
                <w:highlight w:val="none"/>
                <w:lang w:eastAsia="zh-CN"/>
              </w:rPr>
              <w:t>）</w:t>
            </w:r>
            <w:r>
              <w:rPr>
                <w:rFonts w:hint="default" w:ascii="Times New Roman" w:hAnsi="Times New Roman" w:cs="Times New Roman"/>
                <w:b/>
                <w:bCs w:val="0"/>
                <w:i w:val="0"/>
                <w:iCs w:val="0"/>
                <w:color w:val="auto"/>
                <w:spacing w:val="0"/>
                <w:w w:val="100"/>
                <w:position w:val="0"/>
                <w:highlight w:val="none"/>
              </w:rPr>
              <w:t>分析结论</w:t>
            </w:r>
          </w:p>
          <w:p w14:paraId="2C514DA2">
            <w:pPr>
              <w:pStyle w:val="61"/>
              <w:keepNext w:val="0"/>
              <w:keepLines w:val="0"/>
              <w:pageBreakBefore w:val="0"/>
              <w:shd w:val="clear"/>
              <w:kinsoku/>
              <w:overflowPunct/>
              <w:topLinePunct w:val="0"/>
              <w:bidi w:val="0"/>
              <w:spacing w:beforeAutospacing="0" w:afterAutospacing="0"/>
              <w:ind w:left="0" w:leftChars="0" w:right="0" w:firstLine="48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风险评价的结果表明，本项目涉及的危险物质为</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根据《建设项目环境风险评价技术导则》（HJ169-2018）中判定原则，本项目环境风险潜势为Ⅰ，故只需进行简单分析。本项目环境风险主要来自开采、堆放过程造成的滑坡风险、危险物质泄露造成环境污染等。在进一步采取安全防范措施、在落实各项环保措施和采取本报告书提出的有关建议的前提下，基本满足国家相关环境保护和安全法规、标准的要求，该项目发生风险事故的可能进一步降低，其潜在的环境风险是可以接受的。但企业仍需要提高风险管理水平和强化风险防范措施，降低环境风险事故发生的概率。建设项目环境风险简单分析内容见表4-1</w:t>
            </w:r>
            <w:r>
              <w:rPr>
                <w:rFonts w:hint="default" w:ascii="Times New Roman" w:hAnsi="Times New Roman" w:cs="Times New Roman"/>
                <w:i w:val="0"/>
                <w:iCs w:val="0"/>
                <w:color w:val="auto"/>
                <w:spacing w:val="0"/>
                <w:w w:val="100"/>
                <w:position w:val="0"/>
                <w:highlight w:val="none"/>
                <w:lang w:val="en-US" w:eastAsia="zh-CN"/>
              </w:rPr>
              <w:t>3</w:t>
            </w:r>
            <w:r>
              <w:rPr>
                <w:rFonts w:hint="default" w:ascii="Times New Roman" w:hAnsi="Times New Roman" w:cs="Times New Roman"/>
                <w:i w:val="0"/>
                <w:iCs w:val="0"/>
                <w:color w:val="auto"/>
                <w:spacing w:val="0"/>
                <w:w w:val="100"/>
                <w:position w:val="0"/>
                <w:highlight w:val="none"/>
              </w:rPr>
              <w:t>。</w:t>
            </w:r>
          </w:p>
          <w:p w14:paraId="393F7397">
            <w:pPr>
              <w:pStyle w:val="62"/>
              <w:keepNext w:val="0"/>
              <w:keepLines w:val="0"/>
              <w:pageBreakBefore w:val="0"/>
              <w:shd w:val="clear"/>
              <w:kinsoku/>
              <w:overflowPunct/>
              <w:topLinePunct w:val="0"/>
              <w:bidi w:val="0"/>
              <w:spacing w:beforeAutospacing="0" w:afterAutospacing="0"/>
              <w:ind w:left="0" w:leftChars="0" w:right="0" w:firstLine="42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表4-1</w:t>
            </w:r>
            <w:r>
              <w:rPr>
                <w:rFonts w:hint="default" w:ascii="Times New Roman" w:hAnsi="Times New Roman" w:cs="Times New Roman"/>
                <w:i w:val="0"/>
                <w:iCs w:val="0"/>
                <w:color w:val="auto"/>
                <w:spacing w:val="0"/>
                <w:w w:val="100"/>
                <w:position w:val="0"/>
                <w:highlight w:val="none"/>
                <w:lang w:val="en-US" w:eastAsia="zh-CN"/>
              </w:rPr>
              <w:t>3</w:t>
            </w:r>
            <w:r>
              <w:rPr>
                <w:rFonts w:hint="default" w:ascii="Times New Roman" w:hAnsi="Times New Roman" w:cs="Times New Roman"/>
                <w:i w:val="0"/>
                <w:iCs w:val="0"/>
                <w:color w:val="auto"/>
                <w:spacing w:val="0"/>
                <w:w w:val="100"/>
                <w:position w:val="0"/>
                <w:highlight w:val="none"/>
              </w:rPr>
              <w:t xml:space="preserve">      建设项目环境风险简单分析内容表</w:t>
            </w:r>
          </w:p>
          <w:tbl>
            <w:tblPr>
              <w:tblStyle w:val="31"/>
              <w:tblW w:w="495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976"/>
              <w:gridCol w:w="826"/>
              <w:gridCol w:w="1729"/>
              <w:gridCol w:w="298"/>
              <w:gridCol w:w="690"/>
              <w:gridCol w:w="304"/>
              <w:gridCol w:w="1770"/>
            </w:tblGrid>
            <w:tr w14:paraId="0FEB606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964" w:type="dxa"/>
                  <w:tcBorders>
                    <w:bottom w:val="single" w:color="auto" w:sz="12" w:space="0"/>
                  </w:tcBorders>
                  <w:noWrap w:val="0"/>
                  <w:vAlign w:val="center"/>
                </w:tcPr>
                <w:p w14:paraId="0732ED17">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sz w:val="21"/>
                      <w:szCs w:val="21"/>
                      <w:highlight w:val="none"/>
                    </w:rPr>
                  </w:pPr>
                  <w:r>
                    <w:rPr>
                      <w:rFonts w:hint="default" w:ascii="Times New Roman" w:hAnsi="Times New Roman" w:cs="Times New Roman"/>
                      <w:b/>
                      <w:bCs/>
                      <w:i w:val="0"/>
                      <w:iCs w:val="0"/>
                      <w:color w:val="auto"/>
                      <w:spacing w:val="0"/>
                      <w:w w:val="100"/>
                      <w:position w:val="0"/>
                      <w:sz w:val="21"/>
                      <w:szCs w:val="21"/>
                      <w:highlight w:val="none"/>
                    </w:rPr>
                    <w:t>建设项目名称</w:t>
                  </w:r>
                </w:p>
              </w:tc>
              <w:tc>
                <w:tcPr>
                  <w:tcW w:w="5581" w:type="dxa"/>
                  <w:gridSpan w:val="6"/>
                  <w:tcBorders>
                    <w:bottom w:val="single" w:color="auto" w:sz="12" w:space="0"/>
                  </w:tcBorders>
                  <w:noWrap w:val="0"/>
                  <w:vAlign w:val="center"/>
                </w:tcPr>
                <w:p w14:paraId="3F8C8CAA">
                  <w:pPr>
                    <w:pStyle w:val="83"/>
                    <w:keepNext w:val="0"/>
                    <w:keepLines w:val="0"/>
                    <w:pageBreakBefore w:val="0"/>
                    <w:shd w:val="clear"/>
                    <w:kinsoku/>
                    <w:overflowPunct/>
                    <w:topLinePunct w:val="0"/>
                    <w:bidi w:val="0"/>
                    <w:spacing w:beforeAutospacing="0" w:afterAutospacing="0"/>
                    <w:ind w:left="0" w:leftChars="0" w:right="0"/>
                    <w:jc w:val="center"/>
                    <w:rPr>
                      <w:rFonts w:hint="default" w:ascii="Times New Roman" w:hAnsi="Times New Roman" w:eastAsia="宋体" w:cs="Times New Roman"/>
                      <w:i w:val="0"/>
                      <w:iCs w:val="0"/>
                      <w:color w:val="auto"/>
                      <w:spacing w:val="0"/>
                      <w:w w:val="100"/>
                      <w:position w:val="0"/>
                      <w:highlight w:val="none"/>
                      <w:lang w:eastAsia="zh-CN"/>
                    </w:rPr>
                  </w:pPr>
                  <w:r>
                    <w:rPr>
                      <w:rFonts w:hint="default" w:ascii="Times New Roman" w:hAnsi="Times New Roman" w:cs="Times New Roman"/>
                      <w:i w:val="0"/>
                      <w:iCs w:val="0"/>
                      <w:color w:val="auto"/>
                      <w:spacing w:val="0"/>
                      <w:w w:val="100"/>
                      <w:position w:val="0"/>
                      <w:highlight w:val="none"/>
                      <w:lang w:eastAsia="zh-CN"/>
                    </w:rPr>
                    <w:t>新疆库尔阿根河昌吉市中小河流治理项目</w:t>
                  </w:r>
                </w:p>
              </w:tc>
            </w:tr>
            <w:tr w14:paraId="35B8C1E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964" w:type="dxa"/>
                  <w:tcBorders>
                    <w:top w:val="single" w:color="auto" w:sz="12" w:space="0"/>
                  </w:tcBorders>
                  <w:noWrap w:val="0"/>
                  <w:vAlign w:val="center"/>
                </w:tcPr>
                <w:p w14:paraId="151CE010">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sz w:val="21"/>
                      <w:szCs w:val="21"/>
                      <w:highlight w:val="none"/>
                    </w:rPr>
                  </w:pPr>
                  <w:r>
                    <w:rPr>
                      <w:rFonts w:hint="default" w:ascii="Times New Roman" w:hAnsi="Times New Roman" w:cs="Times New Roman"/>
                      <w:b/>
                      <w:bCs/>
                      <w:i w:val="0"/>
                      <w:iCs w:val="0"/>
                      <w:color w:val="auto"/>
                      <w:spacing w:val="0"/>
                      <w:w w:val="100"/>
                      <w:position w:val="0"/>
                      <w:sz w:val="21"/>
                      <w:szCs w:val="21"/>
                      <w:highlight w:val="none"/>
                    </w:rPr>
                    <w:t>建设地点</w:t>
                  </w:r>
                </w:p>
              </w:tc>
              <w:tc>
                <w:tcPr>
                  <w:tcW w:w="821" w:type="dxa"/>
                  <w:tcBorders>
                    <w:top w:val="single" w:color="auto" w:sz="12" w:space="0"/>
                  </w:tcBorders>
                  <w:noWrap w:val="0"/>
                  <w:vAlign w:val="center"/>
                </w:tcPr>
                <w:p w14:paraId="780830EF">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i w:val="0"/>
                      <w:iCs w:val="0"/>
                      <w:color w:val="auto"/>
                      <w:spacing w:val="0"/>
                      <w:w w:val="100"/>
                      <w:position w:val="0"/>
                      <w:highlight w:val="none"/>
                    </w:rPr>
                  </w:pPr>
                  <w:r>
                    <w:rPr>
                      <w:rFonts w:hint="default" w:ascii="Times New Roman" w:hAnsi="Times New Roman" w:eastAsia="宋体" w:cs="Times New Roman"/>
                      <w:i w:val="0"/>
                      <w:iCs w:val="0"/>
                      <w:color w:val="auto"/>
                      <w:spacing w:val="0"/>
                      <w:w w:val="100"/>
                      <w:position w:val="0"/>
                      <w:highlight w:val="none"/>
                    </w:rPr>
                    <w:t>新疆</w:t>
                  </w:r>
                </w:p>
              </w:tc>
              <w:tc>
                <w:tcPr>
                  <w:tcW w:w="1718" w:type="dxa"/>
                  <w:tcBorders>
                    <w:top w:val="single" w:color="auto" w:sz="12" w:space="0"/>
                  </w:tcBorders>
                  <w:noWrap w:val="0"/>
                  <w:vAlign w:val="center"/>
                </w:tcPr>
                <w:p w14:paraId="334B0B2E">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i w:val="0"/>
                      <w:iCs w:val="0"/>
                      <w:color w:val="auto"/>
                      <w:spacing w:val="0"/>
                      <w:w w:val="100"/>
                      <w:position w:val="0"/>
                      <w:highlight w:val="none"/>
                      <w:lang w:val="en-US" w:eastAsia="zh-CN"/>
                    </w:rPr>
                  </w:pPr>
                  <w:r>
                    <w:rPr>
                      <w:rFonts w:hint="default" w:ascii="Times New Roman" w:hAnsi="Times New Roman" w:eastAsia="宋体" w:cs="Times New Roman"/>
                      <w:i w:val="0"/>
                      <w:iCs w:val="0"/>
                      <w:color w:val="auto"/>
                      <w:spacing w:val="0"/>
                      <w:w w:val="100"/>
                      <w:position w:val="0"/>
                      <w:highlight w:val="none"/>
                      <w:lang w:val="en-US" w:eastAsia="zh-CN"/>
                    </w:rPr>
                    <w:t>昌吉回族自治州</w:t>
                  </w:r>
                </w:p>
              </w:tc>
              <w:tc>
                <w:tcPr>
                  <w:tcW w:w="981" w:type="dxa"/>
                  <w:gridSpan w:val="2"/>
                  <w:tcBorders>
                    <w:top w:val="single" w:color="auto" w:sz="12" w:space="0"/>
                  </w:tcBorders>
                  <w:noWrap w:val="0"/>
                  <w:vAlign w:val="center"/>
                </w:tcPr>
                <w:p w14:paraId="0CA8C051">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i w:val="0"/>
                      <w:iCs w:val="0"/>
                      <w:color w:val="auto"/>
                      <w:spacing w:val="0"/>
                      <w:w w:val="100"/>
                      <w:position w:val="0"/>
                      <w:highlight w:val="none"/>
                      <w:lang w:eastAsia="zh-CN"/>
                    </w:rPr>
                  </w:pPr>
                  <w:r>
                    <w:rPr>
                      <w:rFonts w:hint="default" w:ascii="Times New Roman" w:hAnsi="Times New Roman" w:eastAsia="宋体" w:cs="Times New Roman"/>
                      <w:i w:val="0"/>
                      <w:iCs w:val="0"/>
                      <w:color w:val="auto"/>
                      <w:spacing w:val="0"/>
                      <w:w w:val="100"/>
                      <w:position w:val="0"/>
                      <w:highlight w:val="none"/>
                      <w:lang w:val="en-US" w:eastAsia="zh-CN"/>
                    </w:rPr>
                    <w:t>昌吉市</w:t>
                  </w:r>
                </w:p>
              </w:tc>
              <w:tc>
                <w:tcPr>
                  <w:tcW w:w="2061" w:type="dxa"/>
                  <w:gridSpan w:val="2"/>
                  <w:tcBorders>
                    <w:top w:val="single" w:color="auto" w:sz="12" w:space="0"/>
                  </w:tcBorders>
                  <w:noWrap w:val="0"/>
                  <w:vAlign w:val="center"/>
                </w:tcPr>
                <w:p w14:paraId="2E3211A5">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i w:val="0"/>
                      <w:iCs w:val="0"/>
                      <w:color w:val="auto"/>
                      <w:spacing w:val="0"/>
                      <w:w w:val="100"/>
                      <w:position w:val="0"/>
                      <w:highlight w:val="none"/>
                      <w:lang w:val="en-US" w:eastAsia="zh-CN"/>
                    </w:rPr>
                  </w:pPr>
                  <w:r>
                    <w:rPr>
                      <w:rFonts w:hint="default" w:ascii="Times New Roman" w:hAnsi="Times New Roman" w:cs="Times New Roman"/>
                      <w:i w:val="0"/>
                      <w:iCs w:val="0"/>
                      <w:color w:val="auto"/>
                      <w:spacing w:val="0"/>
                      <w:w w:val="100"/>
                      <w:position w:val="0"/>
                      <w:highlight w:val="none"/>
                      <w:lang w:eastAsia="zh-CN"/>
                    </w:rPr>
                    <w:t>库尔阿根河</w:t>
                  </w:r>
                  <w:r>
                    <w:rPr>
                      <w:rFonts w:hint="default" w:ascii="Times New Roman" w:hAnsi="Times New Roman" w:eastAsia="宋体" w:cs="Times New Roman"/>
                      <w:i w:val="0"/>
                      <w:iCs w:val="0"/>
                      <w:color w:val="auto"/>
                      <w:spacing w:val="0"/>
                      <w:w w:val="100"/>
                      <w:position w:val="0"/>
                      <w:highlight w:val="none"/>
                    </w:rPr>
                    <w:t>流域西干渠</w:t>
                  </w:r>
                </w:p>
              </w:tc>
            </w:tr>
            <w:tr w14:paraId="53EE322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964" w:type="dxa"/>
                  <w:noWrap w:val="0"/>
                  <w:vAlign w:val="center"/>
                </w:tcPr>
                <w:p w14:paraId="2301459A">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sz w:val="21"/>
                      <w:szCs w:val="21"/>
                      <w:highlight w:val="none"/>
                    </w:rPr>
                  </w:pPr>
                  <w:r>
                    <w:rPr>
                      <w:rFonts w:hint="default" w:ascii="Times New Roman" w:hAnsi="Times New Roman" w:cs="Times New Roman"/>
                      <w:b/>
                      <w:bCs/>
                      <w:i w:val="0"/>
                      <w:iCs w:val="0"/>
                      <w:color w:val="auto"/>
                      <w:spacing w:val="0"/>
                      <w:w w:val="100"/>
                      <w:position w:val="0"/>
                      <w:sz w:val="21"/>
                      <w:szCs w:val="21"/>
                      <w:highlight w:val="none"/>
                    </w:rPr>
                    <w:t>地理坐标</w:t>
                  </w:r>
                </w:p>
              </w:tc>
              <w:tc>
                <w:tcPr>
                  <w:tcW w:w="821" w:type="dxa"/>
                  <w:noWrap w:val="0"/>
                  <w:vAlign w:val="center"/>
                </w:tcPr>
                <w:p w14:paraId="4AEB2738">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i w:val="0"/>
                      <w:iCs w:val="0"/>
                      <w:color w:val="auto"/>
                      <w:spacing w:val="0"/>
                      <w:w w:val="100"/>
                      <w:position w:val="0"/>
                      <w:sz w:val="21"/>
                      <w:szCs w:val="21"/>
                      <w:highlight w:val="none"/>
                    </w:rPr>
                  </w:pPr>
                  <w:r>
                    <w:rPr>
                      <w:rFonts w:hint="default" w:ascii="Times New Roman" w:hAnsi="Times New Roman" w:cs="Times New Roman"/>
                      <w:i w:val="0"/>
                      <w:iCs w:val="0"/>
                      <w:color w:val="auto"/>
                      <w:spacing w:val="0"/>
                      <w:w w:val="100"/>
                      <w:position w:val="0"/>
                      <w:sz w:val="21"/>
                      <w:szCs w:val="21"/>
                      <w:highlight w:val="none"/>
                    </w:rPr>
                    <w:t>经度</w:t>
                  </w:r>
                </w:p>
              </w:tc>
              <w:tc>
                <w:tcPr>
                  <w:tcW w:w="2014" w:type="dxa"/>
                  <w:gridSpan w:val="2"/>
                  <w:noWrap w:val="0"/>
                  <w:vAlign w:val="center"/>
                </w:tcPr>
                <w:p w14:paraId="55D87C96">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i w:val="0"/>
                      <w:iCs w:val="0"/>
                      <w:color w:val="auto"/>
                      <w:spacing w:val="0"/>
                      <w:w w:val="100"/>
                      <w:position w:val="0"/>
                      <w:sz w:val="21"/>
                      <w:szCs w:val="21"/>
                      <w:highlight w:val="none"/>
                    </w:rPr>
                  </w:pPr>
                  <w:r>
                    <w:rPr>
                      <w:rFonts w:hint="default" w:ascii="Times New Roman" w:hAnsi="Times New Roman" w:cs="Times New Roman"/>
                      <w:bCs/>
                      <w:i w:val="0"/>
                      <w:iCs w:val="0"/>
                      <w:color w:val="auto"/>
                      <w:spacing w:val="0"/>
                      <w:w w:val="100"/>
                      <w:kern w:val="44"/>
                      <w:position w:val="0"/>
                      <w:sz w:val="21"/>
                      <w:szCs w:val="21"/>
                      <w:highlight w:val="none"/>
                    </w:rPr>
                    <w:t>87°</w:t>
                  </w:r>
                  <w:r>
                    <w:rPr>
                      <w:rFonts w:hint="default" w:ascii="Times New Roman" w:hAnsi="Times New Roman" w:cs="Times New Roman"/>
                      <w:bCs/>
                      <w:i w:val="0"/>
                      <w:iCs w:val="0"/>
                      <w:color w:val="auto"/>
                      <w:spacing w:val="0"/>
                      <w:w w:val="100"/>
                      <w:kern w:val="44"/>
                      <w:position w:val="0"/>
                      <w:sz w:val="21"/>
                      <w:szCs w:val="21"/>
                      <w:highlight w:val="none"/>
                      <w:lang w:val="en-US" w:eastAsia="zh-CN"/>
                    </w:rPr>
                    <w:t>07</w:t>
                  </w:r>
                  <w:r>
                    <w:rPr>
                      <w:rFonts w:hint="default" w:ascii="Times New Roman" w:hAnsi="Times New Roman" w:cs="Times New Roman"/>
                      <w:bCs/>
                      <w:i w:val="0"/>
                      <w:iCs w:val="0"/>
                      <w:color w:val="auto"/>
                      <w:spacing w:val="0"/>
                      <w:w w:val="100"/>
                      <w:kern w:val="44"/>
                      <w:position w:val="0"/>
                      <w:sz w:val="21"/>
                      <w:szCs w:val="21"/>
                      <w:highlight w:val="none"/>
                    </w:rPr>
                    <w:t>′</w:t>
                  </w:r>
                  <w:r>
                    <w:rPr>
                      <w:rFonts w:hint="default" w:ascii="Times New Roman" w:hAnsi="Times New Roman" w:cs="Times New Roman"/>
                      <w:bCs/>
                      <w:i w:val="0"/>
                      <w:iCs w:val="0"/>
                      <w:color w:val="auto"/>
                      <w:spacing w:val="0"/>
                      <w:w w:val="100"/>
                      <w:kern w:val="44"/>
                      <w:position w:val="0"/>
                      <w:sz w:val="21"/>
                      <w:szCs w:val="21"/>
                      <w:highlight w:val="none"/>
                      <w:lang w:val="en-US" w:eastAsia="zh-CN"/>
                    </w:rPr>
                    <w:t>12.160</w:t>
                  </w:r>
                  <w:r>
                    <w:rPr>
                      <w:rFonts w:hint="default" w:ascii="Times New Roman" w:hAnsi="Times New Roman" w:cs="Times New Roman"/>
                      <w:bCs/>
                      <w:i w:val="0"/>
                      <w:iCs w:val="0"/>
                      <w:color w:val="auto"/>
                      <w:spacing w:val="0"/>
                      <w:w w:val="100"/>
                      <w:kern w:val="44"/>
                      <w:position w:val="0"/>
                      <w:sz w:val="21"/>
                      <w:szCs w:val="21"/>
                      <w:highlight w:val="none"/>
                    </w:rPr>
                    <w:t>″</w:t>
                  </w:r>
                </w:p>
              </w:tc>
              <w:tc>
                <w:tcPr>
                  <w:tcW w:w="987" w:type="dxa"/>
                  <w:gridSpan w:val="2"/>
                  <w:noWrap w:val="0"/>
                  <w:vAlign w:val="center"/>
                </w:tcPr>
                <w:p w14:paraId="3660664B">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i w:val="0"/>
                      <w:iCs w:val="0"/>
                      <w:color w:val="auto"/>
                      <w:spacing w:val="0"/>
                      <w:w w:val="100"/>
                      <w:position w:val="0"/>
                      <w:sz w:val="21"/>
                      <w:szCs w:val="21"/>
                      <w:highlight w:val="none"/>
                    </w:rPr>
                  </w:pPr>
                  <w:r>
                    <w:rPr>
                      <w:rFonts w:hint="default" w:ascii="Times New Roman" w:hAnsi="Times New Roman" w:cs="Times New Roman"/>
                      <w:i w:val="0"/>
                      <w:iCs w:val="0"/>
                      <w:color w:val="auto"/>
                      <w:spacing w:val="0"/>
                      <w:w w:val="100"/>
                      <w:position w:val="0"/>
                      <w:sz w:val="21"/>
                      <w:szCs w:val="21"/>
                      <w:highlight w:val="none"/>
                    </w:rPr>
                    <w:t>纬度</w:t>
                  </w:r>
                </w:p>
              </w:tc>
              <w:tc>
                <w:tcPr>
                  <w:tcW w:w="1759" w:type="dxa"/>
                  <w:noWrap w:val="0"/>
                  <w:vAlign w:val="center"/>
                </w:tcPr>
                <w:p w14:paraId="1CB75F4A">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i w:val="0"/>
                      <w:iCs w:val="0"/>
                      <w:color w:val="auto"/>
                      <w:spacing w:val="0"/>
                      <w:w w:val="100"/>
                      <w:position w:val="0"/>
                      <w:sz w:val="21"/>
                      <w:szCs w:val="21"/>
                      <w:highlight w:val="none"/>
                    </w:rPr>
                  </w:pPr>
                  <w:r>
                    <w:rPr>
                      <w:rFonts w:hint="default" w:ascii="Times New Roman" w:hAnsi="Times New Roman" w:cs="Times New Roman"/>
                      <w:bCs/>
                      <w:i w:val="0"/>
                      <w:iCs w:val="0"/>
                      <w:color w:val="auto"/>
                      <w:spacing w:val="0"/>
                      <w:w w:val="100"/>
                      <w:kern w:val="44"/>
                      <w:position w:val="0"/>
                      <w:sz w:val="21"/>
                      <w:szCs w:val="21"/>
                      <w:highlight w:val="none"/>
                    </w:rPr>
                    <w:t>44°0</w:t>
                  </w:r>
                  <w:r>
                    <w:rPr>
                      <w:rFonts w:hint="default" w:ascii="Times New Roman" w:hAnsi="Times New Roman" w:cs="Times New Roman"/>
                      <w:bCs/>
                      <w:i w:val="0"/>
                      <w:iCs w:val="0"/>
                      <w:color w:val="auto"/>
                      <w:spacing w:val="0"/>
                      <w:w w:val="100"/>
                      <w:kern w:val="44"/>
                      <w:position w:val="0"/>
                      <w:sz w:val="21"/>
                      <w:szCs w:val="21"/>
                      <w:highlight w:val="none"/>
                      <w:lang w:val="en-US" w:eastAsia="zh-CN"/>
                    </w:rPr>
                    <w:t>2</w:t>
                  </w:r>
                  <w:r>
                    <w:rPr>
                      <w:rFonts w:hint="default" w:ascii="Times New Roman" w:hAnsi="Times New Roman" w:cs="Times New Roman"/>
                      <w:bCs/>
                      <w:i w:val="0"/>
                      <w:iCs w:val="0"/>
                      <w:color w:val="auto"/>
                      <w:spacing w:val="0"/>
                      <w:w w:val="100"/>
                      <w:kern w:val="44"/>
                      <w:position w:val="0"/>
                      <w:sz w:val="21"/>
                      <w:szCs w:val="21"/>
                      <w:highlight w:val="none"/>
                    </w:rPr>
                    <w:t>′</w:t>
                  </w:r>
                  <w:r>
                    <w:rPr>
                      <w:rFonts w:hint="default" w:ascii="Times New Roman" w:hAnsi="Times New Roman" w:cs="Times New Roman"/>
                      <w:bCs/>
                      <w:i w:val="0"/>
                      <w:iCs w:val="0"/>
                      <w:color w:val="auto"/>
                      <w:spacing w:val="0"/>
                      <w:w w:val="100"/>
                      <w:kern w:val="44"/>
                      <w:position w:val="0"/>
                      <w:sz w:val="21"/>
                      <w:szCs w:val="21"/>
                      <w:highlight w:val="none"/>
                      <w:lang w:val="en-US" w:eastAsia="zh-CN"/>
                    </w:rPr>
                    <w:t>28.980</w:t>
                  </w:r>
                  <w:r>
                    <w:rPr>
                      <w:rFonts w:hint="default" w:ascii="Times New Roman" w:hAnsi="Times New Roman" w:cs="Times New Roman"/>
                      <w:bCs/>
                      <w:i w:val="0"/>
                      <w:iCs w:val="0"/>
                      <w:color w:val="auto"/>
                      <w:spacing w:val="0"/>
                      <w:w w:val="100"/>
                      <w:kern w:val="44"/>
                      <w:position w:val="0"/>
                      <w:sz w:val="21"/>
                      <w:szCs w:val="21"/>
                      <w:highlight w:val="none"/>
                    </w:rPr>
                    <w:t>″</w:t>
                  </w:r>
                </w:p>
              </w:tc>
            </w:tr>
            <w:tr w14:paraId="2F8F4EF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964" w:type="dxa"/>
                  <w:noWrap w:val="0"/>
                  <w:vAlign w:val="center"/>
                </w:tcPr>
                <w:p w14:paraId="316995A8">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highlight w:val="none"/>
                    </w:rPr>
                  </w:pPr>
                  <w:r>
                    <w:rPr>
                      <w:rFonts w:hint="default" w:ascii="Times New Roman" w:hAnsi="Times New Roman" w:cs="Times New Roman"/>
                      <w:b/>
                      <w:bCs/>
                      <w:i w:val="0"/>
                      <w:iCs w:val="0"/>
                      <w:color w:val="auto"/>
                      <w:spacing w:val="0"/>
                      <w:w w:val="100"/>
                      <w:position w:val="0"/>
                      <w:highlight w:val="none"/>
                    </w:rPr>
                    <w:t>主要危险物质及分布</w:t>
                  </w:r>
                </w:p>
              </w:tc>
              <w:tc>
                <w:tcPr>
                  <w:tcW w:w="5581" w:type="dxa"/>
                  <w:gridSpan w:val="6"/>
                  <w:noWrap w:val="0"/>
                  <w:vAlign w:val="center"/>
                </w:tcPr>
                <w:p w14:paraId="547CDFF8">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lang w:eastAsia="zh-CN"/>
                    </w:rPr>
                    <w:t>柴油</w:t>
                  </w:r>
                </w:p>
              </w:tc>
            </w:tr>
            <w:tr w14:paraId="4F731D1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964" w:type="dxa"/>
                  <w:noWrap w:val="0"/>
                  <w:vAlign w:val="center"/>
                </w:tcPr>
                <w:p w14:paraId="58D3DA59">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highlight w:val="none"/>
                    </w:rPr>
                  </w:pPr>
                  <w:r>
                    <w:rPr>
                      <w:rFonts w:hint="default" w:ascii="Times New Roman" w:hAnsi="Times New Roman" w:cs="Times New Roman"/>
                      <w:b/>
                      <w:bCs/>
                      <w:i w:val="0"/>
                      <w:iCs w:val="0"/>
                      <w:color w:val="auto"/>
                      <w:spacing w:val="0"/>
                      <w:w w:val="100"/>
                      <w:position w:val="0"/>
                      <w:highlight w:val="none"/>
                    </w:rPr>
                    <w:t>环境影响途径及危害后果（大气、地表水、地下水等）</w:t>
                  </w:r>
                </w:p>
              </w:tc>
              <w:tc>
                <w:tcPr>
                  <w:tcW w:w="5581" w:type="dxa"/>
                  <w:gridSpan w:val="6"/>
                  <w:noWrap w:val="0"/>
                  <w:vAlign w:val="center"/>
                </w:tcPr>
                <w:p w14:paraId="02CFDC79">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大气途径：</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火灾引发伴生/次生污染物排放；</w:t>
                  </w:r>
                </w:p>
                <w:p w14:paraId="6B016256">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地表水途径：无；</w:t>
                  </w:r>
                </w:p>
                <w:p w14:paraId="720DE4B7">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地下水途径：</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泄漏，可能引起的地下水污染；</w:t>
                  </w:r>
                </w:p>
              </w:tc>
            </w:tr>
            <w:tr w14:paraId="3DD18F1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964" w:type="dxa"/>
                  <w:noWrap w:val="0"/>
                  <w:vAlign w:val="center"/>
                </w:tcPr>
                <w:p w14:paraId="5C91E753">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b/>
                      <w:bCs/>
                      <w:i w:val="0"/>
                      <w:iCs w:val="0"/>
                      <w:color w:val="auto"/>
                      <w:spacing w:val="0"/>
                      <w:w w:val="100"/>
                      <w:position w:val="0"/>
                      <w:highlight w:val="none"/>
                    </w:rPr>
                  </w:pPr>
                  <w:r>
                    <w:rPr>
                      <w:rFonts w:hint="default" w:ascii="Times New Roman" w:hAnsi="Times New Roman" w:cs="Times New Roman"/>
                      <w:b/>
                      <w:bCs/>
                      <w:i w:val="0"/>
                      <w:iCs w:val="0"/>
                      <w:color w:val="auto"/>
                      <w:spacing w:val="0"/>
                      <w:w w:val="100"/>
                      <w:position w:val="0"/>
                      <w:highlight w:val="none"/>
                    </w:rPr>
                    <w:t>风险防范措施要求</w:t>
                  </w:r>
                </w:p>
              </w:tc>
              <w:tc>
                <w:tcPr>
                  <w:tcW w:w="5581" w:type="dxa"/>
                  <w:gridSpan w:val="6"/>
                  <w:noWrap w:val="0"/>
                  <w:vAlign w:val="center"/>
                </w:tcPr>
                <w:p w14:paraId="2759B606">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（1）地质灾害事故防范措施</w:t>
                  </w:r>
                </w:p>
                <w:p w14:paraId="6D3363A4">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项目区年均降雨量164.5mm，蒸发量1778.9mm。虽然项目区降雨稀少，考虑在</w:t>
                  </w:r>
                  <w:r>
                    <w:rPr>
                      <w:rFonts w:hint="default" w:ascii="Times New Roman" w:hAnsi="Times New Roman" w:eastAsia="宋体" w:cs="Times New Roman"/>
                      <w:i w:val="0"/>
                      <w:iCs w:val="0"/>
                      <w:color w:val="auto"/>
                      <w:spacing w:val="0"/>
                      <w:w w:val="100"/>
                      <w:position w:val="0"/>
                      <w:highlight w:val="none"/>
                    </w:rPr>
                    <w:t>夏季有可能发生暴雨。本项目开采、各类物料堆放过程中有可能引发堆场边坡滑坡、塌方、泥石流等地质灾害，现提出以下地质灾害预防措施：</w:t>
                  </w:r>
                </w:p>
                <w:p w14:paraId="52F02623">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i w:val="0"/>
                      <w:iCs w:val="0"/>
                      <w:color w:val="auto"/>
                      <w:spacing w:val="0"/>
                      <w:w w:val="100"/>
                      <w:position w:val="0"/>
                      <w:highlight w:val="none"/>
                    </w:rPr>
                  </w:pPr>
                  <w:r>
                    <w:rPr>
                      <w:rFonts w:hint="default" w:ascii="Times New Roman" w:hAnsi="Times New Roman" w:eastAsia="宋体" w:cs="Times New Roman"/>
                      <w:i w:val="0"/>
                      <w:iCs w:val="0"/>
                      <w:color w:val="auto"/>
                      <w:spacing w:val="0"/>
                      <w:w w:val="100"/>
                      <w:position w:val="0"/>
                      <w:highlight w:val="none"/>
                      <w:lang w:val="en-US" w:eastAsia="zh-CN"/>
                    </w:rPr>
                    <w:t>1</w:t>
                  </w:r>
                  <w:r>
                    <w:rPr>
                      <w:rFonts w:hint="default" w:ascii="Times New Roman" w:hAnsi="Times New Roman" w:eastAsia="宋体" w:cs="Times New Roman"/>
                      <w:i w:val="0"/>
                      <w:iCs w:val="0"/>
                      <w:color w:val="auto"/>
                      <w:spacing w:val="0"/>
                      <w:w w:val="100"/>
                      <w:position w:val="0"/>
                      <w:highlight w:val="none"/>
                    </w:rPr>
                    <w:t>）在各类物料堆场中进行压实作业。</w:t>
                  </w:r>
                </w:p>
                <w:p w14:paraId="42E23EB8">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i w:val="0"/>
                      <w:iCs w:val="0"/>
                      <w:color w:val="auto"/>
                      <w:spacing w:val="0"/>
                      <w:w w:val="100"/>
                      <w:position w:val="0"/>
                      <w:highlight w:val="none"/>
                    </w:rPr>
                  </w:pPr>
                  <w:r>
                    <w:rPr>
                      <w:rFonts w:hint="default" w:ascii="Times New Roman" w:hAnsi="Times New Roman" w:eastAsia="宋体" w:cs="Times New Roman"/>
                      <w:i w:val="0"/>
                      <w:iCs w:val="0"/>
                      <w:color w:val="auto"/>
                      <w:spacing w:val="0"/>
                      <w:w w:val="100"/>
                      <w:position w:val="0"/>
                      <w:highlight w:val="none"/>
                      <w:lang w:val="en-US" w:eastAsia="zh-CN"/>
                    </w:rPr>
                    <w:t>2</w:t>
                  </w:r>
                  <w:r>
                    <w:rPr>
                      <w:rFonts w:hint="default" w:ascii="Times New Roman" w:hAnsi="Times New Roman" w:eastAsia="宋体" w:cs="Times New Roman"/>
                      <w:i w:val="0"/>
                      <w:iCs w:val="0"/>
                      <w:color w:val="auto"/>
                      <w:spacing w:val="0"/>
                      <w:w w:val="100"/>
                      <w:position w:val="0"/>
                      <w:highlight w:val="none"/>
                    </w:rPr>
                    <w:t>）在可能发生地质灾害区段设置警示标志。</w:t>
                  </w:r>
                </w:p>
                <w:p w14:paraId="17D221DD">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i w:val="0"/>
                      <w:iCs w:val="0"/>
                      <w:color w:val="auto"/>
                      <w:spacing w:val="0"/>
                      <w:w w:val="100"/>
                      <w:position w:val="0"/>
                      <w:highlight w:val="none"/>
                    </w:rPr>
                  </w:pPr>
                  <w:r>
                    <w:rPr>
                      <w:rFonts w:hint="default" w:ascii="Times New Roman" w:hAnsi="Times New Roman" w:eastAsia="宋体" w:cs="Times New Roman"/>
                      <w:i w:val="0"/>
                      <w:iCs w:val="0"/>
                      <w:color w:val="auto"/>
                      <w:spacing w:val="0"/>
                      <w:w w:val="100"/>
                      <w:position w:val="0"/>
                      <w:highlight w:val="none"/>
                      <w:lang w:val="en-US" w:eastAsia="zh-CN"/>
                    </w:rPr>
                    <w:t>3</w:t>
                  </w:r>
                  <w:r>
                    <w:rPr>
                      <w:rFonts w:hint="default" w:ascii="Times New Roman" w:hAnsi="Times New Roman" w:eastAsia="宋体" w:cs="Times New Roman"/>
                      <w:i w:val="0"/>
                      <w:iCs w:val="0"/>
                      <w:color w:val="auto"/>
                      <w:spacing w:val="0"/>
                      <w:w w:val="100"/>
                      <w:position w:val="0"/>
                      <w:highlight w:val="none"/>
                    </w:rPr>
                    <w:t>）不超挖坡底，不留伞檐，进行科学、合理的采剥。</w:t>
                  </w:r>
                </w:p>
                <w:p w14:paraId="1279B8EB">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i w:val="0"/>
                      <w:iCs w:val="0"/>
                      <w:color w:val="auto"/>
                      <w:spacing w:val="0"/>
                      <w:w w:val="100"/>
                      <w:position w:val="0"/>
                      <w:highlight w:val="none"/>
                    </w:rPr>
                  </w:pPr>
                  <w:r>
                    <w:rPr>
                      <w:rFonts w:hint="default" w:ascii="Times New Roman" w:hAnsi="Times New Roman" w:eastAsia="宋体" w:cs="Times New Roman"/>
                      <w:i w:val="0"/>
                      <w:iCs w:val="0"/>
                      <w:color w:val="auto"/>
                      <w:spacing w:val="0"/>
                      <w:w w:val="100"/>
                      <w:position w:val="0"/>
                      <w:highlight w:val="none"/>
                      <w:lang w:val="en-US" w:eastAsia="zh-CN"/>
                    </w:rPr>
                    <w:t>4</w:t>
                  </w:r>
                  <w:r>
                    <w:rPr>
                      <w:rFonts w:hint="default" w:ascii="Times New Roman" w:hAnsi="Times New Roman" w:eastAsia="宋体" w:cs="Times New Roman"/>
                      <w:i w:val="0"/>
                      <w:iCs w:val="0"/>
                      <w:color w:val="auto"/>
                      <w:spacing w:val="0"/>
                      <w:w w:val="100"/>
                      <w:position w:val="0"/>
                      <w:highlight w:val="none"/>
                    </w:rPr>
                    <w:t>）严禁采场内台阶上下垂直方向双层作业。</w:t>
                  </w:r>
                </w:p>
                <w:p w14:paraId="1172F2A0">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i w:val="0"/>
                      <w:iCs w:val="0"/>
                      <w:color w:val="auto"/>
                      <w:spacing w:val="0"/>
                      <w:w w:val="100"/>
                      <w:position w:val="0"/>
                      <w:highlight w:val="none"/>
                    </w:rPr>
                  </w:pPr>
                  <w:r>
                    <w:rPr>
                      <w:rFonts w:hint="default" w:ascii="Times New Roman" w:hAnsi="Times New Roman" w:eastAsia="宋体" w:cs="Times New Roman"/>
                      <w:i w:val="0"/>
                      <w:iCs w:val="0"/>
                      <w:color w:val="auto"/>
                      <w:spacing w:val="0"/>
                      <w:w w:val="100"/>
                      <w:position w:val="0"/>
                      <w:highlight w:val="none"/>
                      <w:lang w:val="en-US" w:eastAsia="zh-CN"/>
                    </w:rPr>
                    <w:t>5</w:t>
                  </w:r>
                  <w:r>
                    <w:rPr>
                      <w:rFonts w:hint="default" w:ascii="Times New Roman" w:hAnsi="Times New Roman" w:eastAsia="宋体" w:cs="Times New Roman"/>
                      <w:i w:val="0"/>
                      <w:iCs w:val="0"/>
                      <w:color w:val="auto"/>
                      <w:spacing w:val="0"/>
                      <w:w w:val="100"/>
                      <w:position w:val="0"/>
                      <w:highlight w:val="none"/>
                    </w:rPr>
                    <w:t>）在台阶坡面作业时，必须佩戴安全带。</w:t>
                  </w:r>
                </w:p>
                <w:p w14:paraId="78EDEDAF">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i w:val="0"/>
                      <w:iCs w:val="0"/>
                      <w:color w:val="auto"/>
                      <w:spacing w:val="0"/>
                      <w:w w:val="100"/>
                      <w:position w:val="0"/>
                      <w:highlight w:val="none"/>
                    </w:rPr>
                  </w:pPr>
                  <w:r>
                    <w:rPr>
                      <w:rFonts w:hint="default" w:ascii="Times New Roman" w:hAnsi="Times New Roman" w:eastAsia="宋体" w:cs="Times New Roman"/>
                      <w:i w:val="0"/>
                      <w:iCs w:val="0"/>
                      <w:color w:val="auto"/>
                      <w:spacing w:val="0"/>
                      <w:w w:val="100"/>
                      <w:position w:val="0"/>
                      <w:highlight w:val="none"/>
                      <w:lang w:val="en-US" w:eastAsia="zh-CN"/>
                    </w:rPr>
                    <w:t>6</w:t>
                  </w:r>
                  <w:r>
                    <w:rPr>
                      <w:rFonts w:hint="default" w:ascii="Times New Roman" w:hAnsi="Times New Roman" w:eastAsia="宋体" w:cs="Times New Roman"/>
                      <w:i w:val="0"/>
                      <w:iCs w:val="0"/>
                      <w:color w:val="auto"/>
                      <w:spacing w:val="0"/>
                      <w:w w:val="100"/>
                      <w:position w:val="0"/>
                      <w:highlight w:val="none"/>
                    </w:rPr>
                    <w:t>）大雾、大雨、暴风雨时应停止作业。</w:t>
                  </w:r>
                </w:p>
                <w:p w14:paraId="332C2612">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i w:val="0"/>
                      <w:iCs w:val="0"/>
                      <w:color w:val="auto"/>
                      <w:spacing w:val="0"/>
                      <w:w w:val="100"/>
                      <w:position w:val="0"/>
                      <w:highlight w:val="none"/>
                    </w:rPr>
                  </w:pPr>
                  <w:r>
                    <w:rPr>
                      <w:rFonts w:hint="default" w:ascii="Times New Roman" w:hAnsi="Times New Roman" w:eastAsia="宋体" w:cs="Times New Roman"/>
                      <w:i w:val="0"/>
                      <w:iCs w:val="0"/>
                      <w:color w:val="auto"/>
                      <w:spacing w:val="0"/>
                      <w:w w:val="100"/>
                      <w:position w:val="0"/>
                      <w:highlight w:val="none"/>
                    </w:rPr>
                    <w:t>（2）</w:t>
                  </w:r>
                  <w:r>
                    <w:rPr>
                      <w:rFonts w:hint="default" w:ascii="Times New Roman" w:hAnsi="Times New Roman" w:eastAsia="宋体" w:cs="Times New Roman"/>
                      <w:i w:val="0"/>
                      <w:iCs w:val="0"/>
                      <w:color w:val="auto"/>
                      <w:spacing w:val="0"/>
                      <w:w w:val="100"/>
                      <w:position w:val="0"/>
                      <w:highlight w:val="none"/>
                      <w:lang w:eastAsia="zh-CN"/>
                    </w:rPr>
                    <w:t>柴油</w:t>
                  </w:r>
                  <w:r>
                    <w:rPr>
                      <w:rFonts w:hint="default" w:ascii="Times New Roman" w:hAnsi="Times New Roman" w:eastAsia="宋体" w:cs="Times New Roman"/>
                      <w:i w:val="0"/>
                      <w:iCs w:val="0"/>
                      <w:color w:val="auto"/>
                      <w:spacing w:val="0"/>
                      <w:w w:val="100"/>
                      <w:position w:val="0"/>
                      <w:highlight w:val="none"/>
                    </w:rPr>
                    <w:t>泄露预防措施</w:t>
                  </w:r>
                </w:p>
                <w:p w14:paraId="51E76823">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1）使用符合标准的容器盛装</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；应定期对暂时贮存</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包装及设施进行检查，发现破损，及时采取措施清理更换；</w:t>
                  </w:r>
                </w:p>
                <w:p w14:paraId="262CFEBD">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2）设有专人负责</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维护及管理，避免因</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泄露、乱堆乱弃造成环境污染；</w:t>
                  </w:r>
                </w:p>
                <w:p w14:paraId="7D947B9E">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3）应指定专人负责危废的收集、运输管理工作，运输车辆的司机和押运人员应经专业培训。</w:t>
                  </w:r>
                </w:p>
              </w:tc>
            </w:tr>
            <w:tr w14:paraId="38E0ABE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545" w:type="dxa"/>
                  <w:gridSpan w:val="7"/>
                  <w:noWrap w:val="0"/>
                  <w:vAlign w:val="center"/>
                </w:tcPr>
                <w:p w14:paraId="69AB9187">
                  <w:pPr>
                    <w:pStyle w:val="83"/>
                    <w:keepNext w:val="0"/>
                    <w:keepLines w:val="0"/>
                    <w:pageBreakBefore w:val="0"/>
                    <w:shd w:val="clear"/>
                    <w:kinsoku/>
                    <w:overflowPunct/>
                    <w:topLinePunct w:val="0"/>
                    <w:bidi w:val="0"/>
                    <w:spacing w:beforeAutospacing="0" w:afterAutospacing="0"/>
                    <w:ind w:left="0" w:leftChars="0" w:right="0"/>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rPr>
                    <w:t>填表说明（列出项目相关信息及评价说明）：项目涉及危险物质为</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，Q&lt;1，环境风险潜势为Ⅰ，仅需进行简单分析。</w:t>
                  </w:r>
                </w:p>
              </w:tc>
            </w:tr>
          </w:tbl>
          <w:p w14:paraId="3A14B9C5">
            <w:pPr>
              <w:pStyle w:val="39"/>
              <w:shd w:val="clear"/>
              <w:rPr>
                <w:rFonts w:hint="default" w:ascii="Times New Roman" w:hAnsi="Times New Roman" w:cs="Times New Roman"/>
                <w:color w:val="auto"/>
                <w:spacing w:val="0"/>
                <w:highlight w:val="none"/>
                <w:lang w:val="en-US" w:eastAsia="zh-CN"/>
              </w:rPr>
            </w:pPr>
          </w:p>
        </w:tc>
      </w:tr>
      <w:tr w14:paraId="6A375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353" w:type="pct"/>
            <w:tcBorders>
              <w:tl2br w:val="nil"/>
              <w:tr2bl w:val="nil"/>
            </w:tcBorders>
            <w:noWrap w:val="0"/>
            <w:tcMar>
              <w:left w:w="28" w:type="dxa"/>
              <w:right w:w="28" w:type="dxa"/>
            </w:tcMar>
            <w:vAlign w:val="center"/>
          </w:tcPr>
          <w:p w14:paraId="69E25426">
            <w:pPr>
              <w:pStyle w:val="28"/>
              <w:keepNext w:val="0"/>
              <w:keepLines w:val="0"/>
              <w:pageBreakBefore w:val="0"/>
              <w:shd w:val="clear"/>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Cs/>
                <w:i w:val="0"/>
                <w:iCs w:val="0"/>
                <w:color w:val="auto"/>
                <w:spacing w:val="0"/>
                <w:w w:val="100"/>
                <w:kern w:val="2"/>
                <w:position w:val="0"/>
                <w:sz w:val="24"/>
                <w:szCs w:val="24"/>
                <w:highlight w:val="none"/>
              </w:rPr>
            </w:pPr>
            <w:r>
              <w:rPr>
                <w:rFonts w:hint="default" w:ascii="Times New Roman" w:hAnsi="Times New Roman" w:eastAsia="宋体" w:cs="Times New Roman"/>
                <w:bCs/>
                <w:i w:val="0"/>
                <w:iCs w:val="0"/>
                <w:color w:val="auto"/>
                <w:spacing w:val="0"/>
                <w:w w:val="100"/>
                <w:kern w:val="2"/>
                <w:position w:val="0"/>
                <w:sz w:val="24"/>
                <w:szCs w:val="24"/>
                <w:highlight w:val="none"/>
              </w:rPr>
              <w:t>运营期生态环境影响分析</w:t>
            </w:r>
          </w:p>
        </w:tc>
        <w:tc>
          <w:tcPr>
            <w:tcW w:w="4646" w:type="pct"/>
            <w:tcBorders>
              <w:tl2br w:val="nil"/>
              <w:tr2bl w:val="nil"/>
            </w:tcBorders>
            <w:noWrap w:val="0"/>
            <w:vAlign w:val="center"/>
          </w:tcPr>
          <w:p w14:paraId="31965093">
            <w:pPr>
              <w:keepNext w:val="0"/>
              <w:keepLines w:val="0"/>
              <w:pageBreakBefore w:val="0"/>
              <w:shd w:val="clear"/>
              <w:kinsoku/>
              <w:wordWrap/>
              <w:overflowPunct/>
              <w:topLinePunct w:val="0"/>
              <w:autoSpaceDE/>
              <w:autoSpaceDN/>
              <w:bidi w:val="0"/>
              <w:spacing w:beforeAutospacing="0" w:afterAutospacing="0" w:line="360" w:lineRule="auto"/>
              <w:ind w:left="0" w:leftChars="0" w:right="0" w:firstLine="480" w:firstLineChars="200"/>
              <w:jc w:val="left"/>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0000FF"/>
                <w:spacing w:val="0"/>
                <w:sz w:val="24"/>
                <w:szCs w:val="32"/>
                <w:highlight w:val="none"/>
              </w:rPr>
              <w:t>施工结束后尽快进行迹地恢复复垦，复垦物种要求为本地物种、不得引进外来物种，对永久占地按照占补平衡要求、落实“占多少补多少”，工程完成后对临时占地区域及时按照《土地复垦条例》（国务院令第592号）要求进行土地复垦，及时复垦、平整，恢复地面植被，经过清理、整治，可恢复其原有功能，撒播草种选择针茅、芨芨草等当地适生耐旱草种，为有助于治沙植被，预防项目附近土地沙化现象产生。</w:t>
            </w:r>
          </w:p>
          <w:p w14:paraId="117E387C">
            <w:pPr>
              <w:keepNext w:val="0"/>
              <w:keepLines w:val="0"/>
              <w:pageBreakBefore w:val="0"/>
              <w:shd w:val="clear"/>
              <w:kinsoku/>
              <w:wordWrap/>
              <w:overflowPunct/>
              <w:topLinePunct w:val="0"/>
              <w:autoSpaceDE/>
              <w:autoSpaceDN/>
              <w:bidi w:val="0"/>
              <w:spacing w:beforeAutospacing="0" w:afterAutospacing="0" w:line="360" w:lineRule="auto"/>
              <w:ind w:left="0" w:leftChars="0" w:right="0" w:firstLine="480" w:firstLineChars="200"/>
              <w:jc w:val="left"/>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w:t>
            </w:r>
            <w:r>
              <w:rPr>
                <w:rFonts w:hint="default" w:ascii="Times New Roman" w:hAnsi="Times New Roman" w:eastAsia="宋体" w:cs="Times New Roman"/>
                <w:color w:val="auto"/>
                <w:spacing w:val="0"/>
                <w:position w:val="0"/>
                <w:sz w:val="24"/>
                <w:szCs w:val="24"/>
                <w:highlight w:val="none"/>
                <w:lang w:val="en-US" w:eastAsia="zh-CN"/>
              </w:rPr>
              <w:t>项目不属于</w:t>
            </w:r>
            <w:r>
              <w:rPr>
                <w:rFonts w:hint="default" w:ascii="Times New Roman" w:hAnsi="Times New Roman" w:eastAsia="宋体" w:cs="Times New Roman"/>
                <w:color w:val="auto"/>
                <w:spacing w:val="0"/>
                <w:position w:val="0"/>
                <w:sz w:val="24"/>
                <w:szCs w:val="24"/>
                <w:highlight w:val="none"/>
              </w:rPr>
              <w:t>污染类建设工程，</w:t>
            </w:r>
            <w:r>
              <w:rPr>
                <w:rFonts w:hint="default" w:ascii="Times New Roman" w:hAnsi="Times New Roman" w:eastAsia="宋体" w:cs="Times New Roman"/>
                <w:b w:val="0"/>
                <w:bCs w:val="0"/>
                <w:color w:val="auto"/>
                <w:spacing w:val="0"/>
                <w:kern w:val="2"/>
                <w:sz w:val="24"/>
                <w:szCs w:val="24"/>
                <w:highlight w:val="none"/>
                <w:lang w:val="en-US" w:eastAsia="zh-CN" w:bidi="ar-SA"/>
              </w:rPr>
              <w:t>项目运营期间不新增劳动定员，运营期产生的噪声及固废较少，项目的运行对周围环境的影响</w:t>
            </w:r>
            <w:r>
              <w:rPr>
                <w:rFonts w:hint="default" w:ascii="Times New Roman" w:hAnsi="Times New Roman" w:eastAsia="宋体" w:cs="Times New Roman"/>
                <w:color w:val="auto"/>
                <w:spacing w:val="0"/>
                <w:position w:val="0"/>
                <w:sz w:val="24"/>
                <w:szCs w:val="24"/>
                <w:highlight w:val="none"/>
                <w:lang w:val="en-US" w:eastAsia="zh-CN"/>
              </w:rPr>
              <w:t>程度</w:t>
            </w:r>
            <w:r>
              <w:rPr>
                <w:rFonts w:hint="default" w:ascii="Times New Roman" w:hAnsi="Times New Roman" w:eastAsia="宋体" w:cs="Times New Roman"/>
                <w:b w:val="0"/>
                <w:bCs w:val="0"/>
                <w:color w:val="auto"/>
                <w:spacing w:val="0"/>
                <w:kern w:val="2"/>
                <w:sz w:val="24"/>
                <w:szCs w:val="24"/>
                <w:highlight w:val="none"/>
                <w:lang w:val="en-US" w:eastAsia="zh-CN" w:bidi="ar-SA"/>
              </w:rPr>
              <w:t>较小，主要是对自然环境和社会环境的正面影响。</w:t>
            </w:r>
            <w:r>
              <w:rPr>
                <w:rFonts w:hint="default" w:ascii="Times New Roman" w:hAnsi="Times New Roman" w:eastAsia="宋体" w:cs="Times New Roman"/>
                <w:color w:val="auto"/>
                <w:spacing w:val="0"/>
                <w:position w:val="0"/>
                <w:sz w:val="24"/>
                <w:szCs w:val="24"/>
                <w:highlight w:val="none"/>
              </w:rPr>
              <w:t>项目建成</w:t>
            </w:r>
            <w:r>
              <w:rPr>
                <w:rFonts w:hint="default" w:ascii="Times New Roman" w:hAnsi="Times New Roman" w:eastAsia="宋体" w:cs="Times New Roman"/>
                <w:color w:val="auto"/>
                <w:spacing w:val="0"/>
                <w:position w:val="0"/>
                <w:sz w:val="24"/>
                <w:szCs w:val="24"/>
                <w:highlight w:val="none"/>
                <w:lang w:val="en-US" w:eastAsia="zh-CN"/>
              </w:rPr>
              <w:t>后</w:t>
            </w:r>
            <w:r>
              <w:rPr>
                <w:rFonts w:hint="default" w:ascii="Times New Roman" w:hAnsi="Times New Roman" w:eastAsia="宋体" w:cs="Times New Roman"/>
                <w:color w:val="auto"/>
                <w:spacing w:val="0"/>
                <w:position w:val="0"/>
                <w:sz w:val="24"/>
                <w:szCs w:val="24"/>
                <w:highlight w:val="none"/>
              </w:rPr>
              <w:t>无废气、废水、噪声和固废污染物产生，对周围环境影响</w:t>
            </w:r>
            <w:r>
              <w:rPr>
                <w:rFonts w:hint="default" w:ascii="Times New Roman" w:hAnsi="Times New Roman" w:eastAsia="宋体" w:cs="Times New Roman"/>
                <w:color w:val="auto"/>
                <w:spacing w:val="0"/>
                <w:position w:val="0"/>
                <w:sz w:val="24"/>
                <w:szCs w:val="24"/>
                <w:highlight w:val="none"/>
                <w:lang w:val="en-US" w:eastAsia="zh-CN"/>
              </w:rPr>
              <w:t>程度较</w:t>
            </w:r>
            <w:r>
              <w:rPr>
                <w:rFonts w:hint="default" w:ascii="Times New Roman" w:hAnsi="Times New Roman" w:eastAsia="宋体" w:cs="Times New Roman"/>
                <w:color w:val="auto"/>
                <w:spacing w:val="0"/>
                <w:position w:val="0"/>
                <w:sz w:val="24"/>
                <w:szCs w:val="24"/>
                <w:highlight w:val="none"/>
              </w:rPr>
              <w:t>小。</w:t>
            </w:r>
          </w:p>
          <w:p w14:paraId="22965153">
            <w:pPr>
              <w:keepNext w:val="0"/>
              <w:keepLines w:val="0"/>
              <w:pageBreakBefore w:val="0"/>
              <w:shd w:val="clear"/>
              <w:kinsoku/>
              <w:wordWrap/>
              <w:overflowPunct/>
              <w:topLinePunct w:val="0"/>
              <w:autoSpaceDE/>
              <w:autoSpaceDN/>
              <w:bidi w:val="0"/>
              <w:spacing w:beforeAutospacing="0" w:afterAutospacing="0" w:line="360" w:lineRule="auto"/>
              <w:ind w:left="0" w:right="0"/>
              <w:jc w:val="left"/>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position w:val="0"/>
                <w:sz w:val="24"/>
                <w:szCs w:val="24"/>
                <w:highlight w:val="none"/>
              </w:rPr>
              <w:t>1</w:t>
            </w:r>
            <w:r>
              <w:rPr>
                <w:rFonts w:hint="default" w:ascii="Times New Roman" w:hAnsi="Times New Roman" w:eastAsia="宋体" w:cs="Times New Roman"/>
                <w:b/>
                <w:bCs/>
                <w:color w:val="auto"/>
                <w:spacing w:val="0"/>
                <w:position w:val="0"/>
                <w:sz w:val="24"/>
                <w:szCs w:val="24"/>
                <w:highlight w:val="none"/>
                <w:lang w:val="en-US" w:eastAsia="zh-CN"/>
              </w:rPr>
              <w:t>.运营期</w:t>
            </w:r>
            <w:r>
              <w:rPr>
                <w:rFonts w:hint="default" w:ascii="Times New Roman" w:hAnsi="Times New Roman" w:eastAsia="宋体" w:cs="Times New Roman"/>
                <w:b/>
                <w:bCs/>
                <w:color w:val="auto"/>
                <w:spacing w:val="0"/>
                <w:position w:val="0"/>
                <w:sz w:val="24"/>
                <w:szCs w:val="24"/>
                <w:highlight w:val="none"/>
              </w:rPr>
              <w:t>生态环境影响</w:t>
            </w:r>
            <w:r>
              <w:rPr>
                <w:rFonts w:hint="default" w:ascii="Times New Roman" w:hAnsi="Times New Roman" w:eastAsia="宋体" w:cs="Times New Roman"/>
                <w:b/>
                <w:bCs/>
                <w:color w:val="auto"/>
                <w:spacing w:val="0"/>
                <w:position w:val="0"/>
                <w:sz w:val="24"/>
                <w:szCs w:val="24"/>
                <w:highlight w:val="none"/>
                <w:lang w:val="en-US" w:eastAsia="zh-CN"/>
              </w:rPr>
              <w:t>分析</w:t>
            </w:r>
          </w:p>
          <w:p w14:paraId="52753D3D">
            <w:pPr>
              <w:keepNext w:val="0"/>
              <w:keepLines w:val="0"/>
              <w:pageBreakBefore w:val="0"/>
              <w:shd w:val="clear"/>
              <w:kinsoku/>
              <w:wordWrap/>
              <w:overflowPunct/>
              <w:topLinePunct w:val="0"/>
              <w:autoSpaceDE/>
              <w:autoSpaceDN/>
              <w:bidi w:val="0"/>
              <w:spacing w:beforeAutospacing="0" w:afterAutospacing="0" w:line="360" w:lineRule="auto"/>
              <w:ind w:left="0" w:leftChars="0" w:right="0" w:firstLine="482" w:firstLineChars="200"/>
              <w:jc w:val="left"/>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lang w:eastAsia="zh-CN"/>
              </w:rPr>
              <w:t>（</w:t>
            </w:r>
            <w:r>
              <w:rPr>
                <w:rFonts w:hint="default" w:ascii="Times New Roman" w:hAnsi="Times New Roman" w:eastAsia="宋体" w:cs="Times New Roman"/>
                <w:b/>
                <w:bCs/>
                <w:color w:val="auto"/>
                <w:spacing w:val="0"/>
                <w:position w:val="0"/>
                <w:sz w:val="24"/>
                <w:szCs w:val="24"/>
                <w:highlight w:val="none"/>
              </w:rPr>
              <w:t>1</w:t>
            </w:r>
            <w:r>
              <w:rPr>
                <w:rFonts w:hint="default" w:ascii="Times New Roman" w:hAnsi="Times New Roman" w:eastAsia="宋体" w:cs="Times New Roman"/>
                <w:b/>
                <w:bCs/>
                <w:color w:val="auto"/>
                <w:spacing w:val="0"/>
                <w:position w:val="0"/>
                <w:sz w:val="24"/>
                <w:szCs w:val="24"/>
                <w:highlight w:val="none"/>
                <w:lang w:eastAsia="zh-CN"/>
              </w:rPr>
              <w:t>）</w:t>
            </w:r>
            <w:r>
              <w:rPr>
                <w:rFonts w:hint="default" w:ascii="Times New Roman" w:hAnsi="Times New Roman" w:eastAsia="宋体" w:cs="Times New Roman"/>
                <w:b/>
                <w:bCs/>
                <w:color w:val="auto"/>
                <w:spacing w:val="0"/>
                <w:position w:val="0"/>
                <w:sz w:val="24"/>
                <w:szCs w:val="24"/>
                <w:highlight w:val="none"/>
              </w:rPr>
              <w:t>对陆生生态环境影响</w:t>
            </w:r>
          </w:p>
          <w:p w14:paraId="45DA1499">
            <w:pPr>
              <w:keepNext w:val="0"/>
              <w:keepLines w:val="0"/>
              <w:pageBreakBefore w:val="0"/>
              <w:shd w:val="clear"/>
              <w:kinsoku/>
              <w:wordWrap/>
              <w:overflowPunct/>
              <w:topLinePunct w:val="0"/>
              <w:autoSpaceDE/>
              <w:autoSpaceDN/>
              <w:bidi w:val="0"/>
              <w:spacing w:beforeAutospacing="0" w:afterAutospacing="0" w:line="360" w:lineRule="auto"/>
              <w:ind w:left="0" w:leftChars="0" w:right="0" w:firstLine="480" w:firstLineChars="200"/>
              <w:jc w:val="left"/>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本项目建成后，</w:t>
            </w:r>
            <w:r>
              <w:rPr>
                <w:rFonts w:hint="default" w:ascii="Times New Roman" w:hAnsi="Times New Roman" w:eastAsia="宋体" w:cs="Times New Roman"/>
                <w:color w:val="auto"/>
                <w:spacing w:val="0"/>
                <w:position w:val="0"/>
                <w:sz w:val="24"/>
                <w:szCs w:val="24"/>
                <w:highlight w:val="none"/>
                <w:lang w:val="en-US" w:eastAsia="zh-CN"/>
              </w:rPr>
              <w:t>本项目对</w:t>
            </w:r>
            <w:r>
              <w:rPr>
                <w:rFonts w:hint="default" w:ascii="Times New Roman" w:hAnsi="Times New Roman" w:eastAsia="宋体" w:cs="Times New Roman"/>
                <w:color w:val="auto"/>
                <w:spacing w:val="0"/>
                <w:position w:val="0"/>
                <w:sz w:val="24"/>
                <w:szCs w:val="24"/>
                <w:highlight w:val="none"/>
              </w:rPr>
              <w:t>工程河段两岸陆生生态系统的生存和发展影响</w:t>
            </w:r>
            <w:r>
              <w:rPr>
                <w:rFonts w:hint="default" w:ascii="Times New Roman" w:hAnsi="Times New Roman" w:eastAsia="宋体" w:cs="Times New Roman"/>
                <w:color w:val="auto"/>
                <w:spacing w:val="0"/>
                <w:position w:val="0"/>
                <w:sz w:val="24"/>
                <w:szCs w:val="24"/>
                <w:highlight w:val="none"/>
                <w:lang w:val="en-US" w:eastAsia="zh-CN"/>
              </w:rPr>
              <w:t>程度</w:t>
            </w:r>
            <w:r>
              <w:rPr>
                <w:rFonts w:hint="default" w:ascii="Times New Roman" w:hAnsi="Times New Roman" w:eastAsia="宋体" w:cs="Times New Roman"/>
                <w:color w:val="auto"/>
                <w:spacing w:val="0"/>
                <w:position w:val="0"/>
                <w:sz w:val="24"/>
                <w:szCs w:val="24"/>
                <w:highlight w:val="none"/>
              </w:rPr>
              <w:t>较小。</w:t>
            </w:r>
          </w:p>
          <w:p w14:paraId="6D9B9471">
            <w:pPr>
              <w:keepNext w:val="0"/>
              <w:keepLines w:val="0"/>
              <w:pageBreakBefore w:val="0"/>
              <w:shd w:val="clear"/>
              <w:kinsoku/>
              <w:wordWrap/>
              <w:overflowPunct/>
              <w:topLinePunct w:val="0"/>
              <w:autoSpaceDE/>
              <w:autoSpaceDN/>
              <w:bidi w:val="0"/>
              <w:spacing w:beforeAutospacing="0" w:afterAutospacing="0" w:line="360" w:lineRule="auto"/>
              <w:ind w:left="0" w:leftChars="0" w:right="0" w:firstLine="482" w:firstLineChars="200"/>
              <w:jc w:val="left"/>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lang w:eastAsia="zh-CN"/>
              </w:rPr>
              <w:t>（</w:t>
            </w:r>
            <w:r>
              <w:rPr>
                <w:rFonts w:hint="default" w:ascii="Times New Roman" w:hAnsi="Times New Roman" w:eastAsia="宋体" w:cs="Times New Roman"/>
                <w:b/>
                <w:bCs/>
                <w:color w:val="auto"/>
                <w:spacing w:val="0"/>
                <w:position w:val="0"/>
                <w:sz w:val="24"/>
                <w:szCs w:val="24"/>
                <w:highlight w:val="none"/>
              </w:rPr>
              <w:t>2</w:t>
            </w:r>
            <w:r>
              <w:rPr>
                <w:rFonts w:hint="default" w:ascii="Times New Roman" w:hAnsi="Times New Roman" w:eastAsia="宋体" w:cs="Times New Roman"/>
                <w:b/>
                <w:bCs/>
                <w:color w:val="auto"/>
                <w:spacing w:val="0"/>
                <w:position w:val="0"/>
                <w:sz w:val="24"/>
                <w:szCs w:val="24"/>
                <w:highlight w:val="none"/>
                <w:lang w:eastAsia="zh-CN"/>
              </w:rPr>
              <w:t>）</w:t>
            </w:r>
            <w:r>
              <w:rPr>
                <w:rFonts w:hint="default" w:ascii="Times New Roman" w:hAnsi="Times New Roman" w:eastAsia="宋体" w:cs="Times New Roman"/>
                <w:b/>
                <w:bCs/>
                <w:color w:val="auto"/>
                <w:spacing w:val="0"/>
                <w:position w:val="0"/>
                <w:sz w:val="24"/>
                <w:szCs w:val="24"/>
                <w:highlight w:val="none"/>
              </w:rPr>
              <w:t>对水生生态影响</w:t>
            </w:r>
          </w:p>
          <w:p w14:paraId="5598FED2">
            <w:pPr>
              <w:keepNext w:val="0"/>
              <w:keepLines w:val="0"/>
              <w:pageBreakBefore w:val="0"/>
              <w:shd w:val="clear"/>
              <w:kinsoku/>
              <w:wordWrap/>
              <w:overflowPunct/>
              <w:topLinePunct w:val="0"/>
              <w:autoSpaceDE/>
              <w:autoSpaceDN/>
              <w:bidi w:val="0"/>
              <w:spacing w:beforeAutospacing="0" w:afterAutospacing="0" w:line="360" w:lineRule="auto"/>
              <w:ind w:left="0" w:leftChars="0" w:right="0" w:firstLine="480" w:firstLineChars="200"/>
              <w:jc w:val="left"/>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工程施工区</w:t>
            </w:r>
            <w:r>
              <w:rPr>
                <w:rFonts w:hint="default" w:ascii="Times New Roman" w:hAnsi="Times New Roman" w:eastAsia="宋体" w:cs="Times New Roman"/>
                <w:color w:val="auto"/>
                <w:spacing w:val="0"/>
                <w:position w:val="0"/>
                <w:sz w:val="24"/>
                <w:szCs w:val="24"/>
                <w:highlight w:val="none"/>
                <w:lang w:val="en-US" w:eastAsia="zh-CN"/>
              </w:rPr>
              <w:t>依托现有的</w:t>
            </w:r>
            <w:r>
              <w:rPr>
                <w:rFonts w:hint="default" w:ascii="Times New Roman" w:hAnsi="Times New Roman" w:eastAsia="宋体" w:cs="Times New Roman"/>
                <w:color w:val="auto"/>
                <w:spacing w:val="0"/>
                <w:position w:val="0"/>
                <w:sz w:val="24"/>
                <w:szCs w:val="24"/>
                <w:highlight w:val="none"/>
              </w:rPr>
              <w:t>河道，现状天然河道宽度较宽，</w:t>
            </w:r>
            <w:r>
              <w:rPr>
                <w:rFonts w:hint="default" w:ascii="Times New Roman" w:hAnsi="Times New Roman" w:eastAsia="宋体" w:cs="Times New Roman"/>
                <w:color w:val="auto"/>
                <w:spacing w:val="0"/>
                <w:position w:val="0"/>
                <w:sz w:val="24"/>
                <w:szCs w:val="24"/>
                <w:highlight w:val="none"/>
                <w:lang w:val="en-US" w:eastAsia="zh-CN"/>
              </w:rPr>
              <w:t>项目建设</w:t>
            </w:r>
            <w:r>
              <w:rPr>
                <w:rFonts w:hint="default" w:ascii="Times New Roman" w:hAnsi="Times New Roman" w:eastAsia="宋体" w:cs="Times New Roman"/>
                <w:color w:val="auto"/>
                <w:spacing w:val="0"/>
                <w:position w:val="0"/>
                <w:sz w:val="24"/>
                <w:szCs w:val="24"/>
                <w:highlight w:val="none"/>
              </w:rPr>
              <w:t>选择枯水期进行施工，可以保证施工区正常施工。运行期对水生生态没有影响</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lang w:val="en-US" w:eastAsia="zh-CN"/>
              </w:rPr>
              <w:t>不会导致</w:t>
            </w:r>
            <w:r>
              <w:rPr>
                <w:rFonts w:hint="default" w:ascii="Times New Roman" w:hAnsi="Times New Roman" w:cs="Times New Roman"/>
                <w:color w:val="auto"/>
                <w:spacing w:val="0"/>
                <w:position w:val="0"/>
                <w:sz w:val="24"/>
                <w:szCs w:val="24"/>
                <w:highlight w:val="none"/>
                <w:lang w:val="en-US" w:eastAsia="zh-CN"/>
              </w:rPr>
              <w:t>库尔阿根河</w:t>
            </w:r>
            <w:r>
              <w:rPr>
                <w:rFonts w:hint="default" w:ascii="Times New Roman" w:hAnsi="Times New Roman" w:eastAsia="宋体" w:cs="Times New Roman"/>
                <w:color w:val="auto"/>
                <w:spacing w:val="0"/>
                <w:position w:val="0"/>
                <w:sz w:val="24"/>
                <w:szCs w:val="24"/>
                <w:highlight w:val="none"/>
                <w:lang w:val="en-US" w:eastAsia="zh-CN"/>
              </w:rPr>
              <w:t>水质等级下降，因此，本项目运营期对水生生态影响程度较小</w:t>
            </w:r>
            <w:r>
              <w:rPr>
                <w:rFonts w:hint="default" w:ascii="Times New Roman" w:hAnsi="Times New Roman" w:eastAsia="宋体" w:cs="Times New Roman"/>
                <w:color w:val="auto"/>
                <w:spacing w:val="0"/>
                <w:position w:val="0"/>
                <w:sz w:val="24"/>
                <w:szCs w:val="24"/>
                <w:highlight w:val="none"/>
              </w:rPr>
              <w:t>。</w:t>
            </w:r>
          </w:p>
          <w:p w14:paraId="2E0287BF">
            <w:pPr>
              <w:keepNext w:val="0"/>
              <w:keepLines w:val="0"/>
              <w:pageBreakBefore w:val="0"/>
              <w:shd w:val="clear"/>
              <w:kinsoku/>
              <w:wordWrap/>
              <w:overflowPunct/>
              <w:topLinePunct w:val="0"/>
              <w:autoSpaceDE/>
              <w:autoSpaceDN/>
              <w:bidi w:val="0"/>
              <w:spacing w:beforeAutospacing="0" w:afterAutospacing="0" w:line="360" w:lineRule="auto"/>
              <w:ind w:left="0" w:leftChars="0" w:right="0" w:firstLine="482" w:firstLineChars="200"/>
              <w:jc w:val="left"/>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lang w:eastAsia="zh-CN"/>
              </w:rPr>
              <w:t>（</w:t>
            </w:r>
            <w:r>
              <w:rPr>
                <w:rFonts w:hint="default" w:ascii="Times New Roman" w:hAnsi="Times New Roman" w:eastAsia="宋体" w:cs="Times New Roman"/>
                <w:b/>
                <w:bCs/>
                <w:color w:val="auto"/>
                <w:spacing w:val="0"/>
                <w:position w:val="0"/>
                <w:sz w:val="24"/>
                <w:szCs w:val="24"/>
                <w:highlight w:val="none"/>
              </w:rPr>
              <w:t>3</w:t>
            </w:r>
            <w:r>
              <w:rPr>
                <w:rFonts w:hint="default" w:ascii="Times New Roman" w:hAnsi="Times New Roman" w:eastAsia="宋体" w:cs="Times New Roman"/>
                <w:b/>
                <w:bCs/>
                <w:color w:val="auto"/>
                <w:spacing w:val="0"/>
                <w:position w:val="0"/>
                <w:sz w:val="24"/>
                <w:szCs w:val="24"/>
                <w:highlight w:val="none"/>
                <w:lang w:eastAsia="zh-CN"/>
              </w:rPr>
              <w:t>）</w:t>
            </w:r>
            <w:r>
              <w:rPr>
                <w:rFonts w:hint="default" w:ascii="Times New Roman" w:hAnsi="Times New Roman" w:eastAsia="宋体" w:cs="Times New Roman"/>
                <w:b/>
                <w:bCs/>
                <w:color w:val="auto"/>
                <w:spacing w:val="0"/>
                <w:position w:val="0"/>
                <w:sz w:val="24"/>
                <w:szCs w:val="24"/>
                <w:highlight w:val="none"/>
              </w:rPr>
              <w:t>对生态完整性影响</w:t>
            </w:r>
          </w:p>
          <w:p w14:paraId="10B561F8">
            <w:pPr>
              <w:keepNext w:val="0"/>
              <w:keepLines w:val="0"/>
              <w:pageBreakBefore w:val="0"/>
              <w:shd w:val="clear"/>
              <w:kinsoku/>
              <w:wordWrap/>
              <w:overflowPunct/>
              <w:topLinePunct w:val="0"/>
              <w:autoSpaceDE/>
              <w:autoSpaceDN/>
              <w:bidi w:val="0"/>
              <w:spacing w:beforeAutospacing="0" w:afterAutospacing="0" w:line="360" w:lineRule="auto"/>
              <w:ind w:left="0" w:leftChars="0" w:right="0" w:firstLine="480" w:firstLineChars="200"/>
              <w:jc w:val="left"/>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工程实施后，评价区自然系统的生产能力仍维持在现有水平上，自然系统的恢复稳定性和阻抗稳定性不会发生根本变化，工程对评价区自然系统生态完整性影响</w:t>
            </w:r>
            <w:r>
              <w:rPr>
                <w:rFonts w:hint="default" w:ascii="Times New Roman" w:hAnsi="Times New Roman" w:eastAsia="宋体" w:cs="Times New Roman"/>
                <w:color w:val="auto"/>
                <w:spacing w:val="0"/>
                <w:position w:val="0"/>
                <w:sz w:val="24"/>
                <w:szCs w:val="24"/>
                <w:highlight w:val="none"/>
                <w:lang w:val="en-US" w:eastAsia="zh-CN"/>
              </w:rPr>
              <w:t>程度较小</w:t>
            </w:r>
            <w:r>
              <w:rPr>
                <w:rFonts w:hint="default" w:ascii="Times New Roman" w:hAnsi="Times New Roman" w:eastAsia="宋体" w:cs="Times New Roman"/>
                <w:color w:val="auto"/>
                <w:spacing w:val="0"/>
                <w:position w:val="0"/>
                <w:sz w:val="24"/>
                <w:szCs w:val="24"/>
                <w:highlight w:val="none"/>
              </w:rPr>
              <w:t>。</w:t>
            </w:r>
          </w:p>
          <w:p w14:paraId="4E752914">
            <w:pPr>
              <w:keepNext w:val="0"/>
              <w:keepLines w:val="0"/>
              <w:pageBreakBefore w:val="0"/>
              <w:shd w:val="clear"/>
              <w:kinsoku/>
              <w:wordWrap/>
              <w:overflowPunct/>
              <w:topLinePunct w:val="0"/>
              <w:autoSpaceDE/>
              <w:autoSpaceDN/>
              <w:bidi w:val="0"/>
              <w:spacing w:beforeAutospacing="0" w:afterAutospacing="0" w:line="360" w:lineRule="auto"/>
              <w:ind w:right="0"/>
              <w:jc w:val="left"/>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2</w:t>
            </w:r>
            <w:r>
              <w:rPr>
                <w:rFonts w:hint="default" w:ascii="Times New Roman" w:hAnsi="Times New Roman" w:eastAsia="宋体" w:cs="Times New Roman"/>
                <w:b/>
                <w:bCs/>
                <w:color w:val="auto"/>
                <w:spacing w:val="0"/>
                <w:position w:val="0"/>
                <w:sz w:val="24"/>
                <w:szCs w:val="24"/>
                <w:highlight w:val="none"/>
                <w:lang w:val="en-US" w:eastAsia="zh-CN"/>
              </w:rPr>
              <w:t>.运营期</w:t>
            </w:r>
            <w:r>
              <w:rPr>
                <w:rFonts w:hint="default" w:ascii="Times New Roman" w:hAnsi="Times New Roman" w:eastAsia="宋体" w:cs="Times New Roman"/>
                <w:b/>
                <w:bCs/>
                <w:color w:val="auto"/>
                <w:spacing w:val="0"/>
                <w:position w:val="0"/>
                <w:sz w:val="24"/>
                <w:szCs w:val="24"/>
                <w:highlight w:val="none"/>
              </w:rPr>
              <w:t>水文影响</w:t>
            </w:r>
          </w:p>
          <w:p w14:paraId="43E30FFD">
            <w:pPr>
              <w:keepNext w:val="0"/>
              <w:keepLines w:val="0"/>
              <w:pageBreakBefore w:val="0"/>
              <w:shd w:val="clear"/>
              <w:kinsoku/>
              <w:wordWrap/>
              <w:overflowPunct/>
              <w:topLinePunct w:val="0"/>
              <w:autoSpaceDE/>
              <w:autoSpaceDN/>
              <w:bidi w:val="0"/>
              <w:spacing w:beforeAutospacing="0" w:afterAutospacing="0" w:line="360" w:lineRule="auto"/>
              <w:ind w:left="0" w:leftChars="0" w:right="0" w:firstLine="480" w:firstLineChars="200"/>
              <w:jc w:val="left"/>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val="en-US" w:eastAsia="zh-CN"/>
              </w:rPr>
              <w:t>项目建成后，不会对水文情势产生较大的影响；随着本项目防洪护岸工程的完工，将更加有利于解决区域现存的泄洪、引水、冲沙等不安全隐患，改善下游灌区的水质；项目建成后，可有效减少对河道的冲击，区域水土流失情况得到缓解。因此，本项目建设完成后对区域水土流失防治、行洪安全等方面有有利影响。</w:t>
            </w:r>
          </w:p>
          <w:p w14:paraId="287B1D64">
            <w:pPr>
              <w:pStyle w:val="95"/>
              <w:keepNext w:val="0"/>
              <w:keepLines w:val="0"/>
              <w:suppressLineNumbers w:val="0"/>
              <w:shd w:val="clear"/>
              <w:spacing w:before="60" w:beforeAutospacing="0" w:after="60" w:afterAutospacing="0"/>
              <w:ind w:left="0" w:leftChars="0" w:right="0" w:firstLine="0" w:firstLineChars="0"/>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position w:val="0"/>
                <w:sz w:val="24"/>
                <w:szCs w:val="24"/>
                <w:highlight w:val="none"/>
                <w:lang w:val="en-US" w:eastAsia="zh-CN"/>
              </w:rPr>
              <w:t>3.运营期大气环境影响分析</w:t>
            </w:r>
          </w:p>
          <w:p w14:paraId="39241777">
            <w:pPr>
              <w:shd w:val="clear"/>
              <w:spacing w:line="360" w:lineRule="auto"/>
              <w:ind w:firstLine="560"/>
              <w:rPr>
                <w:rFonts w:hint="default" w:ascii="Times New Roman" w:hAnsi="Times New Roman" w:eastAsia="宋体" w:cs="Times New Roman"/>
                <w:color w:val="auto"/>
                <w:spacing w:val="0"/>
                <w:kern w:val="2"/>
                <w:position w:val="0"/>
                <w:sz w:val="24"/>
                <w:szCs w:val="24"/>
                <w:highlight w:val="none"/>
                <w:lang w:val="en-US" w:eastAsia="zh-CN" w:bidi="ar-SA"/>
              </w:rPr>
            </w:pPr>
            <w:r>
              <w:rPr>
                <w:rFonts w:hint="default" w:ascii="Times New Roman" w:hAnsi="Times New Roman" w:eastAsia="宋体" w:cs="Times New Roman"/>
                <w:color w:val="auto"/>
                <w:spacing w:val="0"/>
                <w:kern w:val="2"/>
                <w:position w:val="0"/>
                <w:sz w:val="24"/>
                <w:szCs w:val="24"/>
                <w:highlight w:val="none"/>
                <w:lang w:val="en-US" w:eastAsia="zh-CN" w:bidi="ar-SA"/>
              </w:rPr>
              <w:t>本项目为生态影响类建设项目，</w:t>
            </w:r>
            <w:r>
              <w:rPr>
                <w:rFonts w:hint="default" w:ascii="Times New Roman" w:hAnsi="Times New Roman" w:eastAsia="宋体" w:cs="Times New Roman"/>
                <w:color w:val="auto"/>
                <w:spacing w:val="0"/>
                <w:position w:val="0"/>
                <w:sz w:val="24"/>
                <w:szCs w:val="24"/>
                <w:highlight w:val="none"/>
                <w:lang w:val="en-US" w:eastAsia="zh-CN"/>
              </w:rPr>
              <w:t>项目运营期无废气产生，因此，本项目运营期不会对大气环境造成污染。</w:t>
            </w:r>
          </w:p>
          <w:p w14:paraId="374A9FA5">
            <w:pPr>
              <w:pStyle w:val="95"/>
              <w:keepNext w:val="0"/>
              <w:keepLines w:val="0"/>
              <w:suppressLineNumbers w:val="0"/>
              <w:shd w:val="clear"/>
              <w:spacing w:before="60" w:beforeAutospacing="0" w:after="60" w:afterAutospacing="0"/>
              <w:ind w:left="0" w:leftChars="0" w:right="0" w:firstLine="0" w:firstLineChars="0"/>
              <w:rPr>
                <w:rFonts w:hint="default" w:ascii="Times New Roman" w:hAnsi="Times New Roman" w:eastAsia="宋体" w:cs="Times New Roman"/>
                <w:b w:val="0"/>
                <w:bCs w:val="0"/>
                <w:color w:val="auto"/>
                <w:spacing w:val="0"/>
                <w:highlight w:val="none"/>
                <w:lang w:val="en-US" w:eastAsia="zh-CN"/>
              </w:rPr>
            </w:pPr>
            <w:r>
              <w:rPr>
                <w:rFonts w:hint="default" w:ascii="Times New Roman" w:hAnsi="Times New Roman" w:eastAsia="宋体" w:cs="Times New Roman"/>
                <w:b/>
                <w:bCs/>
                <w:color w:val="auto"/>
                <w:spacing w:val="0"/>
                <w:highlight w:val="none"/>
                <w:lang w:val="en-US" w:eastAsia="zh-CN"/>
              </w:rPr>
              <w:t>4.运营期地表水环境影响分析</w:t>
            </w:r>
          </w:p>
          <w:p w14:paraId="3BDF949B">
            <w:pPr>
              <w:pStyle w:val="95"/>
              <w:keepNext w:val="0"/>
              <w:keepLines w:val="0"/>
              <w:suppressLineNumbers w:val="0"/>
              <w:shd w:val="clear"/>
              <w:spacing w:before="60" w:beforeAutospacing="0" w:after="60" w:afterAutospacing="0"/>
              <w:ind w:left="0" w:right="0" w:firstLine="480"/>
              <w:rPr>
                <w:rFonts w:hint="default" w:ascii="Times New Roman" w:hAnsi="Times New Roman" w:eastAsia="宋体" w:cs="Times New Roman"/>
                <w:b w:val="0"/>
                <w:bCs w:val="0"/>
                <w:color w:val="auto"/>
                <w:spacing w:val="0"/>
                <w:highlight w:val="none"/>
                <w:lang w:val="en-US" w:eastAsia="zh-CN"/>
              </w:rPr>
            </w:pPr>
            <w:r>
              <w:rPr>
                <w:rFonts w:hint="default" w:ascii="Times New Roman" w:hAnsi="Times New Roman" w:eastAsia="宋体" w:cs="Times New Roman"/>
                <w:b w:val="0"/>
                <w:bCs w:val="0"/>
                <w:color w:val="auto"/>
                <w:spacing w:val="0"/>
                <w:highlight w:val="none"/>
                <w:lang w:val="en-US" w:eastAsia="zh-CN"/>
              </w:rPr>
              <w:t>通过此次河湖整治项目的完工，可以提高水资源利用的保证率，改善</w:t>
            </w:r>
            <w:r>
              <w:rPr>
                <w:rFonts w:hint="default" w:ascii="Times New Roman" w:hAnsi="Times New Roman" w:cs="Times New Roman"/>
                <w:b w:val="0"/>
                <w:bCs w:val="0"/>
                <w:color w:val="auto"/>
                <w:spacing w:val="0"/>
                <w:highlight w:val="none"/>
                <w:lang w:val="en-US" w:eastAsia="zh-CN"/>
              </w:rPr>
              <w:t>库尔阿根河</w:t>
            </w:r>
            <w:r>
              <w:rPr>
                <w:rFonts w:hint="default" w:ascii="Times New Roman" w:hAnsi="Times New Roman" w:eastAsia="宋体" w:cs="Times New Roman"/>
                <w:b w:val="0"/>
                <w:bCs w:val="0"/>
                <w:color w:val="auto"/>
                <w:spacing w:val="0"/>
                <w:highlight w:val="none"/>
                <w:lang w:val="en-US" w:eastAsia="zh-CN"/>
              </w:rPr>
              <w:t>水水质，减少河水对护岸土壤的冲刷，进行合理的水资源配置，提高下游各级渠系水利用系数，提高下游农业供水的保证率。本次工程建设，能够更加有效地去除河水中泥沙，改善下游区段地表水水质，保障下游农田用水条件。</w:t>
            </w:r>
          </w:p>
          <w:p w14:paraId="570C792A">
            <w:pPr>
              <w:pStyle w:val="95"/>
              <w:keepNext w:val="0"/>
              <w:keepLines w:val="0"/>
              <w:suppressLineNumbers w:val="0"/>
              <w:shd w:val="clear"/>
              <w:spacing w:before="60" w:beforeAutospacing="0" w:after="60" w:afterAutospacing="0"/>
              <w:ind w:left="0" w:leftChars="0" w:right="0" w:firstLine="0" w:firstLineChars="0"/>
              <w:rPr>
                <w:rFonts w:hint="default" w:ascii="Times New Roman" w:hAnsi="Times New Roman" w:eastAsia="宋体" w:cs="Times New Roman"/>
                <w:b/>
                <w:bCs/>
                <w:color w:val="auto"/>
                <w:spacing w:val="0"/>
                <w:highlight w:val="none"/>
                <w:lang w:val="en-US" w:eastAsia="zh-CN"/>
              </w:rPr>
            </w:pPr>
            <w:r>
              <w:rPr>
                <w:rFonts w:hint="default" w:ascii="Times New Roman" w:hAnsi="Times New Roman" w:eastAsia="宋体" w:cs="Times New Roman"/>
                <w:b/>
                <w:bCs/>
                <w:color w:val="auto"/>
                <w:spacing w:val="0"/>
                <w:position w:val="0"/>
                <w:sz w:val="24"/>
                <w:szCs w:val="24"/>
                <w:highlight w:val="none"/>
                <w:lang w:val="en-US" w:eastAsia="zh-CN"/>
              </w:rPr>
              <w:t>5.</w:t>
            </w:r>
            <w:r>
              <w:rPr>
                <w:rFonts w:hint="default" w:ascii="Times New Roman" w:hAnsi="Times New Roman" w:eastAsia="宋体" w:cs="Times New Roman"/>
                <w:b/>
                <w:bCs/>
                <w:color w:val="auto"/>
                <w:spacing w:val="0"/>
                <w:highlight w:val="none"/>
                <w:lang w:val="en-US" w:eastAsia="zh-CN"/>
              </w:rPr>
              <w:t>噪声环境影响分析</w:t>
            </w:r>
          </w:p>
          <w:p w14:paraId="613A6136">
            <w:pPr>
              <w:pStyle w:val="95"/>
              <w:keepNext w:val="0"/>
              <w:keepLines w:val="0"/>
              <w:suppressLineNumbers w:val="0"/>
              <w:shd w:val="clear"/>
              <w:spacing w:before="60" w:beforeAutospacing="0" w:after="60" w:afterAutospacing="0"/>
              <w:ind w:left="0" w:right="0" w:firstLine="480"/>
              <w:rPr>
                <w:rFonts w:hint="default" w:ascii="Times New Roman" w:hAnsi="Times New Roman" w:eastAsia="宋体" w:cs="Times New Roman"/>
                <w:b w:val="0"/>
                <w:bCs w:val="0"/>
                <w:color w:val="auto"/>
                <w:spacing w:val="0"/>
                <w:highlight w:val="none"/>
                <w:lang w:val="en-US" w:eastAsia="zh-CN"/>
              </w:rPr>
            </w:pPr>
            <w:r>
              <w:rPr>
                <w:rFonts w:hint="default" w:ascii="Times New Roman" w:hAnsi="Times New Roman" w:eastAsia="宋体" w:cs="Times New Roman"/>
                <w:b w:val="0"/>
                <w:bCs w:val="0"/>
                <w:color w:val="auto"/>
                <w:spacing w:val="0"/>
                <w:highlight w:val="none"/>
                <w:lang w:val="en-US" w:eastAsia="zh-CN"/>
              </w:rPr>
              <w:t>本项目为河湖整治项目，项目运营期声源主要为水流声，源强较小，且一般出现在汛期，时间较短，因此运营期本项目产生的噪声对环境</w:t>
            </w:r>
            <w:r>
              <w:rPr>
                <w:rFonts w:hint="default" w:ascii="Times New Roman" w:hAnsi="Times New Roman" w:eastAsia="宋体" w:cs="Times New Roman"/>
                <w:color w:val="auto"/>
                <w:spacing w:val="0"/>
                <w:position w:val="0"/>
                <w:sz w:val="24"/>
                <w:szCs w:val="24"/>
                <w:highlight w:val="none"/>
                <w:lang w:eastAsia="zh-CN"/>
              </w:rPr>
              <w:t>影响程度较小</w:t>
            </w:r>
            <w:r>
              <w:rPr>
                <w:rFonts w:hint="default" w:ascii="Times New Roman" w:hAnsi="Times New Roman" w:eastAsia="宋体" w:cs="Times New Roman"/>
                <w:b w:val="0"/>
                <w:bCs w:val="0"/>
                <w:color w:val="auto"/>
                <w:spacing w:val="0"/>
                <w:highlight w:val="none"/>
                <w:lang w:val="en-US" w:eastAsia="zh-CN"/>
              </w:rPr>
              <w:t>。</w:t>
            </w:r>
          </w:p>
          <w:p w14:paraId="1092928B">
            <w:pPr>
              <w:keepNext w:val="0"/>
              <w:keepLines w:val="0"/>
              <w:pageBreakBefore w:val="0"/>
              <w:shd w:val="clear"/>
              <w:kinsoku/>
              <w:wordWrap/>
              <w:overflowPunct/>
              <w:topLinePunct w:val="0"/>
              <w:autoSpaceDE/>
              <w:autoSpaceDN/>
              <w:bidi w:val="0"/>
              <w:spacing w:beforeAutospacing="0" w:afterAutospacing="0" w:line="360" w:lineRule="auto"/>
              <w:ind w:left="0" w:right="0"/>
              <w:jc w:val="left"/>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lang w:val="en-US" w:eastAsia="zh-CN"/>
              </w:rPr>
              <w:t>6.</w:t>
            </w:r>
            <w:r>
              <w:rPr>
                <w:rFonts w:hint="default" w:ascii="Times New Roman" w:hAnsi="Times New Roman" w:eastAsia="宋体" w:cs="Times New Roman"/>
                <w:b/>
                <w:bCs/>
                <w:color w:val="auto"/>
                <w:spacing w:val="0"/>
                <w:position w:val="0"/>
                <w:sz w:val="24"/>
                <w:szCs w:val="24"/>
                <w:highlight w:val="none"/>
              </w:rPr>
              <w:t>对土壤环境的影响</w:t>
            </w:r>
          </w:p>
          <w:p w14:paraId="47543C23">
            <w:pPr>
              <w:keepNext w:val="0"/>
              <w:keepLines w:val="0"/>
              <w:pageBreakBefore w:val="0"/>
              <w:shd w:val="clear"/>
              <w:kinsoku/>
              <w:wordWrap/>
              <w:overflowPunct/>
              <w:topLinePunct w:val="0"/>
              <w:autoSpaceDE/>
              <w:autoSpaceDN/>
              <w:bidi w:val="0"/>
              <w:spacing w:beforeAutospacing="0" w:afterAutospacing="0" w:line="360" w:lineRule="auto"/>
              <w:ind w:left="0" w:leftChars="0" w:right="0" w:firstLine="480" w:firstLineChars="200"/>
              <w:jc w:val="left"/>
              <w:rPr>
                <w:rFonts w:hint="default" w:ascii="Times New Roman" w:hAnsi="Times New Roman" w:eastAsia="宋体" w:cs="Times New Roman"/>
                <w:b w:val="0"/>
                <w:bCs w:val="0"/>
                <w:color w:val="auto"/>
                <w:spacing w:val="0"/>
                <w:kern w:val="2"/>
                <w:sz w:val="24"/>
                <w:szCs w:val="24"/>
                <w:highlight w:val="none"/>
                <w:lang w:val="en-US" w:eastAsia="zh-CN" w:bidi="ar-SA"/>
              </w:rPr>
            </w:pPr>
            <w:r>
              <w:rPr>
                <w:rFonts w:hint="default" w:ascii="Times New Roman" w:hAnsi="Times New Roman" w:eastAsia="宋体" w:cs="Times New Roman"/>
                <w:b w:val="0"/>
                <w:bCs w:val="0"/>
                <w:color w:val="auto"/>
                <w:spacing w:val="0"/>
                <w:kern w:val="2"/>
                <w:sz w:val="24"/>
                <w:szCs w:val="24"/>
                <w:highlight w:val="none"/>
                <w:lang w:val="en-US" w:eastAsia="zh-CN" w:bidi="ar-SA"/>
              </w:rPr>
              <w:t>本项目为河湖整治项目，项目运营实施后，能够增强了现有防洪堤的防洪能力，减少河水对护岸土壤的冲刷破坏，因此运营期本项目对土壤环境影响程度较小。</w:t>
            </w:r>
          </w:p>
          <w:p w14:paraId="44EE75E4">
            <w:pPr>
              <w:keepNext w:val="0"/>
              <w:keepLines w:val="0"/>
              <w:pageBreakBefore w:val="0"/>
              <w:shd w:val="clear"/>
              <w:kinsoku/>
              <w:wordWrap/>
              <w:overflowPunct/>
              <w:topLinePunct w:val="0"/>
              <w:autoSpaceDE/>
              <w:autoSpaceDN/>
              <w:bidi w:val="0"/>
              <w:spacing w:beforeAutospacing="0" w:afterAutospacing="0" w:line="360" w:lineRule="auto"/>
              <w:ind w:right="0"/>
              <w:jc w:val="left"/>
              <w:rPr>
                <w:rFonts w:hint="default" w:ascii="Times New Roman" w:hAnsi="Times New Roman" w:eastAsia="宋体" w:cs="Times New Roman"/>
                <w:b/>
                <w:bCs/>
                <w:color w:val="auto"/>
                <w:spacing w:val="0"/>
                <w:kern w:val="2"/>
                <w:sz w:val="24"/>
                <w:szCs w:val="24"/>
                <w:highlight w:val="none"/>
                <w:lang w:val="en-US" w:eastAsia="zh-CN" w:bidi="ar-SA"/>
              </w:rPr>
            </w:pPr>
            <w:r>
              <w:rPr>
                <w:rFonts w:hint="default" w:ascii="Times New Roman" w:hAnsi="Times New Roman" w:eastAsia="宋体" w:cs="Times New Roman"/>
                <w:b/>
                <w:bCs/>
                <w:color w:val="auto"/>
                <w:spacing w:val="0"/>
                <w:kern w:val="2"/>
                <w:sz w:val="24"/>
                <w:szCs w:val="24"/>
                <w:highlight w:val="none"/>
                <w:lang w:val="en-US" w:eastAsia="zh-CN" w:bidi="ar-SA"/>
              </w:rPr>
              <w:t>7.固废环境影响分析</w:t>
            </w:r>
          </w:p>
          <w:p w14:paraId="18154434">
            <w:pPr>
              <w:keepNext w:val="0"/>
              <w:keepLines w:val="0"/>
              <w:pageBreakBefore w:val="0"/>
              <w:shd w:val="clear"/>
              <w:kinsoku/>
              <w:wordWrap/>
              <w:overflowPunct/>
              <w:topLinePunct w:val="0"/>
              <w:autoSpaceDE/>
              <w:autoSpaceDN/>
              <w:bidi w:val="0"/>
              <w:spacing w:beforeAutospacing="0" w:afterAutospacing="0" w:line="360" w:lineRule="auto"/>
              <w:ind w:left="0" w:leftChars="0" w:right="0" w:firstLine="480" w:firstLineChars="200"/>
              <w:jc w:val="left"/>
              <w:rPr>
                <w:rFonts w:hint="default" w:ascii="Times New Roman" w:hAnsi="Times New Roman" w:eastAsia="宋体" w:cs="Times New Roman"/>
                <w:b/>
                <w:color w:val="auto"/>
                <w:spacing w:val="0"/>
                <w:position w:val="0"/>
                <w:sz w:val="24"/>
                <w:szCs w:val="24"/>
                <w:highlight w:val="none"/>
                <w:lang w:val="en-US" w:eastAsia="zh-CN"/>
              </w:rPr>
            </w:pPr>
            <w:r>
              <w:rPr>
                <w:rFonts w:hint="default" w:ascii="Times New Roman" w:hAnsi="Times New Roman" w:eastAsia="宋体" w:cs="Times New Roman"/>
                <w:b w:val="0"/>
                <w:bCs w:val="0"/>
                <w:color w:val="auto"/>
                <w:spacing w:val="0"/>
                <w:kern w:val="2"/>
                <w:sz w:val="24"/>
                <w:szCs w:val="24"/>
                <w:highlight w:val="none"/>
                <w:lang w:val="en-US" w:eastAsia="zh-CN" w:bidi="ar-SA"/>
              </w:rPr>
              <w:t>本项目为河湖整治项目，项目运营实施后，无固体废物产生。</w:t>
            </w:r>
          </w:p>
        </w:tc>
      </w:tr>
      <w:tr w14:paraId="5A5CDE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353" w:type="pct"/>
            <w:tcBorders>
              <w:tl2br w:val="nil"/>
              <w:tr2bl w:val="nil"/>
            </w:tcBorders>
            <w:noWrap w:val="0"/>
            <w:vAlign w:val="center"/>
          </w:tcPr>
          <w:p w14:paraId="29D80291">
            <w:pPr>
              <w:pStyle w:val="28"/>
              <w:keepNext w:val="0"/>
              <w:keepLines w:val="0"/>
              <w:pageBreakBefore w:val="0"/>
              <w:shd w:val="clear"/>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Cs/>
                <w:i w:val="0"/>
                <w:iCs w:val="0"/>
                <w:color w:val="auto"/>
                <w:spacing w:val="0"/>
                <w:w w:val="100"/>
                <w:kern w:val="2"/>
                <w:position w:val="0"/>
                <w:sz w:val="21"/>
                <w:szCs w:val="21"/>
                <w:highlight w:val="none"/>
              </w:rPr>
            </w:pPr>
            <w:r>
              <w:rPr>
                <w:rFonts w:hint="default" w:ascii="Times New Roman" w:hAnsi="Times New Roman" w:eastAsia="宋体" w:cs="Times New Roman"/>
                <w:bCs/>
                <w:i w:val="0"/>
                <w:iCs w:val="0"/>
                <w:color w:val="auto"/>
                <w:spacing w:val="0"/>
                <w:w w:val="100"/>
                <w:kern w:val="2"/>
                <w:position w:val="0"/>
                <w:sz w:val="24"/>
                <w:szCs w:val="24"/>
                <w:highlight w:val="none"/>
              </w:rPr>
              <w:t>选址选线环境合理性分析</w:t>
            </w:r>
          </w:p>
        </w:tc>
        <w:tc>
          <w:tcPr>
            <w:tcW w:w="4646" w:type="pct"/>
            <w:tcBorders>
              <w:tl2br w:val="nil"/>
              <w:tr2bl w:val="nil"/>
            </w:tcBorders>
            <w:noWrap w:val="0"/>
            <w:vAlign w:val="top"/>
          </w:tcPr>
          <w:p w14:paraId="0FB0D339">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Autospacing="0" w:afterAutospacing="0" w:line="360" w:lineRule="auto"/>
              <w:ind w:right="0" w:rightChars="0"/>
              <w:jc w:val="both"/>
              <w:textAlignment w:val="baseline"/>
              <w:rPr>
                <w:rFonts w:hint="default" w:ascii="Times New Roman" w:hAnsi="Times New Roman" w:eastAsia="宋体" w:cs="Times New Roman"/>
                <w:b/>
                <w:bCs/>
                <w:color w:val="auto"/>
                <w:spacing w:val="0"/>
                <w:sz w:val="24"/>
                <w:szCs w:val="24"/>
                <w:highlight w:val="none"/>
                <w:lang w:val="en-US" w:eastAsia="zh-CN"/>
              </w:rPr>
            </w:pPr>
            <w:r>
              <w:rPr>
                <w:rFonts w:hint="default" w:ascii="Times New Roman" w:hAnsi="Times New Roman" w:eastAsia="宋体" w:cs="Times New Roman"/>
                <w:b/>
                <w:bCs/>
                <w:color w:val="auto"/>
                <w:spacing w:val="0"/>
                <w:sz w:val="24"/>
                <w:szCs w:val="24"/>
                <w:highlight w:val="none"/>
                <w:lang w:val="en-US" w:eastAsia="zh-CN"/>
              </w:rPr>
              <w:t>1.用地性质合理性</w:t>
            </w:r>
          </w:p>
          <w:p w14:paraId="4874A95F">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baseline"/>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本项目</w:t>
            </w:r>
            <w:r>
              <w:rPr>
                <w:rFonts w:hint="default" w:ascii="Times New Roman" w:hAnsi="Times New Roman" w:eastAsia="宋体" w:cs="Times New Roman"/>
                <w:color w:val="auto"/>
                <w:spacing w:val="0"/>
                <w:position w:val="0"/>
                <w:sz w:val="24"/>
                <w:szCs w:val="24"/>
                <w:highlight w:val="none"/>
                <w:lang w:val="en-US" w:eastAsia="zh-CN"/>
              </w:rPr>
              <w:t>均在</w:t>
            </w:r>
            <w:r>
              <w:rPr>
                <w:rFonts w:hint="default" w:ascii="Times New Roman" w:hAnsi="Times New Roman" w:cs="Times New Roman"/>
                <w:color w:val="auto"/>
                <w:spacing w:val="0"/>
                <w:position w:val="0"/>
                <w:sz w:val="24"/>
                <w:szCs w:val="24"/>
                <w:highlight w:val="none"/>
                <w:lang w:val="en-US" w:eastAsia="zh-CN"/>
              </w:rPr>
              <w:t>库尔阿根河</w:t>
            </w:r>
            <w:r>
              <w:rPr>
                <w:rFonts w:hint="default" w:ascii="Times New Roman" w:hAnsi="Times New Roman" w:eastAsia="宋体" w:cs="Times New Roman"/>
                <w:color w:val="auto"/>
                <w:spacing w:val="0"/>
                <w:position w:val="0"/>
                <w:sz w:val="24"/>
                <w:szCs w:val="24"/>
                <w:highlight w:val="none"/>
                <w:lang w:val="en-US" w:eastAsia="zh-CN"/>
              </w:rPr>
              <w:t>流域</w:t>
            </w:r>
            <w:r>
              <w:rPr>
                <w:rFonts w:hint="default" w:ascii="Times New Roman" w:hAnsi="Times New Roman" w:eastAsia="宋体" w:cs="Times New Roman"/>
                <w:color w:val="auto"/>
                <w:spacing w:val="0"/>
                <w:sz w:val="24"/>
                <w:szCs w:val="24"/>
                <w:highlight w:val="none"/>
                <w:lang w:val="en-US" w:eastAsia="zh-CN"/>
              </w:rPr>
              <w:t>河道内，项目永久占地约</w:t>
            </w:r>
            <w:r>
              <w:rPr>
                <w:rFonts w:hint="default" w:ascii="Times New Roman" w:hAnsi="Times New Roman" w:cs="Times New Roman"/>
                <w:color w:val="auto"/>
                <w:spacing w:val="0"/>
                <w:position w:val="0"/>
                <w:sz w:val="24"/>
                <w:szCs w:val="24"/>
                <w:highlight w:val="none"/>
                <w:lang w:eastAsia="zh-CN"/>
              </w:rPr>
              <w:t>22.70</w:t>
            </w:r>
            <w:r>
              <w:rPr>
                <w:rFonts w:hint="default" w:ascii="Times New Roman" w:hAnsi="Times New Roman" w:eastAsia="宋体" w:cs="Times New Roman"/>
                <w:color w:val="auto"/>
                <w:spacing w:val="0"/>
                <w:kern w:val="0"/>
                <w:position w:val="0"/>
                <w:sz w:val="24"/>
                <w:szCs w:val="24"/>
                <w:highlight w:val="none"/>
                <w:lang w:val="en-US" w:eastAsia="zh-CN" w:bidi="ar"/>
              </w:rPr>
              <w:t>hm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
              </w:rPr>
              <w:t>2</w:t>
            </w:r>
            <w:r>
              <w:rPr>
                <w:rFonts w:hint="default" w:ascii="Times New Roman" w:hAnsi="Times New Roman" w:eastAsia="宋体" w:cs="Times New Roman"/>
                <w:color w:val="auto"/>
                <w:spacing w:val="0"/>
                <w:sz w:val="24"/>
                <w:szCs w:val="24"/>
                <w:highlight w:val="none"/>
                <w:lang w:val="en-US" w:eastAsia="zh-CN"/>
              </w:rPr>
              <w:t>。项目选址位于建设单位已确权划界的范围内，工程永久占地及临时占地类型均为河滩未利用地（滩地），不占用耕地，不涉及移民拆迁，均为水利设施用地，故项目用地符合相关要求。</w:t>
            </w:r>
          </w:p>
          <w:p w14:paraId="223EA255">
            <w:pPr>
              <w:keepNext w:val="0"/>
              <w:keepLines w:val="0"/>
              <w:pageBreakBefore w:val="0"/>
              <w:widowControl w:val="0"/>
              <w:shd w:val="clear"/>
              <w:kinsoku/>
              <w:wordWrap/>
              <w:overflowPunct/>
              <w:topLinePunct w:val="0"/>
              <w:autoSpaceDE/>
              <w:autoSpaceDN/>
              <w:bidi w:val="0"/>
              <w:snapToGrid/>
              <w:spacing w:beforeAutospacing="0" w:afterAutospacing="0" w:line="360" w:lineRule="auto"/>
              <w:ind w:right="0"/>
              <w:jc w:val="left"/>
              <w:rPr>
                <w:rFonts w:hint="default" w:ascii="Times New Roman" w:hAnsi="Times New Roman" w:eastAsia="宋体" w:cs="Times New Roman"/>
                <w:b/>
                <w:bCs/>
                <w:color w:val="auto"/>
                <w:spacing w:val="0"/>
                <w:position w:val="0"/>
                <w:sz w:val="24"/>
                <w:szCs w:val="32"/>
                <w:highlight w:val="none"/>
              </w:rPr>
            </w:pPr>
            <w:r>
              <w:rPr>
                <w:rFonts w:hint="default" w:ascii="Times New Roman" w:hAnsi="Times New Roman" w:eastAsia="宋体" w:cs="Times New Roman"/>
                <w:b/>
                <w:bCs/>
                <w:color w:val="auto"/>
                <w:spacing w:val="0"/>
                <w:position w:val="0"/>
                <w:sz w:val="24"/>
                <w:szCs w:val="32"/>
                <w:highlight w:val="none"/>
              </w:rPr>
              <w:t>2</w:t>
            </w:r>
            <w:r>
              <w:rPr>
                <w:rFonts w:hint="default" w:ascii="Times New Roman" w:hAnsi="Times New Roman" w:eastAsia="宋体" w:cs="Times New Roman"/>
                <w:b/>
                <w:bCs/>
                <w:color w:val="auto"/>
                <w:spacing w:val="0"/>
                <w:position w:val="0"/>
                <w:sz w:val="24"/>
                <w:szCs w:val="32"/>
                <w:highlight w:val="none"/>
                <w:lang w:val="en-US" w:eastAsia="zh-CN"/>
              </w:rPr>
              <w:t>.</w:t>
            </w:r>
            <w:r>
              <w:rPr>
                <w:rFonts w:hint="default" w:ascii="Times New Roman" w:hAnsi="Times New Roman" w:eastAsia="宋体" w:cs="Times New Roman"/>
                <w:b/>
                <w:bCs/>
                <w:color w:val="auto"/>
                <w:spacing w:val="0"/>
                <w:position w:val="0"/>
                <w:sz w:val="24"/>
                <w:szCs w:val="32"/>
                <w:highlight w:val="none"/>
              </w:rPr>
              <w:t>施工生产区选址合理性分析</w:t>
            </w:r>
          </w:p>
          <w:p w14:paraId="1E2CFF5C">
            <w:pPr>
              <w:keepNext w:val="0"/>
              <w:keepLines w:val="0"/>
              <w:pageBreakBefore w:val="0"/>
              <w:widowControl w:val="0"/>
              <w:shd w:val="clear"/>
              <w:kinsoku/>
              <w:wordWrap/>
              <w:overflowPunct/>
              <w:topLinePunct w:val="0"/>
              <w:autoSpaceDE/>
              <w:autoSpaceDN/>
              <w:bidi w:val="0"/>
              <w:snapToGrid/>
              <w:spacing w:beforeAutospacing="0" w:afterAutospacing="0" w:line="360" w:lineRule="auto"/>
              <w:ind w:left="0" w:leftChars="0" w:right="0" w:firstLine="480" w:firstLineChars="200"/>
              <w:jc w:val="left"/>
              <w:rPr>
                <w:rFonts w:hint="default" w:ascii="Times New Roman" w:hAnsi="Times New Roman" w:eastAsia="宋体" w:cs="Times New Roman"/>
                <w:color w:val="auto"/>
                <w:spacing w:val="0"/>
                <w:position w:val="0"/>
                <w:sz w:val="24"/>
                <w:szCs w:val="32"/>
                <w:highlight w:val="none"/>
              </w:rPr>
            </w:pPr>
            <w:r>
              <w:rPr>
                <w:rFonts w:hint="default" w:ascii="Times New Roman" w:hAnsi="Times New Roman" w:eastAsia="宋体" w:cs="Times New Roman"/>
                <w:color w:val="auto"/>
                <w:spacing w:val="0"/>
                <w:position w:val="0"/>
                <w:sz w:val="24"/>
                <w:szCs w:val="32"/>
                <w:highlight w:val="none"/>
              </w:rPr>
              <w:t>本项目规划建设</w:t>
            </w:r>
            <w:r>
              <w:rPr>
                <w:rFonts w:hint="eastAsia" w:cs="Times New Roman"/>
                <w:color w:val="auto"/>
                <w:spacing w:val="0"/>
                <w:position w:val="0"/>
                <w:sz w:val="24"/>
                <w:szCs w:val="32"/>
                <w:highlight w:val="none"/>
                <w:lang w:val="en-US" w:eastAsia="zh-CN"/>
              </w:rPr>
              <w:t>2</w:t>
            </w:r>
            <w:r>
              <w:rPr>
                <w:rFonts w:hint="default" w:ascii="Times New Roman" w:hAnsi="Times New Roman" w:eastAsia="宋体" w:cs="Times New Roman"/>
                <w:color w:val="auto"/>
                <w:spacing w:val="0"/>
                <w:position w:val="0"/>
                <w:sz w:val="24"/>
                <w:szCs w:val="32"/>
                <w:highlight w:val="none"/>
              </w:rPr>
              <w:t>个生产工区，主要用于临时工棚搭建、生产机械停放以及建筑材料堆放。</w:t>
            </w:r>
          </w:p>
          <w:p w14:paraId="56A9A41F">
            <w:pPr>
              <w:keepNext w:val="0"/>
              <w:keepLines w:val="0"/>
              <w:pageBreakBefore w:val="0"/>
              <w:widowControl w:val="0"/>
              <w:shd w:val="clear"/>
              <w:kinsoku/>
              <w:wordWrap/>
              <w:overflowPunct/>
              <w:topLinePunct w:val="0"/>
              <w:autoSpaceDE/>
              <w:autoSpaceDN/>
              <w:bidi w:val="0"/>
              <w:snapToGrid/>
              <w:spacing w:beforeAutospacing="0" w:afterAutospacing="0" w:line="360" w:lineRule="auto"/>
              <w:ind w:left="0" w:leftChars="0" w:right="0" w:firstLine="480" w:firstLineChars="200"/>
              <w:jc w:val="left"/>
              <w:rPr>
                <w:rFonts w:hint="default" w:ascii="Times New Roman" w:hAnsi="Times New Roman" w:eastAsia="宋体" w:cs="Times New Roman"/>
                <w:color w:val="auto"/>
                <w:spacing w:val="0"/>
                <w:position w:val="0"/>
                <w:sz w:val="24"/>
                <w:szCs w:val="32"/>
                <w:highlight w:val="none"/>
              </w:rPr>
            </w:pPr>
            <w:r>
              <w:rPr>
                <w:rFonts w:hint="default" w:ascii="Times New Roman" w:hAnsi="Times New Roman" w:eastAsia="宋体" w:cs="Times New Roman"/>
                <w:color w:val="auto"/>
                <w:spacing w:val="0"/>
                <w:position w:val="0"/>
                <w:sz w:val="24"/>
                <w:szCs w:val="32"/>
                <w:highlight w:val="none"/>
              </w:rPr>
              <w:t>施工区均布置在河道防洪堤</w:t>
            </w:r>
            <w:r>
              <w:rPr>
                <w:rFonts w:hint="default" w:ascii="Times New Roman" w:hAnsi="Times New Roman" w:eastAsia="宋体" w:cs="Times New Roman"/>
                <w:color w:val="auto"/>
                <w:spacing w:val="0"/>
                <w:position w:val="0"/>
                <w:sz w:val="24"/>
                <w:szCs w:val="32"/>
                <w:highlight w:val="none"/>
                <w:lang w:val="en-US" w:eastAsia="zh-CN"/>
              </w:rPr>
              <w:t>内</w:t>
            </w:r>
            <w:r>
              <w:rPr>
                <w:rFonts w:hint="default" w:ascii="Times New Roman" w:hAnsi="Times New Roman" w:eastAsia="宋体" w:cs="Times New Roman"/>
                <w:color w:val="auto"/>
                <w:spacing w:val="0"/>
                <w:position w:val="0"/>
                <w:sz w:val="24"/>
                <w:szCs w:val="32"/>
                <w:highlight w:val="none"/>
              </w:rPr>
              <w:t>侧的宽阔河滩上，施工过程中临时产生的固废和污废水严禁进入河床，污染水环境。施工区内布设的临时房屋建筑、堆放场等严格按着批准的施工红线图布设。且施工区域50m范围内不涉及环境敏感点等环境敏感区，无明显的环境制约因素，采取相应的废水、废气、固废、噪声等治理措施，对周边环境的</w:t>
            </w:r>
            <w:r>
              <w:rPr>
                <w:rFonts w:hint="default" w:ascii="Times New Roman" w:hAnsi="Times New Roman" w:eastAsia="宋体" w:cs="Times New Roman"/>
                <w:color w:val="auto"/>
                <w:spacing w:val="0"/>
                <w:position w:val="0"/>
                <w:sz w:val="24"/>
                <w:szCs w:val="32"/>
                <w:highlight w:val="none"/>
                <w:lang w:eastAsia="zh-CN"/>
              </w:rPr>
              <w:t>影响程度较小</w:t>
            </w:r>
            <w:r>
              <w:rPr>
                <w:rFonts w:hint="default" w:ascii="Times New Roman" w:hAnsi="Times New Roman" w:eastAsia="宋体" w:cs="Times New Roman"/>
                <w:color w:val="auto"/>
                <w:spacing w:val="0"/>
                <w:position w:val="0"/>
                <w:sz w:val="24"/>
                <w:szCs w:val="32"/>
                <w:highlight w:val="none"/>
              </w:rPr>
              <w:t>。</w:t>
            </w:r>
          </w:p>
          <w:p w14:paraId="5961E6C2">
            <w:pPr>
              <w:keepNext w:val="0"/>
              <w:keepLines w:val="0"/>
              <w:pageBreakBefore w:val="0"/>
              <w:widowControl w:val="0"/>
              <w:numPr>
                <w:ilvl w:val="0"/>
                <w:numId w:val="0"/>
              </w:numPr>
              <w:shd w:val="clea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auto"/>
                <w:spacing w:val="0"/>
                <w:highlight w:val="none"/>
                <w:lang w:val="en-US" w:eastAsia="zh-CN"/>
              </w:rPr>
            </w:pPr>
            <w:r>
              <w:rPr>
                <w:rFonts w:hint="default" w:ascii="Times New Roman" w:hAnsi="Times New Roman" w:eastAsia="宋体" w:cs="Times New Roman"/>
                <w:color w:val="auto"/>
                <w:spacing w:val="0"/>
                <w:sz w:val="24"/>
                <w:szCs w:val="24"/>
                <w:highlight w:val="none"/>
                <w:lang w:val="en-US" w:eastAsia="zh-CN"/>
              </w:rPr>
              <w:t>本工程永久占地及临时占地类型均为河滩未利用地（滩地），不占用耕地，不涉及移民拆迁，综上所述，项目从规划合理性、占地合理性及环境保护正效益角度分析，选址选线均符合相关要求。</w:t>
            </w:r>
          </w:p>
        </w:tc>
      </w:tr>
    </w:tbl>
    <w:p w14:paraId="551D614D">
      <w:pPr>
        <w:pStyle w:val="28"/>
        <w:keepNext w:val="0"/>
        <w:keepLines w:val="0"/>
        <w:pageBreakBefore w:val="0"/>
        <w:shd w:val="clear"/>
        <w:kinsoku/>
        <w:overflowPunct/>
        <w:topLinePunct w:val="0"/>
        <w:bidi w:val="0"/>
        <w:spacing w:before="0" w:beforeAutospacing="0" w:after="0" w:afterAutospacing="0"/>
        <w:ind w:left="0" w:leftChars="0" w:right="0"/>
        <w:jc w:val="center"/>
        <w:rPr>
          <w:rFonts w:hint="default" w:ascii="Times New Roman" w:hAnsi="Times New Roman" w:eastAsia="宋体" w:cs="Times New Roman"/>
          <w:snapToGrid w:val="0"/>
          <w:color w:val="auto"/>
          <w:spacing w:val="0"/>
          <w:w w:val="100"/>
          <w:position w:val="0"/>
          <w:sz w:val="36"/>
          <w:szCs w:val="36"/>
          <w:highlight w:val="none"/>
        </w:rPr>
        <w:sectPr>
          <w:pgSz w:w="11906" w:h="16838"/>
          <w:pgMar w:top="1440" w:right="1800" w:bottom="1440" w:left="1800" w:header="851" w:footer="1077" w:gutter="0"/>
          <w:pgBorders>
            <w:top w:val="none" w:sz="0" w:space="0"/>
            <w:left w:val="none" w:sz="0" w:space="0"/>
            <w:bottom w:val="none" w:sz="0" w:space="0"/>
            <w:right w:val="none" w:sz="0" w:space="0"/>
          </w:pgBorders>
          <w:pgNumType w:fmt="decimal"/>
          <w:cols w:space="720" w:num="1"/>
          <w:docGrid w:linePitch="312" w:charSpace="0"/>
        </w:sectPr>
      </w:pPr>
    </w:p>
    <w:p w14:paraId="23D8E92D">
      <w:pPr>
        <w:pStyle w:val="28"/>
        <w:keepNext w:val="0"/>
        <w:keepLines w:val="0"/>
        <w:pageBreakBefore w:val="0"/>
        <w:shd w:val="clear"/>
        <w:kinsoku/>
        <w:overflowPunct/>
        <w:topLinePunct w:val="0"/>
        <w:bidi w:val="0"/>
        <w:spacing w:before="0" w:beforeAutospacing="0" w:after="0" w:afterAutospacing="0" w:line="360" w:lineRule="auto"/>
        <w:ind w:left="0" w:leftChars="0" w:right="0"/>
        <w:jc w:val="center"/>
        <w:outlineLvl w:val="0"/>
        <w:rPr>
          <w:rFonts w:hint="default" w:ascii="Times New Roman" w:hAnsi="Times New Roman" w:eastAsia="黑体" w:cs="Times New Roman"/>
          <w:snapToGrid w:val="0"/>
          <w:color w:val="auto"/>
          <w:spacing w:val="0"/>
          <w:w w:val="100"/>
          <w:position w:val="0"/>
          <w:sz w:val="30"/>
          <w:szCs w:val="30"/>
          <w:highlight w:val="none"/>
        </w:rPr>
      </w:pPr>
      <w:r>
        <w:rPr>
          <w:rFonts w:hint="default" w:ascii="Times New Roman" w:hAnsi="Times New Roman" w:eastAsia="黑体" w:cs="Times New Roman"/>
          <w:snapToGrid w:val="0"/>
          <w:color w:val="auto"/>
          <w:spacing w:val="0"/>
          <w:w w:val="100"/>
          <w:position w:val="0"/>
          <w:sz w:val="30"/>
          <w:szCs w:val="30"/>
          <w:highlight w:val="none"/>
        </w:rPr>
        <w:t>五、主要生态环境保护措施</w:t>
      </w:r>
    </w:p>
    <w:tbl>
      <w:tblPr>
        <w:tblStyle w:val="31"/>
        <w:tblW w:w="50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7806"/>
      </w:tblGrid>
      <w:tr w14:paraId="1EBD4D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466" w:type="pct"/>
            <w:tcBorders>
              <w:tl2br w:val="nil"/>
              <w:tr2bl w:val="nil"/>
            </w:tcBorders>
            <w:noWrap w:val="0"/>
            <w:tcMar>
              <w:left w:w="28" w:type="dxa"/>
              <w:right w:w="28" w:type="dxa"/>
            </w:tcMar>
            <w:vAlign w:val="center"/>
          </w:tcPr>
          <w:p w14:paraId="32330A94">
            <w:pPr>
              <w:keepNext w:val="0"/>
              <w:keepLines w:val="0"/>
              <w:pageBreakBefore w:val="0"/>
              <w:shd w:val="clear"/>
              <w:kinsoku/>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bCs/>
                <w:color w:val="auto"/>
                <w:spacing w:val="0"/>
                <w:w w:val="100"/>
                <w:position w:val="0"/>
                <w:sz w:val="24"/>
                <w:szCs w:val="24"/>
                <w:highlight w:val="none"/>
              </w:rPr>
            </w:pPr>
            <w:r>
              <w:rPr>
                <w:rFonts w:hint="default" w:ascii="Times New Roman" w:hAnsi="Times New Roman" w:eastAsia="宋体" w:cs="Times New Roman"/>
                <w:bCs/>
                <w:color w:val="auto"/>
                <w:spacing w:val="0"/>
                <w:w w:val="100"/>
                <w:position w:val="0"/>
                <w:sz w:val="24"/>
                <w:szCs w:val="24"/>
                <w:highlight w:val="none"/>
              </w:rPr>
              <w:t>施工期生态环境保护措施</w:t>
            </w:r>
          </w:p>
        </w:tc>
        <w:tc>
          <w:tcPr>
            <w:tcW w:w="4533" w:type="pct"/>
            <w:tcBorders>
              <w:tl2br w:val="nil"/>
              <w:tr2bl w:val="nil"/>
            </w:tcBorders>
            <w:noWrap w:val="0"/>
            <w:vAlign w:val="top"/>
          </w:tcPr>
          <w:p w14:paraId="7EF83FF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sz w:val="24"/>
                <w:szCs w:val="32"/>
                <w:highlight w:val="none"/>
              </w:rPr>
            </w:pPr>
            <w:r>
              <w:rPr>
                <w:rFonts w:hint="default" w:ascii="Times New Roman" w:hAnsi="Times New Roman" w:eastAsia="宋体" w:cs="Times New Roman"/>
                <w:b/>
                <w:bCs/>
                <w:color w:val="auto"/>
                <w:spacing w:val="0"/>
                <w:sz w:val="24"/>
                <w:szCs w:val="32"/>
                <w:highlight w:val="none"/>
                <w:lang w:val="en-US" w:eastAsia="zh-CN"/>
              </w:rPr>
              <w:t>1.1</w:t>
            </w:r>
            <w:r>
              <w:rPr>
                <w:rFonts w:hint="default" w:ascii="Times New Roman" w:hAnsi="Times New Roman" w:eastAsia="宋体" w:cs="Times New Roman"/>
                <w:b/>
                <w:bCs/>
                <w:color w:val="auto"/>
                <w:spacing w:val="0"/>
                <w:sz w:val="24"/>
                <w:szCs w:val="32"/>
                <w:highlight w:val="none"/>
              </w:rPr>
              <w:t>施工期生态环境保护措施</w:t>
            </w:r>
          </w:p>
          <w:p w14:paraId="2C5C106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eastAsia="zh-CN"/>
              </w:rPr>
              <w:t>（</w:t>
            </w:r>
            <w:r>
              <w:rPr>
                <w:rFonts w:hint="default" w:ascii="Times New Roman" w:hAnsi="Times New Roman" w:eastAsia="宋体" w:cs="Times New Roman"/>
                <w:color w:val="auto"/>
                <w:spacing w:val="0"/>
                <w:sz w:val="24"/>
                <w:szCs w:val="32"/>
                <w:highlight w:val="none"/>
                <w:lang w:val="en-US" w:eastAsia="zh-CN"/>
              </w:rPr>
              <w:t>1</w:t>
            </w:r>
            <w:r>
              <w:rPr>
                <w:rFonts w:hint="default" w:ascii="Times New Roman" w:hAnsi="Times New Roman" w:eastAsia="宋体" w:cs="Times New Roman"/>
                <w:color w:val="auto"/>
                <w:spacing w:val="0"/>
                <w:sz w:val="24"/>
                <w:szCs w:val="32"/>
                <w:highlight w:val="none"/>
                <w:lang w:eastAsia="zh-CN"/>
              </w:rPr>
              <w:t>）</w:t>
            </w:r>
            <w:r>
              <w:rPr>
                <w:rFonts w:hint="default" w:ascii="Times New Roman" w:hAnsi="Times New Roman" w:eastAsia="宋体" w:cs="Times New Roman"/>
                <w:color w:val="auto"/>
                <w:spacing w:val="0"/>
                <w:sz w:val="24"/>
                <w:szCs w:val="32"/>
                <w:highlight w:val="none"/>
              </w:rPr>
              <w:t>生态避让措施</w:t>
            </w:r>
          </w:p>
          <w:p w14:paraId="08A8A06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val="en-US" w:eastAsia="zh-CN"/>
              </w:rPr>
              <w:t>①</w:t>
            </w:r>
            <w:r>
              <w:rPr>
                <w:rFonts w:hint="default" w:ascii="Times New Roman" w:hAnsi="Times New Roman" w:eastAsia="宋体" w:cs="Times New Roman"/>
                <w:color w:val="auto"/>
                <w:spacing w:val="0"/>
                <w:sz w:val="24"/>
                <w:szCs w:val="32"/>
                <w:highlight w:val="none"/>
              </w:rPr>
              <w:t>为减缓施工期对植被的影响，应加强管理，减少对施工作业区周围植被的破坏；在选择临时用地地点时，应注意根据实际需要控制临时占地的面积，尽量选择未利用地。</w:t>
            </w:r>
          </w:p>
          <w:p w14:paraId="66C0900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val="en-US" w:eastAsia="zh-CN"/>
              </w:rPr>
              <w:t>②</w:t>
            </w:r>
            <w:r>
              <w:rPr>
                <w:rFonts w:hint="default" w:ascii="Times New Roman" w:hAnsi="Times New Roman" w:eastAsia="宋体" w:cs="Times New Roman"/>
                <w:color w:val="auto"/>
                <w:spacing w:val="0"/>
                <w:sz w:val="24"/>
                <w:szCs w:val="32"/>
                <w:highlight w:val="none"/>
              </w:rPr>
              <w:t>施工车辆在固定行车道上行驶，以免对周边土壤碾压破坏。</w:t>
            </w:r>
          </w:p>
          <w:p w14:paraId="327B8D6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eastAsia="zh-CN"/>
              </w:rPr>
              <w:t>（</w:t>
            </w:r>
            <w:r>
              <w:rPr>
                <w:rFonts w:hint="default" w:ascii="Times New Roman" w:hAnsi="Times New Roman" w:eastAsia="宋体" w:cs="Times New Roman"/>
                <w:color w:val="auto"/>
                <w:spacing w:val="0"/>
                <w:sz w:val="24"/>
                <w:szCs w:val="32"/>
                <w:highlight w:val="none"/>
                <w:lang w:val="en-US" w:eastAsia="zh-CN"/>
              </w:rPr>
              <w:t>2</w:t>
            </w:r>
            <w:r>
              <w:rPr>
                <w:rFonts w:hint="default" w:ascii="Times New Roman" w:hAnsi="Times New Roman" w:eastAsia="宋体" w:cs="Times New Roman"/>
                <w:color w:val="auto"/>
                <w:spacing w:val="0"/>
                <w:sz w:val="24"/>
                <w:szCs w:val="32"/>
                <w:highlight w:val="none"/>
                <w:lang w:eastAsia="zh-CN"/>
              </w:rPr>
              <w:t>）</w:t>
            </w:r>
            <w:r>
              <w:rPr>
                <w:rFonts w:hint="default" w:ascii="Times New Roman" w:hAnsi="Times New Roman" w:eastAsia="宋体" w:cs="Times New Roman"/>
                <w:color w:val="auto"/>
                <w:spacing w:val="0"/>
                <w:sz w:val="24"/>
                <w:szCs w:val="32"/>
                <w:highlight w:val="none"/>
              </w:rPr>
              <w:t>生态减缓措施</w:t>
            </w:r>
          </w:p>
          <w:p w14:paraId="535397F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val="en-US" w:eastAsia="zh-CN"/>
              </w:rPr>
              <w:t>①</w:t>
            </w:r>
            <w:r>
              <w:rPr>
                <w:rFonts w:hint="default" w:ascii="Times New Roman" w:hAnsi="Times New Roman" w:eastAsia="宋体" w:cs="Times New Roman"/>
                <w:color w:val="auto"/>
                <w:spacing w:val="0"/>
                <w:sz w:val="24"/>
                <w:szCs w:val="32"/>
                <w:highlight w:val="none"/>
              </w:rPr>
              <w:t>合理安排施工进度，尽量减少过多的施工区域，缩短临时占地使用时间，施工完毕立即进行迹地恢复；</w:t>
            </w:r>
          </w:p>
          <w:p w14:paraId="7787555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val="en-US" w:eastAsia="zh-CN"/>
              </w:rPr>
              <w:t>②</w:t>
            </w:r>
            <w:r>
              <w:rPr>
                <w:rFonts w:hint="default" w:ascii="Times New Roman" w:hAnsi="Times New Roman" w:eastAsia="宋体" w:cs="Times New Roman"/>
                <w:color w:val="auto"/>
                <w:spacing w:val="0"/>
                <w:sz w:val="24"/>
                <w:szCs w:val="32"/>
                <w:highlight w:val="none"/>
              </w:rPr>
              <w:t>为减缓施工期水土流失，施工单位通过采取优化施工方案、避开雨季施工、在施工过程中及时将土石方回填、及时夯实回填土、及时绿化等一系列措施后，可避免由于开挖不当引起的水土流失；</w:t>
            </w:r>
          </w:p>
          <w:p w14:paraId="017F8AD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val="en-US" w:eastAsia="zh-CN"/>
              </w:rPr>
              <w:t>③</w:t>
            </w:r>
            <w:r>
              <w:rPr>
                <w:rFonts w:hint="default" w:ascii="Times New Roman" w:hAnsi="Times New Roman" w:eastAsia="宋体" w:cs="Times New Roman"/>
                <w:color w:val="auto"/>
                <w:spacing w:val="0"/>
                <w:sz w:val="24"/>
                <w:szCs w:val="32"/>
                <w:highlight w:val="none"/>
              </w:rPr>
              <w:t>工程弃料、建筑垃圾、生活垃圾要定点堆放，及时清运，严格控制施工过程中扬尘污染，对施工废水不得随意乱排，收集后回用于路面洒水降尘，施工结束后，做到完工，料尽、场地清；</w:t>
            </w:r>
          </w:p>
          <w:p w14:paraId="700705C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cs="Times New Roman"/>
                <w:color w:val="auto"/>
                <w:spacing w:val="0"/>
                <w:sz w:val="24"/>
                <w:szCs w:val="32"/>
                <w:highlight w:val="none"/>
                <w:lang w:val="en-US" w:eastAsia="zh-CN"/>
              </w:rPr>
              <w:t>④</w:t>
            </w:r>
            <w:r>
              <w:rPr>
                <w:rFonts w:hint="default" w:ascii="Times New Roman" w:hAnsi="Times New Roman" w:eastAsia="宋体" w:cs="Times New Roman"/>
                <w:color w:val="auto"/>
                <w:spacing w:val="0"/>
                <w:sz w:val="24"/>
                <w:szCs w:val="32"/>
                <w:highlight w:val="none"/>
              </w:rPr>
              <w:t>在施工过程中，要保护施工现场周围环境，防止对自然环境造成不应有的破坏。</w:t>
            </w:r>
          </w:p>
          <w:p w14:paraId="288E000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eastAsia="zh-CN"/>
              </w:rPr>
              <w:t>（</w:t>
            </w:r>
            <w:r>
              <w:rPr>
                <w:rFonts w:hint="default" w:ascii="Times New Roman" w:hAnsi="Times New Roman" w:eastAsia="宋体" w:cs="Times New Roman"/>
                <w:color w:val="auto"/>
                <w:spacing w:val="0"/>
                <w:sz w:val="24"/>
                <w:szCs w:val="32"/>
                <w:highlight w:val="none"/>
                <w:lang w:val="en-US" w:eastAsia="zh-CN"/>
              </w:rPr>
              <w:t>3</w:t>
            </w:r>
            <w:r>
              <w:rPr>
                <w:rFonts w:hint="default" w:ascii="Times New Roman" w:hAnsi="Times New Roman" w:eastAsia="宋体" w:cs="Times New Roman"/>
                <w:color w:val="auto"/>
                <w:spacing w:val="0"/>
                <w:sz w:val="24"/>
                <w:szCs w:val="32"/>
                <w:highlight w:val="none"/>
                <w:lang w:eastAsia="zh-CN"/>
              </w:rPr>
              <w:t>）</w:t>
            </w:r>
            <w:r>
              <w:rPr>
                <w:rFonts w:hint="default" w:ascii="Times New Roman" w:hAnsi="Times New Roman" w:eastAsia="宋体" w:cs="Times New Roman"/>
                <w:color w:val="auto"/>
                <w:spacing w:val="0"/>
                <w:sz w:val="24"/>
                <w:szCs w:val="32"/>
                <w:highlight w:val="none"/>
              </w:rPr>
              <w:t>生态恢复措施</w:t>
            </w:r>
          </w:p>
          <w:p w14:paraId="37AAB2B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val="en-US" w:eastAsia="zh-CN"/>
              </w:rPr>
              <w:t>①</w:t>
            </w:r>
            <w:r>
              <w:rPr>
                <w:rFonts w:hint="default" w:ascii="Times New Roman" w:hAnsi="Times New Roman" w:eastAsia="宋体" w:cs="Times New Roman"/>
                <w:color w:val="auto"/>
                <w:spacing w:val="0"/>
                <w:sz w:val="24"/>
                <w:szCs w:val="32"/>
                <w:highlight w:val="none"/>
              </w:rPr>
              <w:t>施工完毕后及时进行土地平整，迹地恢复；</w:t>
            </w:r>
          </w:p>
          <w:p w14:paraId="10629C3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val="en-US" w:eastAsia="zh-CN"/>
              </w:rPr>
              <w:t>②</w:t>
            </w:r>
            <w:r>
              <w:rPr>
                <w:rFonts w:hint="default" w:ascii="Times New Roman" w:hAnsi="Times New Roman" w:eastAsia="宋体" w:cs="Times New Roman"/>
                <w:color w:val="auto"/>
                <w:spacing w:val="0"/>
                <w:sz w:val="24"/>
                <w:szCs w:val="32"/>
                <w:highlight w:val="none"/>
              </w:rPr>
              <w:t>结合后期水土保持措施，做好施工迹地的恢复和弃渣的防护，避免出现施工场地凹凸不平的现象，并积极按照水土保持方案的要求进行植被恢复工作；</w:t>
            </w:r>
          </w:p>
          <w:p w14:paraId="1A940E3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0000E1"/>
                <w:spacing w:val="0"/>
                <w:sz w:val="24"/>
                <w:szCs w:val="32"/>
                <w:highlight w:val="none"/>
              </w:rPr>
            </w:pPr>
            <w:r>
              <w:rPr>
                <w:rFonts w:hint="default" w:ascii="Times New Roman" w:hAnsi="Times New Roman" w:eastAsia="宋体" w:cs="Times New Roman"/>
                <w:color w:val="0000E1"/>
                <w:spacing w:val="0"/>
                <w:sz w:val="24"/>
                <w:szCs w:val="32"/>
                <w:highlight w:val="none"/>
                <w:lang w:val="en-US" w:eastAsia="zh-CN"/>
              </w:rPr>
              <w:t>③</w:t>
            </w:r>
            <w:r>
              <w:rPr>
                <w:rFonts w:hint="default" w:ascii="Times New Roman" w:hAnsi="Times New Roman" w:eastAsia="宋体" w:cs="Times New Roman"/>
                <w:color w:val="0000E1"/>
                <w:spacing w:val="0"/>
                <w:sz w:val="24"/>
                <w:szCs w:val="32"/>
                <w:highlight w:val="none"/>
              </w:rPr>
              <w:t>加强绿化，</w:t>
            </w:r>
            <w:r>
              <w:rPr>
                <w:rFonts w:hint="default" w:ascii="Times New Roman" w:hAnsi="Times New Roman" w:eastAsia="宋体" w:cs="Times New Roman"/>
                <w:color w:val="0000E1"/>
                <w:spacing w:val="0"/>
                <w:sz w:val="24"/>
                <w:szCs w:val="24"/>
                <w:highlight w:val="none"/>
              </w:rPr>
              <w:t>施工结束后及时清理、松土、覆盖收集的表层土，选择</w:t>
            </w:r>
            <w:r>
              <w:rPr>
                <w:rFonts w:hint="default" w:ascii="Times New Roman" w:hAnsi="Times New Roman" w:eastAsia="宋体" w:cs="Times New Roman"/>
                <w:color w:val="0000E1"/>
                <w:spacing w:val="0"/>
                <w:sz w:val="24"/>
                <w:szCs w:val="32"/>
                <w:highlight w:val="none"/>
              </w:rPr>
              <w:t>针茅、芨芨草等</w:t>
            </w:r>
            <w:r>
              <w:rPr>
                <w:rFonts w:hint="default" w:ascii="Times New Roman" w:hAnsi="Times New Roman" w:eastAsia="宋体" w:cs="Times New Roman"/>
                <w:color w:val="0000E1"/>
                <w:spacing w:val="0"/>
                <w:sz w:val="24"/>
                <w:szCs w:val="24"/>
                <w:highlight w:val="none"/>
              </w:rPr>
              <w:t>植物及时恢绿化，</w:t>
            </w:r>
            <w:r>
              <w:rPr>
                <w:rFonts w:hint="eastAsia" w:cs="Times New Roman"/>
                <w:color w:val="0000E1"/>
                <w:spacing w:val="0"/>
                <w:sz w:val="24"/>
                <w:szCs w:val="24"/>
                <w:highlight w:val="none"/>
                <w:lang w:val="en-US" w:eastAsia="zh-CN"/>
              </w:rPr>
              <w:t>主要位置在</w:t>
            </w:r>
            <w:r>
              <w:rPr>
                <w:rFonts w:hint="default" w:ascii="Times New Roman" w:hAnsi="Times New Roman" w:eastAsia="宋体" w:cs="Times New Roman"/>
                <w:color w:val="0000E1"/>
                <w:spacing w:val="0"/>
                <w:position w:val="0"/>
                <w:sz w:val="24"/>
                <w:szCs w:val="24"/>
                <w:highlight w:val="none"/>
              </w:rPr>
              <w:t>防洪堤背水侧</w:t>
            </w:r>
            <w:r>
              <w:rPr>
                <w:rFonts w:hint="eastAsia" w:cs="Times New Roman"/>
                <w:color w:val="0000E1"/>
                <w:spacing w:val="0"/>
                <w:sz w:val="24"/>
                <w:szCs w:val="24"/>
                <w:highlight w:val="none"/>
                <w:lang w:val="en-US" w:eastAsia="zh-CN"/>
              </w:rPr>
              <w:t>，总</w:t>
            </w:r>
            <w:r>
              <w:rPr>
                <w:rFonts w:hint="default" w:ascii="Times New Roman" w:hAnsi="Times New Roman" w:eastAsia="宋体" w:cs="Times New Roman"/>
                <w:color w:val="0000E1"/>
                <w:spacing w:val="0"/>
                <w:position w:val="0"/>
                <w:sz w:val="24"/>
                <w:szCs w:val="24"/>
                <w:highlight w:val="none"/>
              </w:rPr>
              <w:t>占地面积</w:t>
            </w:r>
            <w:r>
              <w:rPr>
                <w:rFonts w:hint="eastAsia" w:cs="Times New Roman"/>
                <w:color w:val="0000E1"/>
                <w:spacing w:val="0"/>
                <w:position w:val="0"/>
                <w:sz w:val="24"/>
                <w:szCs w:val="24"/>
                <w:highlight w:val="none"/>
                <w:lang w:val="en-US" w:eastAsia="zh-CN"/>
              </w:rPr>
              <w:t>约</w:t>
            </w:r>
            <w:r>
              <w:rPr>
                <w:rFonts w:hint="default" w:ascii="Times New Roman" w:hAnsi="Times New Roman" w:cs="Times New Roman"/>
                <w:color w:val="0000E1"/>
                <w:spacing w:val="0"/>
                <w:position w:val="0"/>
                <w:sz w:val="24"/>
                <w:szCs w:val="24"/>
                <w:highlight w:val="none"/>
                <w:lang w:eastAsia="zh-CN"/>
              </w:rPr>
              <w:t>3.56</w:t>
            </w:r>
            <w:r>
              <w:rPr>
                <w:rFonts w:hint="default" w:ascii="Times New Roman" w:hAnsi="Times New Roman" w:eastAsia="宋体" w:cs="Times New Roman"/>
                <w:color w:val="0000E1"/>
                <w:spacing w:val="0"/>
                <w:position w:val="0"/>
                <w:sz w:val="24"/>
                <w:szCs w:val="24"/>
                <w:highlight w:val="none"/>
              </w:rPr>
              <w:t>hm²，</w:t>
            </w:r>
            <w:r>
              <w:rPr>
                <w:rFonts w:hint="eastAsia" w:cs="Times New Roman"/>
                <w:color w:val="0000E1"/>
                <w:spacing w:val="0"/>
                <w:position w:val="0"/>
                <w:sz w:val="24"/>
                <w:szCs w:val="24"/>
                <w:highlight w:val="none"/>
                <w:lang w:val="en-US" w:eastAsia="zh-CN"/>
              </w:rPr>
              <w:t>主要种</w:t>
            </w:r>
            <w:r>
              <w:rPr>
                <w:rFonts w:hint="eastAsia" w:ascii="Times New Roman" w:hAnsi="Times New Roman" w:eastAsia="宋体" w:cs="Times New Roman"/>
                <w:color w:val="0000E1"/>
                <w:spacing w:val="0"/>
                <w:sz w:val="24"/>
                <w:szCs w:val="24"/>
                <w:highlight w:val="none"/>
                <w:lang w:val="en-US" w:eastAsia="zh-CN"/>
              </w:rPr>
              <w:t>植</w:t>
            </w:r>
            <w:r>
              <w:rPr>
                <w:rFonts w:hint="default" w:ascii="Times New Roman" w:hAnsi="Times New Roman" w:eastAsia="宋体" w:cs="Times New Roman"/>
                <w:color w:val="0000E1"/>
                <w:spacing w:val="0"/>
                <w:sz w:val="24"/>
                <w:szCs w:val="24"/>
                <w:highlight w:val="none"/>
              </w:rPr>
              <w:t>针茅、芨芨草等</w:t>
            </w:r>
            <w:r>
              <w:rPr>
                <w:rFonts w:hint="eastAsia" w:ascii="Times New Roman" w:hAnsi="Times New Roman" w:eastAsia="宋体" w:cs="Times New Roman"/>
                <w:color w:val="0000E1"/>
                <w:spacing w:val="0"/>
                <w:sz w:val="24"/>
                <w:szCs w:val="24"/>
                <w:highlight w:val="none"/>
                <w:lang w:val="en-US" w:eastAsia="zh-CN"/>
              </w:rPr>
              <w:t>利于水土保持的植物，定期灌溉</w:t>
            </w:r>
            <w:r>
              <w:rPr>
                <w:rFonts w:hint="eastAsia" w:cs="Times New Roman"/>
                <w:color w:val="0000E1"/>
                <w:spacing w:val="0"/>
                <w:sz w:val="24"/>
                <w:szCs w:val="24"/>
                <w:highlight w:val="none"/>
                <w:lang w:val="en-US" w:eastAsia="zh-CN"/>
              </w:rPr>
              <w:t>以</w:t>
            </w:r>
            <w:r>
              <w:rPr>
                <w:rFonts w:hint="eastAsia" w:ascii="Times New Roman" w:hAnsi="Times New Roman" w:eastAsia="宋体" w:cs="Times New Roman"/>
                <w:color w:val="0000E1"/>
                <w:spacing w:val="0"/>
                <w:sz w:val="24"/>
                <w:szCs w:val="24"/>
                <w:highlight w:val="none"/>
                <w:lang w:val="en-US" w:eastAsia="zh-CN"/>
              </w:rPr>
              <w:t>保证植物成活，参考《</w:t>
            </w:r>
            <w:r>
              <w:rPr>
                <w:rFonts w:hint="eastAsia" w:ascii="Times New Roman" w:hAnsi="Times New Roman" w:eastAsia="宋体" w:cs="Times New Roman"/>
                <w:color w:val="0000E1"/>
                <w:spacing w:val="0"/>
                <w:sz w:val="24"/>
                <w:szCs w:val="24"/>
                <w:highlight w:val="none"/>
              </w:rPr>
              <w:t>新疆维吾尔自治区农业用水定额</w:t>
            </w:r>
            <w:r>
              <w:rPr>
                <w:rFonts w:hint="eastAsia" w:ascii="Times New Roman" w:hAnsi="Times New Roman" w:eastAsia="宋体" w:cs="Times New Roman"/>
                <w:color w:val="0000E1"/>
                <w:spacing w:val="0"/>
                <w:sz w:val="24"/>
                <w:szCs w:val="24"/>
                <w:highlight w:val="none"/>
                <w:lang w:val="en-US" w:eastAsia="zh-CN"/>
              </w:rPr>
              <w:t>》</w:t>
            </w:r>
            <w:r>
              <w:rPr>
                <w:rFonts w:hint="eastAsia" w:cs="Times New Roman"/>
                <w:color w:val="0000E1"/>
                <w:spacing w:val="0"/>
                <w:sz w:val="24"/>
                <w:szCs w:val="24"/>
                <w:highlight w:val="none"/>
                <w:lang w:val="en-US" w:eastAsia="zh-CN"/>
              </w:rPr>
              <w:t>A0220防护生态苗圃微灌265m</w:t>
            </w:r>
            <w:r>
              <w:rPr>
                <w:rFonts w:hint="eastAsia" w:cs="Times New Roman"/>
                <w:color w:val="0000E1"/>
                <w:spacing w:val="0"/>
                <w:sz w:val="24"/>
                <w:szCs w:val="24"/>
                <w:highlight w:val="none"/>
                <w:vertAlign w:val="superscript"/>
                <w:lang w:val="en-US" w:eastAsia="zh-CN"/>
              </w:rPr>
              <w:t>3</w:t>
            </w:r>
            <w:r>
              <w:rPr>
                <w:rFonts w:hint="eastAsia" w:cs="Times New Roman"/>
                <w:color w:val="0000E1"/>
                <w:spacing w:val="0"/>
                <w:sz w:val="24"/>
                <w:szCs w:val="24"/>
                <w:highlight w:val="none"/>
                <w:lang w:val="en-US" w:eastAsia="zh-CN"/>
              </w:rPr>
              <w:t>/亩，50%保障率，则本项目绿化灌溉用水量：7075.5m</w:t>
            </w:r>
            <w:r>
              <w:rPr>
                <w:rFonts w:hint="eastAsia" w:cs="Times New Roman"/>
                <w:color w:val="0000E1"/>
                <w:spacing w:val="0"/>
                <w:sz w:val="24"/>
                <w:szCs w:val="24"/>
                <w:highlight w:val="none"/>
                <w:vertAlign w:val="superscript"/>
                <w:lang w:val="en-US" w:eastAsia="zh-CN"/>
              </w:rPr>
              <w:t>3</w:t>
            </w:r>
            <w:r>
              <w:rPr>
                <w:rFonts w:hint="eastAsia" w:cs="Times New Roman"/>
                <w:color w:val="0000E1"/>
                <w:spacing w:val="0"/>
                <w:sz w:val="24"/>
                <w:szCs w:val="24"/>
                <w:highlight w:val="none"/>
                <w:lang w:val="en-US" w:eastAsia="zh-CN"/>
              </w:rPr>
              <w:t>/a，本项目施工期结束后建设单位应当及时灌溉植被，灌溉用水从昌吉市拉运，在落实本次环评提出的各项措施后，项目临时占地区生态能够恢复，确保</w:t>
            </w:r>
            <w:r>
              <w:rPr>
                <w:rFonts w:hint="default" w:ascii="Times New Roman" w:hAnsi="Times New Roman" w:eastAsia="宋体" w:cs="Times New Roman"/>
                <w:color w:val="0000E1"/>
                <w:spacing w:val="0"/>
                <w:sz w:val="24"/>
                <w:szCs w:val="24"/>
                <w:highlight w:val="none"/>
              </w:rPr>
              <w:t>持与周边原生植被和景观的一致</w:t>
            </w:r>
            <w:r>
              <w:rPr>
                <w:rFonts w:hint="default" w:ascii="Times New Roman" w:hAnsi="Times New Roman" w:eastAsia="宋体" w:cs="Times New Roman"/>
                <w:color w:val="0000E1"/>
                <w:spacing w:val="0"/>
                <w:sz w:val="24"/>
                <w:szCs w:val="32"/>
                <w:highlight w:val="none"/>
              </w:rPr>
              <w:t>。</w:t>
            </w:r>
          </w:p>
          <w:p w14:paraId="7527935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val="en-US" w:eastAsia="zh-CN"/>
              </w:rPr>
              <w:t>（4）</w:t>
            </w:r>
            <w:r>
              <w:rPr>
                <w:rFonts w:hint="default" w:ascii="Times New Roman" w:hAnsi="Times New Roman" w:eastAsia="宋体" w:cs="Times New Roman"/>
                <w:color w:val="auto"/>
                <w:spacing w:val="0"/>
                <w:sz w:val="24"/>
                <w:szCs w:val="32"/>
                <w:highlight w:val="none"/>
              </w:rPr>
              <w:t>施工管理措施</w:t>
            </w:r>
          </w:p>
          <w:p w14:paraId="2A0F973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划定施工范围，严禁施工人员和器械超出施工区域，任何施工人员不得越过红线施工或任意活动，以减小施工活动对公路周围植被和动物栖息地的影响，对擅自越过施工禁入区红线的施工人员进行严肃处理和教育，对进入禁入区造成损失的追究施工单位及施工人员相应责任，施工中要作到分段施工，随挖、随运、随铺、随压，不留疏松地面，提高工程施工效率，尽可能缩短施工工期</w:t>
            </w:r>
            <w:r>
              <w:rPr>
                <w:rFonts w:hint="default" w:ascii="Times New Roman" w:hAnsi="Times New Roman" w:eastAsia="宋体" w:cs="Times New Roman"/>
                <w:color w:val="auto"/>
                <w:spacing w:val="0"/>
                <w:sz w:val="24"/>
                <w:szCs w:val="32"/>
                <w:highlight w:val="none"/>
                <w:lang w:eastAsia="zh-CN"/>
              </w:rPr>
              <w:t>，</w:t>
            </w:r>
            <w:r>
              <w:rPr>
                <w:rFonts w:hint="default" w:ascii="Times New Roman" w:hAnsi="Times New Roman" w:eastAsia="宋体" w:cs="Times New Roman"/>
                <w:color w:val="auto"/>
                <w:spacing w:val="0"/>
                <w:sz w:val="24"/>
                <w:szCs w:val="32"/>
                <w:highlight w:val="none"/>
                <w:lang w:val="en-US" w:eastAsia="zh-CN"/>
              </w:rPr>
              <w:t>降低施工期间产生的成本，</w:t>
            </w:r>
            <w:r>
              <w:rPr>
                <w:rFonts w:hint="default" w:ascii="Times New Roman" w:hAnsi="Times New Roman" w:eastAsia="宋体" w:cs="Times New Roman"/>
                <w:color w:val="auto"/>
                <w:spacing w:val="0"/>
                <w:sz w:val="24"/>
                <w:szCs w:val="32"/>
                <w:highlight w:val="none"/>
              </w:rPr>
              <w:t>加强施工期筑路材料的管理，妥善放置，及时清理，施工产生的建筑废料要尽量回收，严禁乱堆乱放。</w:t>
            </w:r>
          </w:p>
          <w:p w14:paraId="185F5B9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sz w:val="24"/>
                <w:szCs w:val="32"/>
                <w:highlight w:val="none"/>
              </w:rPr>
            </w:pPr>
            <w:r>
              <w:rPr>
                <w:rFonts w:hint="default" w:ascii="Times New Roman" w:hAnsi="Times New Roman" w:eastAsia="宋体" w:cs="Times New Roman"/>
                <w:b/>
                <w:bCs/>
                <w:color w:val="auto"/>
                <w:spacing w:val="0"/>
                <w:sz w:val="24"/>
                <w:szCs w:val="32"/>
                <w:highlight w:val="none"/>
                <w:lang w:val="en-US" w:eastAsia="zh-CN"/>
              </w:rPr>
              <w:t>1.2施工期对</w:t>
            </w:r>
            <w:r>
              <w:rPr>
                <w:rFonts w:hint="default" w:ascii="Times New Roman" w:hAnsi="Times New Roman" w:eastAsia="宋体" w:cs="Times New Roman"/>
                <w:b/>
                <w:bCs/>
                <w:color w:val="auto"/>
                <w:spacing w:val="0"/>
                <w:sz w:val="24"/>
                <w:szCs w:val="32"/>
                <w:highlight w:val="none"/>
              </w:rPr>
              <w:t>植被保护措施</w:t>
            </w:r>
          </w:p>
          <w:p w14:paraId="0A9AC51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工程建设过程中在施工范围红线内尽量保留植被，减小生物量损失，临时占用地应尽可能地减少对植被破坏，便道通过植被茂密的路段时需绕行，生产区及临时堆场周围的植被要最大限度地保留，施工便道的设置以不破坏自然景观、不过多地挪动土方为原则。</w:t>
            </w:r>
          </w:p>
          <w:p w14:paraId="0811792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对永久占地及临时占地压占土壤分层剥离、分别堆放、分层回填，保存永久占地和临时占地的熟化土，为植被恢复提供良好的土壤，以便施工结束后复垦或选择当地适宜植物及时恢复绿化。</w:t>
            </w:r>
          </w:p>
          <w:p w14:paraId="7E9DA67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pacing w:val="0"/>
                <w:sz w:val="24"/>
                <w:szCs w:val="32"/>
                <w:highlight w:val="none"/>
                <w:lang w:val="en-US" w:eastAsia="zh-CN"/>
              </w:rPr>
            </w:pPr>
            <w:r>
              <w:rPr>
                <w:rFonts w:hint="default" w:ascii="Times New Roman" w:hAnsi="Times New Roman" w:eastAsia="宋体" w:cs="Times New Roman"/>
                <w:b/>
                <w:bCs/>
                <w:color w:val="auto"/>
                <w:spacing w:val="0"/>
                <w:sz w:val="24"/>
                <w:szCs w:val="32"/>
                <w:highlight w:val="none"/>
                <w:lang w:val="en-US" w:eastAsia="zh-CN"/>
              </w:rPr>
              <w:t>1.3施工期对</w:t>
            </w:r>
            <w:r>
              <w:rPr>
                <w:rFonts w:hint="default" w:ascii="Times New Roman" w:hAnsi="Times New Roman" w:eastAsia="宋体" w:cs="Times New Roman"/>
                <w:b/>
                <w:bCs/>
                <w:color w:val="auto"/>
                <w:spacing w:val="0"/>
                <w:sz w:val="24"/>
                <w:szCs w:val="32"/>
                <w:highlight w:val="none"/>
              </w:rPr>
              <w:t>表层土</w:t>
            </w:r>
            <w:r>
              <w:rPr>
                <w:rFonts w:hint="default" w:ascii="Times New Roman" w:hAnsi="Times New Roman" w:eastAsia="宋体" w:cs="Times New Roman"/>
                <w:b/>
                <w:bCs/>
                <w:color w:val="auto"/>
                <w:spacing w:val="0"/>
                <w:sz w:val="24"/>
                <w:szCs w:val="32"/>
                <w:highlight w:val="none"/>
                <w:lang w:val="en-US" w:eastAsia="zh-CN"/>
              </w:rPr>
              <w:t>壤</w:t>
            </w:r>
            <w:r>
              <w:rPr>
                <w:rFonts w:hint="default" w:ascii="Times New Roman" w:hAnsi="Times New Roman" w:eastAsia="宋体" w:cs="Times New Roman"/>
                <w:b/>
                <w:bCs/>
                <w:color w:val="auto"/>
                <w:spacing w:val="0"/>
                <w:sz w:val="24"/>
                <w:szCs w:val="32"/>
                <w:highlight w:val="none"/>
              </w:rPr>
              <w:t>保护</w:t>
            </w:r>
            <w:r>
              <w:rPr>
                <w:rFonts w:hint="default" w:ascii="Times New Roman" w:hAnsi="Times New Roman" w:eastAsia="宋体" w:cs="Times New Roman"/>
                <w:b/>
                <w:bCs/>
                <w:color w:val="auto"/>
                <w:spacing w:val="0"/>
                <w:sz w:val="24"/>
                <w:szCs w:val="32"/>
                <w:highlight w:val="none"/>
                <w:lang w:val="en-US" w:eastAsia="zh-CN"/>
              </w:rPr>
              <w:t>措施</w:t>
            </w:r>
          </w:p>
          <w:p w14:paraId="18EE493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将永久占地及临时占地表层熟土分层开挖，分层堆放，堆高控制在2.5m以内，对于土堆裸露的顶面和坡面，需要进行压实或拍实处理；施工结束后分层回填恢复</w:t>
            </w:r>
            <w:r>
              <w:rPr>
                <w:rFonts w:hint="default" w:ascii="Times New Roman" w:hAnsi="Times New Roman" w:eastAsia="宋体" w:cs="Times New Roman"/>
                <w:color w:val="auto"/>
                <w:spacing w:val="0"/>
                <w:sz w:val="24"/>
                <w:szCs w:val="32"/>
                <w:highlight w:val="none"/>
                <w:lang w:eastAsia="zh-CN"/>
              </w:rPr>
              <w:t>，</w:t>
            </w:r>
            <w:r>
              <w:rPr>
                <w:rFonts w:hint="default" w:ascii="Times New Roman" w:hAnsi="Times New Roman" w:eastAsia="宋体" w:cs="Times New Roman"/>
                <w:color w:val="auto"/>
                <w:spacing w:val="0"/>
                <w:sz w:val="24"/>
                <w:szCs w:val="32"/>
                <w:highlight w:val="none"/>
                <w:lang w:val="en-US" w:eastAsia="zh-CN"/>
              </w:rPr>
              <w:t>施工区严禁向土壤内倾倒各类机油，柴油等各类危险废物</w:t>
            </w:r>
            <w:r>
              <w:rPr>
                <w:rFonts w:hint="default" w:ascii="Times New Roman" w:hAnsi="Times New Roman" w:eastAsia="宋体" w:cs="Times New Roman"/>
                <w:color w:val="auto"/>
                <w:spacing w:val="0"/>
                <w:sz w:val="24"/>
                <w:szCs w:val="32"/>
                <w:highlight w:val="none"/>
              </w:rPr>
              <w:t>。</w:t>
            </w:r>
          </w:p>
          <w:p w14:paraId="28E25D7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sz w:val="24"/>
                <w:szCs w:val="32"/>
                <w:highlight w:val="none"/>
              </w:rPr>
            </w:pPr>
            <w:r>
              <w:rPr>
                <w:rFonts w:hint="eastAsia" w:cs="Times New Roman"/>
                <w:b/>
                <w:bCs/>
                <w:color w:val="auto"/>
                <w:spacing w:val="0"/>
                <w:sz w:val="24"/>
                <w:szCs w:val="32"/>
                <w:highlight w:val="none"/>
                <w:lang w:val="en-US" w:eastAsia="zh-CN"/>
              </w:rPr>
              <w:t>1.4</w:t>
            </w:r>
            <w:r>
              <w:rPr>
                <w:rFonts w:hint="default" w:ascii="Times New Roman" w:hAnsi="Times New Roman" w:eastAsia="宋体" w:cs="Times New Roman"/>
                <w:b/>
                <w:bCs/>
                <w:color w:val="auto"/>
                <w:spacing w:val="0"/>
                <w:sz w:val="24"/>
                <w:szCs w:val="32"/>
                <w:highlight w:val="none"/>
                <w:lang w:val="en-US" w:eastAsia="zh-CN"/>
              </w:rPr>
              <w:t>施工期对</w:t>
            </w:r>
            <w:r>
              <w:rPr>
                <w:rFonts w:hint="default" w:ascii="Times New Roman" w:hAnsi="Times New Roman" w:eastAsia="宋体" w:cs="Times New Roman"/>
                <w:b/>
                <w:bCs/>
                <w:color w:val="auto"/>
                <w:spacing w:val="0"/>
                <w:sz w:val="24"/>
                <w:szCs w:val="32"/>
                <w:highlight w:val="none"/>
              </w:rPr>
              <w:t>野生动物保护措施</w:t>
            </w:r>
          </w:p>
          <w:p w14:paraId="7FDF4D7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施工过程中加强施工人员的宣传与培训，注意施工控噪，划定施工区，严禁施工人员捕杀</w:t>
            </w:r>
            <w:r>
              <w:rPr>
                <w:rFonts w:hint="default" w:ascii="Times New Roman" w:hAnsi="Times New Roman" w:eastAsia="宋体" w:cs="Times New Roman"/>
                <w:b w:val="0"/>
                <w:bCs w:val="0"/>
                <w:color w:val="auto"/>
                <w:spacing w:val="0"/>
                <w:sz w:val="24"/>
                <w:szCs w:val="32"/>
                <w:highlight w:val="none"/>
              </w:rPr>
              <w:t>野生动物</w:t>
            </w:r>
            <w:r>
              <w:rPr>
                <w:rFonts w:hint="default" w:ascii="Times New Roman" w:hAnsi="Times New Roman" w:eastAsia="宋体" w:cs="Times New Roman"/>
                <w:color w:val="auto"/>
                <w:spacing w:val="0"/>
                <w:sz w:val="24"/>
                <w:szCs w:val="32"/>
                <w:highlight w:val="none"/>
              </w:rPr>
              <w:t>行为。</w:t>
            </w:r>
          </w:p>
          <w:p w14:paraId="3F0BAE7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sz w:val="24"/>
                <w:szCs w:val="32"/>
                <w:highlight w:val="none"/>
              </w:rPr>
            </w:pPr>
            <w:r>
              <w:rPr>
                <w:rFonts w:hint="default" w:ascii="Times New Roman" w:hAnsi="Times New Roman" w:eastAsia="宋体" w:cs="Times New Roman"/>
                <w:b/>
                <w:bCs/>
                <w:color w:val="auto"/>
                <w:spacing w:val="0"/>
                <w:sz w:val="24"/>
                <w:szCs w:val="32"/>
                <w:highlight w:val="none"/>
                <w:lang w:val="en-US" w:eastAsia="zh-CN"/>
              </w:rPr>
              <w:t>1.5施工期</w:t>
            </w:r>
            <w:r>
              <w:rPr>
                <w:rFonts w:hint="default" w:ascii="Times New Roman" w:hAnsi="Times New Roman" w:cs="Times New Roman"/>
                <w:b/>
                <w:bCs/>
                <w:color w:val="auto"/>
                <w:spacing w:val="0"/>
                <w:sz w:val="24"/>
                <w:szCs w:val="32"/>
                <w:highlight w:val="none"/>
                <w:lang w:val="en-US" w:eastAsia="zh-CN"/>
              </w:rPr>
              <w:t>堆土场</w:t>
            </w:r>
            <w:r>
              <w:rPr>
                <w:rFonts w:hint="default" w:ascii="Times New Roman" w:hAnsi="Times New Roman" w:eastAsia="宋体" w:cs="Times New Roman"/>
                <w:b/>
                <w:bCs/>
                <w:color w:val="auto"/>
                <w:spacing w:val="0"/>
                <w:sz w:val="24"/>
                <w:szCs w:val="32"/>
                <w:highlight w:val="none"/>
                <w:lang w:val="en-US" w:eastAsia="zh-CN"/>
              </w:rPr>
              <w:t>对</w:t>
            </w:r>
            <w:r>
              <w:rPr>
                <w:rFonts w:hint="default" w:ascii="Times New Roman" w:hAnsi="Times New Roman" w:eastAsia="宋体" w:cs="Times New Roman"/>
                <w:b/>
                <w:bCs/>
                <w:color w:val="auto"/>
                <w:spacing w:val="0"/>
                <w:sz w:val="24"/>
                <w:szCs w:val="32"/>
                <w:highlight w:val="none"/>
              </w:rPr>
              <w:t>临时占地保护措施</w:t>
            </w:r>
          </w:p>
          <w:p w14:paraId="7C2AF80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Style w:val="71"/>
                <w:rFonts w:hint="default" w:ascii="Times New Roman" w:hAnsi="Times New Roman" w:eastAsia="宋体" w:cs="Times New Roman"/>
                <w:color w:val="0000FF"/>
                <w:sz w:val="24"/>
                <w:highlight w:val="none"/>
              </w:rPr>
            </w:pPr>
            <w:r>
              <w:rPr>
                <w:rFonts w:hint="default" w:ascii="Times New Roman" w:hAnsi="Times New Roman" w:eastAsia="宋体" w:cs="Times New Roman"/>
                <w:color w:val="auto"/>
                <w:spacing w:val="0"/>
                <w:sz w:val="24"/>
                <w:szCs w:val="32"/>
                <w:highlight w:val="none"/>
              </w:rPr>
              <w:t>生产及生活区施工前进行表土剥离，划定施工范围，禁止越线活动，尽量减少占地，工程结束后，对施工场地进行地表清理，清除硬化混凝土，进行土壤改良后，进行土地平整，植被自然恢复。</w:t>
            </w:r>
            <w:r>
              <w:rPr>
                <w:rFonts w:hint="default" w:ascii="Times New Roman" w:hAnsi="Times New Roman" w:cs="Times New Roman"/>
                <w:color w:val="auto"/>
                <w:spacing w:val="0"/>
                <w:sz w:val="24"/>
                <w:szCs w:val="32"/>
                <w:highlight w:val="none"/>
                <w:lang w:val="en-US" w:eastAsia="zh-CN"/>
              </w:rPr>
              <w:t>项目施工期</w:t>
            </w:r>
            <w:r>
              <w:rPr>
                <w:rStyle w:val="71"/>
                <w:rFonts w:hint="default" w:ascii="Times New Roman" w:hAnsi="Times New Roman" w:eastAsia="宋体" w:cs="Times New Roman"/>
                <w:color w:val="0000FF"/>
                <w:sz w:val="24"/>
                <w:highlight w:val="none"/>
              </w:rPr>
              <w:t>主要生态保护措施有：</w:t>
            </w:r>
          </w:p>
          <w:p w14:paraId="62D13366">
            <w:pPr>
              <w:widowControl/>
              <w:shd w:val="clear"/>
              <w:spacing w:line="360" w:lineRule="auto"/>
              <w:ind w:firstLine="480" w:firstLineChars="200"/>
              <w:jc w:val="left"/>
              <w:rPr>
                <w:rStyle w:val="71"/>
                <w:rFonts w:hint="default" w:ascii="Times New Roman" w:hAnsi="Times New Roman" w:eastAsia="宋体" w:cs="Times New Roman"/>
                <w:color w:val="0000FF"/>
                <w:sz w:val="24"/>
                <w:highlight w:val="none"/>
              </w:rPr>
            </w:pPr>
            <w:r>
              <w:rPr>
                <w:rStyle w:val="71"/>
                <w:rFonts w:hint="default" w:ascii="Times New Roman" w:hAnsi="Times New Roman" w:eastAsia="宋体" w:cs="Times New Roman"/>
                <w:color w:val="0000FF"/>
                <w:sz w:val="24"/>
                <w:highlight w:val="none"/>
              </w:rPr>
              <w:t>①制定施工期的环境管理监控计划，限制大型机械进入施工现场，防止因施工方式不当破坏当地生态环境。</w:t>
            </w:r>
          </w:p>
          <w:p w14:paraId="52C7CF75">
            <w:pPr>
              <w:widowControl/>
              <w:shd w:val="clear"/>
              <w:spacing w:line="360" w:lineRule="auto"/>
              <w:ind w:firstLine="480" w:firstLineChars="200"/>
              <w:jc w:val="left"/>
              <w:rPr>
                <w:rStyle w:val="71"/>
                <w:rFonts w:hint="default" w:ascii="Times New Roman" w:hAnsi="Times New Roman" w:eastAsia="宋体" w:cs="Times New Roman"/>
                <w:color w:val="0000FF"/>
                <w:sz w:val="24"/>
                <w:highlight w:val="none"/>
              </w:rPr>
            </w:pPr>
            <w:r>
              <w:rPr>
                <w:rStyle w:val="71"/>
                <w:rFonts w:hint="default" w:ascii="Times New Roman" w:hAnsi="Times New Roman" w:eastAsia="宋体" w:cs="Times New Roman"/>
                <w:color w:val="0000FF"/>
                <w:sz w:val="24"/>
                <w:highlight w:val="none"/>
              </w:rPr>
              <w:t>②加强施工管理，尽量缩小施工范围，施工中要尽量减少人为干扰和破坏区，避免造成植被大面积的破坏，并采取边施工边进行植被恢复的模式。</w:t>
            </w:r>
          </w:p>
          <w:p w14:paraId="39BB9011">
            <w:pPr>
              <w:widowControl/>
              <w:shd w:val="clear"/>
              <w:spacing w:line="360" w:lineRule="auto"/>
              <w:ind w:firstLine="480" w:firstLineChars="200"/>
              <w:jc w:val="left"/>
              <w:rPr>
                <w:rStyle w:val="71"/>
                <w:rFonts w:hint="default" w:ascii="Times New Roman" w:hAnsi="Times New Roman" w:eastAsia="宋体" w:cs="Times New Roman"/>
                <w:color w:val="0000FF"/>
                <w:sz w:val="24"/>
                <w:highlight w:val="none"/>
              </w:rPr>
            </w:pPr>
            <w:r>
              <w:rPr>
                <w:rStyle w:val="71"/>
                <w:rFonts w:hint="default" w:ascii="Times New Roman" w:hAnsi="Times New Roman" w:eastAsia="宋体" w:cs="Times New Roman"/>
                <w:color w:val="0000FF"/>
                <w:sz w:val="24"/>
                <w:highlight w:val="none"/>
              </w:rPr>
              <w:t>③对各材料堆放点和土方采取拦挡、苫盖等措施进行防护，并及时洒水抑尘，控制水土流失。</w:t>
            </w:r>
          </w:p>
          <w:p w14:paraId="19FEF3E5">
            <w:pPr>
              <w:widowControl/>
              <w:shd w:val="clear"/>
              <w:spacing w:line="360" w:lineRule="auto"/>
              <w:ind w:firstLine="480" w:firstLineChars="200"/>
              <w:jc w:val="left"/>
              <w:rPr>
                <w:rStyle w:val="71"/>
                <w:rFonts w:hint="default" w:ascii="Times New Roman" w:hAnsi="Times New Roman" w:eastAsia="宋体" w:cs="Times New Roman"/>
                <w:color w:val="0000FF"/>
                <w:sz w:val="24"/>
                <w:highlight w:val="none"/>
              </w:rPr>
            </w:pPr>
            <w:r>
              <w:rPr>
                <w:rStyle w:val="71"/>
                <w:rFonts w:hint="default" w:ascii="Times New Roman" w:hAnsi="Times New Roman" w:eastAsia="宋体" w:cs="Times New Roman"/>
                <w:color w:val="0000FF"/>
                <w:sz w:val="24"/>
                <w:highlight w:val="none"/>
              </w:rPr>
              <w:t>④基础施工中，基础开挖尽量采用小型机械挖掘和运输，局部采用人工修整；装场地各施工机械和设备不得随意堆放，尽量减少施工占地面积。</w:t>
            </w:r>
          </w:p>
          <w:p w14:paraId="662405A0">
            <w:pPr>
              <w:widowControl/>
              <w:shd w:val="clear"/>
              <w:spacing w:line="360" w:lineRule="auto"/>
              <w:ind w:firstLine="480" w:firstLineChars="200"/>
              <w:jc w:val="left"/>
              <w:rPr>
                <w:rStyle w:val="71"/>
                <w:rFonts w:hint="default" w:ascii="Times New Roman" w:hAnsi="Times New Roman" w:eastAsia="宋体" w:cs="Times New Roman"/>
                <w:color w:val="0000FF"/>
                <w:sz w:val="24"/>
                <w:highlight w:val="none"/>
              </w:rPr>
            </w:pPr>
            <w:r>
              <w:rPr>
                <w:rStyle w:val="71"/>
                <w:rFonts w:hint="default" w:ascii="Times New Roman" w:hAnsi="Times New Roman" w:eastAsia="宋体" w:cs="Times New Roman"/>
                <w:color w:val="0000FF"/>
                <w:sz w:val="24"/>
                <w:highlight w:val="none"/>
              </w:rPr>
              <w:t>⑤车辆运输等必须沿规定的道路行驶，不得随意行驶，以便更好地保护沙地和沙生植被。</w:t>
            </w:r>
          </w:p>
          <w:p w14:paraId="020E844C">
            <w:pPr>
              <w:widowControl/>
              <w:shd w:val="clear"/>
              <w:spacing w:line="360" w:lineRule="auto"/>
              <w:ind w:firstLine="480" w:firstLineChars="200"/>
              <w:jc w:val="left"/>
              <w:rPr>
                <w:rStyle w:val="71"/>
                <w:rFonts w:hint="default" w:ascii="Times New Roman" w:hAnsi="Times New Roman" w:eastAsia="宋体" w:cs="Times New Roman"/>
                <w:color w:val="0000FF"/>
                <w:sz w:val="24"/>
                <w:highlight w:val="none"/>
                <w:lang w:eastAsia="zh-CN"/>
              </w:rPr>
            </w:pPr>
            <w:r>
              <w:rPr>
                <w:rStyle w:val="71"/>
                <w:rFonts w:hint="default" w:ascii="Times New Roman" w:hAnsi="Times New Roman" w:eastAsia="宋体" w:cs="Times New Roman"/>
                <w:color w:val="0000FF"/>
                <w:sz w:val="24"/>
                <w:highlight w:val="none"/>
              </w:rPr>
              <w:t>⑥项目建设中，发现有野生动物的栖息地时，施工作业应避开，不得干扰和破坏</w:t>
            </w:r>
            <w:r>
              <w:rPr>
                <w:rStyle w:val="71"/>
                <w:rFonts w:hint="default" w:ascii="Times New Roman" w:hAnsi="Times New Roman" w:eastAsia="宋体" w:cs="Times New Roman"/>
                <w:color w:val="0000FF"/>
                <w:sz w:val="24"/>
                <w:highlight w:val="none"/>
              </w:rPr>
              <mc:AlternateContent>
                <mc:Choice Requires="wps">
                  <w:drawing>
                    <wp:anchor distT="0" distB="0" distL="114300" distR="114300" simplePos="0" relativeHeight="251679744" behindDoc="0" locked="0" layoutInCell="0" allowOverlap="1">
                      <wp:simplePos x="0" y="0"/>
                      <wp:positionH relativeFrom="page">
                        <wp:posOffset>3604895</wp:posOffset>
                      </wp:positionH>
                      <wp:positionV relativeFrom="page">
                        <wp:posOffset>9972040</wp:posOffset>
                      </wp:positionV>
                      <wp:extent cx="356235" cy="11811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56235" cy="118110"/>
                              </a:xfrm>
                              <a:prstGeom prst="rect">
                                <a:avLst/>
                              </a:prstGeom>
                              <a:noFill/>
                              <a:ln>
                                <a:noFill/>
                              </a:ln>
                              <a:effectLst/>
                            </wps:spPr>
                            <wps:txbx>
                              <w:txbxContent>
                                <w:p w14:paraId="5E531DCA">
                                  <w:pPr>
                                    <w:spacing w:before="20" w:line="145" w:lineRule="exact"/>
                                    <w:ind w:left="20"/>
                                    <w:rPr>
                                      <w:rFonts w:ascii="楷体" w:hAnsi="楷体" w:eastAsia="楷体" w:cs="楷体"/>
                                      <w:sz w:val="21"/>
                                      <w:szCs w:val="21"/>
                                    </w:rPr>
                                  </w:pPr>
                                  <w:r>
                                    <w:rPr>
                                      <w:rFonts w:ascii="楷体" w:hAnsi="楷体" w:eastAsia="楷体" w:cs="楷体"/>
                                      <w:spacing w:val="-3"/>
                                      <w:position w:val="-3"/>
                                      <w:sz w:val="21"/>
                                      <w:szCs w:val="21"/>
                                    </w:rPr>
                                    <w:t>--</w:t>
                                  </w:r>
                                </w:p>
                              </w:txbxContent>
                            </wps:txbx>
                            <wps:bodyPr lIns="0" tIns="0" rIns="0" bIns="0" upright="1"/>
                          </wps:wsp>
                        </a:graphicData>
                      </a:graphic>
                    </wp:anchor>
                  </w:drawing>
                </mc:Choice>
                <mc:Fallback>
                  <w:pict>
                    <v:shape id="_x0000_s1026" o:spid="_x0000_s1026" o:spt="202" type="#_x0000_t202" style="position:absolute;left:0pt;margin-left:283.85pt;margin-top:785.2pt;height:9.3pt;width:28.05pt;mso-position-horizontal-relative:page;mso-position-vertical-relative:page;z-index:251679744;mso-width-relative:page;mso-height-relative:page;" filled="f" stroked="f" coordsize="21600,21600" o:allowincell="f" o:gfxdata="UEsDBAoAAAAAAIdO4kAAAAAAAAAAAAAAAAAEAAAAZHJzL1BLAwQUAAAACACHTuJAlTb1ONsAAAAN&#10;AQAADwAAAGRycy9kb3ducmV2LnhtbE2PzU7DMBCE70i8g7VI3KjdQpM2xKkQghMSIg0Hjk6yTazG&#10;6xC7P7w92xMcd+bT7Ey+ObtBHHEK1pOG+UyBQGp8a6nT8Fm93q1AhGioNYMn1PCDATbF9VVustaf&#10;qMTjNnaCQyhkRkMf45hJGZoenQkzPyKxt/OTM5HPqZPtZE4c7ga5UCqRzljiD70Z8bnHZr89OA1P&#10;X1S+2O/3+qPclbaq1orekr3Wtzdz9Qgi4jn+wXCpz9Wh4E61P1AbxKBhmaQpo2wsU/UAgpFkcc9r&#10;6ou0WiuQRS7/ryh+AVBLAwQUAAAACACHTuJAN7SaNb8BAAB/AwAADgAAAGRycy9lMm9Eb2MueG1s&#10;rVNLbtswEN0X6B0I7mtaDhIkguUAhZGiQJEWSHMAmqIsAvyBQ1vyBdIbdNVN9z2Xz9EhJTm/TRbZ&#10;UMOZ4Zt5b0bL695ospcBlLMVLWZzSqQVrlZ2W9H7nzefLimByG3NtbOyogcJ9Hr18cOy86VcuNbp&#10;WgaCIBbKzle0jdGXjIFopeEwc15aDDYuGB7xGrasDrxDdKPZYj6/YJ0LtQ9OSAD0rocgHRHDWwBd&#10;0ygh107sjLRxQA1S84iUoFUe6Cp32zRSxO9NAzISXVFkGvOJRdDepJOtlrzcBu5bJcYW+FtaeMHJ&#10;cGWx6AlqzSMnu6BeQRklggPXxJlwhg1EsiLIopi/0Oau5V5mLig1+JPo8H6w4nb/IxBVV/SKEssN&#10;Dvz4+9fxz7/j3wdyleTpPJSYdecxL/afXY9LM/kBnYl13wSTvsiHYBzFPZzElX0kAp1n5xeLs3NK&#10;BIaK4rIosvjs8bEPEL9IZ0gyKhpwdllSvv8GERvB1Ckl1bLuRmmd56ftMwcmDh6ZF2B8nXgM/SYr&#10;9pt+JLdx9QG56a8WdU07MhlhMjaTsfNBbVtsLivAEhDOJbc27lAa/NM72k//m9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Tb1ONsAAAANAQAADwAAAAAAAAABACAAAAAiAAAAZHJzL2Rvd25yZXYu&#10;eG1sUEsBAhQAFAAAAAgAh07iQDe0mjW/AQAAfwMAAA4AAAAAAAAAAQAgAAAAKgEAAGRycy9lMm9E&#10;b2MueG1sUEsFBgAAAAAGAAYAWQEAAFsFAAAAAA==&#10;">
                      <v:fill on="f" focussize="0,0"/>
                      <v:stroke on="f"/>
                      <v:imagedata o:title=""/>
                      <o:lock v:ext="edit" aspectratio="f"/>
                      <v:textbox inset="0mm,0mm,0mm,0mm">
                        <w:txbxContent>
                          <w:p w14:paraId="5E531DCA">
                            <w:pPr>
                              <w:spacing w:before="20" w:line="145" w:lineRule="exact"/>
                              <w:ind w:left="20"/>
                              <w:rPr>
                                <w:rFonts w:ascii="楷体" w:hAnsi="楷体" w:eastAsia="楷体" w:cs="楷体"/>
                                <w:sz w:val="21"/>
                                <w:szCs w:val="21"/>
                              </w:rPr>
                            </w:pPr>
                            <w:r>
                              <w:rPr>
                                <w:rFonts w:ascii="楷体" w:hAnsi="楷体" w:eastAsia="楷体" w:cs="楷体"/>
                                <w:spacing w:val="-3"/>
                                <w:position w:val="-3"/>
                                <w:sz w:val="21"/>
                                <w:szCs w:val="21"/>
                              </w:rPr>
                              <w:t>--</w:t>
                            </w:r>
                          </w:p>
                        </w:txbxContent>
                      </v:textbox>
                    </v:shape>
                  </w:pict>
                </mc:Fallback>
              </mc:AlternateContent>
            </w:r>
            <w:r>
              <w:rPr>
                <w:rStyle w:val="71"/>
                <w:rFonts w:hint="default" w:ascii="Times New Roman" w:hAnsi="Times New Roman" w:eastAsia="宋体" w:cs="Times New Roman"/>
                <w:color w:val="0000FF"/>
                <w:sz w:val="24"/>
                <w:highlight w:val="none"/>
              </w:rPr>
              <w:t>野生动物的活动场所，严禁施工人员等滥捕乱猎野生动物</w:t>
            </w:r>
            <w:r>
              <w:rPr>
                <w:rStyle w:val="71"/>
                <w:rFonts w:hint="default" w:ascii="Times New Roman" w:hAnsi="Times New Roman" w:eastAsia="宋体" w:cs="Times New Roman"/>
                <w:color w:val="0000FF"/>
                <w:sz w:val="24"/>
                <w:highlight w:val="none"/>
                <w:lang w:eastAsia="zh-CN"/>
              </w:rPr>
              <w:t>。</w:t>
            </w:r>
          </w:p>
          <w:p w14:paraId="34073A6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cs="Times New Roman"/>
                <w:bCs/>
                <w:color w:val="0000FF"/>
                <w:sz w:val="24"/>
                <w:highlight w:val="none"/>
              </w:rPr>
              <w:t>通过采取以上措施，可有效治理因工程建设引起的水土流失，不会引起较大的水土流失影响。另外，由于项目水土流失的影响范围仅限于项目场区，且主要在施工期。故当施工期结束，光伏区正常运营后，植被恢复到一定程度时，该工程对区域水土流失的影响也随之基本消失。由于不同部位的施工措施对植被影响程度不同，水土流失的影响时限也不同，临时压埋区植被恢复一般只需要1年左右，铲除植被区从开始施工到植被基本恢复需要3～5年。</w:t>
            </w:r>
          </w:p>
          <w:p w14:paraId="5CC6A003">
            <w:pPr>
              <w:keepNext w:val="0"/>
              <w:keepLines w:val="0"/>
              <w:widowControl/>
              <w:suppressLineNumbers w:val="0"/>
              <w:shd w:val="clear"/>
              <w:jc w:val="left"/>
              <w:rPr>
                <w:rFonts w:hint="default" w:ascii="Times New Roman" w:hAnsi="Times New Roman" w:eastAsia="宋体" w:cs="Times New Roman"/>
                <w:b/>
                <w:bCs/>
                <w:color w:val="auto"/>
                <w:spacing w:val="0"/>
                <w:sz w:val="24"/>
                <w:szCs w:val="32"/>
                <w:highlight w:val="none"/>
              </w:rPr>
            </w:pPr>
            <w:r>
              <w:rPr>
                <w:rFonts w:hint="default" w:ascii="Times New Roman" w:hAnsi="Times New Roman" w:eastAsia="宋体" w:cs="Times New Roman"/>
                <w:b/>
                <w:bCs/>
                <w:color w:val="auto"/>
                <w:spacing w:val="0"/>
                <w:sz w:val="24"/>
                <w:szCs w:val="32"/>
                <w:highlight w:val="none"/>
                <w:lang w:val="en-US" w:eastAsia="zh-CN"/>
              </w:rPr>
              <w:t>1.6施工期对两侧农田的</w:t>
            </w:r>
            <w:r>
              <w:rPr>
                <w:rFonts w:hint="default" w:ascii="Times New Roman" w:hAnsi="Times New Roman" w:eastAsia="宋体" w:cs="Times New Roman"/>
                <w:b/>
                <w:bCs/>
                <w:color w:val="auto"/>
                <w:spacing w:val="0"/>
                <w:sz w:val="24"/>
                <w:szCs w:val="32"/>
                <w:highlight w:val="none"/>
              </w:rPr>
              <w:t>保护措施</w:t>
            </w:r>
          </w:p>
          <w:p w14:paraId="17B0CCE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val="en-US" w:eastAsia="zh-CN"/>
              </w:rPr>
              <w:t>临时堆土区、施工便道和施工生产区均避让农田布设；工程穿越农田耕地段时需严格按照占地红线划定作业范围，严禁超范围压占农田，尤其是堤顶临时道路施工时严禁私自拓宽路基，压占农田；施工作业时注意施工区的围挡和临时堆土等粉状物料的遮盖，防止施工扬尘对下风向农田作物的影响</w:t>
            </w:r>
            <w:r>
              <w:rPr>
                <w:rFonts w:hint="default" w:ascii="Times New Roman" w:hAnsi="Times New Roman" w:eastAsia="宋体" w:cs="Times New Roman"/>
                <w:color w:val="auto"/>
                <w:spacing w:val="0"/>
                <w:sz w:val="24"/>
                <w:szCs w:val="32"/>
                <w:highlight w:val="none"/>
              </w:rPr>
              <w:t>水土保持及生态恢复措施</w:t>
            </w:r>
          </w:p>
          <w:p w14:paraId="37EA13C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sz w:val="24"/>
                <w:szCs w:val="32"/>
                <w:highlight w:val="none"/>
                <w:lang w:val="en-US" w:eastAsia="zh-CN"/>
              </w:rPr>
            </w:pPr>
            <w:r>
              <w:rPr>
                <w:rFonts w:hint="default" w:ascii="Times New Roman" w:hAnsi="Times New Roman" w:eastAsia="宋体" w:cs="Times New Roman"/>
                <w:b/>
                <w:bCs/>
                <w:color w:val="auto"/>
                <w:spacing w:val="0"/>
                <w:sz w:val="24"/>
                <w:szCs w:val="32"/>
                <w:highlight w:val="none"/>
                <w:lang w:val="en-US" w:eastAsia="zh-CN"/>
              </w:rPr>
              <w:t>1.7施工期对水土流失的</w:t>
            </w:r>
            <w:r>
              <w:rPr>
                <w:rFonts w:hint="default" w:ascii="Times New Roman" w:hAnsi="Times New Roman" w:eastAsia="宋体" w:cs="Times New Roman"/>
                <w:b/>
                <w:bCs/>
                <w:color w:val="auto"/>
                <w:spacing w:val="0"/>
                <w:sz w:val="24"/>
                <w:szCs w:val="32"/>
                <w:highlight w:val="none"/>
              </w:rPr>
              <w:t>保护措施</w:t>
            </w:r>
          </w:p>
          <w:p w14:paraId="4E10CD4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宋体" w:cs="Times New Roman"/>
                <w:b/>
                <w:bCs/>
                <w:color w:val="auto"/>
                <w:spacing w:val="0"/>
                <w:sz w:val="24"/>
                <w:szCs w:val="32"/>
                <w:highlight w:val="none"/>
              </w:rPr>
            </w:pPr>
            <w:r>
              <w:rPr>
                <w:rFonts w:hint="default" w:ascii="Times New Roman" w:hAnsi="Times New Roman" w:eastAsia="宋体" w:cs="Times New Roman"/>
                <w:b/>
                <w:bCs/>
                <w:color w:val="auto"/>
                <w:spacing w:val="0"/>
                <w:sz w:val="24"/>
                <w:szCs w:val="32"/>
                <w:highlight w:val="none"/>
                <w:lang w:val="en-US" w:eastAsia="zh-CN"/>
              </w:rPr>
              <w:t>（1）</w:t>
            </w:r>
            <w:r>
              <w:rPr>
                <w:rFonts w:hint="default" w:ascii="Times New Roman" w:hAnsi="Times New Roman" w:eastAsia="宋体" w:cs="Times New Roman"/>
                <w:b/>
                <w:bCs/>
                <w:color w:val="auto"/>
                <w:spacing w:val="0"/>
                <w:sz w:val="24"/>
                <w:szCs w:val="32"/>
                <w:highlight w:val="none"/>
              </w:rPr>
              <w:t>工程措施</w:t>
            </w:r>
          </w:p>
          <w:p w14:paraId="3B4C4F3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val="en-US" w:eastAsia="zh-CN"/>
              </w:rPr>
              <w:t>①</w:t>
            </w:r>
            <w:r>
              <w:rPr>
                <w:rFonts w:hint="default" w:ascii="Times New Roman" w:hAnsi="Times New Roman" w:eastAsia="宋体" w:cs="Times New Roman"/>
                <w:color w:val="auto"/>
                <w:spacing w:val="0"/>
                <w:sz w:val="24"/>
                <w:szCs w:val="32"/>
                <w:highlight w:val="none"/>
              </w:rPr>
              <w:t>布设拦挡工程，减少水土流失量，使水土流失得到控制；</w:t>
            </w:r>
          </w:p>
          <w:p w14:paraId="3E02E25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val="en-US" w:eastAsia="zh-CN"/>
              </w:rPr>
              <w:t>②</w:t>
            </w:r>
            <w:r>
              <w:rPr>
                <w:rFonts w:hint="default" w:ascii="Times New Roman" w:hAnsi="Times New Roman" w:eastAsia="宋体" w:cs="Times New Roman"/>
                <w:color w:val="auto"/>
                <w:spacing w:val="0"/>
                <w:sz w:val="24"/>
                <w:szCs w:val="32"/>
                <w:highlight w:val="none"/>
              </w:rPr>
              <w:t>采取排水措施，使水流排泄流畅，减少水力冲刷造成水土流失；</w:t>
            </w:r>
          </w:p>
          <w:p w14:paraId="1C6C6EF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val="en-US" w:eastAsia="zh-CN"/>
              </w:rPr>
              <w:t>③</w:t>
            </w:r>
            <w:r>
              <w:rPr>
                <w:rFonts w:hint="default" w:ascii="Times New Roman" w:hAnsi="Times New Roman" w:eastAsia="宋体" w:cs="Times New Roman"/>
                <w:color w:val="auto"/>
                <w:spacing w:val="0"/>
                <w:sz w:val="24"/>
                <w:szCs w:val="32"/>
                <w:highlight w:val="none"/>
              </w:rPr>
              <w:t>裸露地表得到整治，坡面、坡度、排水设施等满是植被恢复的基本条件；</w:t>
            </w:r>
          </w:p>
          <w:p w14:paraId="70C21E8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宋体" w:cs="Times New Roman"/>
                <w:b/>
                <w:bCs/>
                <w:color w:val="auto"/>
                <w:spacing w:val="0"/>
                <w:sz w:val="24"/>
                <w:szCs w:val="32"/>
                <w:highlight w:val="none"/>
              </w:rPr>
            </w:pPr>
            <w:r>
              <w:rPr>
                <w:rFonts w:hint="default" w:ascii="Times New Roman" w:hAnsi="Times New Roman" w:eastAsia="宋体" w:cs="Times New Roman"/>
                <w:b/>
                <w:bCs/>
                <w:color w:val="auto"/>
                <w:spacing w:val="0"/>
                <w:sz w:val="24"/>
                <w:szCs w:val="32"/>
                <w:highlight w:val="none"/>
                <w:lang w:val="en-US" w:eastAsia="zh-CN"/>
              </w:rPr>
              <w:t>（2）</w:t>
            </w:r>
            <w:r>
              <w:rPr>
                <w:rFonts w:hint="default" w:ascii="Times New Roman" w:hAnsi="Times New Roman" w:eastAsia="宋体" w:cs="Times New Roman"/>
                <w:b/>
                <w:bCs/>
                <w:color w:val="auto"/>
                <w:spacing w:val="0"/>
                <w:sz w:val="24"/>
                <w:szCs w:val="32"/>
                <w:highlight w:val="none"/>
              </w:rPr>
              <w:t>植物措施</w:t>
            </w:r>
          </w:p>
          <w:p w14:paraId="7770D2C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val="en-US" w:eastAsia="zh-CN"/>
              </w:rPr>
              <w:t>①</w:t>
            </w:r>
            <w:r>
              <w:rPr>
                <w:rFonts w:hint="default" w:ascii="Times New Roman" w:hAnsi="Times New Roman" w:eastAsia="宋体" w:cs="Times New Roman"/>
                <w:color w:val="auto"/>
                <w:spacing w:val="0"/>
                <w:sz w:val="24"/>
                <w:szCs w:val="32"/>
                <w:highlight w:val="none"/>
              </w:rPr>
              <w:t>根据立地条件、适地适树（草）的原则，保证植被成活率，减少防治区的水土流失，优先选择乡土草种或者当地已成功使用过的草种。</w:t>
            </w:r>
          </w:p>
          <w:p w14:paraId="7F66C0B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val="en-US" w:eastAsia="zh-CN"/>
              </w:rPr>
              <w:t>②</w:t>
            </w:r>
            <w:r>
              <w:rPr>
                <w:rFonts w:hint="default" w:ascii="Times New Roman" w:hAnsi="Times New Roman" w:eastAsia="宋体" w:cs="Times New Roman"/>
                <w:color w:val="auto"/>
                <w:spacing w:val="0"/>
                <w:sz w:val="24"/>
                <w:szCs w:val="32"/>
                <w:highlight w:val="none"/>
              </w:rPr>
              <w:t>近期和远期效益相结合，防风和古土相结合，既要满是验收标准，又要达到长期防治目的。</w:t>
            </w:r>
          </w:p>
          <w:p w14:paraId="1010CDC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val="en-US" w:eastAsia="zh-CN"/>
              </w:rPr>
              <w:t>③</w:t>
            </w:r>
            <w:r>
              <w:rPr>
                <w:rFonts w:hint="default" w:ascii="Times New Roman" w:hAnsi="Times New Roman" w:eastAsia="宋体" w:cs="Times New Roman"/>
                <w:color w:val="auto"/>
                <w:spacing w:val="0"/>
                <w:sz w:val="24"/>
                <w:szCs w:val="32"/>
                <w:highlight w:val="none"/>
              </w:rPr>
              <w:t>主体工程施工区水土保持措施施工期间注意施工现场植被的保护，工程施工中要减少对原地表的扰动，要避免不必要的破坏，规范施工行为，减少活动场地的数量，特别是要少占地，弃渣及时拉运到，确需堆放的临时弃渣要避开植被良好区。</w:t>
            </w:r>
          </w:p>
          <w:p w14:paraId="27B646F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b/>
                <w:bCs/>
                <w:color w:val="auto"/>
                <w:spacing w:val="0"/>
                <w:sz w:val="24"/>
                <w:szCs w:val="32"/>
                <w:highlight w:val="none"/>
              </w:rPr>
            </w:pPr>
            <w:r>
              <w:rPr>
                <w:rFonts w:hint="default" w:ascii="Times New Roman" w:hAnsi="Times New Roman" w:eastAsia="宋体" w:cs="Times New Roman"/>
                <w:color w:val="auto"/>
                <w:spacing w:val="0"/>
                <w:sz w:val="24"/>
                <w:szCs w:val="32"/>
                <w:highlight w:val="none"/>
              </w:rPr>
              <w:t>施工结束后对施工迹地进行清理，对工程产生的弃渣全部运至已开采废弃取料坑内平整堆放；对难以恢复植被的区域场地平整和机械压实的水土保持措施，该区需要平整压实场地</w:t>
            </w:r>
            <w:r>
              <w:rPr>
                <w:rFonts w:hint="default" w:ascii="Times New Roman" w:hAnsi="Times New Roman" w:eastAsia="宋体" w:cs="Times New Roman"/>
                <w:color w:val="auto"/>
                <w:spacing w:val="0"/>
                <w:sz w:val="24"/>
                <w:szCs w:val="32"/>
                <w:highlight w:val="none"/>
                <w:lang w:val="en-US" w:eastAsia="zh-CN"/>
              </w:rPr>
              <w:t>3.21</w:t>
            </w:r>
            <w:r>
              <w:rPr>
                <w:rFonts w:hint="default" w:ascii="Times New Roman" w:hAnsi="Times New Roman" w:eastAsia="宋体" w:cs="Times New Roman"/>
                <w:color w:val="auto"/>
                <w:spacing w:val="0"/>
                <w:kern w:val="0"/>
                <w:position w:val="0"/>
                <w:sz w:val="24"/>
                <w:szCs w:val="24"/>
                <w:highlight w:val="none"/>
                <w:lang w:val="en-US" w:eastAsia="zh-CN" w:bidi="ar"/>
              </w:rPr>
              <w:t>hm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
              </w:rPr>
              <w:t>2</w:t>
            </w:r>
            <w:r>
              <w:rPr>
                <w:rFonts w:hint="default" w:ascii="Times New Roman" w:hAnsi="Times New Roman" w:eastAsia="宋体" w:cs="Times New Roman"/>
                <w:color w:val="auto"/>
                <w:spacing w:val="0"/>
                <w:sz w:val="24"/>
                <w:szCs w:val="32"/>
                <w:highlight w:val="none"/>
              </w:rPr>
              <w:t>，对防洪堤两侧及护坡工程占地范围内可恢复植被的扰动区域进行平整后进行植被恢复，植草采用</w:t>
            </w:r>
            <w:r>
              <w:rPr>
                <w:rFonts w:hint="default" w:ascii="Times New Roman" w:hAnsi="Times New Roman" w:eastAsia="宋体" w:cs="Times New Roman"/>
                <w:color w:val="0000FF"/>
                <w:spacing w:val="0"/>
                <w:sz w:val="24"/>
                <w:szCs w:val="32"/>
                <w:highlight w:val="none"/>
              </w:rPr>
              <w:t>撒播草种选择针茅、芨芨草当地适生耐旱草种</w:t>
            </w:r>
            <w:r>
              <w:rPr>
                <w:rFonts w:hint="default" w:ascii="Times New Roman" w:hAnsi="Times New Roman" w:eastAsia="宋体" w:cs="Times New Roman"/>
                <w:color w:val="auto"/>
                <w:spacing w:val="0"/>
                <w:sz w:val="24"/>
                <w:szCs w:val="32"/>
                <w:highlight w:val="none"/>
              </w:rPr>
              <w:t>，撒播后采取拉水灌溉，以提高植被成活率，成活后不在进行灌溉，任其自然生长</w:t>
            </w:r>
          </w:p>
          <w:p w14:paraId="331F600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FF"/>
                <w:spacing w:val="0"/>
                <w:sz w:val="24"/>
                <w:szCs w:val="32"/>
                <w:highlight w:val="none"/>
              </w:rPr>
            </w:pPr>
            <w:r>
              <w:rPr>
                <w:rFonts w:hint="default" w:ascii="Times New Roman" w:hAnsi="Times New Roman" w:eastAsia="宋体" w:cs="Times New Roman"/>
                <w:b/>
                <w:bCs/>
                <w:color w:val="0000FF"/>
                <w:spacing w:val="0"/>
                <w:sz w:val="24"/>
                <w:szCs w:val="32"/>
                <w:highlight w:val="none"/>
                <w:lang w:val="en-US" w:eastAsia="zh-CN"/>
              </w:rPr>
              <w:t>1.8</w:t>
            </w:r>
            <w:r>
              <w:rPr>
                <w:rFonts w:hint="default" w:ascii="Times New Roman" w:hAnsi="Times New Roman" w:eastAsia="宋体" w:cs="Times New Roman"/>
                <w:b/>
                <w:bCs/>
                <w:color w:val="0000FF"/>
                <w:spacing w:val="0"/>
                <w:sz w:val="24"/>
                <w:szCs w:val="32"/>
                <w:highlight w:val="none"/>
              </w:rPr>
              <w:t>施工期沙化防治措施</w:t>
            </w:r>
          </w:p>
          <w:p w14:paraId="4A01795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0000FF"/>
                <w:spacing w:val="0"/>
                <w:sz w:val="24"/>
                <w:szCs w:val="32"/>
                <w:highlight w:val="none"/>
              </w:rPr>
            </w:pPr>
            <w:r>
              <w:rPr>
                <w:rFonts w:hint="default" w:ascii="Times New Roman" w:hAnsi="Times New Roman" w:eastAsia="宋体" w:cs="Times New Roman"/>
                <w:color w:val="0000FF"/>
                <w:spacing w:val="0"/>
                <w:sz w:val="24"/>
                <w:szCs w:val="32"/>
                <w:highlight w:val="none"/>
              </w:rPr>
              <w:t>本项目所在区域属于易发生土地沙化地区，根据《关于做好沙区开发建设项目环评中防沙治沙内容评价工作的意见》（林沙发[2013]136号）、《关于加强沙区建设项目环境影响评价工作的通知》（新环环评发[2020]138号）、《防沙治沙技术规范》（GB/T21141-2007）等要求，本次环评建议建设单位积极开展治理及预防土地沙化工作，提出以下措施：</w:t>
            </w:r>
          </w:p>
          <w:p w14:paraId="40516B2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0000FF"/>
                <w:spacing w:val="0"/>
                <w:sz w:val="24"/>
                <w:szCs w:val="32"/>
                <w:highlight w:val="none"/>
              </w:rPr>
            </w:pPr>
            <w:r>
              <w:rPr>
                <w:rFonts w:hint="default" w:ascii="Times New Roman" w:hAnsi="Times New Roman" w:eastAsia="宋体" w:cs="Times New Roman"/>
                <w:color w:val="0000FF"/>
                <w:spacing w:val="0"/>
                <w:sz w:val="24"/>
                <w:szCs w:val="32"/>
                <w:highlight w:val="none"/>
              </w:rPr>
              <w:t>①施工土方可利用料用于堤身回填、场地平整，严禁随意堆置；多余土方、施工过程产生的临时弃土运至</w:t>
            </w:r>
            <w:r>
              <w:rPr>
                <w:rFonts w:hint="eastAsia" w:cs="Times New Roman"/>
                <w:color w:val="0000FF"/>
                <w:spacing w:val="0"/>
                <w:sz w:val="24"/>
                <w:szCs w:val="32"/>
                <w:highlight w:val="none"/>
                <w:lang w:val="en-US" w:eastAsia="zh-CN"/>
              </w:rPr>
              <w:t>弃土区，</w:t>
            </w:r>
            <w:r>
              <w:rPr>
                <w:rFonts w:hint="eastAsia" w:ascii="宋体" w:hAnsi="宋体" w:eastAsia="宋体" w:cs="宋体"/>
                <w:color w:val="0000FF"/>
                <w:spacing w:val="0"/>
                <w:kern w:val="0"/>
                <w:position w:val="0"/>
                <w:sz w:val="24"/>
                <w:szCs w:val="24"/>
                <w:highlight w:val="none"/>
                <w:lang w:val="en-US" w:eastAsia="zh-CN" w:bidi="ar"/>
              </w:rPr>
              <w:t>弃渣场全部位于堤防后裁弯取直区域，位于堤防的背水侧，迎水面为本次工程新建的堤防，</w:t>
            </w:r>
            <w:r>
              <w:rPr>
                <w:rFonts w:hint="eastAsia" w:ascii="宋体" w:hAnsi="宋体" w:cs="宋体"/>
                <w:color w:val="0000FF"/>
                <w:spacing w:val="0"/>
                <w:kern w:val="0"/>
                <w:position w:val="0"/>
                <w:sz w:val="24"/>
                <w:szCs w:val="24"/>
                <w:highlight w:val="none"/>
                <w:lang w:val="en-US" w:eastAsia="zh-CN" w:bidi="ar"/>
              </w:rPr>
              <w:t>2</w:t>
            </w:r>
            <w:r>
              <w:rPr>
                <w:rFonts w:hint="eastAsia" w:ascii="宋体" w:hAnsi="宋体" w:eastAsia="宋体" w:cs="宋体"/>
                <w:color w:val="0000FF"/>
                <w:spacing w:val="0"/>
                <w:kern w:val="0"/>
                <w:position w:val="0"/>
                <w:sz w:val="24"/>
                <w:szCs w:val="24"/>
                <w:highlight w:val="none"/>
                <w:lang w:val="en-US" w:eastAsia="zh-CN" w:bidi="ar"/>
              </w:rPr>
              <w:t>处弃渣场堆高约3.0m，基本与原地面一致，堆放边坡比为1:1.5。填埋后仍有余量的土方在工程结束后将多余土方用于坝后填土来加宽堤顶，以稳固堤身</w:t>
            </w:r>
            <w:r>
              <w:rPr>
                <w:rFonts w:hint="eastAsia" w:ascii="宋体" w:hAnsi="宋体" w:eastAsia="宋体" w:cs="宋体"/>
                <w:color w:val="0000FF"/>
                <w:spacing w:val="0"/>
                <w:position w:val="0"/>
                <w:sz w:val="24"/>
                <w:szCs w:val="24"/>
                <w:highlight w:val="none"/>
              </w:rPr>
              <w:t>。</w:t>
            </w:r>
            <w:r>
              <w:rPr>
                <w:rFonts w:hint="default" w:ascii="Times New Roman" w:hAnsi="Times New Roman" w:eastAsia="宋体" w:cs="Times New Roman"/>
                <w:color w:val="0000FF"/>
                <w:spacing w:val="0"/>
                <w:sz w:val="24"/>
                <w:szCs w:val="32"/>
                <w:highlight w:val="none"/>
              </w:rPr>
              <w:t>临时堆料场施工完毕后进行土地平整压实，在大风天气采用塑料膜遮盖临时堆放土方，施工完成后及时进行临时占地绿化恢复；</w:t>
            </w:r>
          </w:p>
          <w:p w14:paraId="5E429FB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0000FF"/>
                <w:spacing w:val="0"/>
                <w:sz w:val="24"/>
                <w:szCs w:val="32"/>
                <w:highlight w:val="none"/>
              </w:rPr>
            </w:pPr>
            <w:r>
              <w:rPr>
                <w:rFonts w:hint="default" w:ascii="Times New Roman" w:hAnsi="Times New Roman" w:eastAsia="宋体" w:cs="Times New Roman"/>
                <w:color w:val="0000FF"/>
                <w:spacing w:val="0"/>
                <w:sz w:val="24"/>
                <w:szCs w:val="32"/>
                <w:highlight w:val="none"/>
              </w:rPr>
              <w:t>②开挖土方堆存过程中使用防尘网，并定期洒水抑尘；</w:t>
            </w:r>
          </w:p>
          <w:p w14:paraId="35652E4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0000FF"/>
                <w:spacing w:val="0"/>
                <w:sz w:val="24"/>
                <w:szCs w:val="32"/>
                <w:highlight w:val="none"/>
              </w:rPr>
            </w:pPr>
            <w:r>
              <w:rPr>
                <w:rFonts w:hint="default" w:ascii="Times New Roman" w:hAnsi="Times New Roman" w:eastAsia="宋体" w:cs="Times New Roman"/>
                <w:color w:val="0000FF"/>
                <w:spacing w:val="0"/>
                <w:sz w:val="24"/>
                <w:szCs w:val="32"/>
                <w:highlight w:val="none"/>
              </w:rPr>
              <w:t>③项目区场地内进行严格的整治，对局部高差较大处，由铲运机铲运土方回填，开挖及回填时应保证地面相对平整；</w:t>
            </w:r>
          </w:p>
          <w:p w14:paraId="2323FC6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0000FF"/>
                <w:spacing w:val="0"/>
                <w:sz w:val="24"/>
                <w:szCs w:val="32"/>
                <w:highlight w:val="none"/>
              </w:rPr>
              <w:t>④施工结束后尽快进行迹地恢复复垦，复垦物种要求为本地物种、不得引进外来物种，对永久占地按照占补平衡要求、落实“占多少补多少”，工程完成后对临时占地区域及时按照《土地复垦条例》（国务院令第592号）要求进行土地复垦，及时复垦、平整，恢复地面植被，经过清理、整治，可恢复其原有功能，撒播草种选择针茅、芨芨草等当地适生耐旱草种，为有助于治沙植被，预防项目附近土地沙化现象产生。</w:t>
            </w:r>
          </w:p>
          <w:p w14:paraId="111CD3C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sz w:val="24"/>
                <w:szCs w:val="32"/>
                <w:highlight w:val="none"/>
              </w:rPr>
            </w:pPr>
            <w:r>
              <w:rPr>
                <w:rFonts w:hint="default" w:ascii="Times New Roman" w:hAnsi="Times New Roman" w:eastAsia="宋体" w:cs="Times New Roman"/>
                <w:b/>
                <w:bCs/>
                <w:color w:val="auto"/>
                <w:spacing w:val="0"/>
                <w:sz w:val="24"/>
                <w:szCs w:val="32"/>
                <w:highlight w:val="none"/>
                <w:lang w:val="en-US" w:eastAsia="zh-CN"/>
              </w:rPr>
              <w:t>1.9</w:t>
            </w:r>
            <w:r>
              <w:rPr>
                <w:rFonts w:hint="default" w:ascii="Times New Roman" w:hAnsi="Times New Roman" w:eastAsia="宋体" w:cs="Times New Roman"/>
                <w:b/>
                <w:bCs/>
                <w:color w:val="auto"/>
                <w:spacing w:val="0"/>
                <w:sz w:val="24"/>
                <w:szCs w:val="32"/>
                <w:highlight w:val="none"/>
              </w:rPr>
              <w:t>宣传教育措施</w:t>
            </w:r>
          </w:p>
          <w:p w14:paraId="761DF98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加强宣传教育，在施工开始前，开展禁止随意破坏植被和猎捕野生动物，自觉保护好评价区内的各种动物、植物和自然景观的学习。</w:t>
            </w:r>
          </w:p>
          <w:p w14:paraId="53095F1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在工地及周边设立爱护动物和自然植被的宣传牌；对项目工作人员和施工人员开展生态保护措施方面的短期培训工作，通过培训详细介绍如何最大限度减少自然植被的丧失；如何及时开展植被恢复；以及施工作业中对于环境保护的一些注意事项等。</w:t>
            </w:r>
          </w:p>
          <w:p w14:paraId="6F2473D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sz w:val="24"/>
                <w:szCs w:val="32"/>
                <w:highlight w:val="none"/>
              </w:rPr>
            </w:pPr>
            <w:r>
              <w:rPr>
                <w:rFonts w:hint="default" w:ascii="Times New Roman" w:hAnsi="Times New Roman" w:eastAsia="宋体" w:cs="Times New Roman"/>
                <w:b/>
                <w:bCs/>
                <w:color w:val="auto"/>
                <w:spacing w:val="0"/>
                <w:sz w:val="24"/>
                <w:szCs w:val="32"/>
                <w:highlight w:val="none"/>
              </w:rPr>
              <w:t>2</w:t>
            </w:r>
            <w:r>
              <w:rPr>
                <w:rFonts w:hint="default" w:ascii="Times New Roman" w:hAnsi="Times New Roman" w:eastAsia="宋体" w:cs="Times New Roman"/>
                <w:b/>
                <w:bCs/>
                <w:color w:val="auto"/>
                <w:spacing w:val="0"/>
                <w:sz w:val="24"/>
                <w:szCs w:val="32"/>
                <w:highlight w:val="none"/>
                <w:lang w:val="en-US" w:eastAsia="zh-CN"/>
              </w:rPr>
              <w:t>.</w:t>
            </w:r>
            <w:r>
              <w:rPr>
                <w:rFonts w:hint="default" w:ascii="Times New Roman" w:hAnsi="Times New Roman" w:eastAsia="宋体" w:cs="Times New Roman"/>
                <w:b/>
                <w:bCs/>
                <w:color w:val="auto"/>
                <w:spacing w:val="0"/>
                <w:sz w:val="24"/>
                <w:szCs w:val="32"/>
                <w:highlight w:val="none"/>
              </w:rPr>
              <w:t>施工期大气环境保护措施</w:t>
            </w:r>
          </w:p>
          <w:p w14:paraId="2E702E2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为使本工程在施工期间扬尘对周围环境空气的影响降到最低程度，在施工过程中要求采取以下防治措施：</w:t>
            </w:r>
          </w:p>
          <w:p w14:paraId="5FAC562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sz w:val="24"/>
                <w:szCs w:val="32"/>
                <w:highlight w:val="none"/>
                <w:lang w:val="en-US" w:eastAsia="zh-CN"/>
              </w:rPr>
            </w:pPr>
            <w:r>
              <w:rPr>
                <w:rFonts w:hint="default" w:ascii="Times New Roman" w:hAnsi="Times New Roman" w:eastAsia="宋体" w:cs="Times New Roman"/>
                <w:b/>
                <w:bCs/>
                <w:color w:val="auto"/>
                <w:spacing w:val="0"/>
                <w:sz w:val="24"/>
                <w:szCs w:val="32"/>
                <w:highlight w:val="none"/>
                <w:lang w:val="en-US" w:eastAsia="zh-CN"/>
              </w:rPr>
              <w:t>2.1扬尘</w:t>
            </w:r>
          </w:p>
          <w:p w14:paraId="3F6B750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eastAsia="zh-CN"/>
              </w:rPr>
              <w:t>（</w:t>
            </w:r>
            <w:r>
              <w:rPr>
                <w:rFonts w:hint="default" w:ascii="Times New Roman" w:hAnsi="Times New Roman" w:eastAsia="宋体" w:cs="Times New Roman"/>
                <w:color w:val="auto"/>
                <w:spacing w:val="0"/>
                <w:sz w:val="24"/>
                <w:szCs w:val="32"/>
                <w:highlight w:val="none"/>
                <w:lang w:val="en-US" w:eastAsia="zh-CN"/>
              </w:rPr>
              <w:t>1</w:t>
            </w:r>
            <w:r>
              <w:rPr>
                <w:rFonts w:hint="default" w:ascii="Times New Roman" w:hAnsi="Times New Roman" w:eastAsia="宋体" w:cs="Times New Roman"/>
                <w:color w:val="auto"/>
                <w:spacing w:val="0"/>
                <w:sz w:val="24"/>
                <w:szCs w:val="32"/>
                <w:highlight w:val="none"/>
                <w:lang w:eastAsia="zh-CN"/>
              </w:rPr>
              <w:t>）</w:t>
            </w:r>
            <w:r>
              <w:rPr>
                <w:rFonts w:hint="default" w:ascii="Times New Roman" w:hAnsi="Times New Roman" w:eastAsia="宋体" w:cs="Times New Roman"/>
                <w:color w:val="auto"/>
                <w:spacing w:val="0"/>
                <w:sz w:val="24"/>
                <w:szCs w:val="32"/>
                <w:highlight w:val="none"/>
              </w:rPr>
              <w:t>洒水抑尘运输车辆实施密闭运输，不准带泥上路，严禁抛洒甩漏，并在规定时间、规定线路行驶，施工场地应定时洒水抑尘；土方作业时，采取洒水压尘措施，缩短起尘操作时间；气象预报风速达到5级以上时，未采取防尘措施的，不进行土方回填、转运以及其他可能产生扬尘污染的施工作业。清扫前应当进行洒水、</w:t>
            </w:r>
            <w:r>
              <w:rPr>
                <w:rFonts w:hint="default" w:ascii="Times New Roman" w:hAnsi="Times New Roman" w:eastAsia="宋体" w:cs="Times New Roman"/>
                <w:color w:val="auto"/>
                <w:spacing w:val="0"/>
                <w:sz w:val="24"/>
                <w:szCs w:val="32"/>
                <w:highlight w:val="none"/>
                <w:lang w:val="en-US" w:eastAsia="zh-CN"/>
              </w:rPr>
              <w:t>配备移动式雾炮，对土石方开挖等粉尘产生量大的施工工序采取喷雾抑尘措施，降低施工期粉尘污染</w:t>
            </w:r>
            <w:r>
              <w:rPr>
                <w:rFonts w:hint="default" w:ascii="Times New Roman" w:hAnsi="Times New Roman" w:cs="Times New Roman"/>
                <w:color w:val="auto"/>
                <w:spacing w:val="0"/>
                <w:sz w:val="24"/>
                <w:szCs w:val="32"/>
                <w:highlight w:val="none"/>
                <w:lang w:val="en-US" w:eastAsia="zh-CN"/>
              </w:rPr>
              <w:t>。</w:t>
            </w:r>
            <w:r>
              <w:rPr>
                <w:rFonts w:hint="default" w:ascii="Times New Roman" w:hAnsi="Times New Roman" w:eastAsia="宋体" w:cs="Times New Roman"/>
                <w:color w:val="auto"/>
                <w:spacing w:val="0"/>
                <w:sz w:val="24"/>
                <w:szCs w:val="32"/>
                <w:highlight w:val="none"/>
              </w:rPr>
              <w:t>，每日不少于2次。</w:t>
            </w:r>
          </w:p>
          <w:p w14:paraId="45BCE99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w:t>
            </w:r>
            <w:r>
              <w:rPr>
                <w:rFonts w:hint="default" w:ascii="Times New Roman" w:hAnsi="Times New Roman" w:eastAsia="宋体" w:cs="Times New Roman"/>
                <w:color w:val="auto"/>
                <w:spacing w:val="0"/>
                <w:sz w:val="24"/>
                <w:szCs w:val="32"/>
                <w:highlight w:val="none"/>
                <w:lang w:val="en-US" w:eastAsia="zh-CN"/>
              </w:rPr>
              <w:t>2</w:t>
            </w:r>
            <w:r>
              <w:rPr>
                <w:rFonts w:hint="default" w:ascii="Times New Roman" w:hAnsi="Times New Roman" w:eastAsia="宋体" w:cs="Times New Roman"/>
                <w:color w:val="auto"/>
                <w:spacing w:val="0"/>
                <w:sz w:val="24"/>
                <w:szCs w:val="32"/>
                <w:highlight w:val="none"/>
              </w:rPr>
              <w:t>）限制车速施工车辆在进出施工场地后，减速行驶以减少施工场地扬尘，行驶车速不大于5km/h。</w:t>
            </w:r>
          </w:p>
          <w:p w14:paraId="4BDB31B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w:t>
            </w:r>
            <w:r>
              <w:rPr>
                <w:rFonts w:hint="default" w:ascii="Times New Roman" w:hAnsi="Times New Roman" w:eastAsia="宋体" w:cs="Times New Roman"/>
                <w:color w:val="auto"/>
                <w:spacing w:val="0"/>
                <w:sz w:val="24"/>
                <w:szCs w:val="32"/>
                <w:highlight w:val="none"/>
                <w:lang w:val="en-US" w:eastAsia="zh-CN"/>
              </w:rPr>
              <w:t>3</w:t>
            </w:r>
            <w:r>
              <w:rPr>
                <w:rFonts w:hint="default" w:ascii="Times New Roman" w:hAnsi="Times New Roman" w:eastAsia="宋体" w:cs="Times New Roman"/>
                <w:color w:val="auto"/>
                <w:spacing w:val="0"/>
                <w:sz w:val="24"/>
                <w:szCs w:val="32"/>
                <w:highlight w:val="none"/>
              </w:rPr>
              <w:t>）运输遮盖及清洁运输车辆在运输土方、沙子、砂石等微粒径材料时要进行严格的遮盖才能上路，避免途中泄漏扬尘扩散；同时运输车辆从施工路段进入主干路时要适当对车辆进行清洁，在除泥、冲洗干净后，方驶出施工路段。</w:t>
            </w:r>
          </w:p>
          <w:p w14:paraId="277C6DF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sz w:val="24"/>
                <w:szCs w:val="32"/>
                <w:highlight w:val="none"/>
              </w:rPr>
            </w:pPr>
            <w:r>
              <w:rPr>
                <w:rFonts w:hint="default" w:ascii="Times New Roman" w:hAnsi="Times New Roman" w:eastAsia="宋体" w:cs="Times New Roman"/>
                <w:b/>
                <w:bCs/>
                <w:color w:val="auto"/>
                <w:spacing w:val="0"/>
                <w:sz w:val="24"/>
                <w:szCs w:val="32"/>
                <w:highlight w:val="none"/>
                <w:lang w:val="en-US" w:eastAsia="zh-CN"/>
              </w:rPr>
              <w:t>2.2</w:t>
            </w:r>
            <w:r>
              <w:rPr>
                <w:rFonts w:hint="default" w:ascii="Times New Roman" w:hAnsi="Times New Roman" w:eastAsia="宋体" w:cs="Times New Roman"/>
                <w:b/>
                <w:bCs/>
                <w:color w:val="auto"/>
                <w:spacing w:val="0"/>
                <w:sz w:val="24"/>
                <w:szCs w:val="32"/>
                <w:highlight w:val="none"/>
              </w:rPr>
              <w:t>施工机械燃油废气</w:t>
            </w:r>
          </w:p>
          <w:p w14:paraId="718A654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eastAsia="zh-CN"/>
              </w:rPr>
              <w:t>（</w:t>
            </w:r>
            <w:r>
              <w:rPr>
                <w:rFonts w:hint="default" w:ascii="Times New Roman" w:hAnsi="Times New Roman" w:eastAsia="宋体" w:cs="Times New Roman"/>
                <w:color w:val="auto"/>
                <w:spacing w:val="0"/>
                <w:sz w:val="24"/>
                <w:szCs w:val="32"/>
                <w:highlight w:val="none"/>
                <w:lang w:val="en-US" w:eastAsia="zh-CN"/>
              </w:rPr>
              <w:t>1</w:t>
            </w:r>
            <w:r>
              <w:rPr>
                <w:rFonts w:hint="default" w:ascii="Times New Roman" w:hAnsi="Times New Roman" w:eastAsia="宋体" w:cs="Times New Roman"/>
                <w:color w:val="auto"/>
                <w:spacing w:val="0"/>
                <w:sz w:val="24"/>
                <w:szCs w:val="32"/>
                <w:highlight w:val="none"/>
                <w:lang w:eastAsia="zh-CN"/>
              </w:rPr>
              <w:t>）</w:t>
            </w:r>
            <w:r>
              <w:rPr>
                <w:rFonts w:hint="default" w:ascii="Times New Roman" w:hAnsi="Times New Roman" w:eastAsia="宋体" w:cs="Times New Roman"/>
                <w:color w:val="auto"/>
                <w:spacing w:val="0"/>
                <w:sz w:val="24"/>
                <w:szCs w:val="32"/>
                <w:highlight w:val="none"/>
              </w:rPr>
              <w:t>施工机械废气加强大型施工机械和车辆的管理，执行定期检查维护制度，施工机械使用优质燃料，定期对燃油机械、尾气净化器、消烟除尘等设备进行检查与维护；运输车辆要统一调度，避免出现拥挤，尽可能正常装载和行驶，以免在交通不畅通的情况下，排出更多的尾气</w:t>
            </w:r>
          </w:p>
          <w:p w14:paraId="3B33DA3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lang w:eastAsia="zh-CN"/>
              </w:rPr>
              <w:t>（</w:t>
            </w:r>
            <w:r>
              <w:rPr>
                <w:rFonts w:hint="default" w:ascii="Times New Roman" w:hAnsi="Times New Roman" w:eastAsia="宋体" w:cs="Times New Roman"/>
                <w:color w:val="auto"/>
                <w:spacing w:val="0"/>
                <w:sz w:val="24"/>
                <w:szCs w:val="32"/>
                <w:highlight w:val="none"/>
                <w:lang w:val="en-US" w:eastAsia="zh-CN"/>
              </w:rPr>
              <w:t>2</w:t>
            </w:r>
            <w:r>
              <w:rPr>
                <w:rFonts w:hint="default" w:ascii="Times New Roman" w:hAnsi="Times New Roman" w:eastAsia="宋体" w:cs="Times New Roman"/>
                <w:color w:val="auto"/>
                <w:spacing w:val="0"/>
                <w:sz w:val="24"/>
                <w:szCs w:val="32"/>
                <w:highlight w:val="none"/>
                <w:lang w:eastAsia="zh-CN"/>
              </w:rPr>
              <w:t>）</w:t>
            </w:r>
            <w:r>
              <w:rPr>
                <w:rFonts w:hint="default" w:ascii="Times New Roman" w:hAnsi="Times New Roman" w:eastAsia="宋体" w:cs="Times New Roman"/>
                <w:color w:val="auto"/>
                <w:spacing w:val="0"/>
                <w:sz w:val="24"/>
                <w:szCs w:val="32"/>
                <w:highlight w:val="none"/>
              </w:rPr>
              <w:t>加强施工机械管理，科学安排其运行时间，严格按照施工时间作业，不允许超时间和任意扩大施工路线。选用低能耗、低污染排放的施工机械车辆；加强机械、车辆的维护和管理，降低施工机械尾气排放量，施工机械尾气满足《大气污染物综合排放标准》（GB16297-1996）中二级标准。</w:t>
            </w:r>
          </w:p>
          <w:p w14:paraId="466515A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w:t>
            </w:r>
            <w:r>
              <w:rPr>
                <w:rFonts w:hint="default" w:ascii="Times New Roman" w:hAnsi="Times New Roman" w:eastAsia="宋体" w:cs="Times New Roman"/>
                <w:color w:val="auto"/>
                <w:spacing w:val="0"/>
                <w:sz w:val="24"/>
                <w:szCs w:val="32"/>
                <w:highlight w:val="none"/>
                <w:lang w:val="en-US" w:eastAsia="zh-CN"/>
              </w:rPr>
              <w:t>3</w:t>
            </w:r>
            <w:r>
              <w:rPr>
                <w:rFonts w:hint="default" w:ascii="Times New Roman" w:hAnsi="Times New Roman" w:eastAsia="宋体" w:cs="Times New Roman"/>
                <w:color w:val="auto"/>
                <w:spacing w:val="0"/>
                <w:sz w:val="24"/>
                <w:szCs w:val="32"/>
                <w:highlight w:val="none"/>
              </w:rPr>
              <w:t>）优化施工方案根据实际施工情况，合理调整，不断优化施工，缩短工期，减少汽车出车频次，减少柴油发电耗能及排放。通过采取以上措施，本项目产生的污染物对大气环境</w:t>
            </w:r>
            <w:r>
              <w:rPr>
                <w:rFonts w:hint="default" w:ascii="Times New Roman" w:hAnsi="Times New Roman" w:eastAsia="宋体" w:cs="Times New Roman"/>
                <w:color w:val="auto"/>
                <w:spacing w:val="0"/>
                <w:sz w:val="24"/>
                <w:szCs w:val="32"/>
                <w:highlight w:val="none"/>
                <w:lang w:eastAsia="zh-CN"/>
              </w:rPr>
              <w:t>影响程度较小</w:t>
            </w:r>
            <w:r>
              <w:rPr>
                <w:rFonts w:hint="default" w:ascii="Times New Roman" w:hAnsi="Times New Roman" w:eastAsia="宋体" w:cs="Times New Roman"/>
                <w:color w:val="auto"/>
                <w:spacing w:val="0"/>
                <w:sz w:val="24"/>
                <w:szCs w:val="32"/>
                <w:highlight w:val="none"/>
              </w:rPr>
              <w:t>。</w:t>
            </w:r>
          </w:p>
          <w:p w14:paraId="7692480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sz w:val="24"/>
                <w:szCs w:val="32"/>
                <w:highlight w:val="none"/>
              </w:rPr>
            </w:pPr>
            <w:r>
              <w:rPr>
                <w:rFonts w:hint="default" w:ascii="Times New Roman" w:hAnsi="Times New Roman" w:eastAsia="宋体" w:cs="Times New Roman"/>
                <w:b/>
                <w:bCs/>
                <w:color w:val="auto"/>
                <w:spacing w:val="0"/>
                <w:sz w:val="24"/>
                <w:szCs w:val="32"/>
                <w:highlight w:val="none"/>
              </w:rPr>
              <w:t>3</w:t>
            </w:r>
            <w:r>
              <w:rPr>
                <w:rFonts w:hint="default" w:ascii="Times New Roman" w:hAnsi="Times New Roman" w:eastAsia="宋体" w:cs="Times New Roman"/>
                <w:b/>
                <w:bCs/>
                <w:color w:val="auto"/>
                <w:spacing w:val="0"/>
                <w:sz w:val="24"/>
                <w:szCs w:val="32"/>
                <w:highlight w:val="none"/>
                <w:lang w:val="en-US" w:eastAsia="zh-CN"/>
              </w:rPr>
              <w:t>.</w:t>
            </w:r>
            <w:r>
              <w:rPr>
                <w:rFonts w:hint="default" w:ascii="Times New Roman" w:hAnsi="Times New Roman" w:eastAsia="宋体" w:cs="Times New Roman"/>
                <w:b/>
                <w:bCs/>
                <w:color w:val="auto"/>
                <w:spacing w:val="0"/>
                <w:sz w:val="24"/>
                <w:szCs w:val="32"/>
                <w:highlight w:val="none"/>
              </w:rPr>
              <w:t>水环境保护措施</w:t>
            </w:r>
          </w:p>
          <w:p w14:paraId="585C4F4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1）混凝土养护生产废水治理措施本项目混凝土采用商业混凝土，不在项目区现拌混凝土，混凝土在养护过程中，会产生一定碱性废水，要求建设单位控制养护用水量，减少养护水的排放，禁止养护水过多产生径流，草席使用结束后自然晾干，用于下一工程混凝土养护，不外排，由于养护水分散排放，不会对水环境产生不利影响；</w:t>
            </w:r>
          </w:p>
          <w:p w14:paraId="4EE81D1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（2）施工期加强环境管理，对施工人员进行环保宣传教育，严禁向地表水体排放任何废水，保护地表水体水质；</w:t>
            </w:r>
          </w:p>
          <w:p w14:paraId="58FE029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（3）此外，应做好建筑材料和建筑废料的管理，防止成为水环境的二次污染源。在严格执行上述措施后，本项目对周边水影响很小。</w:t>
            </w:r>
          </w:p>
          <w:p w14:paraId="6403130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sz w:val="24"/>
                <w:szCs w:val="32"/>
                <w:highlight w:val="none"/>
              </w:rPr>
            </w:pPr>
            <w:r>
              <w:rPr>
                <w:rFonts w:hint="default" w:ascii="Times New Roman" w:hAnsi="Times New Roman" w:eastAsia="宋体" w:cs="Times New Roman"/>
                <w:b/>
                <w:bCs/>
                <w:color w:val="auto"/>
                <w:spacing w:val="0"/>
                <w:sz w:val="24"/>
                <w:szCs w:val="32"/>
                <w:highlight w:val="none"/>
              </w:rPr>
              <w:t>4</w:t>
            </w:r>
            <w:r>
              <w:rPr>
                <w:rFonts w:hint="default" w:ascii="Times New Roman" w:hAnsi="Times New Roman" w:eastAsia="宋体" w:cs="Times New Roman"/>
                <w:b/>
                <w:bCs/>
                <w:color w:val="auto"/>
                <w:spacing w:val="0"/>
                <w:sz w:val="24"/>
                <w:szCs w:val="32"/>
                <w:highlight w:val="none"/>
                <w:lang w:val="en-US" w:eastAsia="zh-CN"/>
              </w:rPr>
              <w:t>.</w:t>
            </w:r>
            <w:r>
              <w:rPr>
                <w:rFonts w:hint="default" w:ascii="Times New Roman" w:hAnsi="Times New Roman" w:eastAsia="宋体" w:cs="Times New Roman"/>
                <w:b/>
                <w:bCs/>
                <w:color w:val="auto"/>
                <w:spacing w:val="0"/>
                <w:sz w:val="24"/>
                <w:szCs w:val="32"/>
                <w:highlight w:val="none"/>
              </w:rPr>
              <w:t>施工期噪声防治措施</w:t>
            </w:r>
          </w:p>
          <w:p w14:paraId="495AD59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为减少施工区噪声对环境的影响，主要从噪声源、传播途途径、接受者这三个环节进行防治。</w:t>
            </w:r>
          </w:p>
          <w:p w14:paraId="0CC492E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（1）噪声源控制方面</w:t>
            </w:r>
          </w:p>
          <w:p w14:paraId="1767BC9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①采用符合环保要求的机械设备，加强设备维护保养，保持设备润滑，减少运行噪声，选用低噪声的施工机械和施工方式，加强对作业机械及运输车辆的维修保养，保持机械润滑，降低其辐射声级，夜间应减少施工车流量，设立标示牌，限制施工区内车辆时速在20km以内，严格控制车辆鸣笛，限制车辆等噪声污染；</w:t>
            </w:r>
          </w:p>
          <w:p w14:paraId="6CB0263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②合理安排高噪声施工机械的使用时间，减少夜间施工；</w:t>
            </w:r>
          </w:p>
          <w:p w14:paraId="0D5A4A0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③尽量选用低噪声车辆，加强车辆维修养护，汽车运输控制超载、限速和禁止鸣放高音喇叭，重型运输车辆应安装消声器，加强场内施工道路养护，特别是应保持碎石路面的施工道路路面平整。</w:t>
            </w:r>
          </w:p>
          <w:p w14:paraId="466BBCD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（2）噪声传播途径控制合理布置办公区位置，将噪声大的设备与办公区分开。</w:t>
            </w:r>
          </w:p>
          <w:p w14:paraId="11432E6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3）施工人员个体防护加强劳动保护，改善施工人员作业条件，对出生产第一线高噪声环境下的施工人员，每天连续工作时间不超过6h，给受噪声影响大的施工作业人员配发噪声防护用具，常用的个人防声用具有耳塞、防声棉、耳罩和头盔等。</w:t>
            </w:r>
          </w:p>
          <w:p w14:paraId="3476F98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4）严格禁止运输车辆超载，在运输经过居民区时设置临时限速标志，限制时速不得超过20km/h，并减少鸣笛，做好运输车辆的维护工作，避免因车况不佳增加交通噪声。施工期噪声影响为短期影响，施工结束后即可消除，但考虑施工期对周围环境的影响，要求建设单位在建设过程中必须认真遵守各项管理制度，落实本报告提出的防治措施及建议，做到文明施工、严格管理、缩短工期，力争将项目建设过程中对周围环境产生的影响降到最低限度。</w:t>
            </w:r>
          </w:p>
          <w:p w14:paraId="5D653AA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sz w:val="24"/>
                <w:szCs w:val="32"/>
                <w:highlight w:val="none"/>
              </w:rPr>
            </w:pPr>
            <w:r>
              <w:rPr>
                <w:rFonts w:hint="default" w:ascii="Times New Roman" w:hAnsi="Times New Roman" w:eastAsia="宋体" w:cs="Times New Roman"/>
                <w:b/>
                <w:bCs/>
                <w:color w:val="auto"/>
                <w:spacing w:val="0"/>
                <w:sz w:val="24"/>
                <w:szCs w:val="32"/>
                <w:highlight w:val="none"/>
              </w:rPr>
              <w:t>5</w:t>
            </w:r>
            <w:r>
              <w:rPr>
                <w:rFonts w:hint="default" w:ascii="Times New Roman" w:hAnsi="Times New Roman" w:eastAsia="宋体" w:cs="Times New Roman"/>
                <w:b/>
                <w:bCs/>
                <w:color w:val="auto"/>
                <w:spacing w:val="0"/>
                <w:sz w:val="24"/>
                <w:szCs w:val="32"/>
                <w:highlight w:val="none"/>
                <w:lang w:val="en-US" w:eastAsia="zh-CN"/>
              </w:rPr>
              <w:t>.</w:t>
            </w:r>
            <w:r>
              <w:rPr>
                <w:rFonts w:hint="default" w:ascii="Times New Roman" w:hAnsi="Times New Roman" w:eastAsia="宋体" w:cs="Times New Roman"/>
                <w:b/>
                <w:bCs/>
                <w:color w:val="auto"/>
                <w:spacing w:val="0"/>
                <w:sz w:val="24"/>
                <w:szCs w:val="32"/>
                <w:highlight w:val="none"/>
              </w:rPr>
              <w:t>固废防治措施</w:t>
            </w:r>
          </w:p>
          <w:p w14:paraId="120F1CE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施工期固废主要是弃土、沉淀池沉渣和生活垃圾。</w:t>
            </w:r>
          </w:p>
          <w:p w14:paraId="093DEE5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（1）废弃土石方本项目无弃渣，所有的挖方均得到回用。</w:t>
            </w:r>
          </w:p>
          <w:p w14:paraId="77DCBEA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sz w:val="24"/>
                <w:szCs w:val="32"/>
                <w:highlight w:val="none"/>
              </w:rPr>
            </w:pPr>
            <w:r>
              <w:rPr>
                <w:rFonts w:hint="default" w:ascii="Times New Roman" w:hAnsi="Times New Roman" w:eastAsia="宋体" w:cs="Times New Roman"/>
                <w:color w:val="auto"/>
                <w:spacing w:val="0"/>
                <w:sz w:val="24"/>
                <w:szCs w:val="32"/>
                <w:highlight w:val="none"/>
              </w:rPr>
              <w:t>（2）沉淀池底泥本评价要求所有车辆从施工区上路之前全部清洗车身，设置沉淀池，隔离出底泥清掏自然干化后用于基础回填或用于填筑临时道路。</w:t>
            </w:r>
          </w:p>
          <w:p w14:paraId="15DD783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sz w:val="24"/>
                <w:szCs w:val="32"/>
                <w:highlight w:val="none"/>
              </w:rPr>
              <w:t>（3）生活垃圾施工生活垃圾采取收集和集中处理措施，在临时办公区和施工沿线安放垃圾桶，设专人负责站内生活垃圾的清运工作，每2天清运一次，施工区内安放垃圾收集装置，随施工部位移动。</w:t>
            </w:r>
          </w:p>
          <w:p w14:paraId="1730AA5A">
            <w:pPr>
              <w:keepNext w:val="0"/>
              <w:keepLines w:val="0"/>
              <w:pageBreakBefore w:val="0"/>
              <w:widowControl/>
              <w:shd w:val="clear"/>
              <w:kinsoku w:val="0"/>
              <w:wordWrap/>
              <w:overflowPunct/>
              <w:topLinePunct w:val="0"/>
              <w:autoSpaceDE w:val="0"/>
              <w:autoSpaceDN w:val="0"/>
              <w:bidi w:val="0"/>
              <w:adjustRightInd w:val="0"/>
              <w:snapToGrid w:val="0"/>
              <w:spacing w:line="360" w:lineRule="auto"/>
              <w:ind w:right="0"/>
              <w:textAlignment w:val="baseline"/>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lang w:val="en-US" w:eastAsia="zh-CN"/>
              </w:rPr>
              <w:t>6.</w:t>
            </w:r>
            <w:r>
              <w:rPr>
                <w:rFonts w:hint="default" w:ascii="Times New Roman" w:hAnsi="Times New Roman" w:eastAsia="宋体" w:cs="Times New Roman"/>
                <w:b/>
                <w:bCs/>
                <w:color w:val="auto"/>
                <w:spacing w:val="0"/>
                <w:position w:val="0"/>
                <w:sz w:val="24"/>
                <w:szCs w:val="24"/>
                <w:highlight w:val="none"/>
              </w:rPr>
              <w:t>施工期环境管理</w:t>
            </w:r>
          </w:p>
          <w:p w14:paraId="0C75CD63">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为保证本工程环境保护工作的顺利进行，充分发挥其效益，建立、健全领导管理体系十分必要。本工程环境保护措施的管理机构为</w:t>
            </w:r>
            <w:r>
              <w:rPr>
                <w:rFonts w:hint="default" w:ascii="Times New Roman" w:hAnsi="Times New Roman" w:eastAsia="宋体" w:cs="Times New Roman"/>
                <w:color w:val="auto"/>
                <w:spacing w:val="0"/>
                <w:position w:val="0"/>
                <w:sz w:val="24"/>
                <w:szCs w:val="24"/>
                <w:highlight w:val="none"/>
                <w:lang w:eastAsia="zh-CN"/>
              </w:rPr>
              <w:t>昌吉市</w:t>
            </w:r>
            <w:r>
              <w:rPr>
                <w:rFonts w:hint="default" w:ascii="Times New Roman" w:hAnsi="Times New Roman" w:eastAsia="宋体" w:cs="Times New Roman"/>
                <w:color w:val="auto"/>
                <w:spacing w:val="0"/>
                <w:position w:val="0"/>
                <w:sz w:val="24"/>
                <w:szCs w:val="24"/>
                <w:highlight w:val="none"/>
              </w:rPr>
              <w:t>水利管理总站，由管理处组建环境保护管理小组，小组应设质检员</w:t>
            </w:r>
            <w:r>
              <w:rPr>
                <w:rFonts w:hint="default" w:ascii="Times New Roman" w:hAnsi="Times New Roman" w:eastAsia="宋体" w:cs="Times New Roman"/>
                <w:color w:val="auto"/>
                <w:spacing w:val="0"/>
                <w:position w:val="0"/>
                <w:sz w:val="24"/>
                <w:szCs w:val="24"/>
                <w:highlight w:val="none"/>
                <w:lang w:eastAsia="zh-CN"/>
              </w:rPr>
              <w:t>常驻</w:t>
            </w:r>
            <w:r>
              <w:rPr>
                <w:rFonts w:hint="default" w:ascii="Times New Roman" w:hAnsi="Times New Roman" w:eastAsia="宋体" w:cs="Times New Roman"/>
                <w:color w:val="auto"/>
                <w:spacing w:val="0"/>
                <w:position w:val="0"/>
                <w:sz w:val="24"/>
                <w:szCs w:val="24"/>
                <w:highlight w:val="none"/>
              </w:rPr>
              <w:t>工地，对各项环境保护措施的实施进行管理，保证质量的前提下保证实施时间，加快措施的完成，具体如下。</w:t>
            </w:r>
          </w:p>
          <w:p w14:paraId="3455C8C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1</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制定工程建设年度环境保护工作实施计划，整编相关资料，编制年度环境质量报告，并呈报上级主管部门。</w:t>
            </w:r>
          </w:p>
          <w:p w14:paraId="5655EAF5">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2</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加强工程环境监测管理，审定监测计划，委托具有相应环境监测资质的单位对工程建设区实施环境监测计划。</w:t>
            </w:r>
          </w:p>
          <w:p w14:paraId="70BB365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3</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施工场地周边有农田，在施工开始前，要统一规划、合理布局，对施工现场科学勘探后制定合理的施工方案，对施工建设中可能遇到的困难提出解决预案。</w:t>
            </w:r>
          </w:p>
          <w:p w14:paraId="1D0BDF44">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4</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组织实施环境保护工作，并监督、检查环境保护措施的执行情况和环保经费使用情况，保证工程施工活动能按环保“三同时”原则执行。</w:t>
            </w:r>
          </w:p>
          <w:p w14:paraId="628B0475">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5</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协调和处理工程引起的环境污染事故和环境纠纷。</w:t>
            </w:r>
          </w:p>
          <w:p w14:paraId="4A633760">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6</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加强环境保护的宣传教育和技术培训，提高施工人员的环境保护意识和湿地保护参与意识，提高工程环境管理人员的技术水平。</w:t>
            </w:r>
          </w:p>
          <w:p w14:paraId="6C3A669D">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7</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配合开展工程环境保护竣工验收工作。</w:t>
            </w:r>
          </w:p>
        </w:tc>
      </w:tr>
      <w:tr w14:paraId="6577B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466" w:type="pct"/>
            <w:tcBorders>
              <w:tl2br w:val="nil"/>
              <w:tr2bl w:val="nil"/>
            </w:tcBorders>
            <w:noWrap w:val="0"/>
            <w:tcMar>
              <w:left w:w="28" w:type="dxa"/>
              <w:right w:w="28" w:type="dxa"/>
            </w:tcMar>
            <w:vAlign w:val="center"/>
          </w:tcPr>
          <w:p w14:paraId="65B8C71F">
            <w:pPr>
              <w:keepNext w:val="0"/>
              <w:keepLines w:val="0"/>
              <w:pageBreakBefore w:val="0"/>
              <w:shd w:val="clear"/>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color w:val="auto"/>
                <w:spacing w:val="0"/>
                <w:w w:val="100"/>
                <w:position w:val="0"/>
                <w:sz w:val="24"/>
                <w:szCs w:val="24"/>
                <w:highlight w:val="none"/>
              </w:rPr>
            </w:pPr>
            <w:r>
              <w:rPr>
                <w:rFonts w:hint="default" w:ascii="Times New Roman" w:hAnsi="Times New Roman" w:eastAsia="宋体" w:cs="Times New Roman"/>
                <w:bCs/>
                <w:color w:val="auto"/>
                <w:spacing w:val="0"/>
                <w:w w:val="100"/>
                <w:position w:val="0"/>
                <w:sz w:val="24"/>
                <w:szCs w:val="24"/>
                <w:highlight w:val="none"/>
              </w:rPr>
              <w:t>运营期生态环境保护措施</w:t>
            </w:r>
          </w:p>
        </w:tc>
        <w:tc>
          <w:tcPr>
            <w:tcW w:w="4533" w:type="pct"/>
            <w:tcBorders>
              <w:tl2br w:val="nil"/>
              <w:tr2bl w:val="nil"/>
            </w:tcBorders>
            <w:noWrap w:val="0"/>
            <w:vAlign w:val="top"/>
          </w:tcPr>
          <w:p w14:paraId="6C17D179">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default" w:ascii="Times New Roman" w:hAnsi="Times New Roman" w:eastAsia="宋体" w:cs="Times New Roman"/>
                <w:color w:val="auto"/>
                <w:spacing w:val="0"/>
                <w:w w:val="100"/>
                <w:kern w:val="0"/>
                <w:position w:val="0"/>
                <w:sz w:val="24"/>
                <w:szCs w:val="24"/>
                <w:highlight w:val="none"/>
                <w:lang w:val="en-US" w:eastAsia="zh-CN" w:bidi="ar"/>
              </w:rPr>
              <w:t>项目运营主要应避免周围居民、企业向</w:t>
            </w:r>
            <w:r>
              <w:rPr>
                <w:rFonts w:hint="default" w:ascii="Times New Roman" w:hAnsi="Times New Roman" w:cs="Times New Roman"/>
                <w:color w:val="auto"/>
                <w:spacing w:val="0"/>
                <w:w w:val="100"/>
                <w:kern w:val="0"/>
                <w:position w:val="0"/>
                <w:sz w:val="24"/>
                <w:szCs w:val="24"/>
                <w:highlight w:val="none"/>
                <w:lang w:val="en-US" w:eastAsia="zh-CN" w:bidi="ar"/>
              </w:rPr>
              <w:t>干渠</w:t>
            </w:r>
            <w:r>
              <w:rPr>
                <w:rFonts w:hint="default" w:ascii="Times New Roman" w:hAnsi="Times New Roman" w:eastAsia="宋体" w:cs="Times New Roman"/>
                <w:color w:val="auto"/>
                <w:spacing w:val="0"/>
                <w:w w:val="100"/>
                <w:kern w:val="0"/>
                <w:position w:val="0"/>
                <w:sz w:val="24"/>
                <w:szCs w:val="24"/>
                <w:highlight w:val="none"/>
                <w:lang w:val="en-US" w:eastAsia="zh-CN" w:bidi="ar"/>
              </w:rPr>
              <w:t>中排污，同时应注意</w:t>
            </w:r>
            <w:r>
              <w:rPr>
                <w:rFonts w:hint="default" w:ascii="Times New Roman" w:hAnsi="Times New Roman" w:cs="Times New Roman"/>
                <w:color w:val="auto"/>
                <w:spacing w:val="0"/>
                <w:w w:val="100"/>
                <w:kern w:val="0"/>
                <w:position w:val="0"/>
                <w:sz w:val="24"/>
                <w:szCs w:val="24"/>
                <w:highlight w:val="none"/>
                <w:lang w:val="en-US" w:eastAsia="zh-CN" w:bidi="ar"/>
              </w:rPr>
              <w:t>干渠</w:t>
            </w:r>
            <w:r>
              <w:rPr>
                <w:rFonts w:hint="default" w:ascii="Times New Roman" w:hAnsi="Times New Roman" w:eastAsia="宋体" w:cs="Times New Roman"/>
                <w:color w:val="auto"/>
                <w:spacing w:val="0"/>
                <w:w w:val="100"/>
                <w:kern w:val="0"/>
                <w:position w:val="0"/>
                <w:sz w:val="24"/>
                <w:szCs w:val="24"/>
                <w:highlight w:val="none"/>
                <w:lang w:val="en-US" w:eastAsia="zh-CN" w:bidi="ar"/>
              </w:rPr>
              <w:t>周围水土保持。故提出以下措施：</w:t>
            </w:r>
          </w:p>
          <w:p w14:paraId="147D3CB0">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default" w:ascii="Times New Roman" w:hAnsi="Times New Roman" w:eastAsia="宋体" w:cs="Times New Roman"/>
                <w:color w:val="auto"/>
                <w:spacing w:val="0"/>
                <w:w w:val="100"/>
                <w:kern w:val="0"/>
                <w:position w:val="0"/>
                <w:sz w:val="24"/>
                <w:szCs w:val="24"/>
                <w:highlight w:val="none"/>
                <w:lang w:val="en-US" w:eastAsia="zh-CN" w:bidi="ar"/>
              </w:rPr>
              <w:t>（1）定期组织</w:t>
            </w:r>
            <w:r>
              <w:rPr>
                <w:rFonts w:hint="default" w:ascii="Times New Roman" w:hAnsi="Times New Roman" w:cs="Times New Roman"/>
                <w:color w:val="auto"/>
                <w:spacing w:val="0"/>
                <w:w w:val="100"/>
                <w:kern w:val="0"/>
                <w:position w:val="0"/>
                <w:sz w:val="24"/>
                <w:szCs w:val="24"/>
                <w:highlight w:val="none"/>
                <w:lang w:val="en-US" w:eastAsia="zh-CN" w:bidi="ar"/>
              </w:rPr>
              <w:t>干渠</w:t>
            </w:r>
            <w:r>
              <w:rPr>
                <w:rFonts w:hint="default" w:ascii="Times New Roman" w:hAnsi="Times New Roman" w:eastAsia="宋体" w:cs="Times New Roman"/>
                <w:color w:val="auto"/>
                <w:spacing w:val="0"/>
                <w:w w:val="100"/>
                <w:kern w:val="0"/>
                <w:position w:val="0"/>
                <w:sz w:val="24"/>
                <w:szCs w:val="24"/>
                <w:highlight w:val="none"/>
                <w:lang w:val="en-US" w:eastAsia="zh-CN" w:bidi="ar"/>
              </w:rPr>
              <w:t>沿线巡视，避免排污现象。</w:t>
            </w:r>
          </w:p>
          <w:p w14:paraId="0840D2A0">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default" w:ascii="Times New Roman" w:hAnsi="Times New Roman" w:eastAsia="宋体" w:cs="Times New Roman"/>
                <w:color w:val="auto"/>
                <w:spacing w:val="0"/>
                <w:w w:val="100"/>
                <w:kern w:val="0"/>
                <w:position w:val="0"/>
                <w:sz w:val="24"/>
                <w:szCs w:val="24"/>
                <w:highlight w:val="none"/>
                <w:lang w:val="en-US" w:eastAsia="zh-CN" w:bidi="ar"/>
              </w:rPr>
              <w:t>（2）沿线种植绿化，保持水土。</w:t>
            </w:r>
          </w:p>
          <w:p w14:paraId="5E2037C8">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default" w:ascii="Times New Roman" w:hAnsi="Times New Roman" w:eastAsia="宋体" w:cs="Times New Roman"/>
                <w:color w:val="auto"/>
                <w:spacing w:val="0"/>
                <w:w w:val="100"/>
                <w:kern w:val="0"/>
                <w:position w:val="0"/>
                <w:sz w:val="24"/>
                <w:szCs w:val="24"/>
                <w:highlight w:val="none"/>
                <w:lang w:val="en-US" w:eastAsia="zh-CN" w:bidi="ar"/>
              </w:rPr>
              <w:t>（3）建立健全的用水管理制度，加强统一集中管理。</w:t>
            </w:r>
          </w:p>
          <w:p w14:paraId="26A45621">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default" w:ascii="Times New Roman" w:hAnsi="Times New Roman" w:eastAsia="宋体" w:cs="Times New Roman"/>
                <w:color w:val="auto"/>
                <w:spacing w:val="0"/>
                <w:w w:val="100"/>
                <w:kern w:val="0"/>
                <w:position w:val="0"/>
                <w:sz w:val="24"/>
                <w:szCs w:val="24"/>
                <w:highlight w:val="none"/>
                <w:lang w:val="en-US" w:eastAsia="zh-CN" w:bidi="ar"/>
              </w:rPr>
              <w:t>（4）对</w:t>
            </w:r>
            <w:r>
              <w:rPr>
                <w:rFonts w:hint="default" w:ascii="Times New Roman" w:hAnsi="Times New Roman" w:cs="Times New Roman"/>
                <w:color w:val="auto"/>
                <w:spacing w:val="0"/>
                <w:w w:val="100"/>
                <w:kern w:val="0"/>
                <w:position w:val="0"/>
                <w:sz w:val="24"/>
                <w:szCs w:val="24"/>
                <w:highlight w:val="none"/>
                <w:lang w:val="en-US" w:eastAsia="zh-CN" w:bidi="ar"/>
              </w:rPr>
              <w:t>干渠</w:t>
            </w:r>
            <w:r>
              <w:rPr>
                <w:rFonts w:hint="default" w:ascii="Times New Roman" w:hAnsi="Times New Roman" w:eastAsia="宋体" w:cs="Times New Roman"/>
                <w:color w:val="auto"/>
                <w:spacing w:val="0"/>
                <w:w w:val="100"/>
                <w:kern w:val="0"/>
                <w:position w:val="0"/>
                <w:sz w:val="24"/>
                <w:szCs w:val="24"/>
                <w:highlight w:val="none"/>
                <w:lang w:val="en-US" w:eastAsia="zh-CN" w:bidi="ar"/>
              </w:rPr>
              <w:t>周边村民进行教育、管理，禁止向渠堤中倒垃圾、废水等。</w:t>
            </w:r>
          </w:p>
          <w:p w14:paraId="16531D18">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default" w:ascii="Times New Roman" w:hAnsi="Times New Roman" w:eastAsia="宋体" w:cs="Times New Roman"/>
                <w:color w:val="auto"/>
                <w:spacing w:val="0"/>
                <w:w w:val="100"/>
                <w:kern w:val="0"/>
                <w:position w:val="0"/>
                <w:sz w:val="24"/>
                <w:szCs w:val="24"/>
                <w:highlight w:val="none"/>
                <w:lang w:val="en-US" w:eastAsia="zh-CN" w:bidi="ar"/>
              </w:rPr>
              <w:t>（5）项目运行前应向沿线的村民做</w:t>
            </w:r>
            <w:r>
              <w:rPr>
                <w:rFonts w:hint="default" w:ascii="Times New Roman" w:hAnsi="Times New Roman" w:cs="Times New Roman"/>
                <w:color w:val="auto"/>
                <w:spacing w:val="0"/>
                <w:w w:val="100"/>
                <w:kern w:val="0"/>
                <w:position w:val="0"/>
                <w:sz w:val="24"/>
                <w:szCs w:val="24"/>
                <w:highlight w:val="none"/>
                <w:lang w:val="en-US" w:eastAsia="zh-CN" w:bidi="ar"/>
              </w:rPr>
              <w:t>干渠</w:t>
            </w:r>
            <w:r>
              <w:rPr>
                <w:rFonts w:hint="default" w:ascii="Times New Roman" w:hAnsi="Times New Roman" w:eastAsia="宋体" w:cs="Times New Roman"/>
                <w:color w:val="auto"/>
                <w:spacing w:val="0"/>
                <w:w w:val="100"/>
                <w:kern w:val="0"/>
                <w:position w:val="0"/>
                <w:sz w:val="24"/>
                <w:szCs w:val="24"/>
                <w:highlight w:val="none"/>
                <w:lang w:val="en-US" w:eastAsia="zh-CN" w:bidi="ar"/>
              </w:rPr>
              <w:t>道建筑物保护的有关宣传，保证各</w:t>
            </w:r>
            <w:r>
              <w:rPr>
                <w:rFonts w:hint="default" w:ascii="Times New Roman" w:hAnsi="Times New Roman" w:cs="Times New Roman"/>
                <w:color w:val="auto"/>
                <w:spacing w:val="0"/>
                <w:w w:val="100"/>
                <w:kern w:val="0"/>
                <w:position w:val="0"/>
                <w:sz w:val="24"/>
                <w:szCs w:val="24"/>
                <w:highlight w:val="none"/>
                <w:lang w:val="en-US" w:eastAsia="zh-CN" w:bidi="ar"/>
              </w:rPr>
              <w:t>干渠</w:t>
            </w:r>
            <w:r>
              <w:rPr>
                <w:rFonts w:hint="default" w:ascii="Times New Roman" w:hAnsi="Times New Roman" w:eastAsia="宋体" w:cs="Times New Roman"/>
                <w:color w:val="auto"/>
                <w:spacing w:val="0"/>
                <w:w w:val="100"/>
                <w:kern w:val="0"/>
                <w:position w:val="0"/>
                <w:sz w:val="24"/>
                <w:szCs w:val="24"/>
                <w:highlight w:val="none"/>
                <w:lang w:val="en-US" w:eastAsia="zh-CN" w:bidi="ar"/>
              </w:rPr>
              <w:t>道建筑物的正常使用。</w:t>
            </w:r>
          </w:p>
          <w:p w14:paraId="309BA4B8">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default" w:ascii="Times New Roman" w:hAnsi="Times New Roman" w:eastAsia="宋体" w:cs="Times New Roman"/>
                <w:color w:val="auto"/>
                <w:spacing w:val="0"/>
                <w:w w:val="100"/>
                <w:kern w:val="0"/>
                <w:position w:val="0"/>
                <w:sz w:val="24"/>
                <w:szCs w:val="24"/>
                <w:highlight w:val="none"/>
                <w:lang w:val="en-US" w:eastAsia="zh-CN" w:bidi="ar"/>
              </w:rPr>
              <w:t>（5）本项目运行后，工作人员应兼职作为环保工作人员，负责项目范围内的环境保护工作。</w:t>
            </w:r>
          </w:p>
          <w:p w14:paraId="2676E843">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default" w:ascii="Times New Roman" w:hAnsi="Times New Roman" w:eastAsia="宋体" w:cs="Times New Roman"/>
                <w:color w:val="auto"/>
                <w:spacing w:val="0"/>
                <w:w w:val="100"/>
                <w:kern w:val="0"/>
                <w:position w:val="0"/>
                <w:sz w:val="24"/>
                <w:szCs w:val="24"/>
                <w:highlight w:val="none"/>
                <w:lang w:val="en-US" w:eastAsia="zh-CN" w:bidi="ar"/>
              </w:rPr>
              <w:t>（6）项目运行后严禁在各</w:t>
            </w:r>
            <w:r>
              <w:rPr>
                <w:rFonts w:hint="default" w:ascii="Times New Roman" w:hAnsi="Times New Roman" w:cs="Times New Roman"/>
                <w:color w:val="auto"/>
                <w:spacing w:val="0"/>
                <w:w w:val="100"/>
                <w:kern w:val="0"/>
                <w:position w:val="0"/>
                <w:sz w:val="24"/>
                <w:szCs w:val="24"/>
                <w:highlight w:val="none"/>
                <w:lang w:val="en-US" w:eastAsia="zh-CN" w:bidi="ar"/>
              </w:rPr>
              <w:t>干渠</w:t>
            </w:r>
            <w:r>
              <w:rPr>
                <w:rFonts w:hint="default" w:ascii="Times New Roman" w:hAnsi="Times New Roman" w:eastAsia="宋体" w:cs="Times New Roman"/>
                <w:color w:val="auto"/>
                <w:spacing w:val="0"/>
                <w:w w:val="100"/>
                <w:kern w:val="0"/>
                <w:position w:val="0"/>
                <w:sz w:val="24"/>
                <w:szCs w:val="24"/>
                <w:highlight w:val="none"/>
                <w:lang w:val="en-US" w:eastAsia="zh-CN" w:bidi="ar"/>
              </w:rPr>
              <w:t>两侧50m范围内堆放垃圾。</w:t>
            </w:r>
          </w:p>
        </w:tc>
      </w:tr>
      <w:tr w14:paraId="6C379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66" w:type="pct"/>
            <w:tcBorders>
              <w:tl2br w:val="nil"/>
              <w:tr2bl w:val="nil"/>
            </w:tcBorders>
            <w:noWrap w:val="0"/>
            <w:vAlign w:val="center"/>
          </w:tcPr>
          <w:p w14:paraId="7B082870">
            <w:pPr>
              <w:keepNext w:val="0"/>
              <w:keepLines w:val="0"/>
              <w:pageBreakBefore w:val="0"/>
              <w:shd w:val="clear"/>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color w:val="auto"/>
                <w:spacing w:val="0"/>
                <w:w w:val="100"/>
                <w:position w:val="0"/>
                <w:sz w:val="24"/>
                <w:szCs w:val="24"/>
                <w:highlight w:val="none"/>
              </w:rPr>
            </w:pPr>
            <w:r>
              <w:rPr>
                <w:rFonts w:hint="default" w:ascii="Times New Roman" w:hAnsi="Times New Roman" w:eastAsia="宋体" w:cs="Times New Roman"/>
                <w:bCs/>
                <w:color w:val="auto"/>
                <w:spacing w:val="0"/>
                <w:w w:val="100"/>
                <w:position w:val="0"/>
                <w:sz w:val="24"/>
                <w:szCs w:val="24"/>
                <w:highlight w:val="none"/>
              </w:rPr>
              <w:t>其他</w:t>
            </w:r>
          </w:p>
        </w:tc>
        <w:tc>
          <w:tcPr>
            <w:tcW w:w="4533" w:type="pct"/>
            <w:tcBorders>
              <w:tl2br w:val="nil"/>
              <w:tr2bl w:val="nil"/>
            </w:tcBorders>
            <w:noWrap w:val="0"/>
            <w:vAlign w:val="top"/>
          </w:tcPr>
          <w:p w14:paraId="01BBE297">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right="0"/>
              <w:textAlignment w:val="auto"/>
              <w:rPr>
                <w:rFonts w:hint="default" w:ascii="Times New Roman" w:hAnsi="Times New Roman" w:eastAsia="宋体" w:cs="Times New Roman"/>
                <w:b/>
                <w:bCs/>
                <w:color w:val="auto"/>
                <w:spacing w:val="0"/>
                <w:w w:val="100"/>
                <w:kern w:val="0"/>
                <w:position w:val="0"/>
                <w:sz w:val="24"/>
                <w:szCs w:val="24"/>
                <w:highlight w:val="none"/>
                <w:lang w:val="en-US" w:eastAsia="zh-CN" w:bidi="ar"/>
              </w:rPr>
            </w:pPr>
            <w:r>
              <w:rPr>
                <w:rFonts w:hint="default" w:ascii="Times New Roman" w:hAnsi="Times New Roman" w:eastAsia="宋体" w:cs="Times New Roman"/>
                <w:b/>
                <w:bCs/>
                <w:color w:val="auto"/>
                <w:spacing w:val="0"/>
                <w:w w:val="100"/>
                <w:kern w:val="0"/>
                <w:position w:val="0"/>
                <w:sz w:val="24"/>
                <w:szCs w:val="24"/>
                <w:highlight w:val="none"/>
                <w:lang w:val="en-US" w:eastAsia="zh-CN" w:bidi="ar"/>
              </w:rPr>
              <w:t>1.环境监测计划</w:t>
            </w:r>
          </w:p>
          <w:p w14:paraId="65DA3931">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default" w:ascii="Times New Roman" w:hAnsi="Times New Roman" w:eastAsia="宋体" w:cs="Times New Roman"/>
                <w:color w:val="auto"/>
                <w:spacing w:val="0"/>
                <w:w w:val="100"/>
                <w:kern w:val="0"/>
                <w:position w:val="0"/>
                <w:sz w:val="24"/>
                <w:szCs w:val="24"/>
                <w:highlight w:val="none"/>
                <w:lang w:val="en-US" w:eastAsia="zh-CN" w:bidi="ar"/>
              </w:rPr>
              <w:t>本工程不设置专门的环境监测机构，施工期及运行期水质监测、环境空气监测、噪声监测可由业主委托有相应资质的环境监测部门实施，技术要求按照有关环境监测规范的规定执行，以保障监测数据的可靠性。本工程环境监测计划一览见表5-1</w:t>
            </w:r>
          </w:p>
          <w:p w14:paraId="36AD9C53">
            <w:pPr>
              <w:keepNext w:val="0"/>
              <w:keepLines w:val="0"/>
              <w:widowControl/>
              <w:suppressLineNumbers w:val="0"/>
              <w:shd w:val="clear"/>
              <w:jc w:val="center"/>
              <w:rPr>
                <w:rFonts w:hint="default" w:ascii="Times New Roman" w:hAnsi="Times New Roman" w:eastAsia="宋体" w:cs="Times New Roman"/>
                <w:b/>
                <w:bCs/>
                <w:color w:val="auto"/>
                <w:spacing w:val="0"/>
                <w:sz w:val="21"/>
                <w:szCs w:val="21"/>
                <w:highlight w:val="none"/>
                <w:lang w:val="en-US" w:eastAsia="zh-CN"/>
              </w:rPr>
            </w:pPr>
            <w:r>
              <w:rPr>
                <w:rFonts w:hint="default" w:ascii="Times New Roman" w:hAnsi="Times New Roman" w:eastAsia="宋体" w:cs="Times New Roman"/>
                <w:b/>
                <w:bCs/>
                <w:color w:val="auto"/>
                <w:spacing w:val="0"/>
                <w:w w:val="100"/>
                <w:kern w:val="0"/>
                <w:position w:val="0"/>
                <w:sz w:val="21"/>
                <w:szCs w:val="21"/>
                <w:highlight w:val="none"/>
                <w:lang w:val="en-US" w:eastAsia="zh-CN" w:bidi="ar"/>
              </w:rPr>
              <w:t xml:space="preserve">表5-1    </w:t>
            </w:r>
            <w:r>
              <w:rPr>
                <w:rFonts w:hint="default" w:ascii="Times New Roman" w:hAnsi="Times New Roman" w:eastAsia="宋体" w:cs="Times New Roman"/>
                <w:b/>
                <w:bCs/>
                <w:color w:val="auto"/>
                <w:spacing w:val="0"/>
                <w:kern w:val="0"/>
                <w:sz w:val="21"/>
                <w:szCs w:val="21"/>
                <w:highlight w:val="none"/>
                <w:lang w:val="en-US" w:eastAsia="zh-CN" w:bidi="ar"/>
              </w:rPr>
              <w:t>环境监测计划一览表</w:t>
            </w:r>
          </w:p>
          <w:tbl>
            <w:tblPr>
              <w:tblStyle w:val="3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820"/>
              <w:gridCol w:w="2235"/>
              <w:gridCol w:w="1631"/>
              <w:gridCol w:w="1134"/>
              <w:gridCol w:w="1067"/>
            </w:tblGrid>
            <w:tr w14:paraId="3DA6C1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1" w:type="pct"/>
                  <w:tcBorders>
                    <w:bottom w:val="single" w:color="auto" w:sz="12" w:space="0"/>
                  </w:tcBorders>
                  <w:vAlign w:val="center"/>
                </w:tcPr>
                <w:p w14:paraId="49FB2677">
                  <w:pPr>
                    <w:keepNext w:val="0"/>
                    <w:keepLines w:val="0"/>
                    <w:pageBreakBefore w:val="0"/>
                    <w:shd w:val="clear"/>
                    <w:kinsoku/>
                    <w:overflowPunct/>
                    <w:topLinePunct w:val="0"/>
                    <w:bidi w:val="0"/>
                    <w:adjustRightInd w:val="0"/>
                    <w:spacing w:beforeAutospacing="0" w:afterAutospacing="0" w:line="240" w:lineRule="auto"/>
                    <w:ind w:right="0"/>
                    <w:jc w:val="center"/>
                    <w:rPr>
                      <w:rFonts w:hint="default" w:ascii="Times New Roman" w:hAnsi="Times New Roman" w:eastAsia="宋体" w:cs="Times New Roman"/>
                      <w:b/>
                      <w:color w:val="auto"/>
                      <w:spacing w:val="0"/>
                      <w:w w:val="100"/>
                      <w:position w:val="0"/>
                      <w:sz w:val="21"/>
                      <w:szCs w:val="21"/>
                      <w:highlight w:val="none"/>
                      <w:vertAlign w:val="baseline"/>
                      <w:lang w:val="en-US" w:eastAsia="zh-CN"/>
                    </w:rPr>
                  </w:pPr>
                  <w:r>
                    <w:rPr>
                      <w:rFonts w:hint="default" w:ascii="Times New Roman" w:hAnsi="Times New Roman" w:eastAsia="宋体" w:cs="Times New Roman"/>
                      <w:b/>
                      <w:color w:val="auto"/>
                      <w:spacing w:val="0"/>
                      <w:w w:val="100"/>
                      <w:position w:val="0"/>
                      <w:sz w:val="21"/>
                      <w:szCs w:val="21"/>
                      <w:highlight w:val="none"/>
                      <w:vertAlign w:val="baseline"/>
                      <w:lang w:val="en-US" w:eastAsia="zh-CN"/>
                    </w:rPr>
                    <w:t>阶段</w:t>
                  </w:r>
                </w:p>
              </w:tc>
              <w:tc>
                <w:tcPr>
                  <w:tcW w:w="540" w:type="pct"/>
                  <w:tcBorders>
                    <w:bottom w:val="single" w:color="auto" w:sz="12" w:space="0"/>
                  </w:tcBorders>
                  <w:vAlign w:val="center"/>
                </w:tcPr>
                <w:p w14:paraId="3A735104">
                  <w:pPr>
                    <w:keepNext w:val="0"/>
                    <w:keepLines w:val="0"/>
                    <w:pageBreakBefore w:val="0"/>
                    <w:shd w:val="clear"/>
                    <w:kinsoku/>
                    <w:overflowPunct/>
                    <w:topLinePunct w:val="0"/>
                    <w:bidi w:val="0"/>
                    <w:adjustRightInd w:val="0"/>
                    <w:spacing w:beforeAutospacing="0" w:afterAutospacing="0" w:line="240" w:lineRule="auto"/>
                    <w:ind w:right="0"/>
                    <w:jc w:val="center"/>
                    <w:rPr>
                      <w:rFonts w:hint="default" w:ascii="Times New Roman" w:hAnsi="Times New Roman" w:eastAsia="宋体" w:cs="Times New Roman"/>
                      <w:b/>
                      <w:color w:val="auto"/>
                      <w:spacing w:val="0"/>
                      <w:w w:val="100"/>
                      <w:position w:val="0"/>
                      <w:sz w:val="21"/>
                      <w:szCs w:val="21"/>
                      <w:highlight w:val="none"/>
                      <w:vertAlign w:val="baseline"/>
                      <w:lang w:val="en-US" w:eastAsia="zh-CN"/>
                    </w:rPr>
                  </w:pPr>
                  <w:r>
                    <w:rPr>
                      <w:rFonts w:hint="default" w:ascii="Times New Roman" w:hAnsi="Times New Roman" w:eastAsia="宋体" w:cs="Times New Roman"/>
                      <w:b/>
                      <w:color w:val="auto"/>
                      <w:spacing w:val="0"/>
                      <w:w w:val="100"/>
                      <w:position w:val="0"/>
                      <w:sz w:val="21"/>
                      <w:szCs w:val="21"/>
                      <w:highlight w:val="none"/>
                      <w:vertAlign w:val="baseline"/>
                      <w:lang w:val="en-US" w:eastAsia="zh-CN"/>
                    </w:rPr>
                    <w:t>分类</w:t>
                  </w:r>
                </w:p>
              </w:tc>
              <w:tc>
                <w:tcPr>
                  <w:tcW w:w="1472" w:type="pct"/>
                  <w:tcBorders>
                    <w:bottom w:val="single" w:color="auto" w:sz="12" w:space="0"/>
                  </w:tcBorders>
                  <w:vAlign w:val="center"/>
                </w:tcPr>
                <w:p w14:paraId="01916004">
                  <w:pPr>
                    <w:keepNext w:val="0"/>
                    <w:keepLines w:val="0"/>
                    <w:pageBreakBefore w:val="0"/>
                    <w:shd w:val="clear"/>
                    <w:kinsoku/>
                    <w:overflowPunct/>
                    <w:topLinePunct w:val="0"/>
                    <w:bidi w:val="0"/>
                    <w:adjustRightInd w:val="0"/>
                    <w:spacing w:beforeAutospacing="0" w:afterAutospacing="0" w:line="240" w:lineRule="auto"/>
                    <w:ind w:right="0"/>
                    <w:jc w:val="center"/>
                    <w:rPr>
                      <w:rFonts w:hint="default" w:ascii="Times New Roman" w:hAnsi="Times New Roman" w:eastAsia="宋体" w:cs="Times New Roman"/>
                      <w:b/>
                      <w:color w:val="auto"/>
                      <w:spacing w:val="0"/>
                      <w:w w:val="100"/>
                      <w:position w:val="0"/>
                      <w:sz w:val="21"/>
                      <w:szCs w:val="21"/>
                      <w:highlight w:val="none"/>
                      <w:vertAlign w:val="baseline"/>
                      <w:lang w:val="en-US" w:eastAsia="zh-CN"/>
                    </w:rPr>
                  </w:pPr>
                  <w:r>
                    <w:rPr>
                      <w:rFonts w:hint="default" w:ascii="Times New Roman" w:hAnsi="Times New Roman" w:eastAsia="宋体" w:cs="Times New Roman"/>
                      <w:b/>
                      <w:color w:val="auto"/>
                      <w:spacing w:val="0"/>
                      <w:w w:val="100"/>
                      <w:position w:val="0"/>
                      <w:sz w:val="21"/>
                      <w:szCs w:val="21"/>
                      <w:highlight w:val="none"/>
                      <w:vertAlign w:val="baseline"/>
                      <w:lang w:val="en-US" w:eastAsia="zh-CN"/>
                    </w:rPr>
                    <w:t>环保措施</w:t>
                  </w:r>
                </w:p>
              </w:tc>
              <w:tc>
                <w:tcPr>
                  <w:tcW w:w="1074" w:type="pct"/>
                  <w:tcBorders>
                    <w:bottom w:val="single" w:color="auto" w:sz="12" w:space="0"/>
                  </w:tcBorders>
                  <w:vAlign w:val="center"/>
                </w:tcPr>
                <w:p w14:paraId="2411CE38">
                  <w:pPr>
                    <w:keepNext w:val="0"/>
                    <w:keepLines w:val="0"/>
                    <w:pageBreakBefore w:val="0"/>
                    <w:shd w:val="clear"/>
                    <w:kinsoku/>
                    <w:overflowPunct/>
                    <w:topLinePunct w:val="0"/>
                    <w:bidi w:val="0"/>
                    <w:adjustRightInd w:val="0"/>
                    <w:spacing w:beforeAutospacing="0" w:afterAutospacing="0" w:line="240" w:lineRule="auto"/>
                    <w:ind w:right="0"/>
                    <w:jc w:val="center"/>
                    <w:rPr>
                      <w:rFonts w:hint="default" w:ascii="Times New Roman" w:hAnsi="Times New Roman" w:eastAsia="宋体" w:cs="Times New Roman"/>
                      <w:b/>
                      <w:color w:val="auto"/>
                      <w:spacing w:val="0"/>
                      <w:w w:val="100"/>
                      <w:position w:val="0"/>
                      <w:sz w:val="21"/>
                      <w:szCs w:val="21"/>
                      <w:highlight w:val="none"/>
                      <w:vertAlign w:val="baseline"/>
                      <w:lang w:val="en-US" w:eastAsia="zh-CN"/>
                    </w:rPr>
                  </w:pPr>
                  <w:r>
                    <w:rPr>
                      <w:rFonts w:hint="default" w:ascii="Times New Roman" w:hAnsi="Times New Roman" w:eastAsia="宋体" w:cs="Times New Roman"/>
                      <w:b/>
                      <w:color w:val="auto"/>
                      <w:spacing w:val="0"/>
                      <w:w w:val="100"/>
                      <w:position w:val="0"/>
                      <w:sz w:val="21"/>
                      <w:szCs w:val="21"/>
                      <w:highlight w:val="none"/>
                      <w:vertAlign w:val="baseline"/>
                      <w:lang w:val="en-US" w:eastAsia="zh-CN"/>
                    </w:rPr>
                    <w:t>监测点位</w:t>
                  </w:r>
                </w:p>
              </w:tc>
              <w:tc>
                <w:tcPr>
                  <w:tcW w:w="747" w:type="pct"/>
                  <w:tcBorders>
                    <w:bottom w:val="single" w:color="auto" w:sz="12" w:space="0"/>
                  </w:tcBorders>
                  <w:vAlign w:val="center"/>
                </w:tcPr>
                <w:p w14:paraId="778B4CE4">
                  <w:pPr>
                    <w:keepNext w:val="0"/>
                    <w:keepLines w:val="0"/>
                    <w:pageBreakBefore w:val="0"/>
                    <w:shd w:val="clear"/>
                    <w:kinsoku/>
                    <w:overflowPunct/>
                    <w:topLinePunct w:val="0"/>
                    <w:bidi w:val="0"/>
                    <w:adjustRightInd w:val="0"/>
                    <w:spacing w:beforeAutospacing="0" w:afterAutospacing="0" w:line="240" w:lineRule="auto"/>
                    <w:ind w:right="0"/>
                    <w:jc w:val="center"/>
                    <w:rPr>
                      <w:rFonts w:hint="default" w:ascii="Times New Roman" w:hAnsi="Times New Roman" w:eastAsia="宋体" w:cs="Times New Roman"/>
                      <w:b/>
                      <w:color w:val="auto"/>
                      <w:spacing w:val="0"/>
                      <w:w w:val="100"/>
                      <w:position w:val="0"/>
                      <w:sz w:val="21"/>
                      <w:szCs w:val="21"/>
                      <w:highlight w:val="none"/>
                      <w:vertAlign w:val="baseline"/>
                      <w:lang w:val="en-US" w:eastAsia="zh-CN"/>
                    </w:rPr>
                  </w:pPr>
                  <w:r>
                    <w:rPr>
                      <w:rFonts w:hint="default" w:ascii="Times New Roman" w:hAnsi="Times New Roman" w:eastAsia="宋体" w:cs="Times New Roman"/>
                      <w:b/>
                      <w:color w:val="auto"/>
                      <w:spacing w:val="0"/>
                      <w:w w:val="100"/>
                      <w:position w:val="0"/>
                      <w:sz w:val="21"/>
                      <w:szCs w:val="21"/>
                      <w:highlight w:val="none"/>
                      <w:vertAlign w:val="baseline"/>
                      <w:lang w:val="en-US" w:eastAsia="zh-CN"/>
                    </w:rPr>
                    <w:t>监测因子</w:t>
                  </w:r>
                </w:p>
              </w:tc>
              <w:tc>
                <w:tcPr>
                  <w:tcW w:w="703" w:type="pct"/>
                  <w:tcBorders>
                    <w:bottom w:val="single" w:color="auto" w:sz="12" w:space="0"/>
                  </w:tcBorders>
                  <w:vAlign w:val="center"/>
                </w:tcPr>
                <w:p w14:paraId="7995A064">
                  <w:pPr>
                    <w:keepNext w:val="0"/>
                    <w:keepLines w:val="0"/>
                    <w:pageBreakBefore w:val="0"/>
                    <w:shd w:val="clear"/>
                    <w:kinsoku/>
                    <w:overflowPunct/>
                    <w:topLinePunct w:val="0"/>
                    <w:bidi w:val="0"/>
                    <w:adjustRightInd w:val="0"/>
                    <w:spacing w:beforeAutospacing="0" w:afterAutospacing="0" w:line="240" w:lineRule="auto"/>
                    <w:ind w:right="0"/>
                    <w:jc w:val="center"/>
                    <w:rPr>
                      <w:rFonts w:hint="default" w:ascii="Times New Roman" w:hAnsi="Times New Roman" w:eastAsia="宋体" w:cs="Times New Roman"/>
                      <w:b/>
                      <w:color w:val="auto"/>
                      <w:spacing w:val="0"/>
                      <w:w w:val="100"/>
                      <w:position w:val="0"/>
                      <w:sz w:val="21"/>
                      <w:szCs w:val="21"/>
                      <w:highlight w:val="none"/>
                      <w:vertAlign w:val="baseline"/>
                      <w:lang w:val="en-US" w:eastAsia="zh-CN"/>
                    </w:rPr>
                  </w:pPr>
                  <w:r>
                    <w:rPr>
                      <w:rFonts w:hint="default" w:ascii="Times New Roman" w:hAnsi="Times New Roman" w:eastAsia="宋体" w:cs="Times New Roman"/>
                      <w:b/>
                      <w:color w:val="auto"/>
                      <w:spacing w:val="0"/>
                      <w:w w:val="100"/>
                      <w:position w:val="0"/>
                      <w:sz w:val="21"/>
                      <w:szCs w:val="21"/>
                      <w:highlight w:val="none"/>
                      <w:vertAlign w:val="baseline"/>
                      <w:lang w:val="en-US" w:eastAsia="zh-CN"/>
                    </w:rPr>
                    <w:t>检测频次</w:t>
                  </w:r>
                </w:p>
              </w:tc>
            </w:tr>
            <w:tr w14:paraId="3CF72E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1" w:type="pct"/>
                  <w:vMerge w:val="restart"/>
                  <w:tcBorders>
                    <w:top w:val="single" w:color="auto" w:sz="12" w:space="0"/>
                    <w:tl2br w:val="nil"/>
                    <w:tr2bl w:val="nil"/>
                  </w:tcBorders>
                  <w:vAlign w:val="center"/>
                </w:tcPr>
                <w:p w14:paraId="1FF31619">
                  <w:pPr>
                    <w:keepNext w:val="0"/>
                    <w:keepLines w:val="0"/>
                    <w:pageBreakBefore w:val="0"/>
                    <w:shd w:val="clear"/>
                    <w:kinsoku/>
                    <w:overflowPunct/>
                    <w:topLinePunct w:val="0"/>
                    <w:bidi w:val="0"/>
                    <w:adjustRightInd w:val="0"/>
                    <w:spacing w:beforeAutospacing="0" w:afterAutospacing="0" w:line="240" w:lineRule="auto"/>
                    <w:ind w:right="0"/>
                    <w:jc w:val="cente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t>施工期</w:t>
                  </w:r>
                </w:p>
              </w:tc>
              <w:tc>
                <w:tcPr>
                  <w:tcW w:w="540" w:type="pct"/>
                  <w:tcBorders>
                    <w:top w:val="single" w:color="auto" w:sz="12" w:space="0"/>
                    <w:tl2br w:val="nil"/>
                    <w:tr2bl w:val="nil"/>
                  </w:tcBorders>
                  <w:vAlign w:val="center"/>
                </w:tcPr>
                <w:p w14:paraId="498886A7">
                  <w:pPr>
                    <w:keepNext w:val="0"/>
                    <w:keepLines w:val="0"/>
                    <w:pageBreakBefore w:val="0"/>
                    <w:shd w:val="clear"/>
                    <w:kinsoku/>
                    <w:overflowPunct/>
                    <w:topLinePunct w:val="0"/>
                    <w:bidi w:val="0"/>
                    <w:adjustRightInd w:val="0"/>
                    <w:spacing w:beforeAutospacing="0" w:afterAutospacing="0" w:line="240" w:lineRule="auto"/>
                    <w:ind w:right="0"/>
                    <w:jc w:val="cente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t>噪声</w:t>
                  </w:r>
                </w:p>
              </w:tc>
              <w:tc>
                <w:tcPr>
                  <w:tcW w:w="1472" w:type="pct"/>
                  <w:tcBorders>
                    <w:top w:val="single" w:color="auto" w:sz="12" w:space="0"/>
                    <w:tl2br w:val="nil"/>
                    <w:tr2bl w:val="nil"/>
                  </w:tcBorders>
                  <w:vAlign w:val="center"/>
                </w:tcPr>
                <w:p w14:paraId="15A496AC">
                  <w:pPr>
                    <w:keepNext w:val="0"/>
                    <w:keepLines w:val="0"/>
                    <w:widowControl/>
                    <w:suppressLineNumbers w:val="0"/>
                    <w:shd w:val="clear"/>
                    <w:jc w:val="cente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val="0"/>
                      <w:bCs/>
                      <w:color w:val="auto"/>
                      <w:spacing w:val="0"/>
                      <w:kern w:val="0"/>
                      <w:sz w:val="21"/>
                      <w:szCs w:val="21"/>
                      <w:highlight w:val="none"/>
                      <w:lang w:val="en-US" w:eastAsia="zh-CN" w:bidi="ar"/>
                    </w:rPr>
                    <w:t>低噪声设备、禁止夜间施工</w:t>
                  </w:r>
                </w:p>
              </w:tc>
              <w:tc>
                <w:tcPr>
                  <w:tcW w:w="1074" w:type="pct"/>
                  <w:tcBorders>
                    <w:top w:val="single" w:color="auto" w:sz="12" w:space="0"/>
                    <w:tl2br w:val="nil"/>
                    <w:tr2bl w:val="nil"/>
                  </w:tcBorders>
                  <w:vAlign w:val="center"/>
                </w:tcPr>
                <w:p w14:paraId="5CFF2F03">
                  <w:pPr>
                    <w:keepNext w:val="0"/>
                    <w:keepLines w:val="0"/>
                    <w:widowControl/>
                    <w:suppressLineNumbers w:val="0"/>
                    <w:shd w:val="clear"/>
                    <w:jc w:val="cente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val="0"/>
                      <w:bCs/>
                      <w:color w:val="auto"/>
                      <w:spacing w:val="0"/>
                      <w:kern w:val="0"/>
                      <w:sz w:val="21"/>
                      <w:szCs w:val="21"/>
                      <w:highlight w:val="none"/>
                      <w:lang w:val="en-US" w:eastAsia="zh-CN" w:bidi="ar"/>
                    </w:rPr>
                    <w:t>各标段设置1个噪声监测点</w:t>
                  </w:r>
                </w:p>
              </w:tc>
              <w:tc>
                <w:tcPr>
                  <w:tcW w:w="747" w:type="pct"/>
                  <w:tcBorders>
                    <w:top w:val="single" w:color="auto" w:sz="12" w:space="0"/>
                    <w:tl2br w:val="nil"/>
                    <w:tr2bl w:val="nil"/>
                  </w:tcBorders>
                  <w:vAlign w:val="center"/>
                </w:tcPr>
                <w:p w14:paraId="18620963">
                  <w:pPr>
                    <w:keepNext w:val="0"/>
                    <w:keepLines w:val="0"/>
                    <w:widowControl/>
                    <w:suppressLineNumbers w:val="0"/>
                    <w:shd w:val="clear"/>
                    <w:jc w:val="cente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val="0"/>
                      <w:bCs/>
                      <w:color w:val="auto"/>
                      <w:spacing w:val="0"/>
                      <w:kern w:val="0"/>
                      <w:sz w:val="21"/>
                      <w:szCs w:val="21"/>
                      <w:highlight w:val="none"/>
                      <w:lang w:val="en-US" w:eastAsia="zh-CN" w:bidi="ar"/>
                    </w:rPr>
                    <w:t>LAeq</w:t>
                  </w:r>
                </w:p>
              </w:tc>
              <w:tc>
                <w:tcPr>
                  <w:tcW w:w="703" w:type="pct"/>
                  <w:tcBorders>
                    <w:top w:val="single" w:color="auto" w:sz="12" w:space="0"/>
                    <w:tl2br w:val="nil"/>
                    <w:tr2bl w:val="nil"/>
                  </w:tcBorders>
                  <w:vAlign w:val="center"/>
                </w:tcPr>
                <w:p w14:paraId="658FF878">
                  <w:pPr>
                    <w:keepNext w:val="0"/>
                    <w:keepLines w:val="0"/>
                    <w:widowControl/>
                    <w:suppressLineNumbers w:val="0"/>
                    <w:shd w:val="clear"/>
                    <w:jc w:val="cente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val="0"/>
                      <w:bCs/>
                      <w:color w:val="auto"/>
                      <w:spacing w:val="0"/>
                      <w:kern w:val="0"/>
                      <w:sz w:val="21"/>
                      <w:szCs w:val="21"/>
                      <w:highlight w:val="none"/>
                      <w:lang w:val="en-US" w:eastAsia="zh-CN" w:bidi="ar"/>
                    </w:rPr>
                    <w:t>1期/季度</w:t>
                  </w:r>
                </w:p>
              </w:tc>
            </w:tr>
            <w:tr w14:paraId="164F77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1" w:type="pct"/>
                  <w:vMerge w:val="continue"/>
                  <w:tcBorders>
                    <w:tl2br w:val="nil"/>
                    <w:tr2bl w:val="nil"/>
                  </w:tcBorders>
                  <w:vAlign w:val="center"/>
                </w:tcPr>
                <w:p w14:paraId="1D8F2B9C">
                  <w:pPr>
                    <w:keepNext w:val="0"/>
                    <w:keepLines w:val="0"/>
                    <w:pageBreakBefore w:val="0"/>
                    <w:shd w:val="clear"/>
                    <w:kinsoku/>
                    <w:overflowPunct/>
                    <w:topLinePunct w:val="0"/>
                    <w:bidi w:val="0"/>
                    <w:adjustRightInd w:val="0"/>
                    <w:spacing w:beforeAutospacing="0" w:afterAutospacing="0" w:line="240" w:lineRule="auto"/>
                    <w:ind w:right="0"/>
                    <w:jc w:val="cente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pPr>
                </w:p>
              </w:tc>
              <w:tc>
                <w:tcPr>
                  <w:tcW w:w="540" w:type="pct"/>
                  <w:tcBorders>
                    <w:tl2br w:val="nil"/>
                    <w:tr2bl w:val="nil"/>
                  </w:tcBorders>
                  <w:vAlign w:val="center"/>
                </w:tcPr>
                <w:p w14:paraId="3852FC85">
                  <w:pPr>
                    <w:keepNext w:val="0"/>
                    <w:keepLines w:val="0"/>
                    <w:pageBreakBefore w:val="0"/>
                    <w:shd w:val="clear"/>
                    <w:kinsoku/>
                    <w:overflowPunct/>
                    <w:topLinePunct w:val="0"/>
                    <w:bidi w:val="0"/>
                    <w:adjustRightInd w:val="0"/>
                    <w:spacing w:beforeAutospacing="0" w:afterAutospacing="0" w:line="240" w:lineRule="auto"/>
                    <w:ind w:right="0"/>
                    <w:jc w:val="cente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t>废气</w:t>
                  </w:r>
                </w:p>
              </w:tc>
              <w:tc>
                <w:tcPr>
                  <w:tcW w:w="1472" w:type="pct"/>
                  <w:tcBorders>
                    <w:tl2br w:val="nil"/>
                    <w:tr2bl w:val="nil"/>
                  </w:tcBorders>
                  <w:vAlign w:val="center"/>
                </w:tcPr>
                <w:p w14:paraId="6B365AE3">
                  <w:pPr>
                    <w:keepNext w:val="0"/>
                    <w:keepLines w:val="0"/>
                    <w:pageBreakBefore w:val="0"/>
                    <w:shd w:val="clear"/>
                    <w:kinsoku/>
                    <w:overflowPunct/>
                    <w:topLinePunct w:val="0"/>
                    <w:bidi w:val="0"/>
                    <w:adjustRightInd w:val="0"/>
                    <w:spacing w:beforeAutospacing="0" w:afterAutospacing="0" w:line="240" w:lineRule="auto"/>
                    <w:ind w:right="0"/>
                    <w:jc w:val="cente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t>工区四周设置围屏，场内定期洒水抑尘</w:t>
                  </w:r>
                </w:p>
              </w:tc>
              <w:tc>
                <w:tcPr>
                  <w:tcW w:w="1074" w:type="pct"/>
                  <w:tcBorders>
                    <w:tl2br w:val="nil"/>
                    <w:tr2bl w:val="nil"/>
                  </w:tcBorders>
                  <w:vAlign w:val="center"/>
                </w:tcPr>
                <w:p w14:paraId="70338FFF">
                  <w:pPr>
                    <w:keepNext w:val="0"/>
                    <w:keepLines w:val="0"/>
                    <w:widowControl/>
                    <w:suppressLineNumbers w:val="0"/>
                    <w:shd w:val="clear"/>
                    <w:jc w:val="cente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val="0"/>
                      <w:bCs/>
                      <w:color w:val="auto"/>
                      <w:spacing w:val="0"/>
                      <w:kern w:val="0"/>
                      <w:sz w:val="21"/>
                      <w:szCs w:val="21"/>
                      <w:highlight w:val="none"/>
                      <w:lang w:val="en-US" w:eastAsia="zh-CN" w:bidi="ar"/>
                    </w:rPr>
                    <w:t>各标段设置1个TSP监测点</w:t>
                  </w:r>
                </w:p>
              </w:tc>
              <w:tc>
                <w:tcPr>
                  <w:tcW w:w="747" w:type="pct"/>
                  <w:tcBorders>
                    <w:tl2br w:val="nil"/>
                    <w:tr2bl w:val="nil"/>
                  </w:tcBorders>
                  <w:vAlign w:val="center"/>
                </w:tcPr>
                <w:p w14:paraId="5B25041F">
                  <w:pPr>
                    <w:keepNext w:val="0"/>
                    <w:keepLines w:val="0"/>
                    <w:widowControl/>
                    <w:suppressLineNumbers w:val="0"/>
                    <w:shd w:val="clear"/>
                    <w:jc w:val="cente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val="0"/>
                      <w:bCs/>
                      <w:color w:val="auto"/>
                      <w:spacing w:val="0"/>
                      <w:kern w:val="0"/>
                      <w:sz w:val="21"/>
                      <w:szCs w:val="21"/>
                      <w:highlight w:val="none"/>
                      <w:lang w:val="en-US" w:eastAsia="zh-CN" w:bidi="ar"/>
                    </w:rPr>
                    <w:t>监测点TSP</w:t>
                  </w:r>
                </w:p>
              </w:tc>
              <w:tc>
                <w:tcPr>
                  <w:tcW w:w="703" w:type="pct"/>
                  <w:tcBorders>
                    <w:tl2br w:val="nil"/>
                    <w:tr2bl w:val="nil"/>
                  </w:tcBorders>
                  <w:vAlign w:val="center"/>
                </w:tcPr>
                <w:p w14:paraId="6D056716">
                  <w:pPr>
                    <w:keepNext w:val="0"/>
                    <w:keepLines w:val="0"/>
                    <w:widowControl/>
                    <w:suppressLineNumbers w:val="0"/>
                    <w:shd w:val="clear"/>
                    <w:jc w:val="cente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val="0"/>
                      <w:bCs/>
                      <w:color w:val="auto"/>
                      <w:spacing w:val="0"/>
                      <w:kern w:val="0"/>
                      <w:sz w:val="21"/>
                      <w:szCs w:val="21"/>
                      <w:highlight w:val="none"/>
                      <w:lang w:val="en-US" w:eastAsia="zh-CN" w:bidi="ar"/>
                    </w:rPr>
                    <w:t>1期/季度</w:t>
                  </w:r>
                </w:p>
              </w:tc>
            </w:tr>
          </w:tbl>
          <w:p w14:paraId="58934CC7">
            <w:pPr>
              <w:keepNext w:val="0"/>
              <w:keepLines w:val="0"/>
              <w:pageBreakBefore w:val="0"/>
              <w:shd w:val="clear"/>
              <w:kinsoku/>
              <w:overflowPunct/>
              <w:topLinePunct w:val="0"/>
              <w:bidi w:val="0"/>
              <w:adjustRightInd w:val="0"/>
              <w:spacing w:beforeAutospacing="0" w:afterAutospacing="0" w:line="360" w:lineRule="auto"/>
              <w:ind w:left="0" w:leftChars="0" w:right="0"/>
              <w:rPr>
                <w:rFonts w:hint="default" w:ascii="Times New Roman" w:hAnsi="Times New Roman" w:eastAsia="宋体" w:cs="Times New Roman"/>
                <w:b/>
                <w:color w:val="auto"/>
                <w:spacing w:val="0"/>
                <w:w w:val="100"/>
                <w:position w:val="0"/>
                <w:sz w:val="24"/>
                <w:szCs w:val="24"/>
                <w:highlight w:val="none"/>
              </w:rPr>
            </w:pPr>
            <w:r>
              <w:rPr>
                <w:rFonts w:hint="default" w:ascii="Times New Roman" w:hAnsi="Times New Roman" w:eastAsia="宋体" w:cs="Times New Roman"/>
                <w:b/>
                <w:color w:val="auto"/>
                <w:spacing w:val="0"/>
                <w:w w:val="100"/>
                <w:position w:val="0"/>
                <w:sz w:val="24"/>
                <w:szCs w:val="24"/>
                <w:highlight w:val="none"/>
                <w:lang w:val="en-US" w:eastAsia="zh-CN"/>
              </w:rPr>
              <w:t>2.</w:t>
            </w:r>
            <w:r>
              <w:rPr>
                <w:rFonts w:hint="default" w:ascii="Times New Roman" w:hAnsi="Times New Roman" w:eastAsia="宋体" w:cs="Times New Roman"/>
                <w:b/>
                <w:color w:val="auto"/>
                <w:spacing w:val="0"/>
                <w:w w:val="100"/>
                <w:position w:val="0"/>
                <w:sz w:val="24"/>
                <w:szCs w:val="24"/>
                <w:highlight w:val="none"/>
              </w:rPr>
              <w:t>建设项目环境保护“三同时”验收</w:t>
            </w:r>
          </w:p>
          <w:p w14:paraId="0AA0F056">
            <w:pPr>
              <w:keepNext w:val="0"/>
              <w:keepLines w:val="0"/>
              <w:pageBreakBefore w:val="0"/>
              <w:widowControl w:val="0"/>
              <w:shd w:val="clear"/>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kern w:val="0"/>
                <w:position w:val="0"/>
                <w:sz w:val="24"/>
                <w:szCs w:val="24"/>
                <w:highlight w:val="none"/>
                <w:lang w:val="en-US" w:eastAsia="zh-CN" w:bidi="ar"/>
              </w:rPr>
              <w:t>根据《建设项目环境保护管理条例》《建设项目竣工环境保护验收管理办法》，工程建设过程中的污染防治措施必须与建设项目同时设计、同时施工、同时投入运行。项目与“三同时”污染防治措施必须验收合格后才能正式投入运行。防治污染的设施不得擅自拆除或闲置。</w:t>
            </w:r>
            <w:r>
              <w:rPr>
                <w:rFonts w:hint="default" w:ascii="Times New Roman" w:hAnsi="Times New Roman" w:eastAsia="宋体" w:cs="Times New Roman"/>
                <w:color w:val="auto"/>
                <w:spacing w:val="0"/>
                <w:w w:val="100"/>
                <w:position w:val="0"/>
                <w:sz w:val="24"/>
                <w:szCs w:val="24"/>
                <w:highlight w:val="none"/>
              </w:rPr>
              <w:t>项目“三同时”验收一览表见表</w:t>
            </w:r>
            <w:r>
              <w:rPr>
                <w:rFonts w:hint="default" w:ascii="Times New Roman" w:hAnsi="Times New Roman" w:eastAsia="宋体" w:cs="Times New Roman"/>
                <w:color w:val="auto"/>
                <w:spacing w:val="0"/>
                <w:w w:val="100"/>
                <w:position w:val="0"/>
                <w:sz w:val="24"/>
                <w:szCs w:val="24"/>
                <w:highlight w:val="none"/>
                <w:lang w:val="en-US" w:eastAsia="zh-CN"/>
              </w:rPr>
              <w:t>5-7</w:t>
            </w:r>
            <w:r>
              <w:rPr>
                <w:rFonts w:hint="default" w:ascii="Times New Roman" w:hAnsi="Times New Roman" w:eastAsia="宋体" w:cs="Times New Roman"/>
                <w:color w:val="auto"/>
                <w:spacing w:val="0"/>
                <w:w w:val="100"/>
                <w:position w:val="0"/>
                <w:sz w:val="24"/>
                <w:szCs w:val="24"/>
                <w:highlight w:val="none"/>
              </w:rPr>
              <w:t>。</w:t>
            </w:r>
          </w:p>
          <w:p w14:paraId="13B504A0">
            <w:pPr>
              <w:keepNext w:val="0"/>
              <w:keepLines w:val="0"/>
              <w:pageBreakBefore w:val="0"/>
              <w:shd w:val="clear"/>
              <w:kinsoku/>
              <w:overflowPunct/>
              <w:topLinePunct w:val="0"/>
              <w:bidi w:val="0"/>
              <w:adjustRightInd w:val="0"/>
              <w:spacing w:beforeAutospacing="0" w:afterAutospacing="0" w:line="240" w:lineRule="atLeast"/>
              <w:ind w:left="0" w:leftChars="0" w:right="0"/>
              <w:jc w:val="center"/>
              <w:rPr>
                <w:rFonts w:hint="default" w:ascii="Times New Roman" w:hAnsi="Times New Roman" w:eastAsia="宋体" w:cs="Times New Roman"/>
                <w:b/>
                <w:snapToGrid w:val="0"/>
                <w:color w:val="auto"/>
                <w:spacing w:val="0"/>
                <w:w w:val="100"/>
                <w:position w:val="0"/>
                <w:sz w:val="21"/>
                <w:szCs w:val="21"/>
                <w:highlight w:val="none"/>
              </w:rPr>
            </w:pPr>
            <w:r>
              <w:rPr>
                <w:rFonts w:hint="default" w:ascii="Times New Roman" w:hAnsi="Times New Roman" w:eastAsia="宋体" w:cs="Times New Roman"/>
                <w:b/>
                <w:snapToGrid w:val="0"/>
                <w:color w:val="auto"/>
                <w:spacing w:val="0"/>
                <w:w w:val="100"/>
                <w:position w:val="0"/>
                <w:sz w:val="21"/>
                <w:szCs w:val="21"/>
                <w:highlight w:val="none"/>
              </w:rPr>
              <w:t>表</w:t>
            </w:r>
            <w:r>
              <w:rPr>
                <w:rFonts w:hint="default" w:ascii="Times New Roman" w:hAnsi="Times New Roman" w:eastAsia="宋体" w:cs="Times New Roman"/>
                <w:b/>
                <w:snapToGrid w:val="0"/>
                <w:color w:val="auto"/>
                <w:spacing w:val="0"/>
                <w:w w:val="100"/>
                <w:position w:val="0"/>
                <w:sz w:val="21"/>
                <w:szCs w:val="21"/>
                <w:highlight w:val="none"/>
                <w:lang w:val="en-US" w:eastAsia="zh-CN"/>
              </w:rPr>
              <w:t>5-7</w:t>
            </w:r>
            <w:r>
              <w:rPr>
                <w:rFonts w:hint="default" w:ascii="Times New Roman" w:hAnsi="Times New Roman" w:eastAsia="宋体" w:cs="Times New Roman"/>
                <w:b/>
                <w:snapToGrid w:val="0"/>
                <w:color w:val="auto"/>
                <w:spacing w:val="0"/>
                <w:w w:val="100"/>
                <w:position w:val="0"/>
                <w:sz w:val="21"/>
                <w:szCs w:val="21"/>
                <w:highlight w:val="none"/>
              </w:rPr>
              <w:t>建设项目“三同时”验收一览表</w:t>
            </w:r>
          </w:p>
          <w:tbl>
            <w:tblPr>
              <w:tblStyle w:val="91"/>
              <w:tblW w:w="497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90"/>
              <w:gridCol w:w="1033"/>
              <w:gridCol w:w="1691"/>
              <w:gridCol w:w="4232"/>
            </w:tblGrid>
            <w:tr w14:paraId="299B6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391" w:type="pct"/>
                  <w:tcBorders>
                    <w:top w:val="single" w:color="000000" w:sz="12" w:space="0"/>
                    <w:left w:val="nil"/>
                    <w:bottom w:val="single" w:color="000000" w:sz="12" w:space="0"/>
                  </w:tcBorders>
                  <w:vAlign w:val="center"/>
                </w:tcPr>
                <w:p w14:paraId="7401E3A9">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阶段</w:t>
                  </w:r>
                </w:p>
              </w:tc>
              <w:tc>
                <w:tcPr>
                  <w:tcW w:w="684" w:type="pct"/>
                  <w:tcBorders>
                    <w:top w:val="single" w:color="000000" w:sz="12" w:space="0"/>
                    <w:bottom w:val="single" w:color="000000" w:sz="12" w:space="0"/>
                  </w:tcBorders>
                  <w:vAlign w:val="center"/>
                </w:tcPr>
                <w:p w14:paraId="7041F5B7">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验收项目</w:t>
                  </w:r>
                </w:p>
              </w:tc>
              <w:tc>
                <w:tcPr>
                  <w:tcW w:w="1120" w:type="pct"/>
                  <w:tcBorders>
                    <w:top w:val="single" w:color="000000" w:sz="12" w:space="0"/>
                    <w:bottom w:val="single" w:color="000000" w:sz="12" w:space="0"/>
                  </w:tcBorders>
                  <w:vAlign w:val="center"/>
                </w:tcPr>
                <w:p w14:paraId="4CD40710">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验收内容</w:t>
                  </w:r>
                </w:p>
              </w:tc>
              <w:tc>
                <w:tcPr>
                  <w:tcW w:w="2803" w:type="pct"/>
                  <w:tcBorders>
                    <w:top w:val="single" w:color="000000" w:sz="12" w:space="0"/>
                    <w:bottom w:val="single" w:color="000000" w:sz="12" w:space="0"/>
                    <w:right w:val="nil"/>
                  </w:tcBorders>
                  <w:vAlign w:val="center"/>
                </w:tcPr>
                <w:p w14:paraId="247A45F7">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措施效果</w:t>
                  </w:r>
                </w:p>
              </w:tc>
            </w:tr>
            <w:tr w14:paraId="75C72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391" w:type="pct"/>
                  <w:vMerge w:val="restart"/>
                  <w:tcBorders>
                    <w:top w:val="single" w:color="000000" w:sz="12" w:space="0"/>
                    <w:left w:val="nil"/>
                    <w:bottom w:val="nil"/>
                  </w:tcBorders>
                  <w:vAlign w:val="center"/>
                </w:tcPr>
                <w:p w14:paraId="1AE35CDF">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施工期</w:t>
                  </w:r>
                </w:p>
              </w:tc>
              <w:tc>
                <w:tcPr>
                  <w:tcW w:w="684" w:type="pct"/>
                  <w:tcBorders>
                    <w:top w:val="single" w:color="000000" w:sz="12" w:space="0"/>
                  </w:tcBorders>
                  <w:vAlign w:val="center"/>
                </w:tcPr>
                <w:p w14:paraId="2CC4C473">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噪声</w:t>
                  </w:r>
                </w:p>
              </w:tc>
              <w:tc>
                <w:tcPr>
                  <w:tcW w:w="1120" w:type="pct"/>
                  <w:vMerge w:val="restart"/>
                  <w:tcBorders>
                    <w:top w:val="single" w:color="000000" w:sz="12" w:space="0"/>
                    <w:bottom w:val="nil"/>
                  </w:tcBorders>
                  <w:vAlign w:val="center"/>
                </w:tcPr>
                <w:p w14:paraId="6D40F6D6">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检查施工期是否按照环评要求落实相应的污废水、噪声、废气、固体废弃物污染防治措施和生态措施。按环境监测计划定期开展监测工作。</w:t>
                  </w:r>
                </w:p>
              </w:tc>
              <w:tc>
                <w:tcPr>
                  <w:tcW w:w="2803" w:type="pct"/>
                  <w:tcBorders>
                    <w:top w:val="single" w:color="000000" w:sz="12" w:space="0"/>
                    <w:right w:val="nil"/>
                  </w:tcBorders>
                  <w:vAlign w:val="center"/>
                </w:tcPr>
                <w:p w14:paraId="76D185A2">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满足《建筑施工场界环境噪声排放标准》</w:t>
                  </w: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GB12523-2011</w:t>
                  </w: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要求</w:t>
                  </w:r>
                </w:p>
              </w:tc>
            </w:tr>
            <w:tr w14:paraId="4CBD0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391" w:type="pct"/>
                  <w:vMerge w:val="continue"/>
                  <w:tcBorders>
                    <w:top w:val="nil"/>
                    <w:left w:val="nil"/>
                    <w:bottom w:val="nil"/>
                  </w:tcBorders>
                  <w:vAlign w:val="center"/>
                </w:tcPr>
                <w:p w14:paraId="67FCA9D7">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p>
              </w:tc>
              <w:tc>
                <w:tcPr>
                  <w:tcW w:w="684" w:type="pct"/>
                  <w:vAlign w:val="center"/>
                </w:tcPr>
                <w:p w14:paraId="7DCD19B9">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废气</w:t>
                  </w:r>
                </w:p>
              </w:tc>
              <w:tc>
                <w:tcPr>
                  <w:tcW w:w="1120" w:type="pct"/>
                  <w:vMerge w:val="continue"/>
                  <w:tcBorders>
                    <w:top w:val="nil"/>
                    <w:bottom w:val="nil"/>
                  </w:tcBorders>
                  <w:vAlign w:val="center"/>
                </w:tcPr>
                <w:p w14:paraId="19771723">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p>
              </w:tc>
              <w:tc>
                <w:tcPr>
                  <w:tcW w:w="2803" w:type="pct"/>
                  <w:tcBorders>
                    <w:right w:val="nil"/>
                  </w:tcBorders>
                  <w:vAlign w:val="center"/>
                </w:tcPr>
                <w:p w14:paraId="7C6C8C31">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满足《大气污染物综合排放标准》</w:t>
                  </w: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GB16297-1996</w:t>
                  </w: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中无组织排放标准</w:t>
                  </w:r>
                </w:p>
              </w:tc>
            </w:tr>
            <w:tr w14:paraId="22A10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391" w:type="pct"/>
                  <w:vMerge w:val="continue"/>
                  <w:tcBorders>
                    <w:top w:val="nil"/>
                    <w:left w:val="nil"/>
                    <w:bottom w:val="nil"/>
                  </w:tcBorders>
                  <w:vAlign w:val="center"/>
                </w:tcPr>
                <w:p w14:paraId="53144B6A">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p>
              </w:tc>
              <w:tc>
                <w:tcPr>
                  <w:tcW w:w="684" w:type="pct"/>
                  <w:vAlign w:val="center"/>
                </w:tcPr>
                <w:p w14:paraId="6E5DF88A">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固体废物</w:t>
                  </w:r>
                </w:p>
              </w:tc>
              <w:tc>
                <w:tcPr>
                  <w:tcW w:w="1120" w:type="pct"/>
                  <w:vMerge w:val="continue"/>
                  <w:tcBorders>
                    <w:top w:val="nil"/>
                    <w:bottom w:val="nil"/>
                  </w:tcBorders>
                  <w:vAlign w:val="center"/>
                </w:tcPr>
                <w:p w14:paraId="780B210E">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p>
              </w:tc>
              <w:tc>
                <w:tcPr>
                  <w:tcW w:w="2803" w:type="pct"/>
                  <w:tcBorders>
                    <w:right w:val="nil"/>
                  </w:tcBorders>
                  <w:vAlign w:val="center"/>
                </w:tcPr>
                <w:p w14:paraId="54F4FB68">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lang w:val="en-US" w:eastAsia="zh-CN"/>
                    </w:rPr>
                    <w:t>①</w:t>
                  </w:r>
                  <w:r>
                    <w:rPr>
                      <w:rFonts w:hint="default" w:ascii="Times New Roman" w:hAnsi="Times New Roman" w:eastAsia="宋体" w:cs="Times New Roman"/>
                      <w:color w:val="auto"/>
                      <w:spacing w:val="0"/>
                      <w:position w:val="0"/>
                      <w:sz w:val="21"/>
                      <w:szCs w:val="21"/>
                      <w:highlight w:val="none"/>
                    </w:rPr>
                    <w:t>多余土方用于坝后填土来加宽堤顶，以稳固堤身。施工结束后将多余的土方堆放在位于</w:t>
                  </w:r>
                  <w:r>
                    <w:rPr>
                      <w:rFonts w:hint="default" w:ascii="Times New Roman" w:hAnsi="Times New Roman" w:eastAsia="宋体" w:cs="Times New Roman"/>
                      <w:color w:val="auto"/>
                      <w:spacing w:val="0"/>
                      <w:position w:val="0"/>
                      <w:sz w:val="21"/>
                      <w:szCs w:val="21"/>
                      <w:highlight w:val="none"/>
                      <w:lang w:eastAsia="zh-CN"/>
                    </w:rPr>
                    <w:t>项目区</w:t>
                  </w:r>
                  <w:r>
                    <w:rPr>
                      <w:rFonts w:hint="default" w:ascii="Times New Roman" w:hAnsi="Times New Roman" w:eastAsia="宋体" w:cs="Times New Roman"/>
                      <w:color w:val="auto"/>
                      <w:spacing w:val="0"/>
                      <w:position w:val="0"/>
                      <w:sz w:val="21"/>
                      <w:szCs w:val="21"/>
                      <w:highlight w:val="none"/>
                    </w:rPr>
                    <w:t>两侧已开采废弃取料坑内平整堆放；</w:t>
                  </w:r>
                </w:p>
                <w:p w14:paraId="52F493D9">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lang w:val="en-US" w:eastAsia="zh-CN"/>
                    </w:rPr>
                    <w:t>②</w:t>
                  </w:r>
                  <w:r>
                    <w:rPr>
                      <w:rFonts w:hint="default" w:ascii="Times New Roman" w:hAnsi="Times New Roman" w:eastAsia="宋体" w:cs="Times New Roman"/>
                      <w:color w:val="auto"/>
                      <w:spacing w:val="0"/>
                      <w:position w:val="0"/>
                      <w:sz w:val="21"/>
                      <w:szCs w:val="21"/>
                      <w:highlight w:val="none"/>
                    </w:rPr>
                    <w:t>生活垃圾统一收集后环卫部门统一清运</w:t>
                  </w:r>
                </w:p>
              </w:tc>
            </w:tr>
            <w:tr w14:paraId="2A853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391" w:type="pct"/>
                  <w:vMerge w:val="continue"/>
                  <w:tcBorders>
                    <w:top w:val="nil"/>
                    <w:left w:val="nil"/>
                  </w:tcBorders>
                  <w:vAlign w:val="center"/>
                </w:tcPr>
                <w:p w14:paraId="58C357F7">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p>
              </w:tc>
              <w:tc>
                <w:tcPr>
                  <w:tcW w:w="684" w:type="pct"/>
                  <w:vAlign w:val="center"/>
                </w:tcPr>
                <w:p w14:paraId="062252C2">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生态环境</w:t>
                  </w:r>
                </w:p>
              </w:tc>
              <w:tc>
                <w:tcPr>
                  <w:tcW w:w="1120" w:type="pct"/>
                  <w:vMerge w:val="continue"/>
                  <w:tcBorders>
                    <w:top w:val="nil"/>
                  </w:tcBorders>
                  <w:vAlign w:val="center"/>
                </w:tcPr>
                <w:p w14:paraId="2A89976D">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p>
              </w:tc>
              <w:tc>
                <w:tcPr>
                  <w:tcW w:w="2803" w:type="pct"/>
                  <w:tcBorders>
                    <w:right w:val="nil"/>
                  </w:tcBorders>
                  <w:vAlign w:val="center"/>
                </w:tcPr>
                <w:p w14:paraId="54E4CD13">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护坡建设符合生态设计要求，临时占地及时进行生态恢复，防治水土流失等</w:t>
                  </w:r>
                </w:p>
              </w:tc>
            </w:tr>
          </w:tbl>
          <w:p w14:paraId="4697B9BE">
            <w:pPr>
              <w:pStyle w:val="21"/>
              <w:keepNext w:val="0"/>
              <w:keepLines w:val="0"/>
              <w:pageBreakBefore w:val="0"/>
              <w:shd w:val="clear"/>
              <w:kinsoku/>
              <w:overflowPunct/>
              <w:topLinePunct w:val="0"/>
              <w:bidi w:val="0"/>
              <w:spacing w:beforeAutospacing="0" w:afterAutospacing="0"/>
              <w:ind w:left="0" w:leftChars="0" w:right="0"/>
              <w:rPr>
                <w:rFonts w:hint="default" w:ascii="Times New Roman" w:hAnsi="Times New Roman" w:eastAsia="宋体" w:cs="Times New Roman"/>
                <w:color w:val="auto"/>
                <w:spacing w:val="0"/>
                <w:w w:val="100"/>
                <w:position w:val="0"/>
                <w:highlight w:val="none"/>
                <w:lang w:eastAsia="zh-CN"/>
              </w:rPr>
            </w:pPr>
          </w:p>
        </w:tc>
      </w:tr>
      <w:tr w14:paraId="12431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9" w:hRule="atLeast"/>
          <w:jc w:val="center"/>
        </w:trPr>
        <w:tc>
          <w:tcPr>
            <w:tcW w:w="466" w:type="pct"/>
            <w:tcBorders>
              <w:tl2br w:val="nil"/>
              <w:tr2bl w:val="nil"/>
            </w:tcBorders>
            <w:noWrap w:val="0"/>
            <w:vAlign w:val="center"/>
          </w:tcPr>
          <w:p w14:paraId="22FC3617">
            <w:pPr>
              <w:keepNext w:val="0"/>
              <w:keepLines w:val="0"/>
              <w:pageBreakBefore w:val="0"/>
              <w:shd w:val="clear"/>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color w:val="auto"/>
                <w:spacing w:val="0"/>
                <w:w w:val="100"/>
                <w:position w:val="0"/>
                <w:sz w:val="24"/>
                <w:szCs w:val="24"/>
                <w:highlight w:val="none"/>
              </w:rPr>
            </w:pPr>
            <w:r>
              <w:rPr>
                <w:rFonts w:hint="default" w:ascii="Times New Roman" w:hAnsi="Times New Roman" w:eastAsia="宋体" w:cs="Times New Roman"/>
                <w:bCs/>
                <w:color w:val="auto"/>
                <w:spacing w:val="0"/>
                <w:w w:val="100"/>
                <w:position w:val="0"/>
                <w:sz w:val="24"/>
                <w:szCs w:val="24"/>
                <w:highlight w:val="none"/>
              </w:rPr>
              <w:t>环保投资</w:t>
            </w:r>
          </w:p>
        </w:tc>
        <w:tc>
          <w:tcPr>
            <w:tcW w:w="4533" w:type="pct"/>
            <w:tcBorders>
              <w:tl2br w:val="nil"/>
              <w:tr2bl w:val="nil"/>
            </w:tcBorders>
            <w:noWrap w:val="0"/>
            <w:vAlign w:val="top"/>
          </w:tcPr>
          <w:p w14:paraId="2B240EBE">
            <w:pPr>
              <w:keepNext w:val="0"/>
              <w:keepLines w:val="0"/>
              <w:pageBreakBefore w:val="0"/>
              <w:shd w:val="clear"/>
              <w:kinsoku/>
              <w:overflowPunct/>
              <w:topLinePunct w:val="0"/>
              <w:bidi w:val="0"/>
              <w:adjustRightInd w:val="0"/>
              <w:snapToGrid w:val="0"/>
              <w:spacing w:beforeAutospacing="0" w:afterAutospacing="0" w:line="360" w:lineRule="auto"/>
              <w:ind w:left="0" w:leftChars="0" w:right="0" w:firstLine="480" w:firstLineChars="200"/>
              <w:rPr>
                <w:rFonts w:hint="default" w:ascii="Times New Roman" w:hAnsi="Times New Roman" w:eastAsia="宋体" w:cs="Times New Roman"/>
                <w:bCs/>
                <w:color w:val="auto"/>
                <w:spacing w:val="0"/>
                <w:w w:val="100"/>
                <w:position w:val="0"/>
                <w:sz w:val="24"/>
                <w:szCs w:val="24"/>
                <w:highlight w:val="none"/>
              </w:rPr>
            </w:pPr>
            <w:r>
              <w:rPr>
                <w:rFonts w:hint="default" w:ascii="Times New Roman" w:hAnsi="Times New Roman" w:eastAsia="宋体" w:cs="Times New Roman"/>
                <w:bCs/>
                <w:color w:val="auto"/>
                <w:spacing w:val="0"/>
                <w:w w:val="100"/>
                <w:position w:val="0"/>
                <w:sz w:val="24"/>
                <w:szCs w:val="24"/>
                <w:highlight w:val="none"/>
                <w:lang w:val="en-US" w:eastAsia="zh-CN"/>
              </w:rPr>
              <w:t>本项目为河湖整治项目，仅有施工期会对周边环境产生影响，运营期无三废产生，投资主要用于施工期三废治理。本项目总投资</w:t>
            </w:r>
            <w:r>
              <w:rPr>
                <w:rFonts w:hint="default" w:ascii="Times New Roman" w:hAnsi="Times New Roman" w:cs="Times New Roman"/>
                <w:bCs/>
                <w:color w:val="auto"/>
                <w:spacing w:val="0"/>
                <w:w w:val="100"/>
                <w:position w:val="0"/>
                <w:sz w:val="24"/>
                <w:szCs w:val="24"/>
                <w:highlight w:val="none"/>
                <w:lang w:val="en-US" w:eastAsia="zh-CN"/>
              </w:rPr>
              <w:t>5662</w:t>
            </w:r>
            <w:r>
              <w:rPr>
                <w:rFonts w:hint="default" w:ascii="Times New Roman" w:hAnsi="Times New Roman" w:eastAsia="宋体" w:cs="Times New Roman"/>
                <w:bCs/>
                <w:color w:val="auto"/>
                <w:spacing w:val="0"/>
                <w:w w:val="100"/>
                <w:position w:val="0"/>
                <w:sz w:val="24"/>
                <w:szCs w:val="24"/>
                <w:highlight w:val="none"/>
                <w:lang w:val="en-US" w:eastAsia="zh-CN"/>
              </w:rPr>
              <w:t>万元，环保投入为</w:t>
            </w:r>
            <w:r>
              <w:rPr>
                <w:rFonts w:hint="default" w:ascii="Times New Roman" w:hAnsi="Times New Roman" w:cs="Times New Roman"/>
                <w:bCs/>
                <w:color w:val="auto"/>
                <w:spacing w:val="0"/>
                <w:w w:val="100"/>
                <w:position w:val="0"/>
                <w:sz w:val="24"/>
                <w:szCs w:val="24"/>
                <w:highlight w:val="none"/>
                <w:lang w:val="en-US" w:eastAsia="zh-CN"/>
              </w:rPr>
              <w:t>55</w:t>
            </w:r>
            <w:r>
              <w:rPr>
                <w:rFonts w:hint="default" w:ascii="Times New Roman" w:hAnsi="Times New Roman" w:eastAsia="宋体" w:cs="Times New Roman"/>
                <w:bCs/>
                <w:color w:val="auto"/>
                <w:spacing w:val="0"/>
                <w:w w:val="100"/>
                <w:position w:val="0"/>
                <w:sz w:val="24"/>
                <w:szCs w:val="24"/>
                <w:highlight w:val="none"/>
                <w:lang w:val="en-US" w:eastAsia="zh-CN"/>
              </w:rPr>
              <w:t>万元，占总投资的</w:t>
            </w:r>
            <w:r>
              <w:rPr>
                <w:rFonts w:hint="default" w:ascii="Times New Roman" w:hAnsi="Times New Roman" w:cs="Times New Roman"/>
                <w:bCs/>
                <w:color w:val="auto"/>
                <w:spacing w:val="0"/>
                <w:w w:val="100"/>
                <w:position w:val="0"/>
                <w:sz w:val="24"/>
                <w:szCs w:val="24"/>
                <w:highlight w:val="none"/>
                <w:lang w:val="en-US" w:eastAsia="zh-CN"/>
              </w:rPr>
              <w:t>0.97%</w:t>
            </w:r>
            <w:r>
              <w:rPr>
                <w:rFonts w:hint="default" w:ascii="Times New Roman" w:hAnsi="Times New Roman" w:eastAsia="宋体" w:cs="Times New Roman"/>
                <w:bCs/>
                <w:color w:val="auto"/>
                <w:spacing w:val="0"/>
                <w:w w:val="100"/>
                <w:position w:val="0"/>
                <w:sz w:val="24"/>
                <w:szCs w:val="24"/>
                <w:highlight w:val="none"/>
                <w:lang w:val="en-US" w:eastAsia="zh-CN"/>
              </w:rPr>
              <w:t>。项目环保</w:t>
            </w:r>
            <w:r>
              <w:rPr>
                <w:rFonts w:hint="default" w:ascii="Times New Roman" w:hAnsi="Times New Roman" w:eastAsia="宋体" w:cs="Times New Roman"/>
                <w:bCs/>
                <w:color w:val="auto"/>
                <w:spacing w:val="0"/>
                <w:w w:val="100"/>
                <w:position w:val="0"/>
                <w:sz w:val="24"/>
                <w:szCs w:val="24"/>
                <w:highlight w:val="none"/>
              </w:rPr>
              <w:t>投资估算见表5-</w:t>
            </w:r>
            <w:r>
              <w:rPr>
                <w:rFonts w:hint="default" w:ascii="Times New Roman" w:hAnsi="Times New Roman" w:eastAsia="宋体" w:cs="Times New Roman"/>
                <w:bCs/>
                <w:color w:val="auto"/>
                <w:spacing w:val="0"/>
                <w:w w:val="100"/>
                <w:position w:val="0"/>
                <w:sz w:val="24"/>
                <w:szCs w:val="24"/>
                <w:highlight w:val="none"/>
                <w:lang w:val="en-US" w:eastAsia="zh-CN"/>
              </w:rPr>
              <w:t>8</w:t>
            </w:r>
            <w:r>
              <w:rPr>
                <w:rFonts w:hint="default" w:ascii="Times New Roman" w:hAnsi="Times New Roman" w:eastAsia="宋体" w:cs="Times New Roman"/>
                <w:bCs/>
                <w:color w:val="auto"/>
                <w:spacing w:val="0"/>
                <w:w w:val="100"/>
                <w:position w:val="0"/>
                <w:sz w:val="24"/>
                <w:szCs w:val="24"/>
                <w:highlight w:val="none"/>
              </w:rPr>
              <w:t>。</w:t>
            </w:r>
          </w:p>
          <w:p w14:paraId="6EF21972">
            <w:pPr>
              <w:pStyle w:val="62"/>
              <w:keepNext w:val="0"/>
              <w:keepLines w:val="0"/>
              <w:pageBreakBefore w:val="0"/>
              <w:shd w:val="clear"/>
              <w:kinsoku/>
              <w:overflowPunct/>
              <w:topLinePunct w:val="0"/>
              <w:bidi w:val="0"/>
              <w:spacing w:beforeAutospacing="0" w:afterAutospacing="0"/>
              <w:ind w:left="0" w:leftChars="0" w:right="0" w:firstLine="420"/>
              <w:rPr>
                <w:rFonts w:hint="default" w:ascii="Times New Roman" w:hAnsi="Times New Roman" w:eastAsia="宋体" w:cs="Times New Roman"/>
                <w:color w:val="auto"/>
                <w:spacing w:val="0"/>
                <w:w w:val="100"/>
                <w:position w:val="0"/>
                <w:highlight w:val="none"/>
              </w:rPr>
            </w:pPr>
            <w:r>
              <w:rPr>
                <w:rFonts w:hint="default" w:ascii="Times New Roman" w:hAnsi="Times New Roman" w:eastAsia="宋体" w:cs="Times New Roman"/>
                <w:color w:val="auto"/>
                <w:spacing w:val="0"/>
                <w:w w:val="100"/>
                <w:position w:val="0"/>
                <w:highlight w:val="none"/>
              </w:rPr>
              <w:t>表5-</w:t>
            </w:r>
            <w:r>
              <w:rPr>
                <w:rFonts w:hint="default" w:ascii="Times New Roman" w:hAnsi="Times New Roman" w:eastAsia="宋体" w:cs="Times New Roman"/>
                <w:color w:val="auto"/>
                <w:spacing w:val="0"/>
                <w:w w:val="100"/>
                <w:position w:val="0"/>
                <w:highlight w:val="none"/>
                <w:lang w:val="en-US" w:eastAsia="zh-CN"/>
              </w:rPr>
              <w:t xml:space="preserve">8    </w:t>
            </w:r>
            <w:r>
              <w:rPr>
                <w:rFonts w:hint="default" w:ascii="Times New Roman" w:hAnsi="Times New Roman" w:eastAsia="宋体" w:cs="Times New Roman"/>
                <w:color w:val="auto"/>
                <w:spacing w:val="0"/>
                <w:w w:val="100"/>
                <w:position w:val="0"/>
                <w:highlight w:val="none"/>
              </w:rPr>
              <w:t>环保投资一览表</w:t>
            </w:r>
          </w:p>
          <w:tbl>
            <w:tblPr>
              <w:tblStyle w:val="91"/>
              <w:tblW w:w="4963"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588"/>
              <w:gridCol w:w="716"/>
              <w:gridCol w:w="729"/>
              <w:gridCol w:w="4505"/>
              <w:gridCol w:w="996"/>
            </w:tblGrid>
            <w:tr w14:paraId="42F9C47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90" w:type="pct"/>
                  <w:tcBorders>
                    <w:bottom w:val="single" w:color="000000" w:sz="12" w:space="0"/>
                  </w:tcBorders>
                  <w:vAlign w:val="center"/>
                </w:tcPr>
                <w:p w14:paraId="37CE227B">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序号</w:t>
                  </w:r>
                </w:p>
              </w:tc>
              <w:tc>
                <w:tcPr>
                  <w:tcW w:w="475" w:type="pct"/>
                  <w:tcBorders>
                    <w:bottom w:val="single" w:color="000000" w:sz="12" w:space="0"/>
                  </w:tcBorders>
                  <w:vAlign w:val="center"/>
                </w:tcPr>
                <w:p w14:paraId="6BE060D4">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时期</w:t>
                  </w:r>
                </w:p>
              </w:tc>
              <w:tc>
                <w:tcPr>
                  <w:tcW w:w="483" w:type="pct"/>
                  <w:tcBorders>
                    <w:bottom w:val="single" w:color="000000" w:sz="12" w:space="0"/>
                  </w:tcBorders>
                  <w:vAlign w:val="center"/>
                </w:tcPr>
                <w:p w14:paraId="52CE57FD">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类别</w:t>
                  </w:r>
                </w:p>
              </w:tc>
              <w:tc>
                <w:tcPr>
                  <w:tcW w:w="2989" w:type="pct"/>
                  <w:tcBorders>
                    <w:bottom w:val="single" w:color="000000" w:sz="12" w:space="0"/>
                  </w:tcBorders>
                  <w:vAlign w:val="center"/>
                </w:tcPr>
                <w:p w14:paraId="42EA0634">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内容</w:t>
                  </w:r>
                </w:p>
              </w:tc>
              <w:tc>
                <w:tcPr>
                  <w:tcW w:w="661" w:type="pct"/>
                  <w:tcBorders>
                    <w:bottom w:val="single" w:color="000000" w:sz="12" w:space="0"/>
                  </w:tcBorders>
                  <w:vAlign w:val="center"/>
                </w:tcPr>
                <w:p w14:paraId="7657E43F">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投资金额</w:t>
                  </w:r>
                </w:p>
                <w:p w14:paraId="3A18FB66">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lang w:eastAsia="zh-CN"/>
                    </w:rPr>
                    <w:t>（</w:t>
                  </w:r>
                  <w:r>
                    <w:rPr>
                      <w:rFonts w:hint="default" w:ascii="Times New Roman" w:hAnsi="Times New Roman" w:eastAsia="宋体" w:cs="Times New Roman"/>
                      <w:b/>
                      <w:bCs/>
                      <w:color w:val="auto"/>
                      <w:spacing w:val="0"/>
                      <w:position w:val="0"/>
                      <w:sz w:val="21"/>
                      <w:szCs w:val="21"/>
                      <w:highlight w:val="none"/>
                    </w:rPr>
                    <w:t>万元</w:t>
                  </w:r>
                  <w:r>
                    <w:rPr>
                      <w:rFonts w:hint="default" w:ascii="Times New Roman" w:hAnsi="Times New Roman" w:eastAsia="宋体" w:cs="Times New Roman"/>
                      <w:b/>
                      <w:bCs/>
                      <w:color w:val="auto"/>
                      <w:spacing w:val="0"/>
                      <w:position w:val="0"/>
                      <w:sz w:val="21"/>
                      <w:szCs w:val="21"/>
                      <w:highlight w:val="none"/>
                      <w:lang w:eastAsia="zh-CN"/>
                    </w:rPr>
                    <w:t>）</w:t>
                  </w:r>
                </w:p>
              </w:tc>
            </w:tr>
            <w:tr w14:paraId="41E83FB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90" w:type="pct"/>
                  <w:tcBorders>
                    <w:top w:val="single" w:color="000000" w:sz="12" w:space="0"/>
                    <w:tl2br w:val="nil"/>
                    <w:tr2bl w:val="nil"/>
                  </w:tcBorders>
                  <w:vAlign w:val="center"/>
                </w:tcPr>
                <w:p w14:paraId="31C99775">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w:t>
                  </w:r>
                </w:p>
              </w:tc>
              <w:tc>
                <w:tcPr>
                  <w:tcW w:w="475" w:type="pct"/>
                  <w:vMerge w:val="restart"/>
                  <w:tcBorders>
                    <w:top w:val="single" w:color="000000" w:sz="12" w:space="0"/>
                    <w:tl2br w:val="nil"/>
                    <w:tr2bl w:val="nil"/>
                  </w:tcBorders>
                  <w:vAlign w:val="center"/>
                </w:tcPr>
                <w:p w14:paraId="367EDF9F">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施工期</w:t>
                  </w:r>
                </w:p>
              </w:tc>
              <w:tc>
                <w:tcPr>
                  <w:tcW w:w="483" w:type="pct"/>
                  <w:tcBorders>
                    <w:top w:val="single" w:color="000000" w:sz="12" w:space="0"/>
                    <w:tl2br w:val="nil"/>
                    <w:tr2bl w:val="nil"/>
                  </w:tcBorders>
                  <w:vAlign w:val="center"/>
                </w:tcPr>
                <w:p w14:paraId="2EFCFB6B">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大气</w:t>
                  </w:r>
                </w:p>
              </w:tc>
              <w:tc>
                <w:tcPr>
                  <w:tcW w:w="2989" w:type="pct"/>
                  <w:tcBorders>
                    <w:top w:val="single" w:color="000000" w:sz="12" w:space="0"/>
                    <w:tl2br w:val="nil"/>
                    <w:tr2bl w:val="nil"/>
                  </w:tcBorders>
                  <w:vAlign w:val="center"/>
                </w:tcPr>
                <w:p w14:paraId="3FB7ED69">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施工工地布设围挡、临时堆场防尘网覆盖、洒水降尘</w:t>
                  </w:r>
                </w:p>
              </w:tc>
              <w:tc>
                <w:tcPr>
                  <w:tcW w:w="661" w:type="pct"/>
                  <w:tcBorders>
                    <w:top w:val="single" w:color="000000" w:sz="12" w:space="0"/>
                    <w:tl2br w:val="nil"/>
                    <w:tr2bl w:val="nil"/>
                  </w:tcBorders>
                  <w:vAlign w:val="center"/>
                </w:tcPr>
                <w:p w14:paraId="3DD87805">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10</w:t>
                  </w:r>
                </w:p>
              </w:tc>
            </w:tr>
            <w:tr w14:paraId="104410F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90" w:type="pct"/>
                  <w:tcBorders>
                    <w:tl2br w:val="nil"/>
                    <w:tr2bl w:val="nil"/>
                  </w:tcBorders>
                  <w:vAlign w:val="center"/>
                </w:tcPr>
                <w:p w14:paraId="6266BA72">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p>
              </w:tc>
              <w:tc>
                <w:tcPr>
                  <w:tcW w:w="475" w:type="pct"/>
                  <w:vMerge w:val="continue"/>
                  <w:tcBorders>
                    <w:tl2br w:val="nil"/>
                    <w:tr2bl w:val="nil"/>
                  </w:tcBorders>
                  <w:vAlign w:val="center"/>
                </w:tcPr>
                <w:p w14:paraId="12BFFB6F">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p>
              </w:tc>
              <w:tc>
                <w:tcPr>
                  <w:tcW w:w="483" w:type="pct"/>
                  <w:tcBorders>
                    <w:tl2br w:val="nil"/>
                    <w:tr2bl w:val="nil"/>
                  </w:tcBorders>
                  <w:vAlign w:val="center"/>
                </w:tcPr>
                <w:p w14:paraId="2CB3EE83">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lang w:val="en-US" w:eastAsia="zh-CN"/>
                    </w:rPr>
                    <w:t>废水</w:t>
                  </w:r>
                </w:p>
              </w:tc>
              <w:tc>
                <w:tcPr>
                  <w:tcW w:w="2989" w:type="pct"/>
                  <w:tcBorders>
                    <w:tl2br w:val="nil"/>
                    <w:tr2bl w:val="nil"/>
                  </w:tcBorders>
                  <w:vAlign w:val="center"/>
                </w:tcPr>
                <w:p w14:paraId="3DFCFE94">
                  <w:pPr>
                    <w:keepNext w:val="0"/>
                    <w:keepLines w:val="0"/>
                    <w:widowControl/>
                    <w:suppressLineNumbers w:val="0"/>
                    <w:shd w:val="clear"/>
                    <w:jc w:val="left"/>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kern w:val="0"/>
                      <w:sz w:val="21"/>
                      <w:szCs w:val="21"/>
                      <w:highlight w:val="none"/>
                      <w:lang w:val="en-US" w:eastAsia="zh-CN" w:bidi="ar"/>
                    </w:rPr>
                    <w:t>施工场地可设置临时移动厕所</w:t>
                  </w:r>
                </w:p>
              </w:tc>
              <w:tc>
                <w:tcPr>
                  <w:tcW w:w="661" w:type="pct"/>
                  <w:tcBorders>
                    <w:tl2br w:val="nil"/>
                    <w:tr2bl w:val="nil"/>
                  </w:tcBorders>
                  <w:vAlign w:val="center"/>
                </w:tcPr>
                <w:p w14:paraId="534D8086">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2.0</w:t>
                  </w:r>
                </w:p>
              </w:tc>
            </w:tr>
            <w:tr w14:paraId="7F5FBD6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90" w:type="pct"/>
                  <w:tcBorders>
                    <w:tl2br w:val="nil"/>
                    <w:tr2bl w:val="nil"/>
                  </w:tcBorders>
                  <w:vAlign w:val="center"/>
                </w:tcPr>
                <w:p w14:paraId="391FE7F9">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2</w:t>
                  </w:r>
                </w:p>
              </w:tc>
              <w:tc>
                <w:tcPr>
                  <w:tcW w:w="475" w:type="pct"/>
                  <w:vMerge w:val="continue"/>
                  <w:tcBorders>
                    <w:tl2br w:val="nil"/>
                    <w:tr2bl w:val="nil"/>
                  </w:tcBorders>
                  <w:vAlign w:val="center"/>
                </w:tcPr>
                <w:p w14:paraId="1624716E">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p>
              </w:tc>
              <w:tc>
                <w:tcPr>
                  <w:tcW w:w="483" w:type="pct"/>
                  <w:tcBorders>
                    <w:tl2br w:val="nil"/>
                    <w:tr2bl w:val="nil"/>
                  </w:tcBorders>
                  <w:vAlign w:val="center"/>
                </w:tcPr>
                <w:p w14:paraId="0D0625D1">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lang w:val="en-US" w:eastAsia="zh-CN"/>
                    </w:rPr>
                    <w:t>噪声</w:t>
                  </w:r>
                </w:p>
              </w:tc>
              <w:tc>
                <w:tcPr>
                  <w:tcW w:w="2989" w:type="pct"/>
                  <w:tcBorders>
                    <w:tl2br w:val="nil"/>
                    <w:tr2bl w:val="nil"/>
                  </w:tcBorders>
                  <w:vAlign w:val="center"/>
                </w:tcPr>
                <w:p w14:paraId="02FC606D">
                  <w:pPr>
                    <w:keepNext w:val="0"/>
                    <w:keepLines w:val="0"/>
                    <w:widowControl/>
                    <w:suppressLineNumbers w:val="0"/>
                    <w:shd w:val="clear"/>
                    <w:jc w:val="left"/>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kern w:val="0"/>
                      <w:sz w:val="21"/>
                      <w:szCs w:val="21"/>
                      <w:highlight w:val="none"/>
                      <w:lang w:val="en-US" w:eastAsia="zh-CN" w:bidi="ar"/>
                    </w:rPr>
                    <w:t>加强管理、优化施工方案、采用低噪声设备，避免噪声设备午间夜间施工等</w:t>
                  </w:r>
                </w:p>
              </w:tc>
              <w:tc>
                <w:tcPr>
                  <w:tcW w:w="661" w:type="pct"/>
                  <w:tcBorders>
                    <w:tl2br w:val="nil"/>
                    <w:tr2bl w:val="nil"/>
                  </w:tcBorders>
                  <w:vAlign w:val="center"/>
                </w:tcPr>
                <w:p w14:paraId="4BB79957">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5.0</w:t>
                  </w:r>
                </w:p>
              </w:tc>
            </w:tr>
            <w:tr w14:paraId="2F80922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575" w:hRule="atLeast"/>
                <w:jc w:val="center"/>
              </w:trPr>
              <w:tc>
                <w:tcPr>
                  <w:tcW w:w="390" w:type="pct"/>
                  <w:tcBorders>
                    <w:tl2br w:val="nil"/>
                    <w:tr2bl w:val="nil"/>
                  </w:tcBorders>
                  <w:vAlign w:val="center"/>
                </w:tcPr>
                <w:p w14:paraId="378D114C">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w:t>
                  </w:r>
                </w:p>
              </w:tc>
              <w:tc>
                <w:tcPr>
                  <w:tcW w:w="475" w:type="pct"/>
                  <w:vMerge w:val="continue"/>
                  <w:tcBorders>
                    <w:tl2br w:val="nil"/>
                    <w:tr2bl w:val="nil"/>
                  </w:tcBorders>
                  <w:vAlign w:val="center"/>
                </w:tcPr>
                <w:p w14:paraId="6B6A4CA5">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p>
              </w:tc>
              <w:tc>
                <w:tcPr>
                  <w:tcW w:w="483" w:type="pct"/>
                  <w:tcBorders>
                    <w:tl2br w:val="nil"/>
                    <w:tr2bl w:val="nil"/>
                  </w:tcBorders>
                  <w:vAlign w:val="center"/>
                </w:tcPr>
                <w:p w14:paraId="3D086343">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固废</w:t>
                  </w:r>
                </w:p>
              </w:tc>
              <w:tc>
                <w:tcPr>
                  <w:tcW w:w="2989" w:type="pct"/>
                  <w:tcBorders>
                    <w:tl2br w:val="nil"/>
                    <w:tr2bl w:val="nil"/>
                  </w:tcBorders>
                  <w:vAlign w:val="center"/>
                </w:tcPr>
                <w:p w14:paraId="0559DA34">
                  <w:pPr>
                    <w:keepNext w:val="0"/>
                    <w:keepLines w:val="0"/>
                    <w:widowControl/>
                    <w:suppressLineNumbers w:val="0"/>
                    <w:shd w:val="clear"/>
                    <w:jc w:val="left"/>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kern w:val="0"/>
                      <w:sz w:val="21"/>
                      <w:szCs w:val="21"/>
                      <w:highlight w:val="none"/>
                      <w:lang w:val="en-US" w:eastAsia="zh-CN" w:bidi="ar"/>
                    </w:rPr>
                    <w:t>施工营地设置垃圾箱，集中收集后运至昌吉市垃圾收集站。</w:t>
                  </w:r>
                </w:p>
                <w:p w14:paraId="34507A1F">
                  <w:pPr>
                    <w:keepNext w:val="0"/>
                    <w:keepLines w:val="0"/>
                    <w:widowControl/>
                    <w:suppressLineNumbers w:val="0"/>
                    <w:shd w:val="clear"/>
                    <w:jc w:val="left"/>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kern w:val="0"/>
                      <w:sz w:val="21"/>
                      <w:szCs w:val="21"/>
                      <w:highlight w:val="none"/>
                      <w:lang w:val="en-US" w:eastAsia="zh-CN" w:bidi="ar"/>
                    </w:rPr>
                    <w:t>弃方中清表方用于土地整治覆土利用，多余土方用于坝后填土来加宽堤顶，以稳固堤身。施工结束后将多余的土方堆放在位于项目区两侧已开采废弃取料坑内平整堆放</w:t>
                  </w:r>
                </w:p>
              </w:tc>
              <w:tc>
                <w:tcPr>
                  <w:tcW w:w="661" w:type="pct"/>
                  <w:tcBorders>
                    <w:tl2br w:val="nil"/>
                    <w:tr2bl w:val="nil"/>
                  </w:tcBorders>
                  <w:vAlign w:val="center"/>
                </w:tcPr>
                <w:p w14:paraId="63977BB6">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2</w:t>
                  </w:r>
                </w:p>
              </w:tc>
            </w:tr>
            <w:tr w14:paraId="43BAB3D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575" w:hRule="atLeast"/>
                <w:jc w:val="center"/>
              </w:trPr>
              <w:tc>
                <w:tcPr>
                  <w:tcW w:w="390" w:type="pct"/>
                  <w:tcBorders>
                    <w:tl2br w:val="nil"/>
                    <w:tr2bl w:val="nil"/>
                  </w:tcBorders>
                  <w:vAlign w:val="center"/>
                </w:tcPr>
                <w:p w14:paraId="03FE3B98">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5</w:t>
                  </w:r>
                </w:p>
              </w:tc>
              <w:tc>
                <w:tcPr>
                  <w:tcW w:w="475" w:type="pct"/>
                  <w:vMerge w:val="continue"/>
                  <w:tcBorders>
                    <w:tl2br w:val="nil"/>
                    <w:tr2bl w:val="nil"/>
                  </w:tcBorders>
                  <w:vAlign w:val="center"/>
                </w:tcPr>
                <w:p w14:paraId="186D4EE7">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p>
              </w:tc>
              <w:tc>
                <w:tcPr>
                  <w:tcW w:w="483" w:type="pct"/>
                  <w:tcBorders>
                    <w:tl2br w:val="nil"/>
                    <w:tr2bl w:val="nil"/>
                  </w:tcBorders>
                  <w:vAlign w:val="center"/>
                </w:tcPr>
                <w:p w14:paraId="61FA7A7A">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风险</w:t>
                  </w:r>
                </w:p>
              </w:tc>
              <w:tc>
                <w:tcPr>
                  <w:tcW w:w="2989" w:type="pct"/>
                  <w:tcBorders>
                    <w:tl2br w:val="nil"/>
                    <w:tr2bl w:val="nil"/>
                  </w:tcBorders>
                  <w:vAlign w:val="center"/>
                </w:tcPr>
                <w:p w14:paraId="61651086">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i w:val="0"/>
                      <w:iCs w:val="0"/>
                      <w:color w:val="auto"/>
                      <w:spacing w:val="0"/>
                      <w:w w:val="100"/>
                      <w:position w:val="0"/>
                      <w:highlight w:val="none"/>
                    </w:rPr>
                  </w:pPr>
                  <w:r>
                    <w:rPr>
                      <w:rFonts w:hint="default" w:ascii="Times New Roman" w:hAnsi="Times New Roman" w:eastAsia="宋体" w:cs="Times New Roman"/>
                      <w:i w:val="0"/>
                      <w:iCs w:val="0"/>
                      <w:color w:val="auto"/>
                      <w:spacing w:val="0"/>
                      <w:w w:val="100"/>
                      <w:position w:val="0"/>
                      <w:highlight w:val="none"/>
                      <w:lang w:val="en-US" w:eastAsia="zh-CN"/>
                    </w:rPr>
                    <w:t>1</w:t>
                  </w:r>
                  <w:r>
                    <w:rPr>
                      <w:rFonts w:hint="default" w:ascii="Times New Roman" w:hAnsi="Times New Roman" w:eastAsia="宋体" w:cs="Times New Roman"/>
                      <w:i w:val="0"/>
                      <w:iCs w:val="0"/>
                      <w:color w:val="auto"/>
                      <w:spacing w:val="0"/>
                      <w:w w:val="100"/>
                      <w:position w:val="0"/>
                      <w:highlight w:val="none"/>
                    </w:rPr>
                    <w:t>）在各类物料堆场中进行压实作业。</w:t>
                  </w:r>
                </w:p>
                <w:p w14:paraId="30AA2628">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i w:val="0"/>
                      <w:iCs w:val="0"/>
                      <w:color w:val="auto"/>
                      <w:spacing w:val="0"/>
                      <w:w w:val="100"/>
                      <w:position w:val="0"/>
                      <w:highlight w:val="none"/>
                    </w:rPr>
                  </w:pPr>
                  <w:r>
                    <w:rPr>
                      <w:rFonts w:hint="default" w:ascii="Times New Roman" w:hAnsi="Times New Roman" w:eastAsia="宋体" w:cs="Times New Roman"/>
                      <w:i w:val="0"/>
                      <w:iCs w:val="0"/>
                      <w:color w:val="auto"/>
                      <w:spacing w:val="0"/>
                      <w:w w:val="100"/>
                      <w:position w:val="0"/>
                      <w:highlight w:val="none"/>
                      <w:lang w:val="en-US" w:eastAsia="zh-CN"/>
                    </w:rPr>
                    <w:t>2</w:t>
                  </w:r>
                  <w:r>
                    <w:rPr>
                      <w:rFonts w:hint="default" w:ascii="Times New Roman" w:hAnsi="Times New Roman" w:eastAsia="宋体" w:cs="Times New Roman"/>
                      <w:i w:val="0"/>
                      <w:iCs w:val="0"/>
                      <w:color w:val="auto"/>
                      <w:spacing w:val="0"/>
                      <w:w w:val="100"/>
                      <w:position w:val="0"/>
                      <w:highlight w:val="none"/>
                    </w:rPr>
                    <w:t>）在可能发生地质灾害区段设置警示标志。</w:t>
                  </w:r>
                </w:p>
                <w:p w14:paraId="6E079B60">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i w:val="0"/>
                      <w:iCs w:val="0"/>
                      <w:color w:val="auto"/>
                      <w:spacing w:val="0"/>
                      <w:w w:val="100"/>
                      <w:position w:val="0"/>
                      <w:highlight w:val="none"/>
                    </w:rPr>
                  </w:pPr>
                  <w:r>
                    <w:rPr>
                      <w:rFonts w:hint="default" w:ascii="Times New Roman" w:hAnsi="Times New Roman" w:eastAsia="宋体" w:cs="Times New Roman"/>
                      <w:i w:val="0"/>
                      <w:iCs w:val="0"/>
                      <w:color w:val="auto"/>
                      <w:spacing w:val="0"/>
                      <w:w w:val="100"/>
                      <w:position w:val="0"/>
                      <w:highlight w:val="none"/>
                      <w:lang w:val="en-US" w:eastAsia="zh-CN"/>
                    </w:rPr>
                    <w:t>3</w:t>
                  </w:r>
                  <w:r>
                    <w:rPr>
                      <w:rFonts w:hint="default" w:ascii="Times New Roman" w:hAnsi="Times New Roman" w:eastAsia="宋体" w:cs="Times New Roman"/>
                      <w:i w:val="0"/>
                      <w:iCs w:val="0"/>
                      <w:color w:val="auto"/>
                      <w:spacing w:val="0"/>
                      <w:w w:val="100"/>
                      <w:position w:val="0"/>
                      <w:highlight w:val="none"/>
                    </w:rPr>
                    <w:t>）不超挖坡底，不留伞檐，进行科学、合理的采剥。</w:t>
                  </w:r>
                </w:p>
                <w:p w14:paraId="6788D8EE">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i w:val="0"/>
                      <w:iCs w:val="0"/>
                      <w:color w:val="auto"/>
                      <w:spacing w:val="0"/>
                      <w:w w:val="100"/>
                      <w:position w:val="0"/>
                      <w:highlight w:val="none"/>
                    </w:rPr>
                  </w:pPr>
                  <w:r>
                    <w:rPr>
                      <w:rFonts w:hint="default" w:ascii="Times New Roman" w:hAnsi="Times New Roman" w:eastAsia="宋体" w:cs="Times New Roman"/>
                      <w:i w:val="0"/>
                      <w:iCs w:val="0"/>
                      <w:color w:val="auto"/>
                      <w:spacing w:val="0"/>
                      <w:w w:val="100"/>
                      <w:position w:val="0"/>
                      <w:highlight w:val="none"/>
                      <w:lang w:val="en-US" w:eastAsia="zh-CN"/>
                    </w:rPr>
                    <w:t>4</w:t>
                  </w:r>
                  <w:r>
                    <w:rPr>
                      <w:rFonts w:hint="default" w:ascii="Times New Roman" w:hAnsi="Times New Roman" w:eastAsia="宋体" w:cs="Times New Roman"/>
                      <w:i w:val="0"/>
                      <w:iCs w:val="0"/>
                      <w:color w:val="auto"/>
                      <w:spacing w:val="0"/>
                      <w:w w:val="100"/>
                      <w:position w:val="0"/>
                      <w:highlight w:val="none"/>
                    </w:rPr>
                    <w:t>）严禁采场内台阶上下垂直方向双层作业。</w:t>
                  </w:r>
                </w:p>
                <w:p w14:paraId="54C2E8C7">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i w:val="0"/>
                      <w:iCs w:val="0"/>
                      <w:color w:val="auto"/>
                      <w:spacing w:val="0"/>
                      <w:w w:val="100"/>
                      <w:position w:val="0"/>
                      <w:highlight w:val="none"/>
                    </w:rPr>
                  </w:pPr>
                  <w:r>
                    <w:rPr>
                      <w:rFonts w:hint="default" w:ascii="Times New Roman" w:hAnsi="Times New Roman" w:eastAsia="宋体" w:cs="Times New Roman"/>
                      <w:i w:val="0"/>
                      <w:iCs w:val="0"/>
                      <w:color w:val="auto"/>
                      <w:spacing w:val="0"/>
                      <w:w w:val="100"/>
                      <w:position w:val="0"/>
                      <w:highlight w:val="none"/>
                      <w:lang w:val="en-US" w:eastAsia="zh-CN"/>
                    </w:rPr>
                    <w:t>5</w:t>
                  </w:r>
                  <w:r>
                    <w:rPr>
                      <w:rFonts w:hint="default" w:ascii="Times New Roman" w:hAnsi="Times New Roman" w:eastAsia="宋体" w:cs="Times New Roman"/>
                      <w:i w:val="0"/>
                      <w:iCs w:val="0"/>
                      <w:color w:val="auto"/>
                      <w:spacing w:val="0"/>
                      <w:w w:val="100"/>
                      <w:position w:val="0"/>
                      <w:highlight w:val="none"/>
                    </w:rPr>
                    <w:t>）在台阶坡面作业时，必须佩戴安全带。</w:t>
                  </w:r>
                </w:p>
                <w:p w14:paraId="63C529BE">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i w:val="0"/>
                      <w:iCs w:val="0"/>
                      <w:color w:val="auto"/>
                      <w:spacing w:val="0"/>
                      <w:w w:val="100"/>
                      <w:position w:val="0"/>
                      <w:highlight w:val="none"/>
                    </w:rPr>
                  </w:pPr>
                  <w:r>
                    <w:rPr>
                      <w:rFonts w:hint="default" w:ascii="Times New Roman" w:hAnsi="Times New Roman" w:eastAsia="宋体" w:cs="Times New Roman"/>
                      <w:i w:val="0"/>
                      <w:iCs w:val="0"/>
                      <w:color w:val="auto"/>
                      <w:spacing w:val="0"/>
                      <w:w w:val="100"/>
                      <w:position w:val="0"/>
                      <w:highlight w:val="none"/>
                      <w:lang w:val="en-US" w:eastAsia="zh-CN"/>
                    </w:rPr>
                    <w:t>6</w:t>
                  </w:r>
                  <w:r>
                    <w:rPr>
                      <w:rFonts w:hint="default" w:ascii="Times New Roman" w:hAnsi="Times New Roman" w:eastAsia="宋体" w:cs="Times New Roman"/>
                      <w:i w:val="0"/>
                      <w:iCs w:val="0"/>
                      <w:color w:val="auto"/>
                      <w:spacing w:val="0"/>
                      <w:w w:val="100"/>
                      <w:position w:val="0"/>
                      <w:highlight w:val="none"/>
                    </w:rPr>
                    <w:t>）大雾、大雨、暴风雨时应停止作业。</w:t>
                  </w:r>
                </w:p>
                <w:p w14:paraId="04E5A9CC">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lang w:val="en-US" w:eastAsia="zh-CN"/>
                    </w:rPr>
                    <w:t>7</w:t>
                  </w:r>
                  <w:r>
                    <w:rPr>
                      <w:rFonts w:hint="default" w:ascii="Times New Roman" w:hAnsi="Times New Roman" w:cs="Times New Roman"/>
                      <w:i w:val="0"/>
                      <w:iCs w:val="0"/>
                      <w:color w:val="auto"/>
                      <w:spacing w:val="0"/>
                      <w:w w:val="100"/>
                      <w:position w:val="0"/>
                      <w:highlight w:val="none"/>
                    </w:rPr>
                    <w:t>）使用符合标准的容器盛装</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；应定期对暂时贮存</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包装及设施进行检查，发现破损，及时采取措施清理更换；</w:t>
                  </w:r>
                </w:p>
                <w:p w14:paraId="4905FDAD">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cs="Times New Roman"/>
                      <w:i w:val="0"/>
                      <w:iCs w:val="0"/>
                      <w:color w:val="auto"/>
                      <w:spacing w:val="0"/>
                      <w:w w:val="100"/>
                      <w:position w:val="0"/>
                      <w:highlight w:val="none"/>
                    </w:rPr>
                  </w:pPr>
                  <w:r>
                    <w:rPr>
                      <w:rFonts w:hint="default" w:ascii="Times New Roman" w:hAnsi="Times New Roman" w:cs="Times New Roman"/>
                      <w:i w:val="0"/>
                      <w:iCs w:val="0"/>
                      <w:color w:val="auto"/>
                      <w:spacing w:val="0"/>
                      <w:w w:val="100"/>
                      <w:position w:val="0"/>
                      <w:highlight w:val="none"/>
                      <w:lang w:val="en-US" w:eastAsia="zh-CN"/>
                    </w:rPr>
                    <w:t>8</w:t>
                  </w:r>
                  <w:r>
                    <w:rPr>
                      <w:rFonts w:hint="default" w:ascii="Times New Roman" w:hAnsi="Times New Roman" w:cs="Times New Roman"/>
                      <w:i w:val="0"/>
                      <w:iCs w:val="0"/>
                      <w:color w:val="auto"/>
                      <w:spacing w:val="0"/>
                      <w:w w:val="100"/>
                      <w:position w:val="0"/>
                      <w:highlight w:val="none"/>
                    </w:rPr>
                    <w:t>）设有专人负责</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维护及管理，避免因</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泄露、乱堆乱弃造成环境污染；</w:t>
                  </w:r>
                </w:p>
                <w:p w14:paraId="53C0E749">
                  <w:pPr>
                    <w:keepNext w:val="0"/>
                    <w:keepLines w:val="0"/>
                    <w:widowControl/>
                    <w:suppressLineNumbers w:val="0"/>
                    <w:shd w:val="clear"/>
                    <w:jc w:val="left"/>
                    <w:rPr>
                      <w:rFonts w:hint="default" w:ascii="Times New Roman" w:hAnsi="Times New Roman" w:eastAsia="宋体" w:cs="Times New Roman"/>
                      <w:color w:val="auto"/>
                      <w:spacing w:val="0"/>
                      <w:kern w:val="0"/>
                      <w:sz w:val="21"/>
                      <w:szCs w:val="21"/>
                      <w:highlight w:val="none"/>
                      <w:lang w:val="en-US" w:eastAsia="zh-CN" w:bidi="ar"/>
                    </w:rPr>
                  </w:pPr>
                  <w:r>
                    <w:rPr>
                      <w:rFonts w:hint="default" w:ascii="Times New Roman" w:hAnsi="Times New Roman" w:cs="Times New Roman"/>
                      <w:i w:val="0"/>
                      <w:iCs w:val="0"/>
                      <w:color w:val="auto"/>
                      <w:spacing w:val="0"/>
                      <w:w w:val="100"/>
                      <w:position w:val="0"/>
                      <w:highlight w:val="none"/>
                      <w:lang w:val="en-US" w:eastAsia="zh-CN"/>
                    </w:rPr>
                    <w:t>9</w:t>
                  </w:r>
                  <w:r>
                    <w:rPr>
                      <w:rFonts w:hint="default" w:ascii="Times New Roman" w:hAnsi="Times New Roman" w:cs="Times New Roman"/>
                      <w:i w:val="0"/>
                      <w:iCs w:val="0"/>
                      <w:color w:val="auto"/>
                      <w:spacing w:val="0"/>
                      <w:w w:val="100"/>
                      <w:position w:val="0"/>
                      <w:highlight w:val="none"/>
                    </w:rPr>
                    <w:t>）应指定专人负责危废的收集、运输管理工作，运输车辆的司机和押运人员应经专业培训。</w:t>
                  </w:r>
                </w:p>
              </w:tc>
              <w:tc>
                <w:tcPr>
                  <w:tcW w:w="661" w:type="pct"/>
                  <w:tcBorders>
                    <w:tl2br w:val="nil"/>
                    <w:tr2bl w:val="nil"/>
                  </w:tcBorders>
                  <w:vAlign w:val="center"/>
                </w:tcPr>
                <w:p w14:paraId="3C40E62A">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8</w:t>
                  </w:r>
                </w:p>
              </w:tc>
            </w:tr>
            <w:tr w14:paraId="0F1A90D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390" w:type="pct"/>
                  <w:tcBorders>
                    <w:tl2br w:val="nil"/>
                    <w:tr2bl w:val="nil"/>
                  </w:tcBorders>
                  <w:vAlign w:val="center"/>
                </w:tcPr>
                <w:p w14:paraId="22D80FC5">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cs="Times New Roman"/>
                      <w:color w:val="auto"/>
                      <w:spacing w:val="0"/>
                      <w:position w:val="0"/>
                      <w:sz w:val="21"/>
                      <w:szCs w:val="21"/>
                      <w:highlight w:val="none"/>
                      <w:lang w:val="en-US" w:eastAsia="zh-CN"/>
                    </w:rPr>
                    <w:t>6</w:t>
                  </w:r>
                </w:p>
              </w:tc>
              <w:tc>
                <w:tcPr>
                  <w:tcW w:w="475" w:type="pct"/>
                  <w:vMerge w:val="continue"/>
                  <w:tcBorders>
                    <w:tl2br w:val="nil"/>
                    <w:tr2bl w:val="nil"/>
                  </w:tcBorders>
                  <w:vAlign w:val="center"/>
                </w:tcPr>
                <w:p w14:paraId="00A0E9EE">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p>
              </w:tc>
              <w:tc>
                <w:tcPr>
                  <w:tcW w:w="483" w:type="pct"/>
                  <w:tcBorders>
                    <w:tl2br w:val="nil"/>
                    <w:tr2bl w:val="nil"/>
                  </w:tcBorders>
                  <w:vAlign w:val="center"/>
                </w:tcPr>
                <w:p w14:paraId="00C5AEB1">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生态</w:t>
                  </w:r>
                </w:p>
              </w:tc>
              <w:tc>
                <w:tcPr>
                  <w:tcW w:w="2989" w:type="pct"/>
                  <w:tcBorders>
                    <w:tl2br w:val="nil"/>
                    <w:tr2bl w:val="nil"/>
                  </w:tcBorders>
                  <w:vAlign w:val="center"/>
                </w:tcPr>
                <w:p w14:paraId="4B6945AB">
                  <w:pPr>
                    <w:keepNext w:val="0"/>
                    <w:keepLines w:val="0"/>
                    <w:widowControl/>
                    <w:suppressLineNumbers w:val="0"/>
                    <w:shd w:val="clear"/>
                    <w:jc w:val="left"/>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kern w:val="0"/>
                      <w:sz w:val="21"/>
                      <w:szCs w:val="21"/>
                      <w:highlight w:val="none"/>
                      <w:lang w:val="en-US" w:eastAsia="zh-CN" w:bidi="ar"/>
                    </w:rPr>
                    <w:t>对临时占地进行土地平整后用原表土覆盖，并进行植被恢复，及时复垦、平整，恢复地面植被，撒播草种选择针茅、芨芨草等当地适生耐旱草种</w:t>
                  </w:r>
                </w:p>
              </w:tc>
              <w:tc>
                <w:tcPr>
                  <w:tcW w:w="661" w:type="pct"/>
                  <w:tcBorders>
                    <w:tl2br w:val="nil"/>
                    <w:tr2bl w:val="nil"/>
                  </w:tcBorders>
                  <w:vAlign w:val="center"/>
                </w:tcPr>
                <w:p w14:paraId="718E25BA">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25</w:t>
                  </w:r>
                </w:p>
              </w:tc>
            </w:tr>
            <w:tr w14:paraId="5CECD3F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349" w:type="pct"/>
                  <w:gridSpan w:val="3"/>
                  <w:tcBorders>
                    <w:tl2br w:val="nil"/>
                    <w:tr2bl w:val="nil"/>
                  </w:tcBorders>
                  <w:vAlign w:val="center"/>
                </w:tcPr>
                <w:p w14:paraId="6235831C">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环境管理</w:t>
                  </w:r>
                </w:p>
              </w:tc>
              <w:tc>
                <w:tcPr>
                  <w:tcW w:w="2989" w:type="pct"/>
                  <w:tcBorders>
                    <w:tl2br w:val="nil"/>
                    <w:tr2bl w:val="nil"/>
                  </w:tcBorders>
                  <w:vAlign w:val="center"/>
                </w:tcPr>
                <w:p w14:paraId="7966BC0F">
                  <w:pPr>
                    <w:keepNext w:val="0"/>
                    <w:keepLines w:val="0"/>
                    <w:widowControl/>
                    <w:suppressLineNumbers w:val="0"/>
                    <w:shd w:val="clear"/>
                    <w:jc w:val="left"/>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kern w:val="0"/>
                      <w:sz w:val="21"/>
                      <w:szCs w:val="21"/>
                      <w:highlight w:val="none"/>
                      <w:lang w:val="en-US" w:eastAsia="zh-CN" w:bidi="ar"/>
                    </w:rPr>
                    <w:t>施工人员培训、宣传、环境监测</w:t>
                  </w:r>
                </w:p>
              </w:tc>
              <w:tc>
                <w:tcPr>
                  <w:tcW w:w="661" w:type="pct"/>
                  <w:tcBorders>
                    <w:tl2br w:val="nil"/>
                    <w:tr2bl w:val="nil"/>
                  </w:tcBorders>
                  <w:vAlign w:val="center"/>
                </w:tcPr>
                <w:p w14:paraId="35E06C46">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3.0</w:t>
                  </w:r>
                </w:p>
              </w:tc>
            </w:tr>
            <w:tr w14:paraId="43AE465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338" w:type="pct"/>
                  <w:gridSpan w:val="4"/>
                  <w:tcBorders>
                    <w:tl2br w:val="nil"/>
                    <w:tr2bl w:val="nil"/>
                  </w:tcBorders>
                  <w:vAlign w:val="center"/>
                </w:tcPr>
                <w:p w14:paraId="4C06EE14">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合计</w:t>
                  </w:r>
                </w:p>
              </w:tc>
              <w:tc>
                <w:tcPr>
                  <w:tcW w:w="661" w:type="pct"/>
                  <w:tcBorders>
                    <w:tl2br w:val="nil"/>
                    <w:tr2bl w:val="nil"/>
                  </w:tcBorders>
                  <w:vAlign w:val="center"/>
                </w:tcPr>
                <w:p w14:paraId="629D2BAD">
                  <w:pPr>
                    <w:keepNext w:val="0"/>
                    <w:keepLines w:val="0"/>
                    <w:pageBreakBefore w:val="0"/>
                    <w:widowControl w:val="0"/>
                    <w:shd w:val="clear"/>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55</w:t>
                  </w:r>
                </w:p>
              </w:tc>
            </w:tr>
          </w:tbl>
          <w:p w14:paraId="6DAAB733">
            <w:pPr>
              <w:keepNext w:val="0"/>
              <w:keepLines w:val="0"/>
              <w:pageBreakBefore w:val="0"/>
              <w:shd w:val="clear"/>
              <w:kinsoku/>
              <w:overflowPunct/>
              <w:topLinePunct w:val="0"/>
              <w:bidi w:val="0"/>
              <w:spacing w:beforeAutospacing="0" w:afterAutospacing="0"/>
              <w:ind w:left="0" w:leftChars="0" w:right="0"/>
              <w:rPr>
                <w:rFonts w:hint="default" w:ascii="Times New Roman" w:hAnsi="Times New Roman" w:eastAsia="宋体" w:cs="Times New Roman"/>
                <w:color w:val="auto"/>
                <w:spacing w:val="0"/>
                <w:w w:val="100"/>
                <w:position w:val="0"/>
                <w:highlight w:val="none"/>
                <w:lang w:eastAsia="zh-CN"/>
              </w:rPr>
            </w:pPr>
          </w:p>
        </w:tc>
      </w:tr>
    </w:tbl>
    <w:p w14:paraId="10C9288A">
      <w:pPr>
        <w:keepNext w:val="0"/>
        <w:keepLines w:val="0"/>
        <w:pageBreakBefore w:val="0"/>
        <w:shd w:val="clear"/>
        <w:kinsoku/>
        <w:overflowPunct/>
        <w:topLinePunct w:val="0"/>
        <w:bidi w:val="0"/>
        <w:spacing w:beforeAutospacing="0" w:afterAutospacing="0"/>
        <w:ind w:left="0" w:leftChars="0" w:right="0"/>
        <w:rPr>
          <w:rFonts w:hint="default" w:ascii="Times New Roman" w:hAnsi="Times New Roman" w:eastAsia="宋体" w:cs="Times New Roman"/>
          <w:color w:val="auto"/>
          <w:spacing w:val="0"/>
          <w:w w:val="100"/>
          <w:position w:val="0"/>
          <w:highlight w:val="none"/>
        </w:rPr>
        <w:sectPr>
          <w:pgSz w:w="11907" w:h="16840"/>
          <w:pgMar w:top="1440" w:right="1797" w:bottom="1440" w:left="1797" w:header="851" w:footer="1077" w:gutter="0"/>
          <w:pgBorders>
            <w:top w:val="none" w:sz="0" w:space="0"/>
            <w:left w:val="none" w:sz="0" w:space="0"/>
            <w:bottom w:val="none" w:sz="0" w:space="0"/>
            <w:right w:val="none" w:sz="0" w:space="0"/>
          </w:pgBorders>
          <w:pgNumType w:fmt="decimal"/>
          <w:cols w:space="720" w:num="1"/>
          <w:docGrid w:linePitch="312" w:charSpace="0"/>
        </w:sectPr>
      </w:pPr>
    </w:p>
    <w:p w14:paraId="5A72F7D0">
      <w:pPr>
        <w:pStyle w:val="28"/>
        <w:keepNext w:val="0"/>
        <w:keepLines w:val="0"/>
        <w:pageBreakBefore w:val="0"/>
        <w:widowControl/>
        <w:shd w:val="clear"/>
        <w:kinsoku/>
        <w:wordWrap/>
        <w:overflowPunct/>
        <w:topLinePunct w:val="0"/>
        <w:autoSpaceDE/>
        <w:autoSpaceDN/>
        <w:bidi w:val="0"/>
        <w:adjustRightInd/>
        <w:snapToGrid/>
        <w:spacing w:before="0" w:beforeAutospacing="0" w:after="0" w:afterAutospacing="0"/>
        <w:ind w:left="0" w:leftChars="0" w:right="0"/>
        <w:jc w:val="center"/>
        <w:textAlignment w:val="auto"/>
        <w:outlineLvl w:val="0"/>
        <w:rPr>
          <w:rFonts w:hint="eastAsia" w:ascii="黑体" w:hAnsi="黑体" w:eastAsia="黑体" w:cs="黑体"/>
          <w:snapToGrid w:val="0"/>
          <w:color w:val="auto"/>
          <w:spacing w:val="0"/>
          <w:w w:val="100"/>
          <w:position w:val="0"/>
          <w:sz w:val="30"/>
          <w:szCs w:val="30"/>
          <w:highlight w:val="none"/>
        </w:rPr>
      </w:pPr>
      <w:r>
        <w:rPr>
          <w:rFonts w:hint="eastAsia" w:ascii="黑体" w:hAnsi="黑体" w:eastAsia="黑体" w:cs="黑体"/>
          <w:snapToGrid w:val="0"/>
          <w:color w:val="auto"/>
          <w:spacing w:val="0"/>
          <w:w w:val="100"/>
          <w:position w:val="0"/>
          <w:sz w:val="30"/>
          <w:szCs w:val="30"/>
          <w:highlight w:val="none"/>
        </w:rPr>
        <w:t>六、生态环境保护措施监督检查清单</w:t>
      </w:r>
    </w:p>
    <w:tbl>
      <w:tblPr>
        <w:tblStyle w:val="3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3583"/>
        <w:gridCol w:w="1264"/>
        <w:gridCol w:w="958"/>
        <w:gridCol w:w="1628"/>
      </w:tblGrid>
      <w:tr w14:paraId="42EFEB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pct"/>
            <w:vMerge w:val="restart"/>
            <w:tcBorders>
              <w:tl2br w:val="single" w:color="auto" w:sz="4" w:space="0"/>
            </w:tcBorders>
            <w:noWrap w:val="0"/>
            <w:vAlign w:val="center"/>
          </w:tcPr>
          <w:p w14:paraId="1D3F5CBD">
            <w:pPr>
              <w:pStyle w:val="28"/>
              <w:keepNext w:val="0"/>
              <w:keepLines w:val="0"/>
              <w:pageBreakBefore w:val="0"/>
              <w:shd w:val="clear"/>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内容</w:t>
            </w:r>
          </w:p>
          <w:p w14:paraId="3A8B7182">
            <w:pPr>
              <w:pStyle w:val="28"/>
              <w:keepNext w:val="0"/>
              <w:keepLines w:val="0"/>
              <w:pageBreakBefore w:val="0"/>
              <w:shd w:val="clear"/>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p>
          <w:p w14:paraId="7F84BC9A">
            <w:pPr>
              <w:pStyle w:val="28"/>
              <w:keepNext w:val="0"/>
              <w:keepLines w:val="0"/>
              <w:pageBreakBefore w:val="0"/>
              <w:shd w:val="clear"/>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p>
          <w:p w14:paraId="6E8C37E8">
            <w:pPr>
              <w:pStyle w:val="28"/>
              <w:keepNext w:val="0"/>
              <w:keepLines w:val="0"/>
              <w:pageBreakBefore w:val="0"/>
              <w:shd w:val="clear"/>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lang w:eastAsia="zh-CN"/>
              </w:rPr>
            </w:pPr>
            <w:r>
              <w:rPr>
                <w:rFonts w:hint="default" w:ascii="Times New Roman" w:hAnsi="Times New Roman" w:eastAsia="宋体" w:cs="Times New Roman"/>
                <w:b/>
                <w:bCs/>
                <w:color w:val="auto"/>
                <w:spacing w:val="0"/>
                <w:w w:val="100"/>
                <w:kern w:val="21"/>
                <w:position w:val="0"/>
                <w:sz w:val="21"/>
                <w:szCs w:val="21"/>
                <w:highlight w:val="none"/>
              </w:rPr>
              <w:t>要素</w:t>
            </w:r>
          </w:p>
        </w:tc>
        <w:tc>
          <w:tcPr>
            <w:tcW w:w="2844" w:type="pct"/>
            <w:gridSpan w:val="2"/>
            <w:noWrap w:val="0"/>
            <w:vAlign w:val="center"/>
          </w:tcPr>
          <w:p w14:paraId="3504D0E4">
            <w:pPr>
              <w:pStyle w:val="28"/>
              <w:keepNext w:val="0"/>
              <w:keepLines w:val="0"/>
              <w:pageBreakBefore w:val="0"/>
              <w:shd w:val="clear"/>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施工期</w:t>
            </w:r>
          </w:p>
        </w:tc>
        <w:tc>
          <w:tcPr>
            <w:tcW w:w="1517" w:type="pct"/>
            <w:gridSpan w:val="2"/>
            <w:noWrap w:val="0"/>
            <w:vAlign w:val="center"/>
          </w:tcPr>
          <w:p w14:paraId="622751E0">
            <w:pPr>
              <w:pStyle w:val="28"/>
              <w:keepNext w:val="0"/>
              <w:keepLines w:val="0"/>
              <w:pageBreakBefore w:val="0"/>
              <w:shd w:val="clear"/>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运营期</w:t>
            </w:r>
          </w:p>
        </w:tc>
      </w:tr>
      <w:tr w14:paraId="4F1AC0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pct"/>
            <w:vMerge w:val="continue"/>
            <w:noWrap w:val="0"/>
            <w:vAlign w:val="center"/>
          </w:tcPr>
          <w:p w14:paraId="261D4CBE">
            <w:pPr>
              <w:pStyle w:val="28"/>
              <w:keepNext w:val="0"/>
              <w:keepLines w:val="0"/>
              <w:pageBreakBefore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p>
        </w:tc>
        <w:tc>
          <w:tcPr>
            <w:tcW w:w="2102" w:type="pct"/>
            <w:noWrap w:val="0"/>
            <w:vAlign w:val="center"/>
          </w:tcPr>
          <w:p w14:paraId="6D650045">
            <w:pPr>
              <w:pStyle w:val="28"/>
              <w:keepNext w:val="0"/>
              <w:keepLines w:val="0"/>
              <w:pageBreakBefore w:val="0"/>
              <w:shd w:val="clear"/>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环境保护措施</w:t>
            </w:r>
          </w:p>
        </w:tc>
        <w:tc>
          <w:tcPr>
            <w:tcW w:w="741" w:type="pct"/>
            <w:noWrap w:val="0"/>
            <w:vAlign w:val="center"/>
          </w:tcPr>
          <w:p w14:paraId="1A99C0B1">
            <w:pPr>
              <w:pStyle w:val="28"/>
              <w:keepNext w:val="0"/>
              <w:keepLines w:val="0"/>
              <w:pageBreakBefore w:val="0"/>
              <w:shd w:val="clear"/>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验收要求</w:t>
            </w:r>
          </w:p>
        </w:tc>
        <w:tc>
          <w:tcPr>
            <w:tcW w:w="562" w:type="pct"/>
            <w:noWrap w:val="0"/>
            <w:vAlign w:val="center"/>
          </w:tcPr>
          <w:p w14:paraId="44986FA9">
            <w:pPr>
              <w:pStyle w:val="28"/>
              <w:keepNext w:val="0"/>
              <w:keepLines w:val="0"/>
              <w:pageBreakBefore w:val="0"/>
              <w:shd w:val="clear"/>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环境保护措施</w:t>
            </w:r>
          </w:p>
        </w:tc>
        <w:tc>
          <w:tcPr>
            <w:tcW w:w="955" w:type="pct"/>
            <w:noWrap w:val="0"/>
            <w:vAlign w:val="center"/>
          </w:tcPr>
          <w:p w14:paraId="357297CE">
            <w:pPr>
              <w:pStyle w:val="28"/>
              <w:keepNext w:val="0"/>
              <w:keepLines w:val="0"/>
              <w:pageBreakBefore w:val="0"/>
              <w:shd w:val="clear"/>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验收要求</w:t>
            </w:r>
          </w:p>
        </w:tc>
      </w:tr>
      <w:tr w14:paraId="516C45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pct"/>
            <w:noWrap w:val="0"/>
            <w:vAlign w:val="center"/>
          </w:tcPr>
          <w:p w14:paraId="529AA8ED">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陆生生态</w:t>
            </w:r>
          </w:p>
        </w:tc>
        <w:tc>
          <w:tcPr>
            <w:tcW w:w="2102" w:type="pct"/>
            <w:noWrap w:val="0"/>
            <w:vAlign w:val="center"/>
          </w:tcPr>
          <w:p w14:paraId="1BB58E29">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firstLine="47" w:firstLine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①合理规划施工场地，施工场区选择在植被少、距离区域道路较近的场地；②施工结束时，及时恢复临时占地范围的土地使用功能；</w:t>
            </w:r>
          </w:p>
        </w:tc>
        <w:tc>
          <w:tcPr>
            <w:tcW w:w="741" w:type="pct"/>
            <w:noWrap w:val="0"/>
            <w:vAlign w:val="center"/>
          </w:tcPr>
          <w:p w14:paraId="390527A7">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hanging="2" w:firstLine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施工现场已恢复，施工固废已清理，生活垃圾已清运，临时施工占地已恢复</w:t>
            </w:r>
          </w:p>
        </w:tc>
        <w:tc>
          <w:tcPr>
            <w:tcW w:w="562" w:type="pct"/>
            <w:noWrap w:val="0"/>
            <w:vAlign w:val="center"/>
          </w:tcPr>
          <w:p w14:paraId="4CA6DEF6">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955" w:type="pct"/>
            <w:noWrap w:val="0"/>
            <w:vAlign w:val="center"/>
          </w:tcPr>
          <w:p w14:paraId="38F0351D">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施工现场已恢复原貌，施工固废已清理，生活垃圾已清运，临时施工占地已恢复</w:t>
            </w:r>
          </w:p>
        </w:tc>
      </w:tr>
      <w:tr w14:paraId="0D7B04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pct"/>
            <w:noWrap w:val="0"/>
            <w:vAlign w:val="center"/>
          </w:tcPr>
          <w:p w14:paraId="0110C47D">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水生生态</w:t>
            </w:r>
          </w:p>
        </w:tc>
        <w:tc>
          <w:tcPr>
            <w:tcW w:w="2102" w:type="pct"/>
            <w:noWrap w:val="0"/>
            <w:vAlign w:val="center"/>
          </w:tcPr>
          <w:p w14:paraId="004BD7D8">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①加强对施工人员自然保护教育；②禁止向河流直接排放施工废水，防止扰动水体；③加强施工期“三废”的管理；</w:t>
            </w:r>
          </w:p>
        </w:tc>
        <w:tc>
          <w:tcPr>
            <w:tcW w:w="741" w:type="pct"/>
            <w:noWrap w:val="0"/>
            <w:vAlign w:val="center"/>
          </w:tcPr>
          <w:p w14:paraId="147E8FB7">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562" w:type="pct"/>
            <w:noWrap w:val="0"/>
            <w:vAlign w:val="center"/>
          </w:tcPr>
          <w:p w14:paraId="7F4AD517">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955" w:type="pct"/>
            <w:noWrap w:val="0"/>
            <w:vAlign w:val="center"/>
          </w:tcPr>
          <w:p w14:paraId="3BAAFB9A">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r>
      <w:tr w14:paraId="4897A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pct"/>
            <w:noWrap w:val="0"/>
            <w:vAlign w:val="center"/>
          </w:tcPr>
          <w:p w14:paraId="7CE443E5">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地表水环境</w:t>
            </w:r>
          </w:p>
        </w:tc>
        <w:tc>
          <w:tcPr>
            <w:tcW w:w="2102" w:type="pct"/>
            <w:noWrap w:val="0"/>
            <w:vAlign w:val="center"/>
          </w:tcPr>
          <w:p w14:paraId="63A30E45">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施工区不设置机械冲洗和维修设施；生活污水依托租用民房，施工场地可设置临时移动厕所，禁止将生活污水直接排入河道内</w:t>
            </w:r>
          </w:p>
        </w:tc>
        <w:tc>
          <w:tcPr>
            <w:tcW w:w="741" w:type="pct"/>
            <w:noWrap w:val="0"/>
            <w:vAlign w:val="center"/>
          </w:tcPr>
          <w:p w14:paraId="4F8AFDB2">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562" w:type="pct"/>
            <w:noWrap w:val="0"/>
            <w:vAlign w:val="center"/>
          </w:tcPr>
          <w:p w14:paraId="45BF88A3">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955" w:type="pct"/>
            <w:noWrap w:val="0"/>
            <w:vAlign w:val="center"/>
          </w:tcPr>
          <w:p w14:paraId="060CEA99">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r>
      <w:tr w14:paraId="396EA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pct"/>
            <w:noWrap w:val="0"/>
            <w:vAlign w:val="center"/>
          </w:tcPr>
          <w:p w14:paraId="4CA68385">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地下水及土壤环境</w:t>
            </w:r>
          </w:p>
        </w:tc>
        <w:tc>
          <w:tcPr>
            <w:tcW w:w="2102" w:type="pct"/>
            <w:noWrap w:val="0"/>
            <w:vAlign w:val="center"/>
          </w:tcPr>
          <w:p w14:paraId="7D694660">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①进行封闭性施工，严格控制施工范围；②场区预先修建导流，地表开挖尽量避开下雨天，做到分期分区开挖；③合理选择施工工序；④合理选择施工工期；⑤严格控制运输流失；⑥剥离的表层土采取临时覆盖等防护措施；⑦注重水土保持的综合性；⑧施工中加强施工管理，尽量缩小施工范围</w:t>
            </w:r>
          </w:p>
        </w:tc>
        <w:tc>
          <w:tcPr>
            <w:tcW w:w="741" w:type="pct"/>
            <w:noWrap w:val="0"/>
            <w:vAlign w:val="center"/>
          </w:tcPr>
          <w:p w14:paraId="7B71683D">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lang w:eastAsia="zh-CN"/>
              </w:rPr>
              <w:t>不</w:t>
            </w:r>
            <w:r>
              <w:rPr>
                <w:rFonts w:hint="default" w:ascii="Times New Roman" w:hAnsi="Times New Roman" w:eastAsia="宋体" w:cs="Times New Roman"/>
                <w:color w:val="auto"/>
                <w:spacing w:val="0"/>
                <w:position w:val="0"/>
                <w:sz w:val="21"/>
                <w:szCs w:val="21"/>
                <w:highlight w:val="none"/>
              </w:rPr>
              <w:t>对地下水产生影响</w:t>
            </w:r>
          </w:p>
        </w:tc>
        <w:tc>
          <w:tcPr>
            <w:tcW w:w="562" w:type="pct"/>
            <w:noWrap w:val="0"/>
            <w:vAlign w:val="center"/>
          </w:tcPr>
          <w:p w14:paraId="1F3C1511">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955" w:type="pct"/>
            <w:noWrap w:val="0"/>
            <w:vAlign w:val="center"/>
          </w:tcPr>
          <w:p w14:paraId="46BC78BC">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r>
      <w:tr w14:paraId="1387DB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pct"/>
            <w:noWrap w:val="0"/>
            <w:vAlign w:val="center"/>
          </w:tcPr>
          <w:p w14:paraId="35A2FCB7">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声环境</w:t>
            </w:r>
          </w:p>
        </w:tc>
        <w:tc>
          <w:tcPr>
            <w:tcW w:w="2102" w:type="pct"/>
            <w:noWrap w:val="0"/>
            <w:vAlign w:val="center"/>
          </w:tcPr>
          <w:p w14:paraId="073E0053">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合理安排布局，制定施工计划，禁止夜间施工，加强施工管理，采取临时降噪措施</w:t>
            </w:r>
          </w:p>
        </w:tc>
        <w:tc>
          <w:tcPr>
            <w:tcW w:w="741" w:type="pct"/>
            <w:noWrap w:val="0"/>
            <w:vAlign w:val="center"/>
          </w:tcPr>
          <w:p w14:paraId="1C1D4DBA">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满足《建筑施工场界环境噪声排放标准》</w:t>
            </w: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GB12523-2011</w:t>
            </w: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标准</w:t>
            </w:r>
          </w:p>
        </w:tc>
        <w:tc>
          <w:tcPr>
            <w:tcW w:w="562" w:type="pct"/>
            <w:noWrap w:val="0"/>
            <w:vAlign w:val="center"/>
          </w:tcPr>
          <w:p w14:paraId="64380045">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955" w:type="pct"/>
            <w:noWrap w:val="0"/>
            <w:vAlign w:val="center"/>
          </w:tcPr>
          <w:p w14:paraId="28420749">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r>
      <w:tr w14:paraId="6609D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pct"/>
            <w:noWrap w:val="0"/>
            <w:vAlign w:val="center"/>
          </w:tcPr>
          <w:p w14:paraId="6A31C4B4">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振动</w:t>
            </w:r>
          </w:p>
        </w:tc>
        <w:tc>
          <w:tcPr>
            <w:tcW w:w="2102" w:type="pct"/>
            <w:noWrap w:val="0"/>
            <w:vAlign w:val="center"/>
          </w:tcPr>
          <w:p w14:paraId="27BED3A0">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741" w:type="pct"/>
            <w:noWrap w:val="0"/>
            <w:vAlign w:val="center"/>
          </w:tcPr>
          <w:p w14:paraId="058C9E61">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562" w:type="pct"/>
            <w:noWrap w:val="0"/>
            <w:vAlign w:val="center"/>
          </w:tcPr>
          <w:p w14:paraId="5CF27A6B">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955" w:type="pct"/>
            <w:noWrap w:val="0"/>
            <w:vAlign w:val="center"/>
          </w:tcPr>
          <w:p w14:paraId="6D98EA79">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r>
      <w:tr w14:paraId="0B592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pct"/>
            <w:noWrap w:val="0"/>
            <w:vAlign w:val="center"/>
          </w:tcPr>
          <w:p w14:paraId="5223E049">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大气环境</w:t>
            </w:r>
          </w:p>
        </w:tc>
        <w:tc>
          <w:tcPr>
            <w:tcW w:w="2102" w:type="pct"/>
            <w:noWrap w:val="0"/>
            <w:vAlign w:val="center"/>
          </w:tcPr>
          <w:p w14:paraId="6BBCC640">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定期对施工场地进行洒水降尘，采用商品混凝土，对原辅材料、运输车辆采取密闭措施，加盖篷布等措施</w:t>
            </w:r>
          </w:p>
        </w:tc>
        <w:tc>
          <w:tcPr>
            <w:tcW w:w="741" w:type="pct"/>
            <w:noWrap w:val="0"/>
            <w:vAlign w:val="center"/>
          </w:tcPr>
          <w:p w14:paraId="3D74B636">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《大气污染物综合排放标准》</w:t>
            </w: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GB16297-1996</w:t>
            </w: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无组织排放标准</w:t>
            </w:r>
          </w:p>
        </w:tc>
        <w:tc>
          <w:tcPr>
            <w:tcW w:w="562" w:type="pct"/>
            <w:noWrap w:val="0"/>
            <w:vAlign w:val="center"/>
          </w:tcPr>
          <w:p w14:paraId="6152DA70">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955" w:type="pct"/>
            <w:noWrap w:val="0"/>
            <w:vAlign w:val="center"/>
          </w:tcPr>
          <w:p w14:paraId="60585A7D">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r>
      <w:tr w14:paraId="010809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pct"/>
            <w:noWrap w:val="0"/>
            <w:vAlign w:val="center"/>
          </w:tcPr>
          <w:p w14:paraId="51FBEB2A">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固体废物</w:t>
            </w:r>
          </w:p>
        </w:tc>
        <w:tc>
          <w:tcPr>
            <w:tcW w:w="2102" w:type="pct"/>
            <w:noWrap w:val="0"/>
            <w:vAlign w:val="center"/>
          </w:tcPr>
          <w:p w14:paraId="26B30561">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对产生的生活垃圾进行统一定点收集，及时清运处理；多余土方可用于坝后填土来加宽堤顶，以稳固堤身。施工结束后将多余的土方堆放在位于</w:t>
            </w:r>
            <w:r>
              <w:rPr>
                <w:rFonts w:hint="default" w:ascii="Times New Roman" w:hAnsi="Times New Roman" w:eastAsia="宋体" w:cs="Times New Roman"/>
                <w:color w:val="auto"/>
                <w:spacing w:val="0"/>
                <w:position w:val="0"/>
                <w:sz w:val="21"/>
                <w:szCs w:val="21"/>
                <w:highlight w:val="none"/>
                <w:lang w:eastAsia="zh-CN"/>
              </w:rPr>
              <w:t>项目区</w:t>
            </w:r>
            <w:r>
              <w:rPr>
                <w:rFonts w:hint="default" w:ascii="Times New Roman" w:hAnsi="Times New Roman" w:eastAsia="宋体" w:cs="Times New Roman"/>
                <w:color w:val="auto"/>
                <w:spacing w:val="0"/>
                <w:position w:val="0"/>
                <w:sz w:val="21"/>
                <w:szCs w:val="21"/>
                <w:highlight w:val="none"/>
              </w:rPr>
              <w:t>两侧已开采废弃取料坑内平整堆放</w:t>
            </w:r>
          </w:p>
        </w:tc>
        <w:tc>
          <w:tcPr>
            <w:tcW w:w="741" w:type="pct"/>
            <w:noWrap w:val="0"/>
            <w:vAlign w:val="center"/>
          </w:tcPr>
          <w:p w14:paraId="7F4F9ED1">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现场施工垃圾及生活垃圾已全部清理</w:t>
            </w:r>
          </w:p>
        </w:tc>
        <w:tc>
          <w:tcPr>
            <w:tcW w:w="562" w:type="pct"/>
            <w:noWrap w:val="0"/>
            <w:vAlign w:val="center"/>
          </w:tcPr>
          <w:p w14:paraId="6292587D">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955" w:type="pct"/>
            <w:noWrap w:val="0"/>
            <w:vAlign w:val="center"/>
          </w:tcPr>
          <w:p w14:paraId="2DE02AD3">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r>
      <w:tr w14:paraId="50C00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pct"/>
            <w:noWrap w:val="0"/>
            <w:vAlign w:val="center"/>
          </w:tcPr>
          <w:p w14:paraId="5416DF2F">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电磁环境</w:t>
            </w:r>
          </w:p>
        </w:tc>
        <w:tc>
          <w:tcPr>
            <w:tcW w:w="2102" w:type="pct"/>
            <w:noWrap w:val="0"/>
            <w:vAlign w:val="center"/>
          </w:tcPr>
          <w:p w14:paraId="6EEDF9A4">
            <w:pPr>
              <w:pStyle w:val="83"/>
              <w:keepNext w:val="0"/>
              <w:keepLines w:val="0"/>
              <w:pageBreakBefore w:val="0"/>
              <w:shd w:val="clear"/>
              <w:kinsoku/>
              <w:overflowPunct/>
              <w:topLinePunct w:val="0"/>
              <w:bidi w:val="0"/>
              <w:spacing w:beforeAutospacing="0" w:afterAutospacing="0"/>
              <w:ind w:left="0" w:leftChars="0" w:right="0"/>
              <w:jc w:val="both"/>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i w:val="0"/>
                <w:iCs w:val="0"/>
                <w:color w:val="auto"/>
                <w:spacing w:val="0"/>
                <w:w w:val="100"/>
                <w:position w:val="0"/>
                <w:highlight w:val="none"/>
                <w:lang w:val="en-US" w:eastAsia="zh-CN"/>
              </w:rPr>
              <w:t>1</w:t>
            </w:r>
            <w:r>
              <w:rPr>
                <w:rFonts w:hint="default" w:ascii="Times New Roman" w:hAnsi="Times New Roman" w:eastAsia="宋体" w:cs="Times New Roman"/>
                <w:i w:val="0"/>
                <w:iCs w:val="0"/>
                <w:color w:val="auto"/>
                <w:spacing w:val="0"/>
                <w:w w:val="100"/>
                <w:position w:val="0"/>
                <w:highlight w:val="none"/>
              </w:rPr>
              <w:t>）在各类物料堆场中进行压实作业。</w:t>
            </w:r>
            <w:r>
              <w:rPr>
                <w:rFonts w:hint="default" w:ascii="Times New Roman" w:hAnsi="Times New Roman" w:eastAsia="宋体" w:cs="Times New Roman"/>
                <w:i w:val="0"/>
                <w:iCs w:val="0"/>
                <w:color w:val="auto"/>
                <w:spacing w:val="0"/>
                <w:w w:val="100"/>
                <w:position w:val="0"/>
                <w:highlight w:val="none"/>
                <w:lang w:val="en-US" w:eastAsia="zh-CN"/>
              </w:rPr>
              <w:t>2</w:t>
            </w:r>
            <w:r>
              <w:rPr>
                <w:rFonts w:hint="default" w:ascii="Times New Roman" w:hAnsi="Times New Roman" w:eastAsia="宋体" w:cs="Times New Roman"/>
                <w:i w:val="0"/>
                <w:iCs w:val="0"/>
                <w:color w:val="auto"/>
                <w:spacing w:val="0"/>
                <w:w w:val="100"/>
                <w:position w:val="0"/>
                <w:highlight w:val="none"/>
              </w:rPr>
              <w:t>）在可能发生地质灾害区段设置警示标志。</w:t>
            </w:r>
            <w:r>
              <w:rPr>
                <w:rFonts w:hint="default" w:ascii="Times New Roman" w:hAnsi="Times New Roman" w:eastAsia="宋体" w:cs="Times New Roman"/>
                <w:i w:val="0"/>
                <w:iCs w:val="0"/>
                <w:color w:val="auto"/>
                <w:spacing w:val="0"/>
                <w:w w:val="100"/>
                <w:position w:val="0"/>
                <w:highlight w:val="none"/>
                <w:lang w:val="en-US" w:eastAsia="zh-CN"/>
              </w:rPr>
              <w:t>3</w:t>
            </w:r>
            <w:r>
              <w:rPr>
                <w:rFonts w:hint="default" w:ascii="Times New Roman" w:hAnsi="Times New Roman" w:eastAsia="宋体" w:cs="Times New Roman"/>
                <w:i w:val="0"/>
                <w:iCs w:val="0"/>
                <w:color w:val="auto"/>
                <w:spacing w:val="0"/>
                <w:w w:val="100"/>
                <w:position w:val="0"/>
                <w:highlight w:val="none"/>
              </w:rPr>
              <w:t>）不超挖坡底，不留伞檐，进行科学、合理的采剥。</w:t>
            </w:r>
            <w:r>
              <w:rPr>
                <w:rFonts w:hint="default" w:ascii="Times New Roman" w:hAnsi="Times New Roman" w:eastAsia="宋体" w:cs="Times New Roman"/>
                <w:i w:val="0"/>
                <w:iCs w:val="0"/>
                <w:color w:val="auto"/>
                <w:spacing w:val="0"/>
                <w:w w:val="100"/>
                <w:position w:val="0"/>
                <w:highlight w:val="none"/>
                <w:lang w:val="en-US" w:eastAsia="zh-CN"/>
              </w:rPr>
              <w:t>4</w:t>
            </w:r>
            <w:r>
              <w:rPr>
                <w:rFonts w:hint="default" w:ascii="Times New Roman" w:hAnsi="Times New Roman" w:eastAsia="宋体" w:cs="Times New Roman"/>
                <w:i w:val="0"/>
                <w:iCs w:val="0"/>
                <w:color w:val="auto"/>
                <w:spacing w:val="0"/>
                <w:w w:val="100"/>
                <w:position w:val="0"/>
                <w:highlight w:val="none"/>
              </w:rPr>
              <w:t>）严禁采场内台阶上下垂直方向双层作业。</w:t>
            </w:r>
            <w:r>
              <w:rPr>
                <w:rFonts w:hint="default" w:ascii="Times New Roman" w:hAnsi="Times New Roman" w:eastAsia="宋体" w:cs="Times New Roman"/>
                <w:i w:val="0"/>
                <w:iCs w:val="0"/>
                <w:color w:val="auto"/>
                <w:spacing w:val="0"/>
                <w:w w:val="100"/>
                <w:position w:val="0"/>
                <w:highlight w:val="none"/>
                <w:lang w:val="en-US" w:eastAsia="zh-CN"/>
              </w:rPr>
              <w:t>5</w:t>
            </w:r>
            <w:r>
              <w:rPr>
                <w:rFonts w:hint="default" w:ascii="Times New Roman" w:hAnsi="Times New Roman" w:eastAsia="宋体" w:cs="Times New Roman"/>
                <w:i w:val="0"/>
                <w:iCs w:val="0"/>
                <w:color w:val="auto"/>
                <w:spacing w:val="0"/>
                <w:w w:val="100"/>
                <w:position w:val="0"/>
                <w:highlight w:val="none"/>
              </w:rPr>
              <w:t>）在台阶坡面作业时，必须佩戴安全带。</w:t>
            </w:r>
            <w:r>
              <w:rPr>
                <w:rFonts w:hint="default" w:ascii="Times New Roman" w:hAnsi="Times New Roman" w:cs="Times New Roman"/>
                <w:i w:val="0"/>
                <w:iCs w:val="0"/>
                <w:color w:val="auto"/>
                <w:spacing w:val="0"/>
                <w:w w:val="100"/>
                <w:position w:val="0"/>
                <w:highlight w:val="none"/>
                <w:lang w:val="en-US" w:eastAsia="zh-CN"/>
              </w:rPr>
              <w:t>7</w:t>
            </w:r>
            <w:r>
              <w:rPr>
                <w:rFonts w:hint="default" w:ascii="Times New Roman" w:hAnsi="Times New Roman" w:cs="Times New Roman"/>
                <w:i w:val="0"/>
                <w:iCs w:val="0"/>
                <w:color w:val="auto"/>
                <w:spacing w:val="0"/>
                <w:w w:val="100"/>
                <w:position w:val="0"/>
                <w:highlight w:val="none"/>
              </w:rPr>
              <w:t>）使用符合标准的容器盛装</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；应定期对暂时贮存</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包装及设施进行检查，发现破损，及时采取措施清理更换；</w:t>
            </w:r>
            <w:r>
              <w:rPr>
                <w:rFonts w:hint="default" w:ascii="Times New Roman" w:hAnsi="Times New Roman" w:cs="Times New Roman"/>
                <w:i w:val="0"/>
                <w:iCs w:val="0"/>
                <w:color w:val="auto"/>
                <w:spacing w:val="0"/>
                <w:w w:val="100"/>
                <w:position w:val="0"/>
                <w:highlight w:val="none"/>
                <w:lang w:val="en-US" w:eastAsia="zh-CN"/>
              </w:rPr>
              <w:t>8</w:t>
            </w:r>
            <w:r>
              <w:rPr>
                <w:rFonts w:hint="default" w:ascii="Times New Roman" w:hAnsi="Times New Roman" w:cs="Times New Roman"/>
                <w:i w:val="0"/>
                <w:iCs w:val="0"/>
                <w:color w:val="auto"/>
                <w:spacing w:val="0"/>
                <w:w w:val="100"/>
                <w:position w:val="0"/>
                <w:highlight w:val="none"/>
              </w:rPr>
              <w:t>）设有专人负责</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维护及管理，避免因</w:t>
            </w:r>
            <w:r>
              <w:rPr>
                <w:rFonts w:hint="default" w:ascii="Times New Roman" w:hAnsi="Times New Roman" w:cs="Times New Roman"/>
                <w:i w:val="0"/>
                <w:iCs w:val="0"/>
                <w:color w:val="auto"/>
                <w:spacing w:val="0"/>
                <w:w w:val="100"/>
                <w:position w:val="0"/>
                <w:highlight w:val="none"/>
                <w:lang w:eastAsia="zh-CN"/>
              </w:rPr>
              <w:t>柴油</w:t>
            </w:r>
            <w:r>
              <w:rPr>
                <w:rFonts w:hint="default" w:ascii="Times New Roman" w:hAnsi="Times New Roman" w:cs="Times New Roman"/>
                <w:i w:val="0"/>
                <w:iCs w:val="0"/>
                <w:color w:val="auto"/>
                <w:spacing w:val="0"/>
                <w:w w:val="100"/>
                <w:position w:val="0"/>
                <w:highlight w:val="none"/>
              </w:rPr>
              <w:t>泄露、乱堆乱弃造成环境污染；</w:t>
            </w:r>
            <w:r>
              <w:rPr>
                <w:rFonts w:hint="default" w:ascii="Times New Roman" w:hAnsi="Times New Roman" w:cs="Times New Roman"/>
                <w:i w:val="0"/>
                <w:iCs w:val="0"/>
                <w:color w:val="auto"/>
                <w:spacing w:val="0"/>
                <w:w w:val="100"/>
                <w:position w:val="0"/>
                <w:highlight w:val="none"/>
                <w:lang w:val="en-US" w:eastAsia="zh-CN"/>
              </w:rPr>
              <w:t>9</w:t>
            </w:r>
            <w:r>
              <w:rPr>
                <w:rFonts w:hint="default" w:ascii="Times New Roman" w:hAnsi="Times New Roman" w:cs="Times New Roman"/>
                <w:i w:val="0"/>
                <w:iCs w:val="0"/>
                <w:color w:val="auto"/>
                <w:spacing w:val="0"/>
                <w:w w:val="100"/>
                <w:position w:val="0"/>
                <w:highlight w:val="none"/>
              </w:rPr>
              <w:t>）应指定专人负责危废的收集、运输管理工作，运输车辆的司机和押运人员应经专业培训。</w:t>
            </w:r>
          </w:p>
        </w:tc>
        <w:tc>
          <w:tcPr>
            <w:tcW w:w="741" w:type="pct"/>
            <w:noWrap w:val="0"/>
            <w:vAlign w:val="center"/>
          </w:tcPr>
          <w:p w14:paraId="7B85226B">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562" w:type="pct"/>
            <w:noWrap w:val="0"/>
            <w:vAlign w:val="center"/>
          </w:tcPr>
          <w:p w14:paraId="7306D8B9">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955" w:type="pct"/>
            <w:noWrap w:val="0"/>
            <w:vAlign w:val="center"/>
          </w:tcPr>
          <w:p w14:paraId="5D467FE9">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r>
      <w:tr w14:paraId="71049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pct"/>
            <w:noWrap w:val="0"/>
            <w:vAlign w:val="center"/>
          </w:tcPr>
          <w:p w14:paraId="3F37F28D">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环境风险</w:t>
            </w:r>
          </w:p>
        </w:tc>
        <w:tc>
          <w:tcPr>
            <w:tcW w:w="2102" w:type="pct"/>
            <w:noWrap w:val="0"/>
            <w:vAlign w:val="center"/>
          </w:tcPr>
          <w:p w14:paraId="74CBEB77">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741" w:type="pct"/>
            <w:noWrap w:val="0"/>
            <w:vAlign w:val="center"/>
          </w:tcPr>
          <w:p w14:paraId="6CD2012C">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562" w:type="pct"/>
            <w:noWrap w:val="0"/>
            <w:vAlign w:val="center"/>
          </w:tcPr>
          <w:p w14:paraId="7A5E6851">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955" w:type="pct"/>
            <w:noWrap w:val="0"/>
            <w:vAlign w:val="center"/>
          </w:tcPr>
          <w:p w14:paraId="372877EA">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r>
      <w:tr w14:paraId="16FF8E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1" w:hRule="atLeast"/>
          <w:jc w:val="center"/>
        </w:trPr>
        <w:tc>
          <w:tcPr>
            <w:tcW w:w="637" w:type="pct"/>
            <w:noWrap w:val="0"/>
            <w:vAlign w:val="center"/>
          </w:tcPr>
          <w:p w14:paraId="43EFEEB5">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环境监测</w:t>
            </w:r>
          </w:p>
        </w:tc>
        <w:tc>
          <w:tcPr>
            <w:tcW w:w="2102" w:type="pct"/>
            <w:noWrap w:val="0"/>
            <w:vAlign w:val="center"/>
          </w:tcPr>
          <w:p w14:paraId="7AD318D9">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hanging="1" w:firstLine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对施工期大气、噪声进行监测，另外开展施工区生态监测，调查植被覆盖率，植被种类及数量、调查施工结束后施工迹地恢复复垦情况，施工高峰期监测一次，施工结束后2个月一次</w:t>
            </w:r>
          </w:p>
        </w:tc>
        <w:tc>
          <w:tcPr>
            <w:tcW w:w="741" w:type="pct"/>
            <w:noWrap w:val="0"/>
            <w:vAlign w:val="center"/>
          </w:tcPr>
          <w:p w14:paraId="5AF42D4A">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定期监测</w:t>
            </w:r>
          </w:p>
        </w:tc>
        <w:tc>
          <w:tcPr>
            <w:tcW w:w="562" w:type="pct"/>
            <w:noWrap w:val="0"/>
            <w:vAlign w:val="center"/>
          </w:tcPr>
          <w:p w14:paraId="57076375">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955" w:type="pct"/>
            <w:noWrap w:val="0"/>
            <w:vAlign w:val="center"/>
          </w:tcPr>
          <w:p w14:paraId="4F7CBB3C">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r>
      <w:tr w14:paraId="364F2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2" w:hRule="atLeast"/>
          <w:jc w:val="center"/>
        </w:trPr>
        <w:tc>
          <w:tcPr>
            <w:tcW w:w="637" w:type="pct"/>
            <w:noWrap w:val="0"/>
            <w:vAlign w:val="center"/>
          </w:tcPr>
          <w:p w14:paraId="76FBEF27">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其他</w:t>
            </w:r>
          </w:p>
        </w:tc>
        <w:tc>
          <w:tcPr>
            <w:tcW w:w="2102" w:type="pct"/>
            <w:noWrap w:val="0"/>
            <w:vAlign w:val="center"/>
          </w:tcPr>
          <w:p w14:paraId="370FD43E">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741" w:type="pct"/>
            <w:noWrap w:val="0"/>
            <w:vAlign w:val="center"/>
          </w:tcPr>
          <w:p w14:paraId="70166369">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562" w:type="pct"/>
            <w:noWrap w:val="0"/>
            <w:vAlign w:val="center"/>
          </w:tcPr>
          <w:p w14:paraId="4DDB8E59">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c>
          <w:tcPr>
            <w:tcW w:w="955" w:type="pct"/>
            <w:noWrap w:val="0"/>
            <w:vAlign w:val="center"/>
          </w:tcPr>
          <w:p w14:paraId="02F592DA">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rPr>
              <w:t>/</w:t>
            </w:r>
          </w:p>
        </w:tc>
      </w:tr>
    </w:tbl>
    <w:p w14:paraId="0727B3E7">
      <w:pPr>
        <w:pStyle w:val="28"/>
        <w:keepNext w:val="0"/>
        <w:keepLines w:val="0"/>
        <w:pageBreakBefore w:val="0"/>
        <w:shd w:val="clear"/>
        <w:kinsoku/>
        <w:overflowPunct/>
        <w:topLinePunct w:val="0"/>
        <w:bidi w:val="0"/>
        <w:spacing w:before="0" w:beforeAutospacing="0" w:after="0" w:afterAutospacing="0"/>
        <w:ind w:left="0" w:leftChars="0" w:right="0"/>
        <w:jc w:val="center"/>
        <w:outlineLvl w:val="0"/>
        <w:rPr>
          <w:rFonts w:hint="default" w:ascii="Times New Roman" w:hAnsi="Times New Roman" w:eastAsia="宋体" w:cs="Times New Roman"/>
          <w:snapToGrid w:val="0"/>
          <w:color w:val="auto"/>
          <w:spacing w:val="0"/>
          <w:w w:val="100"/>
          <w:position w:val="0"/>
          <w:sz w:val="30"/>
          <w:szCs w:val="30"/>
          <w:highlight w:val="none"/>
        </w:rPr>
      </w:pPr>
      <w:r>
        <w:rPr>
          <w:rFonts w:hint="default" w:ascii="Times New Roman" w:hAnsi="Times New Roman" w:eastAsia="宋体" w:cs="Times New Roman"/>
          <w:snapToGrid w:val="0"/>
          <w:color w:val="auto"/>
          <w:spacing w:val="0"/>
          <w:w w:val="100"/>
          <w:position w:val="0"/>
          <w:sz w:val="30"/>
          <w:szCs w:val="30"/>
          <w:highlight w:val="none"/>
        </w:rPr>
        <w:br w:type="page"/>
      </w:r>
      <w:r>
        <w:rPr>
          <w:rFonts w:hint="eastAsia" w:ascii="黑体" w:hAnsi="黑体" w:eastAsia="黑体" w:cs="黑体"/>
          <w:snapToGrid w:val="0"/>
          <w:color w:val="auto"/>
          <w:spacing w:val="0"/>
          <w:w w:val="100"/>
          <w:position w:val="0"/>
          <w:sz w:val="30"/>
          <w:szCs w:val="30"/>
          <w:highlight w:val="none"/>
        </w:rPr>
        <w:t>七、结论</w:t>
      </w:r>
    </w:p>
    <w:tbl>
      <w:tblPr>
        <w:tblStyle w:val="31"/>
        <w:tblW w:w="87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78"/>
      </w:tblGrid>
      <w:tr w14:paraId="32055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49" w:hRule="atLeast"/>
          <w:jc w:val="center"/>
        </w:trPr>
        <w:tc>
          <w:tcPr>
            <w:tcW w:w="8778" w:type="dxa"/>
            <w:tcBorders>
              <w:tl2br w:val="nil"/>
              <w:tr2bl w:val="nil"/>
            </w:tcBorders>
            <w:noWrap w:val="0"/>
            <w:vAlign w:val="top"/>
          </w:tcPr>
          <w:p w14:paraId="381B0A71">
            <w:pPr>
              <w:keepNext w:val="0"/>
              <w:keepLines w:val="0"/>
              <w:pageBreakBefore w:val="0"/>
              <w:shd w:val="clear"/>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24"/>
                <w:highlight w:val="none"/>
              </w:rPr>
            </w:pPr>
          </w:p>
          <w:p w14:paraId="63157DDD">
            <w:pPr>
              <w:keepNext w:val="0"/>
              <w:keepLines w:val="0"/>
              <w:pageBreakBefore w:val="0"/>
              <w:shd w:val="clear"/>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24"/>
                <w:highlight w:val="none"/>
              </w:rPr>
            </w:pPr>
          </w:p>
          <w:p w14:paraId="354F88B2">
            <w:pPr>
              <w:keepNext w:val="0"/>
              <w:keepLines w:val="0"/>
              <w:pageBreakBefore w:val="0"/>
              <w:shd w:val="clear"/>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color w:val="auto"/>
                <w:spacing w:val="0"/>
                <w:w w:val="100"/>
                <w:position w:val="0"/>
                <w:sz w:val="24"/>
                <w:szCs w:val="24"/>
                <w:highlight w:val="none"/>
              </w:rPr>
              <w:t>综上所述，项目所在区域水、大气、声环境质量现状良好，基本能满足环境规划要求。本项目的环境影响主要在施工期，是暂时的，随着施工期结束，这种影响就会消失。通过以上分析，只要项目严格执行国家环境保护法规和标准，认真落实本报告表所提出的措施和建议，则项目建设对周围环境影响不大，从环保角度分析，项目的选址和建设是可行的。</w:t>
            </w:r>
          </w:p>
          <w:p w14:paraId="7BDE5C7C">
            <w:pPr>
              <w:keepNext w:val="0"/>
              <w:keepLines w:val="0"/>
              <w:pageBreakBefore w:val="0"/>
              <w:shd w:val="clear"/>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eastAsia="zh-CN"/>
              </w:rPr>
            </w:pPr>
          </w:p>
          <w:p w14:paraId="00AF4EC7">
            <w:pPr>
              <w:keepNext w:val="0"/>
              <w:keepLines w:val="0"/>
              <w:pageBreakBefore w:val="0"/>
              <w:shd w:val="clear"/>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eastAsia="zh-CN"/>
              </w:rPr>
            </w:pPr>
          </w:p>
          <w:p w14:paraId="4F06A202">
            <w:pPr>
              <w:keepNext w:val="0"/>
              <w:keepLines w:val="0"/>
              <w:pageBreakBefore w:val="0"/>
              <w:shd w:val="clear"/>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eastAsia="zh-CN"/>
              </w:rPr>
            </w:pPr>
          </w:p>
          <w:p w14:paraId="0285D2A7">
            <w:pPr>
              <w:keepNext w:val="0"/>
              <w:keepLines w:val="0"/>
              <w:pageBreakBefore w:val="0"/>
              <w:shd w:val="clear"/>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eastAsia="zh-CN"/>
              </w:rPr>
            </w:pPr>
          </w:p>
          <w:p w14:paraId="4689D43F">
            <w:pPr>
              <w:keepNext w:val="0"/>
              <w:keepLines w:val="0"/>
              <w:pageBreakBefore w:val="0"/>
              <w:shd w:val="clear"/>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eastAsia="zh-CN"/>
              </w:rPr>
            </w:pPr>
          </w:p>
          <w:p w14:paraId="1CCF0C99">
            <w:pPr>
              <w:keepNext w:val="0"/>
              <w:keepLines w:val="0"/>
              <w:pageBreakBefore w:val="0"/>
              <w:shd w:val="clear"/>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eastAsia="zh-CN"/>
              </w:rPr>
            </w:pPr>
          </w:p>
          <w:p w14:paraId="365935B2">
            <w:pPr>
              <w:keepNext w:val="0"/>
              <w:keepLines w:val="0"/>
              <w:pageBreakBefore w:val="0"/>
              <w:shd w:val="clear"/>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eastAsia="zh-CN"/>
              </w:rPr>
            </w:pPr>
          </w:p>
          <w:p w14:paraId="24038E77">
            <w:pPr>
              <w:keepNext w:val="0"/>
              <w:keepLines w:val="0"/>
              <w:pageBreakBefore w:val="0"/>
              <w:shd w:val="clear"/>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eastAsia="zh-CN"/>
              </w:rPr>
            </w:pPr>
          </w:p>
          <w:p w14:paraId="0884CDEE">
            <w:pPr>
              <w:keepNext w:val="0"/>
              <w:keepLines w:val="0"/>
              <w:pageBreakBefore w:val="0"/>
              <w:shd w:val="clear"/>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eastAsia="zh-CN"/>
              </w:rPr>
            </w:pPr>
          </w:p>
          <w:p w14:paraId="733648A0">
            <w:pPr>
              <w:keepNext w:val="0"/>
              <w:keepLines w:val="0"/>
              <w:pageBreakBefore w:val="0"/>
              <w:shd w:val="clear"/>
              <w:kinsoku/>
              <w:overflowPunct/>
              <w:topLinePunct w:val="0"/>
              <w:bidi w:val="0"/>
              <w:adjustRightInd w:val="0"/>
              <w:snapToGrid w:val="0"/>
              <w:spacing w:beforeAutospacing="0" w:afterAutospacing="0" w:line="360" w:lineRule="auto"/>
              <w:ind w:left="0" w:leftChars="0" w:right="0"/>
              <w:jc w:val="both"/>
              <w:rPr>
                <w:rFonts w:hint="default" w:ascii="Times New Roman" w:hAnsi="Times New Roman" w:eastAsia="宋体" w:cs="Times New Roman"/>
                <w:color w:val="auto"/>
                <w:spacing w:val="0"/>
                <w:w w:val="100"/>
                <w:position w:val="0"/>
                <w:szCs w:val="21"/>
                <w:highlight w:val="none"/>
              </w:rPr>
            </w:pPr>
          </w:p>
        </w:tc>
      </w:tr>
    </w:tbl>
    <w:p w14:paraId="6F50EC1A">
      <w:pPr>
        <w:shd w:val="clear"/>
        <w:rPr>
          <w:rFonts w:hint="default" w:ascii="Times New Roman" w:hAnsi="Times New Roman" w:eastAsia="宋体" w:cs="Times New Roman"/>
          <w:color w:val="auto"/>
          <w:spacing w:val="0"/>
          <w:w w:val="100"/>
          <w:position w:val="0"/>
          <w:szCs w:val="21"/>
          <w:highlight w:val="none"/>
        </w:rPr>
      </w:pPr>
      <w:r>
        <w:rPr>
          <w:rFonts w:hint="default" w:ascii="Times New Roman" w:hAnsi="Times New Roman" w:eastAsia="宋体" w:cs="Times New Roman"/>
          <w:color w:val="auto"/>
          <w:spacing w:val="0"/>
          <w:w w:val="100"/>
          <w:position w:val="0"/>
          <w:szCs w:val="21"/>
          <w:highlight w:val="none"/>
        </w:rPr>
        <w:br w:type="page"/>
      </w:r>
    </w:p>
    <w:p w14:paraId="197892F1">
      <w:pPr>
        <w:pStyle w:val="28"/>
        <w:keepNext w:val="0"/>
        <w:keepLines w:val="0"/>
        <w:pageBreakBefore w:val="0"/>
        <w:shd w:val="clear"/>
        <w:kinsoku/>
        <w:overflowPunct/>
        <w:topLinePunct w:val="0"/>
        <w:bidi w:val="0"/>
        <w:adjustRightInd w:val="0"/>
        <w:snapToGrid w:val="0"/>
        <w:spacing w:before="0" w:beforeAutospacing="0" w:after="0" w:afterAutospacing="0" w:line="360" w:lineRule="auto"/>
        <w:ind w:left="0" w:leftChars="0" w:right="0"/>
        <w:outlineLvl w:val="0"/>
        <w:rPr>
          <w:rFonts w:hint="default" w:ascii="Times New Roman" w:hAnsi="Times New Roman" w:eastAsia="宋体" w:cs="Times New Roman"/>
          <w:snapToGrid w:val="0"/>
          <w:color w:val="auto"/>
          <w:spacing w:val="0"/>
          <w:w w:val="100"/>
          <w:position w:val="0"/>
          <w:sz w:val="32"/>
          <w:szCs w:val="32"/>
          <w:highlight w:val="none"/>
          <w:lang w:val="en-US" w:eastAsia="zh-CN"/>
        </w:rPr>
      </w:pPr>
      <w:r>
        <w:rPr>
          <w:rFonts w:hint="default" w:ascii="Times New Roman" w:hAnsi="Times New Roman" w:eastAsia="宋体" w:cs="Times New Roman"/>
          <w:snapToGrid w:val="0"/>
          <w:color w:val="auto"/>
          <w:spacing w:val="0"/>
          <w:w w:val="100"/>
          <w:position w:val="0"/>
          <w:sz w:val="32"/>
          <w:szCs w:val="32"/>
          <w:highlight w:val="none"/>
          <w:lang w:val="en-US" w:eastAsia="zh-CN"/>
        </w:rPr>
        <w:t>附图：</w:t>
      </w:r>
    </w:p>
    <w:p w14:paraId="3FEFAAD0">
      <w:pPr>
        <w:keepNext w:val="0"/>
        <w:keepLines w:val="0"/>
        <w:pageBreakBefore w:val="0"/>
        <w:shd w:val="clear"/>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val="en-US" w:eastAsia="zh-CN"/>
        </w:rPr>
      </w:pPr>
      <w:r>
        <w:rPr>
          <w:rFonts w:hint="default" w:ascii="Times New Roman" w:hAnsi="Times New Roman" w:eastAsia="宋体" w:cs="Times New Roman"/>
          <w:color w:val="auto"/>
          <w:spacing w:val="0"/>
          <w:w w:val="100"/>
          <w:position w:val="0"/>
          <w:sz w:val="24"/>
          <w:szCs w:val="32"/>
          <w:highlight w:val="none"/>
          <w:lang w:val="en-US" w:eastAsia="zh-CN"/>
        </w:rPr>
        <w:t>附图1：项目地理位置图</w:t>
      </w:r>
    </w:p>
    <w:p w14:paraId="05196DAD">
      <w:pPr>
        <w:keepNext w:val="0"/>
        <w:keepLines w:val="0"/>
        <w:pageBreakBefore w:val="0"/>
        <w:shd w:val="clear"/>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val="en-US" w:eastAsia="zh-CN"/>
        </w:rPr>
      </w:pPr>
      <w:r>
        <w:rPr>
          <w:rFonts w:hint="default" w:ascii="Times New Roman" w:hAnsi="Times New Roman" w:eastAsia="宋体" w:cs="Times New Roman"/>
          <w:color w:val="auto"/>
          <w:spacing w:val="0"/>
          <w:w w:val="100"/>
          <w:position w:val="0"/>
          <w:sz w:val="24"/>
          <w:szCs w:val="32"/>
          <w:highlight w:val="none"/>
          <w:lang w:val="en-US" w:eastAsia="zh-CN"/>
        </w:rPr>
        <w:t>附图2：项目在昌吉回族自治州“三线一单”生态环境分区管控单元的位置</w:t>
      </w:r>
    </w:p>
    <w:p w14:paraId="72FA77B9">
      <w:pPr>
        <w:keepNext w:val="0"/>
        <w:keepLines w:val="0"/>
        <w:pageBreakBefore w:val="0"/>
        <w:shd w:val="clear"/>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val="en-US" w:eastAsia="zh-CN"/>
        </w:rPr>
      </w:pPr>
      <w:r>
        <w:rPr>
          <w:rFonts w:hint="default" w:ascii="Times New Roman" w:hAnsi="Times New Roman" w:eastAsia="宋体" w:cs="Times New Roman"/>
          <w:color w:val="auto"/>
          <w:spacing w:val="0"/>
          <w:w w:val="100"/>
          <w:position w:val="0"/>
          <w:sz w:val="24"/>
          <w:szCs w:val="32"/>
          <w:highlight w:val="none"/>
          <w:lang w:val="en-US" w:eastAsia="zh-CN"/>
        </w:rPr>
        <w:t>附图3：护岸总平面布置图</w:t>
      </w:r>
    </w:p>
    <w:p w14:paraId="49A2C3B2">
      <w:pPr>
        <w:keepNext w:val="0"/>
        <w:keepLines w:val="0"/>
        <w:pageBreakBefore w:val="0"/>
        <w:shd w:val="clear"/>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val="en-US" w:eastAsia="zh-CN"/>
        </w:rPr>
      </w:pPr>
      <w:r>
        <w:rPr>
          <w:rFonts w:hint="default" w:ascii="Times New Roman" w:hAnsi="Times New Roman" w:eastAsia="宋体" w:cs="Times New Roman"/>
          <w:color w:val="auto"/>
          <w:spacing w:val="0"/>
          <w:w w:val="100"/>
          <w:position w:val="0"/>
          <w:sz w:val="24"/>
          <w:szCs w:val="32"/>
          <w:highlight w:val="none"/>
          <w:lang w:val="en-US" w:eastAsia="zh-CN"/>
        </w:rPr>
        <w:t>附图4：项目在新疆主体功能区划的位置图</w:t>
      </w:r>
    </w:p>
    <w:p w14:paraId="558FE2DF">
      <w:pPr>
        <w:keepNext w:val="0"/>
        <w:keepLines w:val="0"/>
        <w:pageBreakBefore w:val="0"/>
        <w:shd w:val="clear"/>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val="en-US" w:eastAsia="zh-CN"/>
        </w:rPr>
      </w:pPr>
      <w:r>
        <w:rPr>
          <w:rFonts w:hint="default" w:ascii="Times New Roman" w:hAnsi="Times New Roman" w:eastAsia="宋体" w:cs="Times New Roman"/>
          <w:color w:val="auto"/>
          <w:spacing w:val="0"/>
          <w:w w:val="100"/>
          <w:position w:val="0"/>
          <w:sz w:val="24"/>
          <w:szCs w:val="32"/>
          <w:highlight w:val="none"/>
          <w:lang w:val="en-US" w:eastAsia="zh-CN"/>
        </w:rPr>
        <w:t>附图5：项目在新疆生态功能区划的位置图</w:t>
      </w:r>
    </w:p>
    <w:p w14:paraId="7199BD03">
      <w:pPr>
        <w:pStyle w:val="28"/>
        <w:keepNext w:val="0"/>
        <w:keepLines w:val="0"/>
        <w:pageBreakBefore w:val="0"/>
        <w:shd w:val="clear"/>
        <w:kinsoku/>
        <w:overflowPunct/>
        <w:topLinePunct w:val="0"/>
        <w:bidi w:val="0"/>
        <w:adjustRightInd w:val="0"/>
        <w:snapToGrid w:val="0"/>
        <w:spacing w:before="0" w:beforeAutospacing="0" w:after="0" w:afterAutospacing="0" w:line="360" w:lineRule="auto"/>
        <w:ind w:left="0" w:leftChars="0" w:right="0"/>
        <w:outlineLvl w:val="0"/>
        <w:rPr>
          <w:rFonts w:hint="default" w:ascii="Times New Roman" w:hAnsi="Times New Roman" w:eastAsia="宋体" w:cs="Times New Roman"/>
          <w:snapToGrid w:val="0"/>
          <w:color w:val="auto"/>
          <w:spacing w:val="0"/>
          <w:w w:val="100"/>
          <w:position w:val="0"/>
          <w:sz w:val="32"/>
          <w:szCs w:val="32"/>
          <w:highlight w:val="none"/>
          <w:lang w:val="en-US" w:eastAsia="zh-CN"/>
        </w:rPr>
      </w:pPr>
      <w:r>
        <w:rPr>
          <w:rFonts w:hint="default" w:ascii="Times New Roman" w:hAnsi="Times New Roman" w:eastAsia="宋体" w:cs="Times New Roman"/>
          <w:snapToGrid w:val="0"/>
          <w:color w:val="auto"/>
          <w:spacing w:val="0"/>
          <w:w w:val="100"/>
          <w:position w:val="0"/>
          <w:sz w:val="32"/>
          <w:szCs w:val="32"/>
          <w:highlight w:val="none"/>
          <w:lang w:val="en-US" w:eastAsia="zh-CN"/>
        </w:rPr>
        <w:t>附件：</w:t>
      </w:r>
    </w:p>
    <w:p w14:paraId="3F3B7F23">
      <w:pPr>
        <w:keepNext w:val="0"/>
        <w:keepLines w:val="0"/>
        <w:pageBreakBefore w:val="0"/>
        <w:shd w:val="clear"/>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val="en-US" w:eastAsia="zh-CN"/>
        </w:rPr>
      </w:pPr>
      <w:r>
        <w:rPr>
          <w:rFonts w:hint="default" w:ascii="Times New Roman" w:hAnsi="Times New Roman" w:eastAsia="宋体" w:cs="Times New Roman"/>
          <w:color w:val="auto"/>
          <w:spacing w:val="0"/>
          <w:w w:val="100"/>
          <w:position w:val="0"/>
          <w:sz w:val="24"/>
          <w:szCs w:val="32"/>
          <w:highlight w:val="none"/>
          <w:lang w:val="en-US" w:eastAsia="zh-CN"/>
        </w:rPr>
        <w:t>附件1：委托书</w:t>
      </w:r>
    </w:p>
    <w:p w14:paraId="4A7C91D8">
      <w:pPr>
        <w:keepNext w:val="0"/>
        <w:keepLines w:val="0"/>
        <w:pageBreakBefore w:val="0"/>
        <w:shd w:val="clear"/>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val="en-US" w:eastAsia="zh-CN"/>
        </w:rPr>
      </w:pPr>
      <w:r>
        <w:rPr>
          <w:rFonts w:hint="default" w:ascii="Times New Roman" w:hAnsi="Times New Roman" w:eastAsia="宋体" w:cs="Times New Roman"/>
          <w:color w:val="auto"/>
          <w:spacing w:val="0"/>
          <w:w w:val="100"/>
          <w:position w:val="0"/>
          <w:sz w:val="24"/>
          <w:szCs w:val="32"/>
          <w:highlight w:val="none"/>
          <w:lang w:val="en-US" w:eastAsia="zh-CN"/>
        </w:rPr>
        <w:t>附件2：项目备案</w: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887337B-E350-4D4B-B120-210992C0FAF1}"/>
  </w:font>
  <w:font w:name="黑体">
    <w:panose1 w:val="02010609060101010101"/>
    <w:charset w:val="86"/>
    <w:family w:val="auto"/>
    <w:pitch w:val="default"/>
    <w:sig w:usb0="800002BF" w:usb1="38CF7CFA" w:usb2="00000016" w:usb3="00000000" w:csb0="00040001" w:csb1="00000000"/>
    <w:embedRegular r:id="rId2" w:fontKey="{71121C5B-A88E-4201-8F24-4A7627F22F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embedRegular r:id="rId3" w:fontKey="{1E4DDEEB-43CA-4A64-A810-DBB17103719A}"/>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F6DDF170-B4E8-4229-9C04-9894E195E704}"/>
  </w:font>
  <w:font w:name="楷体">
    <w:panose1 w:val="02010609060101010101"/>
    <w:charset w:val="86"/>
    <w:family w:val="auto"/>
    <w:pitch w:val="default"/>
    <w:sig w:usb0="800002BF" w:usb1="38CF7CFA" w:usb2="00000016" w:usb3="00000000" w:csb0="00040001" w:csb1="00000000"/>
    <w:embedRegular r:id="rId5" w:fontKey="{F75A89C1-4A90-4038-B0FB-41884DC9B1BE}"/>
  </w:font>
  <w:font w:name="Wingdings 2">
    <w:panose1 w:val="05020102010507070707"/>
    <w:charset w:val="00"/>
    <w:family w:val="auto"/>
    <w:pitch w:val="default"/>
    <w:sig w:usb0="00000000" w:usb1="00000000" w:usb2="00000000" w:usb3="00000000" w:csb0="80000000" w:csb1="00000000"/>
    <w:embedRegular r:id="rId6" w:fontKey="{AE818CEB-B53B-4030-8F76-9F94AB135E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F7044">
    <w:pPr>
      <w:pStyle w:val="21"/>
      <w:rPr>
        <w:rStyle w:val="35"/>
        <w:rFonts w:ascii="宋体" w:hAnsi="宋体"/>
        <w:sz w:val="28"/>
        <w:szCs w:val="28"/>
      </w:rPr>
    </w:pPr>
  </w:p>
  <w:p w14:paraId="1D73A59B">
    <w:pPr>
      <w:pStyle w:val="2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14FD4">
    <w:pPr>
      <w:pStyle w:val="21"/>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B03064">
                          <w:pPr>
                            <w:pStyle w:val="21"/>
                          </w:pPr>
                          <w:r>
                            <w:fldChar w:fldCharType="begin"/>
                          </w:r>
                          <w:r>
                            <w:instrText xml:space="preserve"> PAGE  \* MERGEFORMAT </w:instrText>
                          </w:r>
                          <w:r>
                            <w:fldChar w:fldCharType="separate"/>
                          </w:r>
                          <w:r>
                            <w:t>22</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76B03064">
                    <w:pPr>
                      <w:pStyle w:val="2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D80E7">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C1BF3"/>
    <w:multiLevelType w:val="singleLevel"/>
    <w:tmpl w:val="C80C1BF3"/>
    <w:lvl w:ilvl="0" w:tentative="0">
      <w:start w:val="1"/>
      <w:numFmt w:val="bullet"/>
      <w:pStyle w:val="1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A14947"/>
    <w:rsid w:val="00001CED"/>
    <w:rsid w:val="00001E67"/>
    <w:rsid w:val="00003CD8"/>
    <w:rsid w:val="00014965"/>
    <w:rsid w:val="0001523A"/>
    <w:rsid w:val="00016ECB"/>
    <w:rsid w:val="000269F6"/>
    <w:rsid w:val="00031939"/>
    <w:rsid w:val="00032D25"/>
    <w:rsid w:val="0005219D"/>
    <w:rsid w:val="0005568F"/>
    <w:rsid w:val="0006153D"/>
    <w:rsid w:val="00061B1F"/>
    <w:rsid w:val="000664DB"/>
    <w:rsid w:val="0007127D"/>
    <w:rsid w:val="00071AE5"/>
    <w:rsid w:val="00074783"/>
    <w:rsid w:val="000801E0"/>
    <w:rsid w:val="00082A29"/>
    <w:rsid w:val="0008331D"/>
    <w:rsid w:val="00083C18"/>
    <w:rsid w:val="00092899"/>
    <w:rsid w:val="000A178E"/>
    <w:rsid w:val="000A557E"/>
    <w:rsid w:val="000B058F"/>
    <w:rsid w:val="000B693F"/>
    <w:rsid w:val="000C09AC"/>
    <w:rsid w:val="000C0A63"/>
    <w:rsid w:val="000C437E"/>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9146B"/>
    <w:rsid w:val="00194398"/>
    <w:rsid w:val="001A7D2A"/>
    <w:rsid w:val="001B574C"/>
    <w:rsid w:val="001C0AF9"/>
    <w:rsid w:val="001C155A"/>
    <w:rsid w:val="001C48C0"/>
    <w:rsid w:val="001D6726"/>
    <w:rsid w:val="001E2945"/>
    <w:rsid w:val="001F3347"/>
    <w:rsid w:val="001F4440"/>
    <w:rsid w:val="001F69E4"/>
    <w:rsid w:val="00201F41"/>
    <w:rsid w:val="00206A65"/>
    <w:rsid w:val="00212D31"/>
    <w:rsid w:val="002130C7"/>
    <w:rsid w:val="002218A8"/>
    <w:rsid w:val="0022306D"/>
    <w:rsid w:val="00226574"/>
    <w:rsid w:val="002278EC"/>
    <w:rsid w:val="002357C7"/>
    <w:rsid w:val="002367C4"/>
    <w:rsid w:val="00247343"/>
    <w:rsid w:val="0025679E"/>
    <w:rsid w:val="00260C68"/>
    <w:rsid w:val="002648B0"/>
    <w:rsid w:val="00275271"/>
    <w:rsid w:val="0027535E"/>
    <w:rsid w:val="00275AA6"/>
    <w:rsid w:val="002807D5"/>
    <w:rsid w:val="00282CCD"/>
    <w:rsid w:val="002A168C"/>
    <w:rsid w:val="002A2C48"/>
    <w:rsid w:val="002A3EED"/>
    <w:rsid w:val="002A4A39"/>
    <w:rsid w:val="002A5A17"/>
    <w:rsid w:val="002A6425"/>
    <w:rsid w:val="002B49E2"/>
    <w:rsid w:val="002B7B00"/>
    <w:rsid w:val="002B7C44"/>
    <w:rsid w:val="002C1388"/>
    <w:rsid w:val="002C3C6A"/>
    <w:rsid w:val="002D42DB"/>
    <w:rsid w:val="002E1F3A"/>
    <w:rsid w:val="002E298A"/>
    <w:rsid w:val="002E6413"/>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6485B"/>
    <w:rsid w:val="00373B0D"/>
    <w:rsid w:val="00376988"/>
    <w:rsid w:val="00381A72"/>
    <w:rsid w:val="003A1948"/>
    <w:rsid w:val="003B152A"/>
    <w:rsid w:val="003B545B"/>
    <w:rsid w:val="003D3EE9"/>
    <w:rsid w:val="003E7681"/>
    <w:rsid w:val="003F0809"/>
    <w:rsid w:val="003F611C"/>
    <w:rsid w:val="003F755C"/>
    <w:rsid w:val="00406F01"/>
    <w:rsid w:val="00411B36"/>
    <w:rsid w:val="004121D7"/>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A0EB4"/>
    <w:rsid w:val="004A3823"/>
    <w:rsid w:val="004A59BB"/>
    <w:rsid w:val="004B43A3"/>
    <w:rsid w:val="004B4C49"/>
    <w:rsid w:val="004B58A5"/>
    <w:rsid w:val="004B63D9"/>
    <w:rsid w:val="004C0882"/>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90AE3"/>
    <w:rsid w:val="005918F1"/>
    <w:rsid w:val="005A06B7"/>
    <w:rsid w:val="005A1759"/>
    <w:rsid w:val="005D0369"/>
    <w:rsid w:val="005D53FE"/>
    <w:rsid w:val="005D7A0F"/>
    <w:rsid w:val="005E0438"/>
    <w:rsid w:val="005E1791"/>
    <w:rsid w:val="005E2CE6"/>
    <w:rsid w:val="005E6324"/>
    <w:rsid w:val="005F228B"/>
    <w:rsid w:val="005F29CD"/>
    <w:rsid w:val="005F4DFB"/>
    <w:rsid w:val="005F6CC0"/>
    <w:rsid w:val="00603E5B"/>
    <w:rsid w:val="00604BC8"/>
    <w:rsid w:val="00605240"/>
    <w:rsid w:val="00615B4C"/>
    <w:rsid w:val="00615B5D"/>
    <w:rsid w:val="0062146F"/>
    <w:rsid w:val="006343AF"/>
    <w:rsid w:val="0063634A"/>
    <w:rsid w:val="0064250D"/>
    <w:rsid w:val="006535EB"/>
    <w:rsid w:val="00663016"/>
    <w:rsid w:val="00674605"/>
    <w:rsid w:val="006748B8"/>
    <w:rsid w:val="0068535B"/>
    <w:rsid w:val="0068736E"/>
    <w:rsid w:val="0069290A"/>
    <w:rsid w:val="00697032"/>
    <w:rsid w:val="006975AC"/>
    <w:rsid w:val="006A15FB"/>
    <w:rsid w:val="006A72BF"/>
    <w:rsid w:val="006B332A"/>
    <w:rsid w:val="006B33BD"/>
    <w:rsid w:val="006C043D"/>
    <w:rsid w:val="006C3F75"/>
    <w:rsid w:val="006C6953"/>
    <w:rsid w:val="006D170E"/>
    <w:rsid w:val="006E06AF"/>
    <w:rsid w:val="006F1789"/>
    <w:rsid w:val="00706C5D"/>
    <w:rsid w:val="007118E6"/>
    <w:rsid w:val="007225C9"/>
    <w:rsid w:val="00735CD7"/>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63F2"/>
    <w:rsid w:val="007B68DE"/>
    <w:rsid w:val="007C1857"/>
    <w:rsid w:val="007C514F"/>
    <w:rsid w:val="007D0F95"/>
    <w:rsid w:val="007D7ECB"/>
    <w:rsid w:val="007E25A1"/>
    <w:rsid w:val="007E4BD2"/>
    <w:rsid w:val="007E7145"/>
    <w:rsid w:val="007F3916"/>
    <w:rsid w:val="00801179"/>
    <w:rsid w:val="00802479"/>
    <w:rsid w:val="00805372"/>
    <w:rsid w:val="00805B7B"/>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E0CFF"/>
    <w:rsid w:val="008E5D6B"/>
    <w:rsid w:val="008E689B"/>
    <w:rsid w:val="008E76F0"/>
    <w:rsid w:val="008F02D4"/>
    <w:rsid w:val="008F15FE"/>
    <w:rsid w:val="008F2A94"/>
    <w:rsid w:val="008F5187"/>
    <w:rsid w:val="008F709C"/>
    <w:rsid w:val="0090312B"/>
    <w:rsid w:val="00904961"/>
    <w:rsid w:val="0091736D"/>
    <w:rsid w:val="00931001"/>
    <w:rsid w:val="00931863"/>
    <w:rsid w:val="00933524"/>
    <w:rsid w:val="0094108D"/>
    <w:rsid w:val="0094278D"/>
    <w:rsid w:val="0095308A"/>
    <w:rsid w:val="0095526B"/>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96B95"/>
    <w:rsid w:val="009A0F3B"/>
    <w:rsid w:val="009A72C7"/>
    <w:rsid w:val="009B0897"/>
    <w:rsid w:val="009D0852"/>
    <w:rsid w:val="009D1FBF"/>
    <w:rsid w:val="009E399C"/>
    <w:rsid w:val="009E43C1"/>
    <w:rsid w:val="009E7E95"/>
    <w:rsid w:val="009F116F"/>
    <w:rsid w:val="009F329E"/>
    <w:rsid w:val="009F7ED3"/>
    <w:rsid w:val="00A03607"/>
    <w:rsid w:val="00A047FF"/>
    <w:rsid w:val="00A04FEF"/>
    <w:rsid w:val="00A122CD"/>
    <w:rsid w:val="00A12A32"/>
    <w:rsid w:val="00A14248"/>
    <w:rsid w:val="00A14947"/>
    <w:rsid w:val="00A23DC5"/>
    <w:rsid w:val="00A34028"/>
    <w:rsid w:val="00A35568"/>
    <w:rsid w:val="00A37056"/>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708D"/>
    <w:rsid w:val="00AA2C17"/>
    <w:rsid w:val="00AA4172"/>
    <w:rsid w:val="00AB1914"/>
    <w:rsid w:val="00AB533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6BAA"/>
    <w:rsid w:val="00B50B5F"/>
    <w:rsid w:val="00B54128"/>
    <w:rsid w:val="00B55826"/>
    <w:rsid w:val="00B60426"/>
    <w:rsid w:val="00B622DD"/>
    <w:rsid w:val="00B63522"/>
    <w:rsid w:val="00B76F1D"/>
    <w:rsid w:val="00B92A19"/>
    <w:rsid w:val="00B9544C"/>
    <w:rsid w:val="00BA29E9"/>
    <w:rsid w:val="00BB3618"/>
    <w:rsid w:val="00BC0C9E"/>
    <w:rsid w:val="00BC32DC"/>
    <w:rsid w:val="00BD1B51"/>
    <w:rsid w:val="00BD47F6"/>
    <w:rsid w:val="00BE312D"/>
    <w:rsid w:val="00BE3FCA"/>
    <w:rsid w:val="00C05719"/>
    <w:rsid w:val="00C10578"/>
    <w:rsid w:val="00C12021"/>
    <w:rsid w:val="00C17D62"/>
    <w:rsid w:val="00C21FDC"/>
    <w:rsid w:val="00C24EE7"/>
    <w:rsid w:val="00C2596A"/>
    <w:rsid w:val="00C271BE"/>
    <w:rsid w:val="00C27425"/>
    <w:rsid w:val="00C328FE"/>
    <w:rsid w:val="00C33A05"/>
    <w:rsid w:val="00C42500"/>
    <w:rsid w:val="00C4409D"/>
    <w:rsid w:val="00C455BE"/>
    <w:rsid w:val="00C51E5F"/>
    <w:rsid w:val="00C57F5E"/>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5727"/>
    <w:rsid w:val="00D16332"/>
    <w:rsid w:val="00D24972"/>
    <w:rsid w:val="00D2515E"/>
    <w:rsid w:val="00D308ED"/>
    <w:rsid w:val="00D56178"/>
    <w:rsid w:val="00D56CF0"/>
    <w:rsid w:val="00D56F5C"/>
    <w:rsid w:val="00D704B1"/>
    <w:rsid w:val="00D70B63"/>
    <w:rsid w:val="00D72B92"/>
    <w:rsid w:val="00D72ED4"/>
    <w:rsid w:val="00D73F61"/>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5B0"/>
    <w:rsid w:val="00E412D0"/>
    <w:rsid w:val="00E47CDB"/>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61097"/>
    <w:rsid w:val="00F74345"/>
    <w:rsid w:val="00F74441"/>
    <w:rsid w:val="00F77F30"/>
    <w:rsid w:val="00F82589"/>
    <w:rsid w:val="00F82B19"/>
    <w:rsid w:val="00F90AA7"/>
    <w:rsid w:val="00F9212D"/>
    <w:rsid w:val="00FA301A"/>
    <w:rsid w:val="00FA406A"/>
    <w:rsid w:val="00FA5CB6"/>
    <w:rsid w:val="00FC66AC"/>
    <w:rsid w:val="00FD18F4"/>
    <w:rsid w:val="00FD74B4"/>
    <w:rsid w:val="00FF6FCE"/>
    <w:rsid w:val="00FF7518"/>
    <w:rsid w:val="00FF7FD8"/>
    <w:rsid w:val="01120364"/>
    <w:rsid w:val="011E7049"/>
    <w:rsid w:val="0169685A"/>
    <w:rsid w:val="019A6767"/>
    <w:rsid w:val="01A22ECF"/>
    <w:rsid w:val="01AA16F8"/>
    <w:rsid w:val="01B93B7D"/>
    <w:rsid w:val="02297AE4"/>
    <w:rsid w:val="024102D7"/>
    <w:rsid w:val="027F0DBE"/>
    <w:rsid w:val="03336893"/>
    <w:rsid w:val="033E50BF"/>
    <w:rsid w:val="03602076"/>
    <w:rsid w:val="03885E3A"/>
    <w:rsid w:val="0391535D"/>
    <w:rsid w:val="03B926CD"/>
    <w:rsid w:val="03CF476B"/>
    <w:rsid w:val="03E044EC"/>
    <w:rsid w:val="04002889"/>
    <w:rsid w:val="040D6F3B"/>
    <w:rsid w:val="04171A3B"/>
    <w:rsid w:val="04294F27"/>
    <w:rsid w:val="04500A4D"/>
    <w:rsid w:val="0481611A"/>
    <w:rsid w:val="04FB6596"/>
    <w:rsid w:val="05352CCF"/>
    <w:rsid w:val="05742AC8"/>
    <w:rsid w:val="05A25657"/>
    <w:rsid w:val="05BD6D11"/>
    <w:rsid w:val="05CC447E"/>
    <w:rsid w:val="05E1021F"/>
    <w:rsid w:val="05F37CD5"/>
    <w:rsid w:val="06331C3B"/>
    <w:rsid w:val="06352F05"/>
    <w:rsid w:val="06364DC0"/>
    <w:rsid w:val="063E7D85"/>
    <w:rsid w:val="064E487B"/>
    <w:rsid w:val="06677070"/>
    <w:rsid w:val="06723ADD"/>
    <w:rsid w:val="067465C2"/>
    <w:rsid w:val="06806876"/>
    <w:rsid w:val="070875E0"/>
    <w:rsid w:val="0728596A"/>
    <w:rsid w:val="07293586"/>
    <w:rsid w:val="07295285"/>
    <w:rsid w:val="0753206D"/>
    <w:rsid w:val="07770C56"/>
    <w:rsid w:val="07986362"/>
    <w:rsid w:val="07B60593"/>
    <w:rsid w:val="07D012EF"/>
    <w:rsid w:val="07E65C73"/>
    <w:rsid w:val="087936BC"/>
    <w:rsid w:val="08A70FB3"/>
    <w:rsid w:val="08C031CE"/>
    <w:rsid w:val="08E700A2"/>
    <w:rsid w:val="08ED23D0"/>
    <w:rsid w:val="090446C6"/>
    <w:rsid w:val="092217DD"/>
    <w:rsid w:val="09295592"/>
    <w:rsid w:val="09362766"/>
    <w:rsid w:val="093A7294"/>
    <w:rsid w:val="094B5D5D"/>
    <w:rsid w:val="097E1D72"/>
    <w:rsid w:val="098B471C"/>
    <w:rsid w:val="09EB1672"/>
    <w:rsid w:val="0A2548D1"/>
    <w:rsid w:val="0A275576"/>
    <w:rsid w:val="0A312D88"/>
    <w:rsid w:val="0A3460A3"/>
    <w:rsid w:val="0A396DF2"/>
    <w:rsid w:val="0A5909E6"/>
    <w:rsid w:val="0A7477C8"/>
    <w:rsid w:val="0ADE24D3"/>
    <w:rsid w:val="0B1540D0"/>
    <w:rsid w:val="0B182A19"/>
    <w:rsid w:val="0B5666E9"/>
    <w:rsid w:val="0B5E04B4"/>
    <w:rsid w:val="0B8D4273"/>
    <w:rsid w:val="0BD27BF6"/>
    <w:rsid w:val="0C8407B9"/>
    <w:rsid w:val="0C892085"/>
    <w:rsid w:val="0C8A7E56"/>
    <w:rsid w:val="0C8B1B4D"/>
    <w:rsid w:val="0CA21A06"/>
    <w:rsid w:val="0CA66080"/>
    <w:rsid w:val="0CC3145D"/>
    <w:rsid w:val="0CD42A57"/>
    <w:rsid w:val="0DDA0A82"/>
    <w:rsid w:val="0DE342E2"/>
    <w:rsid w:val="0DF264E4"/>
    <w:rsid w:val="0DFE28F2"/>
    <w:rsid w:val="0E0C79D6"/>
    <w:rsid w:val="0E110D06"/>
    <w:rsid w:val="0E2000A6"/>
    <w:rsid w:val="0E6B584B"/>
    <w:rsid w:val="0E7A0D09"/>
    <w:rsid w:val="0E7D0545"/>
    <w:rsid w:val="0ED35E5D"/>
    <w:rsid w:val="0EEC1973"/>
    <w:rsid w:val="0F033E57"/>
    <w:rsid w:val="0F095003"/>
    <w:rsid w:val="0F13775A"/>
    <w:rsid w:val="0F2C38DD"/>
    <w:rsid w:val="0F9A112B"/>
    <w:rsid w:val="0FAB1A55"/>
    <w:rsid w:val="0FCE4306"/>
    <w:rsid w:val="0FD33817"/>
    <w:rsid w:val="0FE77CB8"/>
    <w:rsid w:val="102F5453"/>
    <w:rsid w:val="105F3533"/>
    <w:rsid w:val="106D2F64"/>
    <w:rsid w:val="10804E89"/>
    <w:rsid w:val="10A80249"/>
    <w:rsid w:val="10B63710"/>
    <w:rsid w:val="10C55FD8"/>
    <w:rsid w:val="10D217CE"/>
    <w:rsid w:val="10E4692E"/>
    <w:rsid w:val="11142C43"/>
    <w:rsid w:val="111C2F7A"/>
    <w:rsid w:val="113013DE"/>
    <w:rsid w:val="113B4AEE"/>
    <w:rsid w:val="114E05D3"/>
    <w:rsid w:val="11580853"/>
    <w:rsid w:val="1165541D"/>
    <w:rsid w:val="11671944"/>
    <w:rsid w:val="122431D2"/>
    <w:rsid w:val="122B06C2"/>
    <w:rsid w:val="1297204D"/>
    <w:rsid w:val="12C028F6"/>
    <w:rsid w:val="12E45165"/>
    <w:rsid w:val="12F1101A"/>
    <w:rsid w:val="13053004"/>
    <w:rsid w:val="130D0A92"/>
    <w:rsid w:val="13156BDB"/>
    <w:rsid w:val="13306E7E"/>
    <w:rsid w:val="13340ABD"/>
    <w:rsid w:val="13357F25"/>
    <w:rsid w:val="133C0634"/>
    <w:rsid w:val="134268AC"/>
    <w:rsid w:val="135950FD"/>
    <w:rsid w:val="1382139C"/>
    <w:rsid w:val="13823503"/>
    <w:rsid w:val="13951726"/>
    <w:rsid w:val="13A946F0"/>
    <w:rsid w:val="13C93A45"/>
    <w:rsid w:val="13F2409C"/>
    <w:rsid w:val="13FB325E"/>
    <w:rsid w:val="14005FE1"/>
    <w:rsid w:val="14396509"/>
    <w:rsid w:val="1447165C"/>
    <w:rsid w:val="144870DC"/>
    <w:rsid w:val="14812B5E"/>
    <w:rsid w:val="14A423A8"/>
    <w:rsid w:val="14DA1647"/>
    <w:rsid w:val="14FE5B9A"/>
    <w:rsid w:val="15113847"/>
    <w:rsid w:val="15113B55"/>
    <w:rsid w:val="15164239"/>
    <w:rsid w:val="15442C48"/>
    <w:rsid w:val="154E6336"/>
    <w:rsid w:val="156564B1"/>
    <w:rsid w:val="15B23D16"/>
    <w:rsid w:val="15B67BD8"/>
    <w:rsid w:val="15F32B5F"/>
    <w:rsid w:val="1678223B"/>
    <w:rsid w:val="1699418F"/>
    <w:rsid w:val="16EA6213"/>
    <w:rsid w:val="17584F73"/>
    <w:rsid w:val="17641BF7"/>
    <w:rsid w:val="17735226"/>
    <w:rsid w:val="179B493D"/>
    <w:rsid w:val="17C94907"/>
    <w:rsid w:val="17ED0288"/>
    <w:rsid w:val="17F41F31"/>
    <w:rsid w:val="18137721"/>
    <w:rsid w:val="18236383"/>
    <w:rsid w:val="1824469F"/>
    <w:rsid w:val="18297794"/>
    <w:rsid w:val="182D57A1"/>
    <w:rsid w:val="185813B7"/>
    <w:rsid w:val="18586A54"/>
    <w:rsid w:val="188A029C"/>
    <w:rsid w:val="18A41D83"/>
    <w:rsid w:val="18AA3D7B"/>
    <w:rsid w:val="18C149BF"/>
    <w:rsid w:val="18C15C1F"/>
    <w:rsid w:val="18C46036"/>
    <w:rsid w:val="18D0293A"/>
    <w:rsid w:val="18D20AD8"/>
    <w:rsid w:val="18E30B32"/>
    <w:rsid w:val="192C2BC5"/>
    <w:rsid w:val="19361C1B"/>
    <w:rsid w:val="193E1713"/>
    <w:rsid w:val="194D74B2"/>
    <w:rsid w:val="19861DD2"/>
    <w:rsid w:val="19930967"/>
    <w:rsid w:val="19D12A31"/>
    <w:rsid w:val="19F00528"/>
    <w:rsid w:val="1A1C66C0"/>
    <w:rsid w:val="1A42393B"/>
    <w:rsid w:val="1A472175"/>
    <w:rsid w:val="1A8A69F3"/>
    <w:rsid w:val="1AAC2078"/>
    <w:rsid w:val="1ABF618E"/>
    <w:rsid w:val="1AC52E2C"/>
    <w:rsid w:val="1AF86D0D"/>
    <w:rsid w:val="1B046F80"/>
    <w:rsid w:val="1B0645A2"/>
    <w:rsid w:val="1B2168D5"/>
    <w:rsid w:val="1B226485"/>
    <w:rsid w:val="1B3267B5"/>
    <w:rsid w:val="1B4F7988"/>
    <w:rsid w:val="1B904D56"/>
    <w:rsid w:val="1BBB6C1D"/>
    <w:rsid w:val="1BC25DC8"/>
    <w:rsid w:val="1BCB3513"/>
    <w:rsid w:val="1BF243F3"/>
    <w:rsid w:val="1C0A51E7"/>
    <w:rsid w:val="1C0F30C7"/>
    <w:rsid w:val="1C3A3A8C"/>
    <w:rsid w:val="1C5E7925"/>
    <w:rsid w:val="1C626DD1"/>
    <w:rsid w:val="1C887FC8"/>
    <w:rsid w:val="1C9D4B3C"/>
    <w:rsid w:val="1D2E40E2"/>
    <w:rsid w:val="1D5F6196"/>
    <w:rsid w:val="1D6132A5"/>
    <w:rsid w:val="1D74500E"/>
    <w:rsid w:val="1D7D15A7"/>
    <w:rsid w:val="1D830D8E"/>
    <w:rsid w:val="1D8E56D5"/>
    <w:rsid w:val="1D9F6919"/>
    <w:rsid w:val="1DD52B6B"/>
    <w:rsid w:val="1DDE75D6"/>
    <w:rsid w:val="1E7A43DA"/>
    <w:rsid w:val="1E8B26EA"/>
    <w:rsid w:val="1EB277FE"/>
    <w:rsid w:val="1EB51F0E"/>
    <w:rsid w:val="1EB5654C"/>
    <w:rsid w:val="1EBB6C6C"/>
    <w:rsid w:val="1ECD0262"/>
    <w:rsid w:val="1ED41C72"/>
    <w:rsid w:val="1EFE24EB"/>
    <w:rsid w:val="1F2C479B"/>
    <w:rsid w:val="1FE7539E"/>
    <w:rsid w:val="1FEE2254"/>
    <w:rsid w:val="20006C57"/>
    <w:rsid w:val="20020548"/>
    <w:rsid w:val="203B718A"/>
    <w:rsid w:val="20883768"/>
    <w:rsid w:val="20963CB8"/>
    <w:rsid w:val="20B07FB6"/>
    <w:rsid w:val="20B136F5"/>
    <w:rsid w:val="20B35783"/>
    <w:rsid w:val="20FD2985"/>
    <w:rsid w:val="20FE4084"/>
    <w:rsid w:val="210347F0"/>
    <w:rsid w:val="21110497"/>
    <w:rsid w:val="211F2AE4"/>
    <w:rsid w:val="213B74B1"/>
    <w:rsid w:val="215A2310"/>
    <w:rsid w:val="21705738"/>
    <w:rsid w:val="21886A3B"/>
    <w:rsid w:val="218D1341"/>
    <w:rsid w:val="219012BE"/>
    <w:rsid w:val="219537A4"/>
    <w:rsid w:val="21B41721"/>
    <w:rsid w:val="21DA7946"/>
    <w:rsid w:val="21DE318A"/>
    <w:rsid w:val="21EF5B80"/>
    <w:rsid w:val="220012C3"/>
    <w:rsid w:val="223C5F48"/>
    <w:rsid w:val="224563EE"/>
    <w:rsid w:val="22576990"/>
    <w:rsid w:val="227721BD"/>
    <w:rsid w:val="229C4EAB"/>
    <w:rsid w:val="22FB335B"/>
    <w:rsid w:val="232272BA"/>
    <w:rsid w:val="239E225F"/>
    <w:rsid w:val="242A0B1C"/>
    <w:rsid w:val="244A2F6C"/>
    <w:rsid w:val="247578BD"/>
    <w:rsid w:val="24917D73"/>
    <w:rsid w:val="24A54C4A"/>
    <w:rsid w:val="25034EC9"/>
    <w:rsid w:val="251E3AC9"/>
    <w:rsid w:val="25295989"/>
    <w:rsid w:val="252D53FE"/>
    <w:rsid w:val="257204A5"/>
    <w:rsid w:val="258C4EBE"/>
    <w:rsid w:val="259F6548"/>
    <w:rsid w:val="25E140B7"/>
    <w:rsid w:val="25EC2D81"/>
    <w:rsid w:val="25F52F2A"/>
    <w:rsid w:val="25F54AAE"/>
    <w:rsid w:val="263A38A0"/>
    <w:rsid w:val="263C678A"/>
    <w:rsid w:val="264528BD"/>
    <w:rsid w:val="26891E4C"/>
    <w:rsid w:val="26A600F0"/>
    <w:rsid w:val="26BE36E4"/>
    <w:rsid w:val="26D2212F"/>
    <w:rsid w:val="26DB1BB1"/>
    <w:rsid w:val="27737B67"/>
    <w:rsid w:val="27901B69"/>
    <w:rsid w:val="27965655"/>
    <w:rsid w:val="27D15DD1"/>
    <w:rsid w:val="27DA0163"/>
    <w:rsid w:val="27E36863"/>
    <w:rsid w:val="28001620"/>
    <w:rsid w:val="28415C8C"/>
    <w:rsid w:val="28535124"/>
    <w:rsid w:val="286B0962"/>
    <w:rsid w:val="28882FC6"/>
    <w:rsid w:val="288D2D3D"/>
    <w:rsid w:val="28A76295"/>
    <w:rsid w:val="290238E0"/>
    <w:rsid w:val="29166B22"/>
    <w:rsid w:val="29206EB8"/>
    <w:rsid w:val="293F13F1"/>
    <w:rsid w:val="2941284D"/>
    <w:rsid w:val="294A57BC"/>
    <w:rsid w:val="29712036"/>
    <w:rsid w:val="297141D9"/>
    <w:rsid w:val="297A7E50"/>
    <w:rsid w:val="29980B09"/>
    <w:rsid w:val="299B2C5B"/>
    <w:rsid w:val="29A92B06"/>
    <w:rsid w:val="29CD55B0"/>
    <w:rsid w:val="29D22EC3"/>
    <w:rsid w:val="29E325E0"/>
    <w:rsid w:val="2A351FC9"/>
    <w:rsid w:val="2A452503"/>
    <w:rsid w:val="2A4A7581"/>
    <w:rsid w:val="2A540FD5"/>
    <w:rsid w:val="2A5F6AF3"/>
    <w:rsid w:val="2A6049EC"/>
    <w:rsid w:val="2A6C5599"/>
    <w:rsid w:val="2A790107"/>
    <w:rsid w:val="2ACF5BDF"/>
    <w:rsid w:val="2AF8590E"/>
    <w:rsid w:val="2B011EAB"/>
    <w:rsid w:val="2B136F1C"/>
    <w:rsid w:val="2B217400"/>
    <w:rsid w:val="2B317013"/>
    <w:rsid w:val="2B44451C"/>
    <w:rsid w:val="2B654ABD"/>
    <w:rsid w:val="2B692672"/>
    <w:rsid w:val="2B910285"/>
    <w:rsid w:val="2B944ACD"/>
    <w:rsid w:val="2BA936A8"/>
    <w:rsid w:val="2BB94533"/>
    <w:rsid w:val="2BD24D5C"/>
    <w:rsid w:val="2BF54C2C"/>
    <w:rsid w:val="2C080D99"/>
    <w:rsid w:val="2C315A5A"/>
    <w:rsid w:val="2C506C46"/>
    <w:rsid w:val="2C927C51"/>
    <w:rsid w:val="2C93195A"/>
    <w:rsid w:val="2CA556E1"/>
    <w:rsid w:val="2CB17159"/>
    <w:rsid w:val="2CCF3D59"/>
    <w:rsid w:val="2CE30ABE"/>
    <w:rsid w:val="2D303DD5"/>
    <w:rsid w:val="2D6E30A7"/>
    <w:rsid w:val="2D9E56F5"/>
    <w:rsid w:val="2DC2206F"/>
    <w:rsid w:val="2DDE1580"/>
    <w:rsid w:val="2DE81100"/>
    <w:rsid w:val="2E431036"/>
    <w:rsid w:val="2E544AC4"/>
    <w:rsid w:val="2E5F1EBA"/>
    <w:rsid w:val="2E637258"/>
    <w:rsid w:val="2E667F96"/>
    <w:rsid w:val="2E802F36"/>
    <w:rsid w:val="2E8226AB"/>
    <w:rsid w:val="2EAC5B49"/>
    <w:rsid w:val="2ECE44C0"/>
    <w:rsid w:val="2ED973C6"/>
    <w:rsid w:val="2EF25E3A"/>
    <w:rsid w:val="2F055D37"/>
    <w:rsid w:val="2F065D79"/>
    <w:rsid w:val="2F4379D0"/>
    <w:rsid w:val="2F477220"/>
    <w:rsid w:val="2F800B42"/>
    <w:rsid w:val="2F832C79"/>
    <w:rsid w:val="2F8D75E8"/>
    <w:rsid w:val="2FCC0796"/>
    <w:rsid w:val="2FCD142F"/>
    <w:rsid w:val="2FE80070"/>
    <w:rsid w:val="2FEA2A22"/>
    <w:rsid w:val="2FEF2D58"/>
    <w:rsid w:val="30054FF9"/>
    <w:rsid w:val="301D7787"/>
    <w:rsid w:val="302B7F90"/>
    <w:rsid w:val="30580BC9"/>
    <w:rsid w:val="305E12A5"/>
    <w:rsid w:val="30974E20"/>
    <w:rsid w:val="30A2365B"/>
    <w:rsid w:val="30BF1FB1"/>
    <w:rsid w:val="30ED53AB"/>
    <w:rsid w:val="311E2ED7"/>
    <w:rsid w:val="31402295"/>
    <w:rsid w:val="314765CC"/>
    <w:rsid w:val="315C449C"/>
    <w:rsid w:val="316F4012"/>
    <w:rsid w:val="31AB491E"/>
    <w:rsid w:val="31B82709"/>
    <w:rsid w:val="31D07629"/>
    <w:rsid w:val="31DE5A93"/>
    <w:rsid w:val="31E0281A"/>
    <w:rsid w:val="31E60613"/>
    <w:rsid w:val="32400B34"/>
    <w:rsid w:val="32452FC5"/>
    <w:rsid w:val="32766A06"/>
    <w:rsid w:val="329E6876"/>
    <w:rsid w:val="32EC2057"/>
    <w:rsid w:val="33577AAC"/>
    <w:rsid w:val="33586221"/>
    <w:rsid w:val="33636F3A"/>
    <w:rsid w:val="336D7A08"/>
    <w:rsid w:val="336F5F26"/>
    <w:rsid w:val="33952998"/>
    <w:rsid w:val="339A1665"/>
    <w:rsid w:val="339D5FB5"/>
    <w:rsid w:val="33C55CA7"/>
    <w:rsid w:val="33D35AC8"/>
    <w:rsid w:val="33D934D4"/>
    <w:rsid w:val="33DC34B5"/>
    <w:rsid w:val="33F9038F"/>
    <w:rsid w:val="33FE2F6A"/>
    <w:rsid w:val="340E55B2"/>
    <w:rsid w:val="340F4093"/>
    <w:rsid w:val="34146787"/>
    <w:rsid w:val="3434509F"/>
    <w:rsid w:val="347D1FF0"/>
    <w:rsid w:val="348C119C"/>
    <w:rsid w:val="34B65FCE"/>
    <w:rsid w:val="34E00D28"/>
    <w:rsid w:val="34E22105"/>
    <w:rsid w:val="350205A5"/>
    <w:rsid w:val="352E1AEE"/>
    <w:rsid w:val="3539285E"/>
    <w:rsid w:val="35616594"/>
    <w:rsid w:val="35671F51"/>
    <w:rsid w:val="35835B00"/>
    <w:rsid w:val="35AF475B"/>
    <w:rsid w:val="35B73DF2"/>
    <w:rsid w:val="35C4598D"/>
    <w:rsid w:val="35CA19F8"/>
    <w:rsid w:val="35D45AC1"/>
    <w:rsid w:val="36074A7F"/>
    <w:rsid w:val="360B473D"/>
    <w:rsid w:val="36160F00"/>
    <w:rsid w:val="366367E5"/>
    <w:rsid w:val="368D17C9"/>
    <w:rsid w:val="36923549"/>
    <w:rsid w:val="36B75FBF"/>
    <w:rsid w:val="36F712AA"/>
    <w:rsid w:val="36FB4891"/>
    <w:rsid w:val="36FE31E6"/>
    <w:rsid w:val="371461AD"/>
    <w:rsid w:val="3743085E"/>
    <w:rsid w:val="375A4757"/>
    <w:rsid w:val="37CE2CE6"/>
    <w:rsid w:val="37F831B6"/>
    <w:rsid w:val="383C09C6"/>
    <w:rsid w:val="384C786F"/>
    <w:rsid w:val="38622181"/>
    <w:rsid w:val="38734270"/>
    <w:rsid w:val="38795776"/>
    <w:rsid w:val="388E51E6"/>
    <w:rsid w:val="3891486E"/>
    <w:rsid w:val="38F12CD3"/>
    <w:rsid w:val="38F94775"/>
    <w:rsid w:val="39186D3D"/>
    <w:rsid w:val="392971ED"/>
    <w:rsid w:val="3938118D"/>
    <w:rsid w:val="39700FE6"/>
    <w:rsid w:val="39894F98"/>
    <w:rsid w:val="39966AC5"/>
    <w:rsid w:val="39B0341A"/>
    <w:rsid w:val="39B501D2"/>
    <w:rsid w:val="39C405A8"/>
    <w:rsid w:val="39D771DD"/>
    <w:rsid w:val="39F73F5A"/>
    <w:rsid w:val="3A00614F"/>
    <w:rsid w:val="3A0F3616"/>
    <w:rsid w:val="3A2C10D8"/>
    <w:rsid w:val="3A8D1270"/>
    <w:rsid w:val="3A9226B4"/>
    <w:rsid w:val="3AAA778F"/>
    <w:rsid w:val="3AB031B2"/>
    <w:rsid w:val="3ACB0053"/>
    <w:rsid w:val="3ACC5F8D"/>
    <w:rsid w:val="3AD40CC3"/>
    <w:rsid w:val="3AF570B5"/>
    <w:rsid w:val="3B3763D1"/>
    <w:rsid w:val="3B4740C3"/>
    <w:rsid w:val="3B8050D7"/>
    <w:rsid w:val="3BB361E7"/>
    <w:rsid w:val="3BB41682"/>
    <w:rsid w:val="3BB6283D"/>
    <w:rsid w:val="3BD60810"/>
    <w:rsid w:val="3BE23632"/>
    <w:rsid w:val="3C047A4D"/>
    <w:rsid w:val="3C08753D"/>
    <w:rsid w:val="3C313BE7"/>
    <w:rsid w:val="3C3A0953"/>
    <w:rsid w:val="3C5C66F4"/>
    <w:rsid w:val="3CB00DCD"/>
    <w:rsid w:val="3CDA245A"/>
    <w:rsid w:val="3CEE0A37"/>
    <w:rsid w:val="3D42082D"/>
    <w:rsid w:val="3D6108E6"/>
    <w:rsid w:val="3D8628AB"/>
    <w:rsid w:val="3DAA66F5"/>
    <w:rsid w:val="3DBF77F3"/>
    <w:rsid w:val="3E1B281D"/>
    <w:rsid w:val="3E3F16EF"/>
    <w:rsid w:val="3E6B02B4"/>
    <w:rsid w:val="3E7765DA"/>
    <w:rsid w:val="3EC72686"/>
    <w:rsid w:val="3EEA332D"/>
    <w:rsid w:val="3F0D1FD0"/>
    <w:rsid w:val="3F1852F7"/>
    <w:rsid w:val="3F236A21"/>
    <w:rsid w:val="3F660E74"/>
    <w:rsid w:val="3F6B2313"/>
    <w:rsid w:val="3F6D6761"/>
    <w:rsid w:val="3F7B1950"/>
    <w:rsid w:val="3F8E197F"/>
    <w:rsid w:val="3FA255B3"/>
    <w:rsid w:val="3FC114B5"/>
    <w:rsid w:val="3FE536F1"/>
    <w:rsid w:val="400C0BB3"/>
    <w:rsid w:val="401C5365"/>
    <w:rsid w:val="402229ED"/>
    <w:rsid w:val="407A6407"/>
    <w:rsid w:val="408130AC"/>
    <w:rsid w:val="40D0614F"/>
    <w:rsid w:val="40E57E4D"/>
    <w:rsid w:val="410463C7"/>
    <w:rsid w:val="41197AF6"/>
    <w:rsid w:val="412B1A9B"/>
    <w:rsid w:val="41467CB8"/>
    <w:rsid w:val="4165172D"/>
    <w:rsid w:val="41704663"/>
    <w:rsid w:val="418A7EAF"/>
    <w:rsid w:val="41BF069E"/>
    <w:rsid w:val="41D12B50"/>
    <w:rsid w:val="41D40B50"/>
    <w:rsid w:val="41F90665"/>
    <w:rsid w:val="4201131D"/>
    <w:rsid w:val="42115B8F"/>
    <w:rsid w:val="42227333"/>
    <w:rsid w:val="422608BA"/>
    <w:rsid w:val="422A0D9F"/>
    <w:rsid w:val="4235526E"/>
    <w:rsid w:val="423A3BCC"/>
    <w:rsid w:val="424B4A8F"/>
    <w:rsid w:val="425A3D46"/>
    <w:rsid w:val="42845443"/>
    <w:rsid w:val="42A47894"/>
    <w:rsid w:val="42BF22B6"/>
    <w:rsid w:val="431D778A"/>
    <w:rsid w:val="433A6FE6"/>
    <w:rsid w:val="433E3523"/>
    <w:rsid w:val="4350713C"/>
    <w:rsid w:val="436653E0"/>
    <w:rsid w:val="43EE78E6"/>
    <w:rsid w:val="444F4D3A"/>
    <w:rsid w:val="446A0CFB"/>
    <w:rsid w:val="44A35694"/>
    <w:rsid w:val="44B05FC9"/>
    <w:rsid w:val="44CD14E0"/>
    <w:rsid w:val="44DD111E"/>
    <w:rsid w:val="44F425D4"/>
    <w:rsid w:val="453F0808"/>
    <w:rsid w:val="454B2ACC"/>
    <w:rsid w:val="458946E9"/>
    <w:rsid w:val="45CC1CF4"/>
    <w:rsid w:val="45FA1348"/>
    <w:rsid w:val="45FC1DFE"/>
    <w:rsid w:val="460D09B0"/>
    <w:rsid w:val="4618414C"/>
    <w:rsid w:val="4619056D"/>
    <w:rsid w:val="462B37DE"/>
    <w:rsid w:val="463F3F58"/>
    <w:rsid w:val="46771D0B"/>
    <w:rsid w:val="469D7405"/>
    <w:rsid w:val="46A15AFF"/>
    <w:rsid w:val="46B5343F"/>
    <w:rsid w:val="46D955A7"/>
    <w:rsid w:val="470B1381"/>
    <w:rsid w:val="47133957"/>
    <w:rsid w:val="4758407E"/>
    <w:rsid w:val="4779329E"/>
    <w:rsid w:val="47A07E0C"/>
    <w:rsid w:val="47A77D7E"/>
    <w:rsid w:val="47B466ED"/>
    <w:rsid w:val="47BC3739"/>
    <w:rsid w:val="48167251"/>
    <w:rsid w:val="481714BD"/>
    <w:rsid w:val="481B197E"/>
    <w:rsid w:val="48313181"/>
    <w:rsid w:val="4847319B"/>
    <w:rsid w:val="484D14FE"/>
    <w:rsid w:val="48697716"/>
    <w:rsid w:val="4870272E"/>
    <w:rsid w:val="487454D3"/>
    <w:rsid w:val="488E668F"/>
    <w:rsid w:val="493935FD"/>
    <w:rsid w:val="493D5AC5"/>
    <w:rsid w:val="4953098F"/>
    <w:rsid w:val="49690EEF"/>
    <w:rsid w:val="49843F7B"/>
    <w:rsid w:val="49CD2FB3"/>
    <w:rsid w:val="49DC7715"/>
    <w:rsid w:val="49FD0A6D"/>
    <w:rsid w:val="49FD58D6"/>
    <w:rsid w:val="4A0155CC"/>
    <w:rsid w:val="4A023139"/>
    <w:rsid w:val="4A3610EE"/>
    <w:rsid w:val="4A3E232C"/>
    <w:rsid w:val="4A7B576F"/>
    <w:rsid w:val="4ADF590D"/>
    <w:rsid w:val="4AE27D2F"/>
    <w:rsid w:val="4AF40C8C"/>
    <w:rsid w:val="4B1305CC"/>
    <w:rsid w:val="4B174A50"/>
    <w:rsid w:val="4B473537"/>
    <w:rsid w:val="4B583FA8"/>
    <w:rsid w:val="4B6840E4"/>
    <w:rsid w:val="4B78197F"/>
    <w:rsid w:val="4B792520"/>
    <w:rsid w:val="4BAA29CA"/>
    <w:rsid w:val="4BC53B9D"/>
    <w:rsid w:val="4BDB3483"/>
    <w:rsid w:val="4BED67DE"/>
    <w:rsid w:val="4BFA0524"/>
    <w:rsid w:val="4C3457E4"/>
    <w:rsid w:val="4C41120B"/>
    <w:rsid w:val="4C4A0649"/>
    <w:rsid w:val="4C61597A"/>
    <w:rsid w:val="4CCD3D20"/>
    <w:rsid w:val="4CE470D3"/>
    <w:rsid w:val="4CF51418"/>
    <w:rsid w:val="4D063625"/>
    <w:rsid w:val="4D190892"/>
    <w:rsid w:val="4D1C2197"/>
    <w:rsid w:val="4D267823"/>
    <w:rsid w:val="4D406E65"/>
    <w:rsid w:val="4D4B661B"/>
    <w:rsid w:val="4DEC4FB0"/>
    <w:rsid w:val="4DF06083"/>
    <w:rsid w:val="4E075D8A"/>
    <w:rsid w:val="4E9122A4"/>
    <w:rsid w:val="4EF546D3"/>
    <w:rsid w:val="4F25182A"/>
    <w:rsid w:val="4F482C86"/>
    <w:rsid w:val="4F4A4345"/>
    <w:rsid w:val="4F501413"/>
    <w:rsid w:val="4F762F73"/>
    <w:rsid w:val="4F903863"/>
    <w:rsid w:val="4FB24C17"/>
    <w:rsid w:val="4FC62A8C"/>
    <w:rsid w:val="4FD345F5"/>
    <w:rsid w:val="4FE20F0D"/>
    <w:rsid w:val="50111B7F"/>
    <w:rsid w:val="501C1EE5"/>
    <w:rsid w:val="50210A6F"/>
    <w:rsid w:val="503354EC"/>
    <w:rsid w:val="504D0CA5"/>
    <w:rsid w:val="50504C4B"/>
    <w:rsid w:val="50802552"/>
    <w:rsid w:val="509C6E7C"/>
    <w:rsid w:val="50BF0A8E"/>
    <w:rsid w:val="50BF16C7"/>
    <w:rsid w:val="50D535D8"/>
    <w:rsid w:val="50DE0FF5"/>
    <w:rsid w:val="50EA500B"/>
    <w:rsid w:val="51197410"/>
    <w:rsid w:val="511F0CA8"/>
    <w:rsid w:val="51293E93"/>
    <w:rsid w:val="51390032"/>
    <w:rsid w:val="515A4E5C"/>
    <w:rsid w:val="5162104E"/>
    <w:rsid w:val="516B00C0"/>
    <w:rsid w:val="517A638F"/>
    <w:rsid w:val="51D274A4"/>
    <w:rsid w:val="52035F9E"/>
    <w:rsid w:val="52982002"/>
    <w:rsid w:val="52A86F2C"/>
    <w:rsid w:val="52D07C74"/>
    <w:rsid w:val="535624E4"/>
    <w:rsid w:val="53A039CC"/>
    <w:rsid w:val="53A1505A"/>
    <w:rsid w:val="53C621E6"/>
    <w:rsid w:val="53D717C4"/>
    <w:rsid w:val="54063E08"/>
    <w:rsid w:val="540A14BB"/>
    <w:rsid w:val="540A3458"/>
    <w:rsid w:val="540E50DB"/>
    <w:rsid w:val="543437E8"/>
    <w:rsid w:val="545C7FCE"/>
    <w:rsid w:val="54AF45A2"/>
    <w:rsid w:val="54D66EEF"/>
    <w:rsid w:val="54F00716"/>
    <w:rsid w:val="55546EF7"/>
    <w:rsid w:val="557E2613"/>
    <w:rsid w:val="558C043F"/>
    <w:rsid w:val="559B174B"/>
    <w:rsid w:val="55C201D2"/>
    <w:rsid w:val="55CE0CF4"/>
    <w:rsid w:val="55F40AF9"/>
    <w:rsid w:val="56130B60"/>
    <w:rsid w:val="5616496D"/>
    <w:rsid w:val="561A3C9D"/>
    <w:rsid w:val="563C14CF"/>
    <w:rsid w:val="56525419"/>
    <w:rsid w:val="56A774F9"/>
    <w:rsid w:val="56B22A9C"/>
    <w:rsid w:val="56D36DDF"/>
    <w:rsid w:val="56E256AE"/>
    <w:rsid w:val="56FC1E3B"/>
    <w:rsid w:val="570524D2"/>
    <w:rsid w:val="572C51A7"/>
    <w:rsid w:val="57597E5D"/>
    <w:rsid w:val="576378C6"/>
    <w:rsid w:val="577F21E3"/>
    <w:rsid w:val="57B72A76"/>
    <w:rsid w:val="57F87AFA"/>
    <w:rsid w:val="57F92277"/>
    <w:rsid w:val="581035A9"/>
    <w:rsid w:val="5822157C"/>
    <w:rsid w:val="583F1679"/>
    <w:rsid w:val="584101F1"/>
    <w:rsid w:val="58896EB8"/>
    <w:rsid w:val="589A7317"/>
    <w:rsid w:val="589B152E"/>
    <w:rsid w:val="58AB1B50"/>
    <w:rsid w:val="58E732B0"/>
    <w:rsid w:val="59231B0B"/>
    <w:rsid w:val="59710A3A"/>
    <w:rsid w:val="59800981"/>
    <w:rsid w:val="59927FEE"/>
    <w:rsid w:val="59A83414"/>
    <w:rsid w:val="59E24619"/>
    <w:rsid w:val="5A082F30"/>
    <w:rsid w:val="5A226BFD"/>
    <w:rsid w:val="5A2B00FF"/>
    <w:rsid w:val="5A2F330D"/>
    <w:rsid w:val="5A34643C"/>
    <w:rsid w:val="5A3C747D"/>
    <w:rsid w:val="5A8772BE"/>
    <w:rsid w:val="5ABE2233"/>
    <w:rsid w:val="5AC965AE"/>
    <w:rsid w:val="5B061323"/>
    <w:rsid w:val="5B1B39FD"/>
    <w:rsid w:val="5B276D18"/>
    <w:rsid w:val="5B4F13A7"/>
    <w:rsid w:val="5B8B787E"/>
    <w:rsid w:val="5BD0518A"/>
    <w:rsid w:val="5BDF5D95"/>
    <w:rsid w:val="5C447CC6"/>
    <w:rsid w:val="5C593E39"/>
    <w:rsid w:val="5C8F391F"/>
    <w:rsid w:val="5CAA1EDE"/>
    <w:rsid w:val="5CDC749D"/>
    <w:rsid w:val="5D0D6309"/>
    <w:rsid w:val="5D2F3A87"/>
    <w:rsid w:val="5D403922"/>
    <w:rsid w:val="5D70524A"/>
    <w:rsid w:val="5DBB2190"/>
    <w:rsid w:val="5DF87A0F"/>
    <w:rsid w:val="5E053D08"/>
    <w:rsid w:val="5E0F4944"/>
    <w:rsid w:val="5E207E1D"/>
    <w:rsid w:val="5E2E4734"/>
    <w:rsid w:val="5E3A3B9C"/>
    <w:rsid w:val="5E5906AA"/>
    <w:rsid w:val="5E7B54F5"/>
    <w:rsid w:val="5E7D1A21"/>
    <w:rsid w:val="5EA03EB8"/>
    <w:rsid w:val="5EAF150A"/>
    <w:rsid w:val="5EE96C7A"/>
    <w:rsid w:val="5F1A2B43"/>
    <w:rsid w:val="5F274993"/>
    <w:rsid w:val="5F6E5059"/>
    <w:rsid w:val="5F795ED8"/>
    <w:rsid w:val="5FB837BB"/>
    <w:rsid w:val="5FB921A9"/>
    <w:rsid w:val="5FCE7FC5"/>
    <w:rsid w:val="5FDE11BA"/>
    <w:rsid w:val="60142684"/>
    <w:rsid w:val="60206354"/>
    <w:rsid w:val="6045563B"/>
    <w:rsid w:val="60526584"/>
    <w:rsid w:val="60740A7B"/>
    <w:rsid w:val="607C10D0"/>
    <w:rsid w:val="608279F0"/>
    <w:rsid w:val="60A957D5"/>
    <w:rsid w:val="60B80DB8"/>
    <w:rsid w:val="60BF5B6D"/>
    <w:rsid w:val="60D120E5"/>
    <w:rsid w:val="60DB782E"/>
    <w:rsid w:val="60E21E39"/>
    <w:rsid w:val="60FD6E15"/>
    <w:rsid w:val="612260FC"/>
    <w:rsid w:val="61744C09"/>
    <w:rsid w:val="617D698F"/>
    <w:rsid w:val="61923281"/>
    <w:rsid w:val="61CC2CBD"/>
    <w:rsid w:val="6209484B"/>
    <w:rsid w:val="62140300"/>
    <w:rsid w:val="62364782"/>
    <w:rsid w:val="626B762E"/>
    <w:rsid w:val="62774225"/>
    <w:rsid w:val="62AD540C"/>
    <w:rsid w:val="62AF39BF"/>
    <w:rsid w:val="62B94515"/>
    <w:rsid w:val="62FA589E"/>
    <w:rsid w:val="62FE553A"/>
    <w:rsid w:val="631B6AE5"/>
    <w:rsid w:val="632E12BD"/>
    <w:rsid w:val="63542243"/>
    <w:rsid w:val="636C18B0"/>
    <w:rsid w:val="636D222D"/>
    <w:rsid w:val="63760454"/>
    <w:rsid w:val="639329D8"/>
    <w:rsid w:val="63B0199A"/>
    <w:rsid w:val="63B027E9"/>
    <w:rsid w:val="63C97DDD"/>
    <w:rsid w:val="63D40BE9"/>
    <w:rsid w:val="63E0211F"/>
    <w:rsid w:val="63FE4BFE"/>
    <w:rsid w:val="645C60CA"/>
    <w:rsid w:val="64671A02"/>
    <w:rsid w:val="647C1A82"/>
    <w:rsid w:val="64882719"/>
    <w:rsid w:val="648E62C7"/>
    <w:rsid w:val="649B17D3"/>
    <w:rsid w:val="64B25752"/>
    <w:rsid w:val="64D62D2E"/>
    <w:rsid w:val="64E56B08"/>
    <w:rsid w:val="64E700AD"/>
    <w:rsid w:val="64E964CB"/>
    <w:rsid w:val="65373578"/>
    <w:rsid w:val="658A450D"/>
    <w:rsid w:val="65907AD8"/>
    <w:rsid w:val="65E34872"/>
    <w:rsid w:val="6606283C"/>
    <w:rsid w:val="660A0385"/>
    <w:rsid w:val="660F36E9"/>
    <w:rsid w:val="661B24B7"/>
    <w:rsid w:val="662D1855"/>
    <w:rsid w:val="662E6B7E"/>
    <w:rsid w:val="663B6918"/>
    <w:rsid w:val="66C86F33"/>
    <w:rsid w:val="670A4777"/>
    <w:rsid w:val="673F2C7A"/>
    <w:rsid w:val="67571926"/>
    <w:rsid w:val="67606039"/>
    <w:rsid w:val="6766634B"/>
    <w:rsid w:val="67955879"/>
    <w:rsid w:val="67AA28C1"/>
    <w:rsid w:val="67D72719"/>
    <w:rsid w:val="67DD0FCE"/>
    <w:rsid w:val="67E460F1"/>
    <w:rsid w:val="681F6961"/>
    <w:rsid w:val="68281E23"/>
    <w:rsid w:val="68475AD3"/>
    <w:rsid w:val="68610A2F"/>
    <w:rsid w:val="68705E9E"/>
    <w:rsid w:val="68762B6E"/>
    <w:rsid w:val="68805514"/>
    <w:rsid w:val="68AA66DB"/>
    <w:rsid w:val="68AD3894"/>
    <w:rsid w:val="68D91796"/>
    <w:rsid w:val="6900539F"/>
    <w:rsid w:val="69307CA5"/>
    <w:rsid w:val="693D0383"/>
    <w:rsid w:val="694E2071"/>
    <w:rsid w:val="69643D3F"/>
    <w:rsid w:val="697A3B33"/>
    <w:rsid w:val="699E2456"/>
    <w:rsid w:val="69AB044B"/>
    <w:rsid w:val="69EC306B"/>
    <w:rsid w:val="6A2D61B3"/>
    <w:rsid w:val="6A9D51AB"/>
    <w:rsid w:val="6B142F59"/>
    <w:rsid w:val="6B322639"/>
    <w:rsid w:val="6B3C069C"/>
    <w:rsid w:val="6B9B1DCA"/>
    <w:rsid w:val="6C3013C3"/>
    <w:rsid w:val="6C376C8C"/>
    <w:rsid w:val="6C636C38"/>
    <w:rsid w:val="6CA53935"/>
    <w:rsid w:val="6D06067F"/>
    <w:rsid w:val="6D10572C"/>
    <w:rsid w:val="6D323714"/>
    <w:rsid w:val="6D910891"/>
    <w:rsid w:val="6D916D86"/>
    <w:rsid w:val="6DAA1F6F"/>
    <w:rsid w:val="6DB34098"/>
    <w:rsid w:val="6DB545B6"/>
    <w:rsid w:val="6DBA0F55"/>
    <w:rsid w:val="6DD92BDE"/>
    <w:rsid w:val="6E083E59"/>
    <w:rsid w:val="6E0E7C17"/>
    <w:rsid w:val="6E411638"/>
    <w:rsid w:val="6E4375A0"/>
    <w:rsid w:val="6E514CED"/>
    <w:rsid w:val="6E696E5A"/>
    <w:rsid w:val="6E79491A"/>
    <w:rsid w:val="6EB563D5"/>
    <w:rsid w:val="6F095D09"/>
    <w:rsid w:val="6F103F1A"/>
    <w:rsid w:val="6F225983"/>
    <w:rsid w:val="6F28763F"/>
    <w:rsid w:val="6F4A69AF"/>
    <w:rsid w:val="6F9A104F"/>
    <w:rsid w:val="6F9B5069"/>
    <w:rsid w:val="6FB14ED7"/>
    <w:rsid w:val="6FB15405"/>
    <w:rsid w:val="6FD74555"/>
    <w:rsid w:val="6FE75CE5"/>
    <w:rsid w:val="6FFC5590"/>
    <w:rsid w:val="70066CFB"/>
    <w:rsid w:val="7016507D"/>
    <w:rsid w:val="70301DA3"/>
    <w:rsid w:val="70430726"/>
    <w:rsid w:val="705160B5"/>
    <w:rsid w:val="706D1DD0"/>
    <w:rsid w:val="70840239"/>
    <w:rsid w:val="70856B87"/>
    <w:rsid w:val="70D04DC4"/>
    <w:rsid w:val="70D527EE"/>
    <w:rsid w:val="70D876DD"/>
    <w:rsid w:val="70DC6506"/>
    <w:rsid w:val="71070248"/>
    <w:rsid w:val="710E47D8"/>
    <w:rsid w:val="714A36A5"/>
    <w:rsid w:val="715B5300"/>
    <w:rsid w:val="715F4BD7"/>
    <w:rsid w:val="71811E50"/>
    <w:rsid w:val="719759DA"/>
    <w:rsid w:val="71B676FF"/>
    <w:rsid w:val="71D27F8A"/>
    <w:rsid w:val="71F744C6"/>
    <w:rsid w:val="71F960CF"/>
    <w:rsid w:val="7200496E"/>
    <w:rsid w:val="72074916"/>
    <w:rsid w:val="722258DC"/>
    <w:rsid w:val="72503578"/>
    <w:rsid w:val="725207A9"/>
    <w:rsid w:val="72895D2B"/>
    <w:rsid w:val="72A51015"/>
    <w:rsid w:val="72E36C19"/>
    <w:rsid w:val="731F5D5E"/>
    <w:rsid w:val="73242B74"/>
    <w:rsid w:val="732A7184"/>
    <w:rsid w:val="734A623E"/>
    <w:rsid w:val="73920D98"/>
    <w:rsid w:val="73C16C59"/>
    <w:rsid w:val="73D6259A"/>
    <w:rsid w:val="73E02CCF"/>
    <w:rsid w:val="73F03A6D"/>
    <w:rsid w:val="740B00AB"/>
    <w:rsid w:val="741E793C"/>
    <w:rsid w:val="74357260"/>
    <w:rsid w:val="7458100B"/>
    <w:rsid w:val="74991580"/>
    <w:rsid w:val="74C03C91"/>
    <w:rsid w:val="74CF0402"/>
    <w:rsid w:val="74F05E49"/>
    <w:rsid w:val="753F6E24"/>
    <w:rsid w:val="75483F2B"/>
    <w:rsid w:val="758768BD"/>
    <w:rsid w:val="758D75E2"/>
    <w:rsid w:val="75B10CEA"/>
    <w:rsid w:val="75D92DD5"/>
    <w:rsid w:val="75F55420"/>
    <w:rsid w:val="75F70ADF"/>
    <w:rsid w:val="76231B50"/>
    <w:rsid w:val="76236746"/>
    <w:rsid w:val="76440A46"/>
    <w:rsid w:val="76550478"/>
    <w:rsid w:val="76593D91"/>
    <w:rsid w:val="76B818D5"/>
    <w:rsid w:val="76DE0B17"/>
    <w:rsid w:val="771654C9"/>
    <w:rsid w:val="77244524"/>
    <w:rsid w:val="773D7165"/>
    <w:rsid w:val="775A4EBC"/>
    <w:rsid w:val="77747FA7"/>
    <w:rsid w:val="77762421"/>
    <w:rsid w:val="777A6FA6"/>
    <w:rsid w:val="77925931"/>
    <w:rsid w:val="77991C4E"/>
    <w:rsid w:val="779A0BA9"/>
    <w:rsid w:val="77CB168F"/>
    <w:rsid w:val="780F09F4"/>
    <w:rsid w:val="783B5DE1"/>
    <w:rsid w:val="785628A3"/>
    <w:rsid w:val="789C4F47"/>
    <w:rsid w:val="78A90480"/>
    <w:rsid w:val="78E91DA5"/>
    <w:rsid w:val="790231E4"/>
    <w:rsid w:val="790E2F6A"/>
    <w:rsid w:val="792953F9"/>
    <w:rsid w:val="79811327"/>
    <w:rsid w:val="79876FEC"/>
    <w:rsid w:val="798E69E4"/>
    <w:rsid w:val="79C03F87"/>
    <w:rsid w:val="79F77CCE"/>
    <w:rsid w:val="7A364017"/>
    <w:rsid w:val="7A7B15F7"/>
    <w:rsid w:val="7A8265E1"/>
    <w:rsid w:val="7AA045E2"/>
    <w:rsid w:val="7ABE2750"/>
    <w:rsid w:val="7AC66C70"/>
    <w:rsid w:val="7ACA7C92"/>
    <w:rsid w:val="7AF526C7"/>
    <w:rsid w:val="7B0408F4"/>
    <w:rsid w:val="7B11164D"/>
    <w:rsid w:val="7B362CA6"/>
    <w:rsid w:val="7B5311E2"/>
    <w:rsid w:val="7B584385"/>
    <w:rsid w:val="7B587EB8"/>
    <w:rsid w:val="7B634999"/>
    <w:rsid w:val="7B686D42"/>
    <w:rsid w:val="7B6B7834"/>
    <w:rsid w:val="7B841746"/>
    <w:rsid w:val="7BB10350"/>
    <w:rsid w:val="7BB64ECC"/>
    <w:rsid w:val="7BD22F4F"/>
    <w:rsid w:val="7C2D500B"/>
    <w:rsid w:val="7C611D76"/>
    <w:rsid w:val="7C857E9B"/>
    <w:rsid w:val="7CD11054"/>
    <w:rsid w:val="7CEB01B5"/>
    <w:rsid w:val="7CF64C93"/>
    <w:rsid w:val="7D0239FF"/>
    <w:rsid w:val="7D0653FF"/>
    <w:rsid w:val="7D160C1A"/>
    <w:rsid w:val="7D195138"/>
    <w:rsid w:val="7D580FFF"/>
    <w:rsid w:val="7D5E40CD"/>
    <w:rsid w:val="7D6513F2"/>
    <w:rsid w:val="7D693BED"/>
    <w:rsid w:val="7D846E21"/>
    <w:rsid w:val="7D944D3F"/>
    <w:rsid w:val="7DCC7BEA"/>
    <w:rsid w:val="7E006654"/>
    <w:rsid w:val="7E073AF0"/>
    <w:rsid w:val="7E0A4D0A"/>
    <w:rsid w:val="7E244CEF"/>
    <w:rsid w:val="7E5C3877"/>
    <w:rsid w:val="7EAF5A15"/>
    <w:rsid w:val="7EBF4B32"/>
    <w:rsid w:val="7EBF7726"/>
    <w:rsid w:val="7ECA3C03"/>
    <w:rsid w:val="7ECB353B"/>
    <w:rsid w:val="7ECF5D16"/>
    <w:rsid w:val="7F1F7BDC"/>
    <w:rsid w:val="7F274961"/>
    <w:rsid w:val="7F2C190C"/>
    <w:rsid w:val="7F2C3AB6"/>
    <w:rsid w:val="7F2E2B2B"/>
    <w:rsid w:val="7F3E1BBB"/>
    <w:rsid w:val="7F4072F4"/>
    <w:rsid w:val="7F674754"/>
    <w:rsid w:val="7F855D7C"/>
    <w:rsid w:val="7FB0032E"/>
    <w:rsid w:val="7FD85EAB"/>
    <w:rsid w:val="7FDB0387"/>
    <w:rsid w:val="7FE47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semiHidden/>
    <w:unhideWhenUsed/>
    <w:qFormat/>
    <w:uiPriority w:val="0"/>
    <w:pPr>
      <w:ind w:left="1024"/>
      <w:outlineLvl w:val="1"/>
    </w:pPr>
    <w:rPr>
      <w:rFonts w:ascii="宋体" w:hAnsi="宋体" w:eastAsia="宋体" w:cs="宋体"/>
      <w:b/>
      <w:bCs/>
      <w:sz w:val="24"/>
      <w:szCs w:val="24"/>
      <w:lang w:val="zh-CN" w:eastAsia="zh-CN" w:bidi="zh-CN"/>
    </w:rPr>
  </w:style>
  <w:style w:type="paragraph" w:styleId="2">
    <w:name w:val="heading 3"/>
    <w:basedOn w:val="1"/>
    <w:next w:val="1"/>
    <w:unhideWhenUsed/>
    <w:qFormat/>
    <w:uiPriority w:val="0"/>
    <w:pPr>
      <w:keepNext/>
      <w:keepLines/>
      <w:spacing w:line="360" w:lineRule="auto"/>
      <w:outlineLvl w:val="2"/>
    </w:pPr>
    <w:rPr>
      <w:b/>
      <w:bCs/>
      <w:sz w:val="24"/>
      <w:szCs w:val="32"/>
    </w:rPr>
  </w:style>
  <w:style w:type="paragraph" w:styleId="5">
    <w:name w:val="heading 4"/>
    <w:basedOn w:val="1"/>
    <w:next w:val="1"/>
    <w:semiHidden/>
    <w:unhideWhenUsed/>
    <w:qFormat/>
    <w:uiPriority w:val="0"/>
    <w:pPr>
      <w:ind w:left="1105"/>
      <w:jc w:val="center"/>
      <w:outlineLvl w:val="3"/>
    </w:pPr>
    <w:rPr>
      <w:rFonts w:ascii="黑体" w:hAnsi="黑体" w:eastAsia="黑体" w:cs="黑体"/>
      <w:b/>
      <w:bCs/>
      <w:sz w:val="24"/>
      <w:szCs w:val="24"/>
      <w:lang w:val="zh-CN" w:eastAsia="zh-CN" w:bidi="zh-CN"/>
    </w:rPr>
  </w:style>
  <w:style w:type="paragraph" w:styleId="6">
    <w:name w:val="heading 5"/>
    <w:basedOn w:val="1"/>
    <w:next w:val="1"/>
    <w:semiHidden/>
    <w:unhideWhenUsed/>
    <w:qFormat/>
    <w:uiPriority w:val="0"/>
    <w:pPr>
      <w:jc w:val="center"/>
      <w:outlineLvl w:val="4"/>
    </w:pPr>
    <w:rPr>
      <w:rFonts w:ascii="黑体" w:hAnsi="黑体" w:eastAsia="黑体" w:cs="黑体"/>
      <w:b/>
      <w:bCs/>
      <w:sz w:val="24"/>
      <w:szCs w:val="24"/>
      <w:lang w:val="zh-CN" w:eastAsia="zh-CN" w:bidi="zh-CN"/>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420" w:firstLineChars="200"/>
    </w:pPr>
  </w:style>
  <w:style w:type="paragraph" w:styleId="8">
    <w:name w:val="Body Text First Indent 2"/>
    <w:basedOn w:val="9"/>
    <w:next w:val="11"/>
    <w:qFormat/>
    <w:uiPriority w:val="0"/>
    <w:pPr>
      <w:ind w:firstLine="420"/>
    </w:pPr>
    <w:rPr>
      <w:rFonts w:ascii="Calibri" w:hAnsi="Calibri"/>
      <w:szCs w:val="22"/>
    </w:rPr>
  </w:style>
  <w:style w:type="paragraph" w:styleId="9">
    <w:name w:val="Body Text Indent"/>
    <w:basedOn w:val="1"/>
    <w:next w:val="10"/>
    <w:link w:val="43"/>
    <w:qFormat/>
    <w:uiPriority w:val="0"/>
    <w:pPr>
      <w:spacing w:after="120"/>
      <w:ind w:left="420" w:leftChars="200"/>
    </w:pPr>
  </w:style>
  <w:style w:type="paragraph" w:customStyle="1" w:styleId="10">
    <w:name w:val="样式 正文文本缩进 + 行距: 1.5 倍行距"/>
    <w:qFormat/>
    <w:uiPriority w:val="0"/>
    <w:pPr>
      <w:widowControl w:val="0"/>
      <w:spacing w:after="120" w:line="360" w:lineRule="auto"/>
      <w:ind w:left="90" w:leftChars="32" w:firstLine="560" w:firstLineChars="200"/>
      <w:jc w:val="both"/>
    </w:pPr>
    <w:rPr>
      <w:rFonts w:ascii="Times New Roman" w:hAnsi="Times New Roman" w:eastAsia="宋体" w:cs="宋体"/>
      <w:lang w:val="en-US" w:eastAsia="zh-CN" w:bidi="ar-SA"/>
    </w:rPr>
  </w:style>
  <w:style w:type="paragraph" w:styleId="11">
    <w:name w:val="Body Text"/>
    <w:basedOn w:val="1"/>
    <w:next w:val="12"/>
    <w:link w:val="42"/>
    <w:qFormat/>
    <w:uiPriority w:val="0"/>
    <w:pPr>
      <w:widowControl/>
      <w:snapToGrid w:val="0"/>
      <w:spacing w:before="60" w:after="160" w:line="259" w:lineRule="auto"/>
      <w:ind w:right="113"/>
    </w:pPr>
    <w:rPr>
      <w:kern w:val="0"/>
      <w:sz w:val="18"/>
      <w:szCs w:val="18"/>
    </w:rPr>
  </w:style>
  <w:style w:type="paragraph" w:customStyle="1" w:styleId="12">
    <w:name w:val="Body Text 21"/>
    <w:basedOn w:val="1"/>
    <w:qFormat/>
    <w:uiPriority w:val="0"/>
    <w:pPr>
      <w:spacing w:after="120" w:line="480" w:lineRule="auto"/>
    </w:pPr>
  </w:style>
  <w:style w:type="paragraph" w:styleId="13">
    <w:name w:val="annotation text"/>
    <w:basedOn w:val="1"/>
    <w:link w:val="41"/>
    <w:qFormat/>
    <w:uiPriority w:val="0"/>
    <w:pPr>
      <w:jc w:val="left"/>
    </w:pPr>
    <w:rPr>
      <w:kern w:val="0"/>
      <w:sz w:val="20"/>
    </w:rPr>
  </w:style>
  <w:style w:type="paragraph" w:styleId="14">
    <w:name w:val="Block Text"/>
    <w:basedOn w:val="1"/>
    <w:qFormat/>
    <w:uiPriority w:val="0"/>
    <w:pPr>
      <w:spacing w:line="480" w:lineRule="exact"/>
      <w:ind w:left="-125" w:right="-56" w:firstLine="570"/>
    </w:pPr>
    <w:rPr>
      <w:sz w:val="28"/>
    </w:rPr>
  </w:style>
  <w:style w:type="paragraph" w:styleId="15">
    <w:name w:val="Plain Text"/>
    <w:basedOn w:val="1"/>
    <w:qFormat/>
    <w:uiPriority w:val="99"/>
    <w:rPr>
      <w:rFonts w:ascii="宋体" w:hAnsi="Courier New"/>
      <w:sz w:val="20"/>
      <w:szCs w:val="20"/>
    </w:rPr>
  </w:style>
  <w:style w:type="paragraph" w:styleId="16">
    <w:name w:val="List Bullet 5"/>
    <w:basedOn w:val="1"/>
    <w:qFormat/>
    <w:uiPriority w:val="0"/>
    <w:pPr>
      <w:numPr>
        <w:ilvl w:val="0"/>
        <w:numId w:val="1"/>
      </w:numPr>
    </w:pPr>
  </w:style>
  <w:style w:type="paragraph" w:styleId="17">
    <w:name w:val="Date"/>
    <w:basedOn w:val="1"/>
    <w:next w:val="1"/>
    <w:link w:val="45"/>
    <w:qFormat/>
    <w:uiPriority w:val="0"/>
    <w:pPr>
      <w:ind w:left="100" w:leftChars="2500"/>
    </w:pPr>
    <w:rPr>
      <w:kern w:val="0"/>
      <w:sz w:val="20"/>
    </w:rPr>
  </w:style>
  <w:style w:type="paragraph" w:styleId="18">
    <w:name w:val="Body Text Indent 2"/>
    <w:basedOn w:val="1"/>
    <w:next w:val="19"/>
    <w:qFormat/>
    <w:uiPriority w:val="0"/>
    <w:pPr>
      <w:ind w:firstLine="560"/>
    </w:pPr>
    <w:rPr>
      <w:rFonts w:ascii="宋体"/>
      <w:color w:val="FF0000"/>
      <w:kern w:val="0"/>
      <w:sz w:val="28"/>
      <w:szCs w:val="28"/>
    </w:rPr>
  </w:style>
  <w:style w:type="paragraph" w:customStyle="1" w:styleId="19">
    <w:name w:val="表格文字"/>
    <w:qFormat/>
    <w:uiPriority w:val="0"/>
    <w:pPr>
      <w:jc w:val="center"/>
    </w:pPr>
    <w:rPr>
      <w:rFonts w:ascii="Calibri" w:hAnsi="Calibri" w:eastAsia="宋体" w:cs="Times New Roman"/>
      <w:kern w:val="2"/>
      <w:sz w:val="21"/>
      <w:szCs w:val="24"/>
      <w:lang w:val="en-US" w:eastAsia="zh-CN" w:bidi="ar-SA"/>
    </w:rPr>
  </w:style>
  <w:style w:type="paragraph" w:styleId="20">
    <w:name w:val="Balloon Text"/>
    <w:basedOn w:val="1"/>
    <w:link w:val="44"/>
    <w:qFormat/>
    <w:uiPriority w:val="0"/>
    <w:rPr>
      <w:sz w:val="18"/>
      <w:szCs w:val="18"/>
    </w:rPr>
  </w:style>
  <w:style w:type="paragraph" w:styleId="21">
    <w:name w:val="footer"/>
    <w:basedOn w:val="1"/>
    <w:next w:val="1"/>
    <w:link w:val="46"/>
    <w:qFormat/>
    <w:uiPriority w:val="0"/>
    <w:pPr>
      <w:tabs>
        <w:tab w:val="center" w:pos="4153"/>
        <w:tab w:val="right" w:pos="8306"/>
      </w:tabs>
      <w:snapToGrid w:val="0"/>
      <w:jc w:val="left"/>
    </w:pPr>
    <w:rPr>
      <w:sz w:val="18"/>
      <w:szCs w:val="18"/>
    </w:rPr>
  </w:style>
  <w:style w:type="paragraph" w:styleId="22">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3">
    <w:name w:val="List Continue 4"/>
    <w:basedOn w:val="1"/>
    <w:next w:val="1"/>
    <w:qFormat/>
    <w:uiPriority w:val="0"/>
    <w:pPr>
      <w:widowControl w:val="0"/>
      <w:autoSpaceDE/>
      <w:autoSpaceDN/>
      <w:spacing w:before="0" w:after="120" w:line="360" w:lineRule="auto"/>
      <w:ind w:left="1680" w:firstLine="480"/>
      <w:jc w:val="both"/>
    </w:pPr>
    <w:rPr>
      <w:rFonts w:ascii="宋体" w:eastAsia="宋体"/>
      <w:sz w:val="24"/>
    </w:rPr>
  </w:style>
  <w:style w:type="paragraph" w:styleId="24">
    <w:name w:val="index heading"/>
    <w:basedOn w:val="1"/>
    <w:next w:val="25"/>
    <w:qFormat/>
    <w:uiPriority w:val="0"/>
    <w:rPr>
      <w:szCs w:val="20"/>
    </w:rPr>
  </w:style>
  <w:style w:type="paragraph" w:styleId="25">
    <w:name w:val="index 1"/>
    <w:basedOn w:val="1"/>
    <w:next w:val="1"/>
    <w:qFormat/>
    <w:uiPriority w:val="0"/>
    <w:pPr>
      <w:adjustRightInd w:val="0"/>
      <w:snapToGrid w:val="0"/>
      <w:spacing w:line="440" w:lineRule="atLeast"/>
      <w:ind w:left="240" w:hanging="240"/>
      <w:jc w:val="left"/>
    </w:pPr>
    <w:rPr>
      <w:rFonts w:ascii="宋体"/>
      <w:sz w:val="18"/>
      <w:szCs w:val="18"/>
    </w:rPr>
  </w:style>
  <w:style w:type="paragraph" w:styleId="26">
    <w:name w:val="List"/>
    <w:basedOn w:val="1"/>
    <w:next w:val="1"/>
    <w:qFormat/>
    <w:uiPriority w:val="0"/>
    <w:pPr>
      <w:ind w:left="200" w:hanging="200" w:hangingChars="200"/>
    </w:pPr>
  </w:style>
  <w:style w:type="paragraph" w:styleId="27">
    <w:name w:val="Body Text 2"/>
    <w:basedOn w:val="1"/>
    <w:qFormat/>
    <w:uiPriority w:val="0"/>
    <w:pPr>
      <w:widowControl/>
      <w:jc w:val="left"/>
    </w:pPr>
    <w:rPr>
      <w:rFonts w:ascii="仿宋_GB2312" w:eastAsia="仿宋_GB2312"/>
      <w:sz w:val="30"/>
      <w:szCs w:val="20"/>
    </w:rPr>
  </w:style>
  <w:style w:type="paragraph" w:styleId="28">
    <w:name w:val="Normal (Web)"/>
    <w:basedOn w:val="1"/>
    <w:link w:val="48"/>
    <w:qFormat/>
    <w:uiPriority w:val="0"/>
    <w:pPr>
      <w:widowControl/>
      <w:spacing w:before="100" w:beforeAutospacing="1" w:after="100" w:afterAutospacing="1"/>
      <w:jc w:val="left"/>
    </w:pPr>
    <w:rPr>
      <w:rFonts w:ascii="宋体" w:hAnsi="宋体"/>
      <w:kern w:val="0"/>
      <w:sz w:val="24"/>
    </w:rPr>
  </w:style>
  <w:style w:type="paragraph" w:styleId="29">
    <w:name w:val="annotation subject"/>
    <w:basedOn w:val="13"/>
    <w:next w:val="13"/>
    <w:link w:val="49"/>
    <w:qFormat/>
    <w:uiPriority w:val="0"/>
    <w:rPr>
      <w:b/>
      <w:bCs/>
    </w:rPr>
  </w:style>
  <w:style w:type="paragraph" w:styleId="30">
    <w:name w:val="Body Text First Indent"/>
    <w:basedOn w:val="11"/>
    <w:next w:val="1"/>
    <w:qFormat/>
    <w:uiPriority w:val="0"/>
    <w:pPr>
      <w:spacing w:line="360" w:lineRule="auto"/>
      <w:ind w:firstLine="420" w:firstLineChars="100"/>
    </w:pPr>
  </w:style>
  <w:style w:type="table" w:styleId="32">
    <w:name w:val="Table Grid"/>
    <w:basedOn w:val="3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rPr>
  </w:style>
  <w:style w:type="character" w:styleId="35">
    <w:name w:val="page number"/>
    <w:basedOn w:val="33"/>
    <w:qFormat/>
    <w:uiPriority w:val="0"/>
  </w:style>
  <w:style w:type="character" w:styleId="36">
    <w:name w:val="Hyperlink"/>
    <w:basedOn w:val="33"/>
    <w:qFormat/>
    <w:uiPriority w:val="0"/>
    <w:rPr>
      <w:color w:val="0000FF"/>
      <w:u w:val="single"/>
    </w:rPr>
  </w:style>
  <w:style w:type="character" w:styleId="37">
    <w:name w:val="annotation reference"/>
    <w:basedOn w:val="33"/>
    <w:qFormat/>
    <w:uiPriority w:val="0"/>
    <w:rPr>
      <w:sz w:val="21"/>
    </w:rPr>
  </w:style>
  <w:style w:type="paragraph" w:customStyle="1" w:styleId="38">
    <w:name w:val="正文(首行缩进)"/>
    <w:basedOn w:val="1"/>
    <w:next w:val="1"/>
    <w:semiHidden/>
    <w:qFormat/>
    <w:uiPriority w:val="0"/>
    <w:pPr>
      <w:spacing w:line="360" w:lineRule="auto"/>
      <w:ind w:firstLine="540" w:firstLineChars="225"/>
    </w:pPr>
    <w:rPr>
      <w:snapToGrid w:val="0"/>
      <w:color w:val="000000"/>
      <w:kern w:val="0"/>
      <w:sz w:val="24"/>
    </w:rPr>
  </w:style>
  <w:style w:type="paragraph" w:customStyle="1" w:styleId="39">
    <w:name w:val="Default"/>
    <w:basedOn w:val="40"/>
    <w:next w:val="1"/>
    <w:unhideWhenUsed/>
    <w:qFormat/>
    <w:uiPriority w:val="99"/>
    <w:pPr>
      <w:tabs>
        <w:tab w:val="left" w:pos="1845"/>
      </w:tabs>
      <w:autoSpaceDE w:val="0"/>
      <w:autoSpaceDN w:val="0"/>
      <w:spacing w:line="240" w:lineRule="exact"/>
      <w:jc w:val="center"/>
    </w:pPr>
    <w:rPr>
      <w:rFonts w:hint="eastAsia" w:ascii="宋体" w:hAnsi="宋体"/>
      <w:color w:val="000000"/>
      <w:sz w:val="24"/>
    </w:rPr>
  </w:style>
  <w:style w:type="paragraph" w:customStyle="1" w:styleId="40">
    <w:name w:val="纯文本1"/>
    <w:basedOn w:val="1"/>
    <w:qFormat/>
    <w:uiPriority w:val="0"/>
    <w:pPr>
      <w:adjustRightInd w:val="0"/>
      <w:textAlignment w:val="baseline"/>
    </w:pPr>
    <w:rPr>
      <w:rFonts w:ascii="宋体" w:hAnsi="Courier New"/>
      <w:szCs w:val="20"/>
    </w:rPr>
  </w:style>
  <w:style w:type="character" w:customStyle="1" w:styleId="41">
    <w:name w:val="Comment Text Char"/>
    <w:link w:val="13"/>
    <w:qFormat/>
    <w:locked/>
    <w:uiPriority w:val="0"/>
    <w:rPr>
      <w:rFonts w:ascii="Times New Roman" w:hAnsi="Times New Roman" w:eastAsia="宋体"/>
      <w:sz w:val="24"/>
    </w:rPr>
  </w:style>
  <w:style w:type="character" w:customStyle="1" w:styleId="42">
    <w:name w:val="Body Text Char"/>
    <w:link w:val="11"/>
    <w:qFormat/>
    <w:locked/>
    <w:uiPriority w:val="0"/>
    <w:rPr>
      <w:sz w:val="18"/>
    </w:rPr>
  </w:style>
  <w:style w:type="character" w:customStyle="1" w:styleId="43">
    <w:name w:val="Body Text Indent Char"/>
    <w:basedOn w:val="33"/>
    <w:link w:val="9"/>
    <w:semiHidden/>
    <w:qFormat/>
    <w:locked/>
    <w:uiPriority w:val="0"/>
    <w:rPr>
      <w:rFonts w:ascii="Times New Roman" w:hAnsi="Times New Roman" w:eastAsia="宋体" w:cs="Times New Roman"/>
      <w:sz w:val="24"/>
      <w:szCs w:val="24"/>
    </w:rPr>
  </w:style>
  <w:style w:type="character" w:customStyle="1" w:styleId="44">
    <w:name w:val="Balloon Text Char"/>
    <w:basedOn w:val="33"/>
    <w:link w:val="20"/>
    <w:semiHidden/>
    <w:qFormat/>
    <w:locked/>
    <w:uiPriority w:val="0"/>
    <w:rPr>
      <w:rFonts w:ascii="Times New Roman" w:hAnsi="Times New Roman" w:eastAsia="宋体" w:cs="Times New Roman"/>
      <w:sz w:val="18"/>
      <w:szCs w:val="18"/>
    </w:rPr>
  </w:style>
  <w:style w:type="character" w:customStyle="1" w:styleId="45">
    <w:name w:val="Date Char"/>
    <w:link w:val="17"/>
    <w:qFormat/>
    <w:locked/>
    <w:uiPriority w:val="0"/>
    <w:rPr>
      <w:rFonts w:ascii="Times New Roman" w:hAnsi="Times New Roman" w:eastAsia="宋体"/>
      <w:sz w:val="24"/>
    </w:rPr>
  </w:style>
  <w:style w:type="character" w:customStyle="1" w:styleId="46">
    <w:name w:val="Footer Char"/>
    <w:basedOn w:val="33"/>
    <w:link w:val="21"/>
    <w:qFormat/>
    <w:locked/>
    <w:uiPriority w:val="0"/>
    <w:rPr>
      <w:rFonts w:cs="Times New Roman"/>
      <w:sz w:val="18"/>
      <w:szCs w:val="18"/>
    </w:rPr>
  </w:style>
  <w:style w:type="character" w:customStyle="1" w:styleId="47">
    <w:name w:val="Header Char"/>
    <w:basedOn w:val="33"/>
    <w:link w:val="22"/>
    <w:qFormat/>
    <w:locked/>
    <w:uiPriority w:val="0"/>
    <w:rPr>
      <w:rFonts w:cs="Times New Roman"/>
      <w:sz w:val="18"/>
      <w:szCs w:val="18"/>
    </w:rPr>
  </w:style>
  <w:style w:type="character" w:customStyle="1" w:styleId="48">
    <w:name w:val="Normal (Web) Char"/>
    <w:link w:val="28"/>
    <w:qFormat/>
    <w:locked/>
    <w:uiPriority w:val="0"/>
    <w:rPr>
      <w:rFonts w:ascii="宋体" w:hAnsi="宋体" w:eastAsia="宋体"/>
      <w:sz w:val="24"/>
    </w:rPr>
  </w:style>
  <w:style w:type="character" w:customStyle="1" w:styleId="49">
    <w:name w:val="Comment Subject Char"/>
    <w:basedOn w:val="41"/>
    <w:link w:val="29"/>
    <w:semiHidden/>
    <w:qFormat/>
    <w:locked/>
    <w:uiPriority w:val="0"/>
    <w:rPr>
      <w:rFonts w:cs="Times New Roman"/>
      <w:b/>
      <w:bCs/>
      <w:kern w:val="2"/>
      <w:szCs w:val="24"/>
    </w:rPr>
  </w:style>
  <w:style w:type="paragraph" w:customStyle="1" w:styleId="50">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customStyle="1" w:styleId="51">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52">
    <w:name w:val="Char Char Char Char Char Char Char Char Char1 Char"/>
    <w:basedOn w:val="1"/>
    <w:qFormat/>
    <w:uiPriority w:val="0"/>
    <w:pPr>
      <w:spacing w:line="360" w:lineRule="auto"/>
      <w:ind w:firstLine="200" w:firstLineChars="200"/>
    </w:pPr>
    <w:rPr>
      <w:rFonts w:hAnsi="宋体" w:cs="宋体"/>
      <w:spacing w:val="0"/>
      <w:sz w:val="24"/>
      <w:szCs w:val="24"/>
    </w:rPr>
  </w:style>
  <w:style w:type="paragraph" w:customStyle="1" w:styleId="53">
    <w:name w:val="正文文本 21"/>
    <w:basedOn w:val="1"/>
    <w:qFormat/>
    <w:uiPriority w:val="0"/>
    <w:pPr>
      <w:spacing w:after="120" w:line="480" w:lineRule="auto"/>
    </w:pPr>
  </w:style>
  <w:style w:type="character" w:customStyle="1" w:styleId="54">
    <w:name w:val="日期 字符"/>
    <w:basedOn w:val="33"/>
    <w:semiHidden/>
    <w:qFormat/>
    <w:uiPriority w:val="0"/>
    <w:rPr>
      <w:rFonts w:ascii="Times New Roman" w:hAnsi="Times New Roman" w:eastAsia="宋体" w:cs="Times New Roman"/>
      <w:sz w:val="24"/>
      <w:szCs w:val="24"/>
    </w:rPr>
  </w:style>
  <w:style w:type="character" w:customStyle="1" w:styleId="55">
    <w:name w:val="正文文本 字符1"/>
    <w:basedOn w:val="33"/>
    <w:semiHidden/>
    <w:qFormat/>
    <w:uiPriority w:val="0"/>
    <w:rPr>
      <w:rFonts w:ascii="Times New Roman" w:hAnsi="Times New Roman" w:eastAsia="宋体" w:cs="Times New Roman"/>
      <w:sz w:val="24"/>
      <w:szCs w:val="24"/>
    </w:rPr>
  </w:style>
  <w:style w:type="paragraph" w:customStyle="1" w:styleId="56">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57">
    <w:name w:val="表格 Char"/>
    <w:link w:val="58"/>
    <w:qFormat/>
    <w:locked/>
    <w:uiPriority w:val="0"/>
    <w:rPr>
      <w:rFonts w:ascii="宋体"/>
      <w:sz w:val="21"/>
    </w:rPr>
  </w:style>
  <w:style w:type="paragraph" w:customStyle="1" w:styleId="58">
    <w:name w:val="表格"/>
    <w:basedOn w:val="7"/>
    <w:next w:val="1"/>
    <w:link w:val="57"/>
    <w:qFormat/>
    <w:uiPriority w:val="0"/>
    <w:pPr>
      <w:adjustRightInd w:val="0"/>
      <w:snapToGrid w:val="0"/>
      <w:spacing w:beforeLines="10" w:afterLines="10" w:line="259" w:lineRule="auto"/>
      <w:jc w:val="center"/>
    </w:pPr>
    <w:rPr>
      <w:rFonts w:ascii="宋体"/>
      <w:kern w:val="0"/>
      <w:sz w:val="20"/>
      <w:szCs w:val="21"/>
    </w:rPr>
  </w:style>
  <w:style w:type="character" w:customStyle="1" w:styleId="59">
    <w:name w:val="批注文字 字符1"/>
    <w:basedOn w:val="33"/>
    <w:semiHidden/>
    <w:qFormat/>
    <w:uiPriority w:val="0"/>
    <w:rPr>
      <w:rFonts w:ascii="Times New Roman" w:hAnsi="Times New Roman" w:eastAsia="宋体" w:cs="Times New Roman"/>
      <w:sz w:val="24"/>
      <w:szCs w:val="24"/>
    </w:rPr>
  </w:style>
  <w:style w:type="character" w:customStyle="1" w:styleId="60">
    <w:name w:val="普通(网站) Char"/>
    <w:qFormat/>
    <w:locked/>
    <w:uiPriority w:val="0"/>
    <w:rPr>
      <w:rFonts w:ascii="宋体" w:hAnsi="宋体" w:eastAsia="宋体"/>
      <w:sz w:val="24"/>
    </w:rPr>
  </w:style>
  <w:style w:type="paragraph" w:customStyle="1" w:styleId="61">
    <w:name w:val="正文新"/>
    <w:basedOn w:val="1"/>
    <w:qFormat/>
    <w:uiPriority w:val="0"/>
    <w:pPr>
      <w:spacing w:line="460" w:lineRule="exact"/>
      <w:ind w:firstLine="480" w:firstLineChars="200"/>
    </w:pPr>
    <w:rPr>
      <w:sz w:val="24"/>
    </w:rPr>
  </w:style>
  <w:style w:type="paragraph" w:customStyle="1" w:styleId="62">
    <w:name w:val="表头"/>
    <w:basedOn w:val="7"/>
    <w:next w:val="1"/>
    <w:qFormat/>
    <w:uiPriority w:val="0"/>
    <w:pPr>
      <w:jc w:val="center"/>
    </w:pPr>
    <w:rPr>
      <w:rFonts w:hint="eastAsia" w:ascii="Times New Roman" w:hAnsi="Times New Roman" w:eastAsia="宋体"/>
      <w:b/>
      <w:bCs/>
      <w:szCs w:val="21"/>
    </w:rPr>
  </w:style>
  <w:style w:type="paragraph" w:customStyle="1" w:styleId="63">
    <w:name w:val="德源报告表表格"/>
    <w:qFormat/>
    <w:uiPriority w:val="0"/>
    <w:pPr>
      <w:adjustRightInd w:val="0"/>
      <w:snapToGrid w:val="0"/>
      <w:spacing w:line="360" w:lineRule="exact"/>
      <w:jc w:val="center"/>
    </w:pPr>
    <w:rPr>
      <w:rFonts w:ascii="Times New Roman" w:hAnsi="Times New Roman" w:eastAsia="宋体" w:cs="Times New Roman"/>
      <w:snapToGrid w:val="0"/>
      <w:sz w:val="21"/>
      <w:szCs w:val="21"/>
      <w:lang w:val="en-US" w:eastAsia="zh-CN" w:bidi="ar-SA"/>
    </w:rPr>
  </w:style>
  <w:style w:type="paragraph" w:customStyle="1" w:styleId="64">
    <w:name w:val="环评正文"/>
    <w:basedOn w:val="1"/>
    <w:qFormat/>
    <w:uiPriority w:val="0"/>
    <w:pPr>
      <w:autoSpaceDE w:val="0"/>
      <w:autoSpaceDN w:val="0"/>
      <w:adjustRightInd w:val="0"/>
      <w:snapToGrid w:val="0"/>
      <w:spacing w:line="360" w:lineRule="auto"/>
      <w:ind w:firstLine="200" w:firstLineChars="200"/>
    </w:pPr>
    <w:rPr>
      <w:rFonts w:cs="宋体"/>
      <w:kern w:val="0"/>
      <w:sz w:val="24"/>
      <w:szCs w:val="21"/>
    </w:rPr>
  </w:style>
  <w:style w:type="paragraph" w:customStyle="1" w:styleId="65">
    <w:name w:val="表格正文"/>
    <w:basedOn w:val="66"/>
    <w:qFormat/>
    <w:uiPriority w:val="0"/>
    <w:pPr>
      <w:wordWrap w:val="0"/>
    </w:pPr>
    <w:rPr>
      <w:b w:val="0"/>
    </w:rPr>
  </w:style>
  <w:style w:type="paragraph" w:customStyle="1" w:styleId="66">
    <w:name w:val="表格标题"/>
    <w:basedOn w:val="62"/>
    <w:qFormat/>
    <w:uiPriority w:val="0"/>
    <w:rPr>
      <w:rFonts w:hint="default"/>
    </w:rPr>
  </w:style>
  <w:style w:type="paragraph" w:customStyle="1" w:styleId="67">
    <w:name w:val="Table Paragraph"/>
    <w:basedOn w:val="1"/>
    <w:qFormat/>
    <w:uiPriority w:val="1"/>
    <w:pPr>
      <w:jc w:val="center"/>
    </w:pPr>
    <w:rPr>
      <w:rFonts w:ascii="Times New Roman" w:hAnsi="Times New Roman" w:eastAsia="Times New Roman" w:cs="Times New Roman"/>
      <w:lang w:val="zh-CN" w:eastAsia="zh-CN" w:bidi="zh-CN"/>
    </w:rPr>
  </w:style>
  <w:style w:type="paragraph" w:customStyle="1" w:styleId="68">
    <w:name w:val="样式1"/>
    <w:basedOn w:val="24"/>
    <w:next w:val="1"/>
    <w:qFormat/>
    <w:uiPriority w:val="0"/>
    <w:pPr>
      <w:ind w:firstLine="0"/>
    </w:pPr>
    <w:rPr>
      <w:rFonts w:ascii="Times New Roman"/>
      <w:b/>
      <w:sz w:val="30"/>
    </w:rPr>
  </w:style>
  <w:style w:type="paragraph" w:customStyle="1" w:styleId="69">
    <w:name w:val="BodyText1I2"/>
    <w:basedOn w:val="70"/>
    <w:semiHidden/>
    <w:qFormat/>
    <w:uiPriority w:val="0"/>
    <w:pPr>
      <w:spacing w:line="560" w:lineRule="exact"/>
      <w:ind w:left="0" w:leftChars="0" w:firstLine="420" w:firstLineChars="200"/>
    </w:pPr>
    <w:rPr>
      <w:rFonts w:eastAsia="仿宋_GB2312"/>
      <w:sz w:val="32"/>
    </w:rPr>
  </w:style>
  <w:style w:type="paragraph" w:customStyle="1" w:styleId="70">
    <w:name w:val="BodyTextIndent"/>
    <w:basedOn w:val="1"/>
    <w:semiHidden/>
    <w:qFormat/>
    <w:uiPriority w:val="0"/>
    <w:pPr>
      <w:ind w:left="420" w:leftChars="200"/>
      <w:textAlignment w:val="baseline"/>
    </w:pPr>
  </w:style>
  <w:style w:type="character" w:customStyle="1" w:styleId="71">
    <w:name w:val="apple-style-span"/>
    <w:basedOn w:val="33"/>
    <w:qFormat/>
    <w:uiPriority w:val="0"/>
  </w:style>
  <w:style w:type="paragraph" w:customStyle="1" w:styleId="72">
    <w:name w:val="Char Char1"/>
    <w:basedOn w:val="1"/>
    <w:qFormat/>
    <w:uiPriority w:val="0"/>
    <w:pPr>
      <w:spacing w:before="156" w:beforeLines="50" w:after="156" w:afterLines="50" w:line="360" w:lineRule="auto"/>
    </w:pPr>
    <w:rPr>
      <w:rFonts w:ascii="Times New Roman" w:hAnsi="Times New Roman"/>
      <w:sz w:val="28"/>
      <w:szCs w:val="28"/>
    </w:rPr>
  </w:style>
  <w:style w:type="paragraph" w:customStyle="1" w:styleId="73">
    <w:name w:val="B正文"/>
    <w:basedOn w:val="1"/>
    <w:qFormat/>
    <w:uiPriority w:val="0"/>
    <w:pPr>
      <w:widowControl/>
      <w:spacing w:line="360" w:lineRule="auto"/>
      <w:ind w:firstLine="200" w:firstLineChars="200"/>
      <w:jc w:val="left"/>
    </w:pPr>
    <w:rPr>
      <w:kern w:val="0"/>
      <w:sz w:val="24"/>
    </w:rPr>
  </w:style>
  <w:style w:type="paragraph" w:customStyle="1" w:styleId="74">
    <w:name w:val="Body text|1"/>
    <w:basedOn w:val="1"/>
    <w:qFormat/>
    <w:uiPriority w:val="0"/>
    <w:pPr>
      <w:widowControl w:val="0"/>
      <w:shd w:val="clear" w:color="auto" w:fill="auto"/>
      <w:spacing w:after="40" w:line="406" w:lineRule="auto"/>
      <w:ind w:firstLine="400"/>
    </w:pPr>
    <w:rPr>
      <w:rFonts w:ascii="宋体" w:hAnsi="宋体" w:eastAsia="宋体" w:cs="宋体"/>
      <w:u w:val="none"/>
      <w:shd w:val="clear" w:color="auto" w:fill="auto"/>
      <w:lang w:val="zh-TW" w:eastAsia="zh-TW" w:bidi="zh-TW"/>
    </w:rPr>
  </w:style>
  <w:style w:type="paragraph" w:customStyle="1" w:styleId="75">
    <w:name w:val="Heading #4|1"/>
    <w:basedOn w:val="1"/>
    <w:qFormat/>
    <w:uiPriority w:val="0"/>
    <w:pPr>
      <w:widowControl w:val="0"/>
      <w:shd w:val="clear" w:color="auto" w:fill="auto"/>
      <w:spacing w:after="140"/>
      <w:outlineLvl w:val="3"/>
    </w:pPr>
    <w:rPr>
      <w:rFonts w:ascii="宋体" w:hAnsi="宋体" w:eastAsia="宋体" w:cs="宋体"/>
      <w:b/>
      <w:bCs/>
      <w:u w:val="none"/>
      <w:shd w:val="clear" w:color="auto" w:fill="auto"/>
      <w:lang w:val="zh-TW" w:eastAsia="zh-TW" w:bidi="zh-TW"/>
    </w:rPr>
  </w:style>
  <w:style w:type="paragraph" w:customStyle="1" w:styleId="76">
    <w:name w:val="Other|1"/>
    <w:basedOn w:val="1"/>
    <w:qFormat/>
    <w:uiPriority w:val="0"/>
    <w:pPr>
      <w:widowControl w:val="0"/>
      <w:shd w:val="clear" w:color="auto" w:fill="auto"/>
      <w:spacing w:after="40" w:line="406" w:lineRule="auto"/>
      <w:ind w:firstLine="400"/>
    </w:pPr>
    <w:rPr>
      <w:rFonts w:ascii="宋体" w:hAnsi="宋体" w:eastAsia="宋体" w:cs="宋体"/>
      <w:u w:val="none"/>
      <w:shd w:val="clear" w:color="auto" w:fill="auto"/>
      <w:lang w:val="zh-TW" w:eastAsia="zh-TW" w:bidi="zh-TW"/>
    </w:rPr>
  </w:style>
  <w:style w:type="paragraph" w:customStyle="1" w:styleId="77">
    <w:name w:val="Table caption|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78">
    <w:name w:val="环评标题"/>
    <w:basedOn w:val="64"/>
    <w:qFormat/>
    <w:uiPriority w:val="0"/>
    <w:pPr>
      <w:ind w:firstLine="0" w:firstLineChars="0"/>
    </w:pPr>
    <w:rPr>
      <w:b/>
      <w:sz w:val="28"/>
    </w:rPr>
  </w:style>
  <w:style w:type="paragraph" w:customStyle="1" w:styleId="79">
    <w:name w:val="ZQL正文*"/>
    <w:basedOn w:val="1"/>
    <w:qFormat/>
    <w:uiPriority w:val="0"/>
    <w:pPr>
      <w:adjustRightInd w:val="0"/>
      <w:snapToGrid w:val="0"/>
      <w:spacing w:line="500" w:lineRule="exact"/>
      <w:ind w:firstLine="200" w:firstLineChars="200"/>
    </w:pPr>
    <w:rPr>
      <w:rFonts w:ascii="Calibri" w:hAnsi="Calibri"/>
    </w:rPr>
  </w:style>
  <w:style w:type="paragraph" w:styleId="80">
    <w:name w:val="List Paragraph"/>
    <w:basedOn w:val="1"/>
    <w:qFormat/>
    <w:uiPriority w:val="1"/>
    <w:pPr>
      <w:ind w:left="2199" w:hanging="602"/>
    </w:pPr>
    <w:rPr>
      <w:rFonts w:ascii="宋体" w:hAnsi="宋体" w:eastAsia="宋体" w:cs="宋体"/>
      <w:lang w:val="zh-CN" w:eastAsia="zh-CN" w:bidi="zh-CN"/>
    </w:rPr>
  </w:style>
  <w:style w:type="character" w:customStyle="1" w:styleId="81">
    <w:name w:val="font01"/>
    <w:basedOn w:val="33"/>
    <w:qFormat/>
    <w:uiPriority w:val="0"/>
    <w:rPr>
      <w:rFonts w:hint="eastAsia" w:ascii="宋体" w:hAnsi="宋体" w:eastAsia="宋体" w:cs="宋体"/>
      <w:color w:val="000000"/>
      <w:sz w:val="24"/>
      <w:szCs w:val="24"/>
      <w:u w:val="none"/>
    </w:rPr>
  </w:style>
  <w:style w:type="paragraph" w:customStyle="1" w:styleId="82">
    <w:name w:val="表格内容1"/>
    <w:basedOn w:val="1"/>
    <w:qFormat/>
    <w:uiPriority w:val="0"/>
    <w:pPr>
      <w:widowControl/>
      <w:spacing w:line="300" w:lineRule="exact"/>
      <w:jc w:val="center"/>
    </w:pPr>
    <w:rPr>
      <w:kern w:val="0"/>
      <w:sz w:val="21"/>
      <w:szCs w:val="21"/>
      <w:lang w:eastAsia="en-US" w:bidi="en-US"/>
    </w:rPr>
  </w:style>
  <w:style w:type="paragraph" w:customStyle="1" w:styleId="83">
    <w:name w:val="表格内容"/>
    <w:basedOn w:val="1"/>
    <w:qFormat/>
    <w:uiPriority w:val="0"/>
    <w:pPr>
      <w:spacing w:line="240" w:lineRule="auto"/>
      <w:jc w:val="center"/>
    </w:pPr>
    <w:rPr>
      <w:sz w:val="21"/>
    </w:rPr>
  </w:style>
  <w:style w:type="paragraph" w:customStyle="1" w:styleId="84">
    <w:name w:val="表格题目1"/>
    <w:basedOn w:val="1"/>
    <w:next w:val="61"/>
    <w:qFormat/>
    <w:uiPriority w:val="0"/>
    <w:pPr>
      <w:spacing w:line="276" w:lineRule="auto"/>
      <w:ind w:firstLine="420" w:firstLineChars="200"/>
      <w:outlineLvl w:val="2"/>
    </w:pPr>
    <w:rPr>
      <w:rFonts w:eastAsia="黑体"/>
      <w:color w:val="000000"/>
      <w:sz w:val="21"/>
      <w:szCs w:val="21"/>
    </w:rPr>
  </w:style>
  <w:style w:type="character" w:customStyle="1" w:styleId="85">
    <w:name w:val="font31"/>
    <w:basedOn w:val="33"/>
    <w:qFormat/>
    <w:uiPriority w:val="0"/>
    <w:rPr>
      <w:rFonts w:hint="default" w:ascii="Times New Roman" w:hAnsi="Times New Roman" w:cs="Times New Roman"/>
      <w:color w:val="000000"/>
      <w:sz w:val="21"/>
      <w:szCs w:val="21"/>
      <w:u w:val="none"/>
    </w:rPr>
  </w:style>
  <w:style w:type="character" w:customStyle="1" w:styleId="86">
    <w:name w:val="font21"/>
    <w:basedOn w:val="33"/>
    <w:qFormat/>
    <w:uiPriority w:val="0"/>
    <w:rPr>
      <w:rFonts w:hint="eastAsia" w:ascii="仿宋" w:hAnsi="仿宋" w:eastAsia="仿宋" w:cs="仿宋"/>
      <w:color w:val="000000"/>
      <w:sz w:val="21"/>
      <w:szCs w:val="21"/>
      <w:u w:val="none"/>
    </w:rPr>
  </w:style>
  <w:style w:type="character" w:customStyle="1" w:styleId="87">
    <w:name w:val="font41"/>
    <w:basedOn w:val="33"/>
    <w:qFormat/>
    <w:uiPriority w:val="0"/>
    <w:rPr>
      <w:rFonts w:ascii="方正仿宋_GBK" w:hAnsi="方正仿宋_GBK" w:eastAsia="方正仿宋_GBK" w:cs="方正仿宋_GBK"/>
      <w:color w:val="000000"/>
      <w:sz w:val="21"/>
      <w:szCs w:val="21"/>
      <w:u w:val="none"/>
    </w:rPr>
  </w:style>
  <w:style w:type="paragraph" w:customStyle="1" w:styleId="88">
    <w:name w:val="正文26-5.21"/>
    <w:basedOn w:val="1"/>
    <w:qFormat/>
    <w:uiPriority w:val="0"/>
    <w:pPr>
      <w:adjustRightInd w:val="0"/>
      <w:snapToGrid w:val="0"/>
      <w:spacing w:line="520" w:lineRule="exact"/>
      <w:ind w:firstLine="480" w:firstLineChars="200"/>
      <w:textAlignment w:val="baseline"/>
    </w:pPr>
    <w:rPr>
      <w:rFonts w:cs="宋体"/>
      <w:snapToGrid w:val="0"/>
      <w:sz w:val="24"/>
    </w:rPr>
  </w:style>
  <w:style w:type="paragraph" w:customStyle="1" w:styleId="89">
    <w:name w:val="表格标题5.21"/>
    <w:basedOn w:val="1"/>
    <w:qFormat/>
    <w:uiPriority w:val="0"/>
    <w:pPr>
      <w:adjustRightInd w:val="0"/>
      <w:snapToGrid w:val="0"/>
      <w:spacing w:line="520" w:lineRule="exact"/>
      <w:jc w:val="center"/>
      <w:textAlignment w:val="baseline"/>
    </w:pPr>
    <w:rPr>
      <w:rFonts w:ascii="黑体" w:hAnsi="黑体" w:eastAsia="黑体" w:cs="宋体"/>
      <w:snapToGrid w:val="0"/>
      <w:kern w:val="0"/>
      <w:sz w:val="24"/>
    </w:rPr>
  </w:style>
  <w:style w:type="paragraph" w:customStyle="1" w:styleId="90">
    <w:name w:val="表格内"/>
    <w:basedOn w:val="1"/>
    <w:qFormat/>
    <w:uiPriority w:val="0"/>
    <w:pPr>
      <w:spacing w:line="360" w:lineRule="exact"/>
      <w:jc w:val="center"/>
    </w:pPr>
    <w:rPr>
      <w:rFonts w:ascii="Calibri" w:hAnsi="Calibri"/>
      <w:snapToGrid w:val="0"/>
      <w:szCs w:val="21"/>
    </w:rPr>
  </w:style>
  <w:style w:type="table" w:customStyle="1" w:styleId="91">
    <w:name w:val="Table Normal"/>
    <w:semiHidden/>
    <w:unhideWhenUsed/>
    <w:qFormat/>
    <w:uiPriority w:val="0"/>
    <w:tblPr>
      <w:tblCellMar>
        <w:top w:w="0" w:type="dxa"/>
        <w:left w:w="0" w:type="dxa"/>
        <w:bottom w:w="0" w:type="dxa"/>
        <w:right w:w="0" w:type="dxa"/>
      </w:tblCellMar>
    </w:tblPr>
  </w:style>
  <w:style w:type="paragraph" w:customStyle="1" w:styleId="92">
    <w:name w:val="表格 小4"/>
    <w:basedOn w:val="1"/>
    <w:next w:val="1"/>
    <w:qFormat/>
    <w:uiPriority w:val="0"/>
    <w:pPr>
      <w:adjustRightInd w:val="0"/>
      <w:snapToGrid w:val="0"/>
      <w:spacing w:line="240" w:lineRule="auto"/>
      <w:ind w:firstLine="0" w:firstLineChars="0"/>
      <w:jc w:val="center"/>
    </w:pPr>
    <w:rPr>
      <w:rFonts w:hAnsi="Calibri" w:cs="Times New Roman"/>
      <w:kern w:val="2"/>
      <w:sz w:val="24"/>
      <w:szCs w:val="22"/>
    </w:rPr>
  </w:style>
  <w:style w:type="paragraph" w:customStyle="1" w:styleId="93">
    <w:name w:val="表格小4"/>
    <w:basedOn w:val="1"/>
    <w:qFormat/>
    <w:uiPriority w:val="0"/>
    <w:pPr>
      <w:spacing w:line="240" w:lineRule="auto"/>
      <w:ind w:firstLine="0" w:firstLineChars="0"/>
      <w:jc w:val="center"/>
    </w:pPr>
    <w:rPr>
      <w:sz w:val="21"/>
      <w:szCs w:val="21"/>
    </w:rPr>
  </w:style>
  <w:style w:type="paragraph" w:customStyle="1" w:styleId="94">
    <w:name w:val="表格 5号"/>
    <w:basedOn w:val="1"/>
    <w:next w:val="1"/>
    <w:qFormat/>
    <w:uiPriority w:val="0"/>
    <w:pPr>
      <w:adjustRightInd w:val="0"/>
      <w:snapToGrid w:val="0"/>
      <w:spacing w:line="240" w:lineRule="auto"/>
      <w:ind w:firstLine="0" w:firstLineChars="0"/>
      <w:jc w:val="center"/>
    </w:pPr>
    <w:rPr>
      <w:rFonts w:hint="eastAsia" w:hAnsi="Calibri" w:cs="Times New Roman"/>
      <w:sz w:val="21"/>
      <w:szCs w:val="22"/>
    </w:rPr>
  </w:style>
  <w:style w:type="paragraph" w:customStyle="1" w:styleId="95">
    <w:name w:val="正文1"/>
    <w:basedOn w:val="96"/>
    <w:next w:val="7"/>
    <w:qFormat/>
    <w:uiPriority w:val="0"/>
    <w:pPr>
      <w:spacing w:before="25" w:beforeLines="25" w:after="25" w:afterLines="25" w:line="360" w:lineRule="auto"/>
      <w:ind w:firstLine="723" w:firstLineChars="200"/>
      <w:outlineLvl w:val="9"/>
    </w:pPr>
    <w:rPr>
      <w:sz w:val="24"/>
      <w:szCs w:val="24"/>
    </w:rPr>
  </w:style>
  <w:style w:type="paragraph" w:customStyle="1" w:styleId="96">
    <w:name w:val="四级"/>
    <w:basedOn w:val="97"/>
    <w:qFormat/>
    <w:uiPriority w:val="0"/>
    <w:pPr>
      <w:ind w:firstLine="200" w:firstLineChars="200"/>
      <w:outlineLvl w:val="3"/>
    </w:pPr>
    <w:rPr>
      <w:sz w:val="28"/>
      <w:szCs w:val="28"/>
    </w:rPr>
  </w:style>
  <w:style w:type="paragraph" w:customStyle="1" w:styleId="97">
    <w:name w:val="三级"/>
    <w:basedOn w:val="98"/>
    <w:qFormat/>
    <w:uiPriority w:val="0"/>
    <w:pPr>
      <w:outlineLvl w:val="2"/>
    </w:pPr>
    <w:rPr>
      <w:sz w:val="30"/>
      <w:szCs w:val="30"/>
    </w:rPr>
  </w:style>
  <w:style w:type="paragraph" w:customStyle="1" w:styleId="98">
    <w:name w:val="二级"/>
    <w:basedOn w:val="99"/>
    <w:next w:val="95"/>
    <w:qFormat/>
    <w:uiPriority w:val="0"/>
    <w:pPr>
      <w:spacing w:before="60" w:after="60" w:line="415" w:lineRule="auto"/>
      <w:jc w:val="left"/>
      <w:outlineLvl w:val="1"/>
    </w:pPr>
    <w:rPr>
      <w:b w:val="0"/>
      <w:bCs w:val="0"/>
      <w:sz w:val="32"/>
      <w:szCs w:val="32"/>
    </w:rPr>
  </w:style>
  <w:style w:type="paragraph" w:customStyle="1" w:styleId="99">
    <w:name w:val="一级"/>
    <w:basedOn w:val="1"/>
    <w:next w:val="1"/>
    <w:qFormat/>
    <w:uiPriority w:val="0"/>
    <w:pPr>
      <w:spacing w:before="60" w:after="60" w:line="576" w:lineRule="auto"/>
      <w:jc w:val="left"/>
      <w:outlineLvl w:val="0"/>
    </w:pPr>
    <w:rPr>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65</Pages>
  <Words>8195</Words>
  <Characters>8555</Characters>
  <Lines>0</Lines>
  <Paragraphs>0</Paragraphs>
  <TotalTime>1</TotalTime>
  <ScaleCrop>false</ScaleCrop>
  <LinksUpToDate>false</LinksUpToDate>
  <CharactersWithSpaces>8641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2021-12-27T11:19:00Z</dcterms:created>
  <dc:creator>磊少</dc:creator>
  <cp:lastModifiedBy>磊少</cp:lastModifiedBy>
  <cp:lastPrinted>2025-03-17T14:43:00Z</cp:lastPrinted>
  <dcterms:modified xsi:type="dcterms:W3CDTF">2025-04-22T04:55:48Z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140FDC2593184B98BB70C31E8F4BC578_13</vt:lpwstr>
  </property>
  <property fmtid="{D5CDD505-2E9C-101B-9397-08002B2CF9AE}" pid="4" name="KSOTemplateDocerSaveRecord">
    <vt:lpwstr>eyJoZGlkIjoiMDljYzUzMWQ4OWI0YzBkYjYzMDRhZTY5ZjZkYmFmYTgiLCJ1c2VySWQiOiIyNzg2Mzc1NTQifQ==</vt:lpwstr>
  </property>
</Properties>
</file>