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CC1FE">
      <w:pPr>
        <w:pStyle w:val="25"/>
        <w:jc w:val="center"/>
        <w:outlineLvl w:val="0"/>
        <w:rPr>
          <w:rFonts w:hint="eastAsia" w:ascii="黑体" w:hAnsi="黑体" w:eastAsia="黑体"/>
          <w:snapToGrid w:val="0"/>
          <w:color w:val="auto"/>
          <w:sz w:val="30"/>
          <w:szCs w:val="30"/>
        </w:rPr>
      </w:pPr>
      <w:bookmarkStart w:id="0" w:name="_Toc14874"/>
      <w:bookmarkStart w:id="19" w:name="_GoBack"/>
      <w:bookmarkEnd w:id="19"/>
      <w:r>
        <w:rPr>
          <w:rFonts w:hint="eastAsia" w:ascii="黑体" w:hAnsi="黑体" w:eastAsia="黑体"/>
          <w:snapToGrid w:val="0"/>
          <w:color w:val="auto"/>
          <w:sz w:val="30"/>
          <w:szCs w:val="30"/>
        </w:rPr>
        <w:t>一、建设项目基本情况</w:t>
      </w:r>
      <w:bookmarkEnd w:id="0"/>
    </w:p>
    <w:tbl>
      <w:tblPr>
        <w:tblStyle w:val="28"/>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42"/>
        <w:gridCol w:w="2627"/>
        <w:gridCol w:w="2159"/>
        <w:gridCol w:w="59"/>
        <w:gridCol w:w="2552"/>
      </w:tblGrid>
      <w:tr w14:paraId="5232C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26AB01B8">
            <w:pPr>
              <w:adjustRightInd w:val="0"/>
              <w:snapToGrid w:val="0"/>
              <w:jc w:val="center"/>
              <w:rPr>
                <w:rFonts w:hint="eastAsia" w:ascii="宋体" w:hAnsi="宋体" w:cs="宋体"/>
                <w:color w:val="auto"/>
                <w:sz w:val="24"/>
              </w:rPr>
            </w:pPr>
            <w:r>
              <w:rPr>
                <w:rFonts w:hint="eastAsia" w:ascii="宋体" w:hAnsi="宋体" w:cs="宋体"/>
                <w:color w:val="auto"/>
                <w:sz w:val="24"/>
              </w:rPr>
              <w:t>建设项目名称</w:t>
            </w:r>
          </w:p>
        </w:tc>
        <w:tc>
          <w:tcPr>
            <w:tcW w:w="7397" w:type="dxa"/>
            <w:gridSpan w:val="4"/>
            <w:vAlign w:val="center"/>
          </w:tcPr>
          <w:p w14:paraId="096DBE86">
            <w:pPr>
              <w:adjustRightInd w:val="0"/>
              <w:snapToGrid w:val="0"/>
              <w:jc w:val="center"/>
              <w:rPr>
                <w:color w:val="auto"/>
                <w:sz w:val="24"/>
              </w:rPr>
            </w:pPr>
            <w:r>
              <w:rPr>
                <w:rFonts w:hint="eastAsia"/>
                <w:color w:val="auto"/>
                <w:sz w:val="24"/>
              </w:rPr>
              <w:t>奇台县三个庄子镇CS07建筑用砂场建设项目</w:t>
            </w:r>
          </w:p>
        </w:tc>
      </w:tr>
      <w:tr w14:paraId="18DE0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642" w:type="dxa"/>
            <w:tcMar>
              <w:top w:w="16" w:type="dxa"/>
              <w:left w:w="16" w:type="dxa"/>
              <w:right w:w="16" w:type="dxa"/>
            </w:tcMar>
            <w:vAlign w:val="center"/>
          </w:tcPr>
          <w:p w14:paraId="00837892">
            <w:pPr>
              <w:adjustRightInd w:val="0"/>
              <w:snapToGrid w:val="0"/>
              <w:jc w:val="center"/>
              <w:rPr>
                <w:rFonts w:hint="eastAsia" w:ascii="宋体" w:hAnsi="宋体" w:cs="宋体"/>
                <w:color w:val="auto"/>
                <w:sz w:val="24"/>
              </w:rPr>
            </w:pPr>
            <w:r>
              <w:rPr>
                <w:rFonts w:hint="eastAsia" w:ascii="宋体" w:hAnsi="宋体" w:cs="宋体"/>
                <w:color w:val="auto"/>
                <w:sz w:val="24"/>
              </w:rPr>
              <w:t>项目代码</w:t>
            </w:r>
          </w:p>
        </w:tc>
        <w:tc>
          <w:tcPr>
            <w:tcW w:w="7397" w:type="dxa"/>
            <w:gridSpan w:val="4"/>
            <w:vAlign w:val="center"/>
          </w:tcPr>
          <w:p w14:paraId="4EB535CE">
            <w:pPr>
              <w:adjustRightInd w:val="0"/>
              <w:snapToGrid w:val="0"/>
              <w:jc w:val="center"/>
              <w:rPr>
                <w:color w:val="auto"/>
                <w:sz w:val="24"/>
              </w:rPr>
            </w:pPr>
            <w:r>
              <w:rPr>
                <w:rFonts w:hint="eastAsia"/>
                <w:color w:val="auto"/>
                <w:sz w:val="24"/>
              </w:rPr>
              <w:t>2410-652325-07-01-652502</w:t>
            </w:r>
          </w:p>
        </w:tc>
      </w:tr>
      <w:tr w14:paraId="74716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18894A6C">
            <w:pPr>
              <w:adjustRightInd w:val="0"/>
              <w:snapToGrid w:val="0"/>
              <w:jc w:val="center"/>
              <w:rPr>
                <w:rFonts w:hint="eastAsia" w:ascii="宋体" w:hAnsi="宋体" w:cs="宋体"/>
                <w:color w:val="auto"/>
                <w:sz w:val="24"/>
              </w:rPr>
            </w:pPr>
            <w:r>
              <w:rPr>
                <w:rFonts w:hint="eastAsia" w:ascii="宋体" w:hAnsi="宋体" w:cs="宋体"/>
                <w:color w:val="auto"/>
                <w:sz w:val="24"/>
              </w:rPr>
              <w:t>建设单位联系人</w:t>
            </w:r>
          </w:p>
        </w:tc>
        <w:tc>
          <w:tcPr>
            <w:tcW w:w="2627" w:type="dxa"/>
            <w:vAlign w:val="center"/>
          </w:tcPr>
          <w:p w14:paraId="65F8DF88">
            <w:pPr>
              <w:adjustRightInd w:val="0"/>
              <w:snapToGrid w:val="0"/>
              <w:jc w:val="center"/>
              <w:rPr>
                <w:color w:val="auto"/>
                <w:sz w:val="24"/>
              </w:rPr>
            </w:pPr>
          </w:p>
        </w:tc>
        <w:tc>
          <w:tcPr>
            <w:tcW w:w="2159" w:type="dxa"/>
            <w:vAlign w:val="center"/>
          </w:tcPr>
          <w:p w14:paraId="17A45D7E">
            <w:pPr>
              <w:adjustRightInd w:val="0"/>
              <w:snapToGrid w:val="0"/>
              <w:jc w:val="center"/>
              <w:rPr>
                <w:color w:val="auto"/>
                <w:sz w:val="24"/>
              </w:rPr>
            </w:pPr>
            <w:r>
              <w:rPr>
                <w:color w:val="auto"/>
                <w:sz w:val="24"/>
              </w:rPr>
              <w:t>联系方式</w:t>
            </w:r>
          </w:p>
        </w:tc>
        <w:tc>
          <w:tcPr>
            <w:tcW w:w="2611" w:type="dxa"/>
            <w:gridSpan w:val="2"/>
            <w:vAlign w:val="center"/>
          </w:tcPr>
          <w:p w14:paraId="17A372A2">
            <w:pPr>
              <w:adjustRightInd w:val="0"/>
              <w:snapToGrid w:val="0"/>
              <w:jc w:val="center"/>
              <w:rPr>
                <w:color w:val="auto"/>
                <w:sz w:val="24"/>
              </w:rPr>
            </w:pPr>
          </w:p>
        </w:tc>
      </w:tr>
      <w:tr w14:paraId="1A87B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3E3F4F62">
            <w:pPr>
              <w:adjustRightInd w:val="0"/>
              <w:snapToGrid w:val="0"/>
              <w:jc w:val="center"/>
              <w:rPr>
                <w:rFonts w:hint="eastAsia" w:ascii="宋体" w:hAnsi="宋体" w:cs="宋体"/>
                <w:color w:val="auto"/>
                <w:sz w:val="24"/>
              </w:rPr>
            </w:pPr>
            <w:r>
              <w:rPr>
                <w:rFonts w:hint="eastAsia" w:ascii="宋体" w:hAnsi="宋体" w:cs="宋体"/>
                <w:color w:val="auto"/>
                <w:sz w:val="24"/>
              </w:rPr>
              <w:t>建设地点</w:t>
            </w:r>
          </w:p>
        </w:tc>
        <w:tc>
          <w:tcPr>
            <w:tcW w:w="7397" w:type="dxa"/>
            <w:gridSpan w:val="4"/>
            <w:vAlign w:val="center"/>
          </w:tcPr>
          <w:p w14:paraId="1DD54A14">
            <w:pPr>
              <w:adjustRightInd w:val="0"/>
              <w:snapToGrid w:val="0"/>
              <w:jc w:val="center"/>
              <w:rPr>
                <w:color w:val="auto"/>
                <w:sz w:val="24"/>
              </w:rPr>
            </w:pPr>
            <w:r>
              <w:rPr>
                <w:color w:val="auto"/>
                <w:sz w:val="24"/>
              </w:rPr>
              <w:t>新疆维吾尔自治区昌吉回族自治州</w:t>
            </w:r>
            <w:r>
              <w:rPr>
                <w:rFonts w:hint="eastAsia"/>
                <w:color w:val="auto"/>
                <w:sz w:val="24"/>
              </w:rPr>
              <w:t>奇台县三个庄子镇青年村</w:t>
            </w:r>
          </w:p>
        </w:tc>
      </w:tr>
      <w:tr w14:paraId="5BB53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633EB6B2">
            <w:pPr>
              <w:adjustRightInd w:val="0"/>
              <w:snapToGrid w:val="0"/>
              <w:jc w:val="center"/>
              <w:rPr>
                <w:rFonts w:hint="eastAsia" w:ascii="宋体" w:hAnsi="宋体" w:cs="宋体"/>
                <w:color w:val="auto"/>
                <w:sz w:val="24"/>
              </w:rPr>
            </w:pPr>
            <w:r>
              <w:rPr>
                <w:rFonts w:hint="eastAsia" w:ascii="宋体" w:hAnsi="宋体" w:cs="宋体"/>
                <w:color w:val="auto"/>
                <w:sz w:val="24"/>
              </w:rPr>
              <w:t>地理坐标</w:t>
            </w:r>
          </w:p>
        </w:tc>
        <w:tc>
          <w:tcPr>
            <w:tcW w:w="7397" w:type="dxa"/>
            <w:gridSpan w:val="4"/>
            <w:vAlign w:val="center"/>
          </w:tcPr>
          <w:p w14:paraId="77F3B6B5">
            <w:pPr>
              <w:adjustRightInd w:val="0"/>
              <w:snapToGrid w:val="0"/>
              <w:jc w:val="center"/>
              <w:rPr>
                <w:color w:val="auto"/>
                <w:sz w:val="24"/>
              </w:rPr>
            </w:pPr>
            <w:r>
              <w:rPr>
                <w:rFonts w:hint="eastAsia"/>
                <w:color w:val="auto"/>
                <w:sz w:val="24"/>
              </w:rPr>
              <w:t>E89°57′3.263″，N43°59′30.281″</w:t>
            </w:r>
          </w:p>
        </w:tc>
      </w:tr>
      <w:tr w14:paraId="5277E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642" w:type="dxa"/>
            <w:tcMar>
              <w:top w:w="16" w:type="dxa"/>
              <w:left w:w="16" w:type="dxa"/>
              <w:right w:w="16" w:type="dxa"/>
            </w:tcMar>
            <w:vAlign w:val="center"/>
          </w:tcPr>
          <w:p w14:paraId="52A976AA">
            <w:pPr>
              <w:adjustRightInd w:val="0"/>
              <w:snapToGrid w:val="0"/>
              <w:jc w:val="center"/>
              <w:rPr>
                <w:rFonts w:hint="eastAsia" w:ascii="宋体" w:hAnsi="宋体" w:cs="宋体"/>
                <w:color w:val="auto"/>
                <w:sz w:val="24"/>
              </w:rPr>
            </w:pPr>
            <w:r>
              <w:rPr>
                <w:rFonts w:hint="eastAsia" w:ascii="宋体" w:hAnsi="宋体" w:cs="宋体"/>
                <w:color w:val="auto"/>
                <w:sz w:val="24"/>
              </w:rPr>
              <w:t>建设项目</w:t>
            </w:r>
          </w:p>
          <w:p w14:paraId="4A3A3B43">
            <w:pPr>
              <w:adjustRightInd w:val="0"/>
              <w:snapToGrid w:val="0"/>
              <w:jc w:val="center"/>
              <w:rPr>
                <w:rFonts w:hint="eastAsia" w:ascii="宋体" w:hAnsi="宋体" w:cs="宋体"/>
                <w:color w:val="auto"/>
                <w:sz w:val="24"/>
              </w:rPr>
            </w:pPr>
            <w:r>
              <w:rPr>
                <w:rFonts w:hint="eastAsia" w:ascii="宋体" w:hAnsi="宋体" w:cs="宋体"/>
                <w:color w:val="auto"/>
                <w:sz w:val="24"/>
              </w:rPr>
              <w:t>行业类别</w:t>
            </w:r>
          </w:p>
        </w:tc>
        <w:tc>
          <w:tcPr>
            <w:tcW w:w="2627" w:type="dxa"/>
            <w:vAlign w:val="center"/>
          </w:tcPr>
          <w:p w14:paraId="37005B92">
            <w:pPr>
              <w:adjustRightInd w:val="0"/>
              <w:snapToGrid w:val="0"/>
              <w:jc w:val="center"/>
              <w:rPr>
                <w:color w:val="auto"/>
                <w:sz w:val="24"/>
              </w:rPr>
            </w:pPr>
            <w:r>
              <w:rPr>
                <w:color w:val="auto"/>
                <w:sz w:val="24"/>
              </w:rPr>
              <w:t>八 非金属矿采选业-土砂石开采101（不含河道采砂项目）-其他</w:t>
            </w:r>
          </w:p>
        </w:tc>
        <w:tc>
          <w:tcPr>
            <w:tcW w:w="2218" w:type="dxa"/>
            <w:gridSpan w:val="2"/>
            <w:vAlign w:val="center"/>
          </w:tcPr>
          <w:p w14:paraId="23C5CEE6">
            <w:pPr>
              <w:adjustRightInd w:val="0"/>
              <w:snapToGrid w:val="0"/>
              <w:jc w:val="center"/>
              <w:rPr>
                <w:color w:val="auto"/>
                <w:sz w:val="24"/>
              </w:rPr>
            </w:pPr>
            <w:r>
              <w:rPr>
                <w:color w:val="auto"/>
                <w:sz w:val="24"/>
              </w:rPr>
              <w:t>用地（用海）面积（m</w:t>
            </w:r>
            <w:r>
              <w:rPr>
                <w:color w:val="auto"/>
                <w:sz w:val="24"/>
                <w:vertAlign w:val="superscript"/>
              </w:rPr>
              <w:t>2</w:t>
            </w:r>
            <w:r>
              <w:rPr>
                <w:color w:val="auto"/>
                <w:sz w:val="24"/>
              </w:rPr>
              <w:t>）</w:t>
            </w:r>
          </w:p>
        </w:tc>
        <w:tc>
          <w:tcPr>
            <w:tcW w:w="2552" w:type="dxa"/>
            <w:vAlign w:val="center"/>
          </w:tcPr>
          <w:p w14:paraId="769F25BE">
            <w:pPr>
              <w:adjustRightInd w:val="0"/>
              <w:snapToGrid w:val="0"/>
              <w:jc w:val="center"/>
              <w:rPr>
                <w:color w:val="auto"/>
                <w:sz w:val="24"/>
              </w:rPr>
            </w:pPr>
            <w:r>
              <w:rPr>
                <w:rFonts w:hint="eastAsia"/>
                <w:color w:val="auto"/>
                <w:sz w:val="24"/>
              </w:rPr>
              <w:t>301800</w:t>
            </w:r>
          </w:p>
        </w:tc>
      </w:tr>
      <w:tr w14:paraId="1312E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642" w:type="dxa"/>
            <w:tcMar>
              <w:top w:w="16" w:type="dxa"/>
              <w:left w:w="16" w:type="dxa"/>
              <w:right w:w="16" w:type="dxa"/>
            </w:tcMar>
            <w:vAlign w:val="center"/>
          </w:tcPr>
          <w:p w14:paraId="5C2DF294">
            <w:pPr>
              <w:adjustRightInd w:val="0"/>
              <w:snapToGrid w:val="0"/>
              <w:jc w:val="center"/>
              <w:rPr>
                <w:rFonts w:hint="eastAsia" w:ascii="宋体" w:hAnsi="宋体" w:cs="宋体"/>
                <w:color w:val="auto"/>
                <w:sz w:val="24"/>
              </w:rPr>
            </w:pPr>
            <w:r>
              <w:rPr>
                <w:rFonts w:hint="eastAsia" w:ascii="宋体" w:hAnsi="宋体" w:cs="宋体"/>
                <w:color w:val="auto"/>
                <w:sz w:val="24"/>
              </w:rPr>
              <w:t>建设性质</w:t>
            </w:r>
          </w:p>
        </w:tc>
        <w:tc>
          <w:tcPr>
            <w:tcW w:w="2627" w:type="dxa"/>
            <w:vAlign w:val="center"/>
          </w:tcPr>
          <w:p w14:paraId="69C0041C">
            <w:pPr>
              <w:adjustRightInd w:val="0"/>
              <w:snapToGrid w:val="0"/>
              <w:jc w:val="left"/>
              <w:rPr>
                <w:color w:val="auto"/>
                <w:sz w:val="24"/>
              </w:rPr>
            </w:pPr>
            <w:r>
              <w:rPr>
                <w:color w:val="auto"/>
                <w:sz w:val="24"/>
              </w:rPr>
              <w:sym w:font="Wingdings 2" w:char="0052"/>
            </w:r>
            <w:r>
              <w:rPr>
                <w:color w:val="auto"/>
                <w:sz w:val="24"/>
              </w:rPr>
              <w:t>新建（迁建）</w:t>
            </w:r>
          </w:p>
          <w:p w14:paraId="066A990A">
            <w:pPr>
              <w:adjustRightInd w:val="0"/>
              <w:snapToGrid w:val="0"/>
              <w:jc w:val="left"/>
              <w:rPr>
                <w:color w:val="auto"/>
                <w:sz w:val="24"/>
              </w:rPr>
            </w:pPr>
            <w:r>
              <w:rPr>
                <w:color w:val="auto"/>
                <w:sz w:val="24"/>
              </w:rPr>
              <w:t>□改建</w:t>
            </w:r>
          </w:p>
          <w:p w14:paraId="427DD991">
            <w:pPr>
              <w:adjustRightInd w:val="0"/>
              <w:snapToGrid w:val="0"/>
              <w:jc w:val="left"/>
              <w:rPr>
                <w:color w:val="auto"/>
                <w:sz w:val="24"/>
              </w:rPr>
            </w:pPr>
            <w:r>
              <w:rPr>
                <w:color w:val="auto"/>
                <w:sz w:val="24"/>
              </w:rPr>
              <w:t>□扩建</w:t>
            </w:r>
          </w:p>
          <w:p w14:paraId="71106DB5">
            <w:pPr>
              <w:adjustRightInd w:val="0"/>
              <w:snapToGrid w:val="0"/>
              <w:jc w:val="left"/>
              <w:rPr>
                <w:color w:val="auto"/>
                <w:sz w:val="24"/>
              </w:rPr>
            </w:pPr>
            <w:r>
              <w:rPr>
                <w:color w:val="auto"/>
                <w:sz w:val="24"/>
              </w:rPr>
              <w:t>□技术改造</w:t>
            </w:r>
          </w:p>
        </w:tc>
        <w:tc>
          <w:tcPr>
            <w:tcW w:w="2218" w:type="dxa"/>
            <w:gridSpan w:val="2"/>
            <w:vAlign w:val="center"/>
          </w:tcPr>
          <w:p w14:paraId="1E4DB763">
            <w:pPr>
              <w:adjustRightInd w:val="0"/>
              <w:snapToGrid w:val="0"/>
              <w:jc w:val="center"/>
              <w:rPr>
                <w:color w:val="auto"/>
                <w:sz w:val="24"/>
              </w:rPr>
            </w:pPr>
            <w:r>
              <w:rPr>
                <w:color w:val="auto"/>
                <w:sz w:val="24"/>
              </w:rPr>
              <w:t>建设项目</w:t>
            </w:r>
          </w:p>
          <w:p w14:paraId="2681038B">
            <w:pPr>
              <w:adjustRightInd w:val="0"/>
              <w:snapToGrid w:val="0"/>
              <w:jc w:val="center"/>
              <w:rPr>
                <w:color w:val="auto"/>
                <w:sz w:val="24"/>
              </w:rPr>
            </w:pPr>
            <w:r>
              <w:rPr>
                <w:color w:val="auto"/>
                <w:sz w:val="24"/>
              </w:rPr>
              <w:t>申报情形</w:t>
            </w:r>
          </w:p>
        </w:tc>
        <w:tc>
          <w:tcPr>
            <w:tcW w:w="2552" w:type="dxa"/>
            <w:vAlign w:val="center"/>
          </w:tcPr>
          <w:p w14:paraId="3E71B646">
            <w:pPr>
              <w:adjustRightInd w:val="0"/>
              <w:snapToGrid w:val="0"/>
              <w:jc w:val="left"/>
              <w:rPr>
                <w:color w:val="auto"/>
                <w:sz w:val="24"/>
              </w:rPr>
            </w:pPr>
            <w:r>
              <w:rPr>
                <w:color w:val="auto"/>
                <w:sz w:val="24"/>
              </w:rPr>
              <w:sym w:font="Wingdings 2" w:char="0052"/>
            </w:r>
            <w:r>
              <w:rPr>
                <w:color w:val="auto"/>
                <w:sz w:val="24"/>
              </w:rPr>
              <w:t>首次申报项目</w:t>
            </w:r>
          </w:p>
          <w:p w14:paraId="2B6A7FE9">
            <w:pPr>
              <w:adjustRightInd w:val="0"/>
              <w:snapToGrid w:val="0"/>
              <w:jc w:val="left"/>
              <w:rPr>
                <w:color w:val="auto"/>
                <w:sz w:val="24"/>
              </w:rPr>
            </w:pPr>
            <w:r>
              <w:rPr>
                <w:color w:val="auto"/>
                <w:sz w:val="24"/>
              </w:rPr>
              <w:t>□不予批准后再次申报项目</w:t>
            </w:r>
          </w:p>
          <w:p w14:paraId="2FB9D760">
            <w:pPr>
              <w:adjustRightInd w:val="0"/>
              <w:snapToGrid w:val="0"/>
              <w:jc w:val="left"/>
              <w:rPr>
                <w:color w:val="auto"/>
                <w:sz w:val="24"/>
              </w:rPr>
            </w:pPr>
            <w:r>
              <w:rPr>
                <w:color w:val="auto"/>
                <w:sz w:val="24"/>
              </w:rPr>
              <w:t>□超五年重新审核项目</w:t>
            </w:r>
          </w:p>
          <w:p w14:paraId="07884D87">
            <w:pPr>
              <w:adjustRightInd w:val="0"/>
              <w:snapToGrid w:val="0"/>
              <w:rPr>
                <w:color w:val="auto"/>
                <w:sz w:val="24"/>
              </w:rPr>
            </w:pPr>
            <w:r>
              <w:rPr>
                <w:color w:val="auto"/>
                <w:sz w:val="24"/>
              </w:rPr>
              <w:t>□重大变动重新报批项目</w:t>
            </w:r>
          </w:p>
        </w:tc>
      </w:tr>
      <w:tr w14:paraId="555CF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642" w:type="dxa"/>
            <w:tcMar>
              <w:top w:w="16" w:type="dxa"/>
              <w:left w:w="16" w:type="dxa"/>
              <w:right w:w="16" w:type="dxa"/>
            </w:tcMar>
            <w:vAlign w:val="center"/>
          </w:tcPr>
          <w:p w14:paraId="57C4456D">
            <w:pPr>
              <w:adjustRightInd w:val="0"/>
              <w:snapToGrid w:val="0"/>
              <w:jc w:val="center"/>
              <w:rPr>
                <w:rFonts w:hint="eastAsia" w:ascii="宋体" w:hAnsi="宋体" w:cs="宋体"/>
                <w:color w:val="auto"/>
                <w:sz w:val="24"/>
              </w:rPr>
            </w:pPr>
            <w:r>
              <w:rPr>
                <w:rFonts w:hint="eastAsia" w:ascii="宋体" w:hAnsi="宋体" w:cs="宋体"/>
                <w:color w:val="auto"/>
                <w:sz w:val="24"/>
              </w:rPr>
              <w:t>项目审批（核准</w:t>
            </w:r>
            <w:r>
              <w:rPr>
                <w:rFonts w:ascii="宋体" w:hAnsi="宋体" w:cs="宋体"/>
                <w:color w:val="auto"/>
                <w:sz w:val="24"/>
              </w:rPr>
              <w:t>/</w:t>
            </w:r>
            <w:r>
              <w:rPr>
                <w:rFonts w:hint="eastAsia" w:ascii="宋体" w:hAnsi="宋体" w:cs="宋体"/>
                <w:color w:val="auto"/>
                <w:sz w:val="24"/>
              </w:rPr>
              <w:t>备案）部门</w:t>
            </w:r>
          </w:p>
        </w:tc>
        <w:tc>
          <w:tcPr>
            <w:tcW w:w="2627" w:type="dxa"/>
            <w:vAlign w:val="center"/>
          </w:tcPr>
          <w:p w14:paraId="1FA84E9A">
            <w:pPr>
              <w:adjustRightInd w:val="0"/>
              <w:snapToGrid w:val="0"/>
              <w:jc w:val="center"/>
              <w:rPr>
                <w:color w:val="auto"/>
                <w:sz w:val="24"/>
              </w:rPr>
            </w:pPr>
            <w:r>
              <w:rPr>
                <w:rFonts w:hint="eastAsia"/>
                <w:color w:val="auto"/>
                <w:sz w:val="24"/>
              </w:rPr>
              <w:t>奇台县发展和改革委员会</w:t>
            </w:r>
          </w:p>
        </w:tc>
        <w:tc>
          <w:tcPr>
            <w:tcW w:w="2218" w:type="dxa"/>
            <w:gridSpan w:val="2"/>
            <w:vAlign w:val="center"/>
          </w:tcPr>
          <w:p w14:paraId="16DC21EB">
            <w:pPr>
              <w:adjustRightInd w:val="0"/>
              <w:snapToGrid w:val="0"/>
              <w:jc w:val="center"/>
              <w:rPr>
                <w:color w:val="auto"/>
                <w:sz w:val="24"/>
              </w:rPr>
            </w:pPr>
            <w:r>
              <w:rPr>
                <w:color w:val="auto"/>
                <w:sz w:val="24"/>
              </w:rPr>
              <w:t>项目审批（核准/</w:t>
            </w:r>
          </w:p>
          <w:p w14:paraId="160E0226">
            <w:pPr>
              <w:adjustRightInd w:val="0"/>
              <w:snapToGrid w:val="0"/>
              <w:jc w:val="center"/>
              <w:rPr>
                <w:color w:val="auto"/>
                <w:sz w:val="24"/>
              </w:rPr>
            </w:pPr>
            <w:r>
              <w:rPr>
                <w:color w:val="auto"/>
                <w:sz w:val="24"/>
              </w:rPr>
              <w:t>备案）文号（选填）</w:t>
            </w:r>
          </w:p>
        </w:tc>
        <w:tc>
          <w:tcPr>
            <w:tcW w:w="2552" w:type="dxa"/>
            <w:vAlign w:val="center"/>
          </w:tcPr>
          <w:p w14:paraId="3275341D">
            <w:pPr>
              <w:adjustRightInd w:val="0"/>
              <w:snapToGrid w:val="0"/>
              <w:jc w:val="center"/>
              <w:rPr>
                <w:color w:val="auto"/>
                <w:sz w:val="24"/>
              </w:rPr>
            </w:pPr>
            <w:r>
              <w:rPr>
                <w:rFonts w:hint="eastAsia"/>
                <w:color w:val="auto"/>
                <w:sz w:val="24"/>
              </w:rPr>
              <w:t>2410311547652300000198</w:t>
            </w:r>
          </w:p>
        </w:tc>
      </w:tr>
      <w:tr w14:paraId="682B1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6B114202">
            <w:pPr>
              <w:adjustRightInd w:val="0"/>
              <w:snapToGrid w:val="0"/>
              <w:jc w:val="center"/>
              <w:rPr>
                <w:rFonts w:hint="eastAsia" w:ascii="宋体" w:hAnsi="宋体" w:cs="宋体"/>
                <w:color w:val="auto"/>
                <w:sz w:val="24"/>
              </w:rPr>
            </w:pPr>
            <w:r>
              <w:rPr>
                <w:rFonts w:hint="eastAsia" w:ascii="宋体" w:hAnsi="宋体" w:cs="宋体"/>
                <w:color w:val="auto"/>
                <w:sz w:val="24"/>
              </w:rPr>
              <w:t>总投资（万元）</w:t>
            </w:r>
          </w:p>
        </w:tc>
        <w:tc>
          <w:tcPr>
            <w:tcW w:w="2627" w:type="dxa"/>
            <w:vAlign w:val="center"/>
          </w:tcPr>
          <w:p w14:paraId="101E3061">
            <w:pPr>
              <w:adjustRightInd w:val="0"/>
              <w:snapToGrid w:val="0"/>
              <w:jc w:val="center"/>
              <w:rPr>
                <w:color w:val="auto"/>
                <w:sz w:val="24"/>
              </w:rPr>
            </w:pPr>
            <w:r>
              <w:rPr>
                <w:rFonts w:hint="eastAsia"/>
                <w:color w:val="auto"/>
                <w:sz w:val="24"/>
              </w:rPr>
              <w:t>2000</w:t>
            </w:r>
          </w:p>
        </w:tc>
        <w:tc>
          <w:tcPr>
            <w:tcW w:w="2218" w:type="dxa"/>
            <w:gridSpan w:val="2"/>
            <w:tcMar>
              <w:top w:w="16" w:type="dxa"/>
              <w:left w:w="16" w:type="dxa"/>
              <w:right w:w="16" w:type="dxa"/>
            </w:tcMar>
            <w:vAlign w:val="center"/>
          </w:tcPr>
          <w:p w14:paraId="7132B135">
            <w:pPr>
              <w:adjustRightInd w:val="0"/>
              <w:snapToGrid w:val="0"/>
              <w:jc w:val="center"/>
              <w:rPr>
                <w:color w:val="auto"/>
                <w:sz w:val="24"/>
              </w:rPr>
            </w:pPr>
            <w:r>
              <w:rPr>
                <w:color w:val="auto"/>
                <w:sz w:val="24"/>
              </w:rPr>
              <w:t>环保投资（万元）</w:t>
            </w:r>
          </w:p>
        </w:tc>
        <w:tc>
          <w:tcPr>
            <w:tcW w:w="2552" w:type="dxa"/>
            <w:vAlign w:val="center"/>
          </w:tcPr>
          <w:p w14:paraId="40C53265">
            <w:pPr>
              <w:adjustRightInd w:val="0"/>
              <w:snapToGrid w:val="0"/>
              <w:jc w:val="center"/>
              <w:rPr>
                <w:rFonts w:hint="default" w:eastAsia="宋体"/>
                <w:color w:val="auto"/>
                <w:sz w:val="24"/>
                <w:lang w:val="en-US" w:eastAsia="zh-CN"/>
              </w:rPr>
            </w:pPr>
            <w:r>
              <w:rPr>
                <w:rFonts w:hint="eastAsia"/>
                <w:color w:val="auto"/>
                <w:sz w:val="24"/>
                <w:lang w:val="en-US" w:eastAsia="zh-CN"/>
              </w:rPr>
              <w:t>161.6</w:t>
            </w:r>
          </w:p>
        </w:tc>
      </w:tr>
      <w:tr w14:paraId="195DD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642" w:type="dxa"/>
            <w:tcMar>
              <w:top w:w="16" w:type="dxa"/>
              <w:left w:w="16" w:type="dxa"/>
              <w:right w:w="16" w:type="dxa"/>
            </w:tcMar>
            <w:vAlign w:val="center"/>
          </w:tcPr>
          <w:p w14:paraId="57D71F15">
            <w:pPr>
              <w:adjustRightInd w:val="0"/>
              <w:snapToGrid w:val="0"/>
              <w:jc w:val="center"/>
              <w:rPr>
                <w:rFonts w:hint="eastAsia" w:ascii="宋体" w:hAnsi="宋体" w:cs="宋体"/>
                <w:color w:val="auto"/>
                <w:sz w:val="24"/>
              </w:rPr>
            </w:pPr>
            <w:r>
              <w:rPr>
                <w:rFonts w:hint="eastAsia" w:ascii="宋体" w:hAnsi="宋体" w:cs="宋体"/>
                <w:color w:val="auto"/>
                <w:sz w:val="24"/>
              </w:rPr>
              <w:t>环保投资占比（</w:t>
            </w:r>
            <w:r>
              <w:rPr>
                <w:rFonts w:ascii="宋体" w:hAnsi="宋体" w:cs="宋体"/>
                <w:color w:val="auto"/>
                <w:sz w:val="24"/>
              </w:rPr>
              <w:t>%</w:t>
            </w:r>
            <w:r>
              <w:rPr>
                <w:rFonts w:hint="eastAsia" w:ascii="宋体" w:hAnsi="宋体" w:cs="宋体"/>
                <w:color w:val="auto"/>
                <w:sz w:val="24"/>
              </w:rPr>
              <w:t>）</w:t>
            </w:r>
          </w:p>
        </w:tc>
        <w:tc>
          <w:tcPr>
            <w:tcW w:w="2627" w:type="dxa"/>
            <w:vAlign w:val="center"/>
          </w:tcPr>
          <w:p w14:paraId="72D03F05">
            <w:pPr>
              <w:adjustRightInd w:val="0"/>
              <w:snapToGrid w:val="0"/>
              <w:jc w:val="center"/>
              <w:rPr>
                <w:rFonts w:hint="default" w:eastAsia="宋体"/>
                <w:color w:val="auto"/>
                <w:sz w:val="24"/>
                <w:lang w:val="en-US" w:eastAsia="zh-CN"/>
              </w:rPr>
            </w:pPr>
            <w:r>
              <w:rPr>
                <w:rFonts w:hint="eastAsia"/>
                <w:color w:val="auto"/>
                <w:sz w:val="24"/>
                <w:lang w:val="en-US" w:eastAsia="zh-CN"/>
              </w:rPr>
              <w:t>8.08</w:t>
            </w:r>
          </w:p>
        </w:tc>
        <w:tc>
          <w:tcPr>
            <w:tcW w:w="2218" w:type="dxa"/>
            <w:gridSpan w:val="2"/>
            <w:tcMar>
              <w:top w:w="16" w:type="dxa"/>
              <w:left w:w="16" w:type="dxa"/>
              <w:right w:w="16" w:type="dxa"/>
            </w:tcMar>
            <w:vAlign w:val="center"/>
          </w:tcPr>
          <w:p w14:paraId="3A0E8D37">
            <w:pPr>
              <w:adjustRightInd w:val="0"/>
              <w:snapToGrid w:val="0"/>
              <w:jc w:val="center"/>
              <w:rPr>
                <w:color w:val="auto"/>
                <w:sz w:val="24"/>
              </w:rPr>
            </w:pPr>
            <w:r>
              <w:rPr>
                <w:color w:val="auto"/>
                <w:sz w:val="24"/>
              </w:rPr>
              <w:t>施工工期</w:t>
            </w:r>
          </w:p>
        </w:tc>
        <w:tc>
          <w:tcPr>
            <w:tcW w:w="2552" w:type="dxa"/>
            <w:vAlign w:val="center"/>
          </w:tcPr>
          <w:p w14:paraId="5B4C4E1F">
            <w:pPr>
              <w:adjustRightInd w:val="0"/>
              <w:snapToGrid w:val="0"/>
              <w:jc w:val="center"/>
              <w:rPr>
                <w:color w:val="auto"/>
                <w:sz w:val="24"/>
              </w:rPr>
            </w:pPr>
            <w:r>
              <w:rPr>
                <w:rFonts w:hint="eastAsia"/>
                <w:color w:val="auto"/>
                <w:sz w:val="24"/>
              </w:rPr>
              <w:t>30天</w:t>
            </w:r>
          </w:p>
        </w:tc>
      </w:tr>
      <w:tr w14:paraId="00B79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413227B1">
            <w:pPr>
              <w:adjustRightInd w:val="0"/>
              <w:snapToGrid w:val="0"/>
              <w:jc w:val="center"/>
              <w:rPr>
                <w:rFonts w:hint="eastAsia" w:ascii="宋体" w:hAnsi="宋体" w:cs="宋体"/>
                <w:color w:val="auto"/>
                <w:sz w:val="24"/>
              </w:rPr>
            </w:pPr>
            <w:r>
              <w:rPr>
                <w:rFonts w:hint="eastAsia" w:ascii="宋体" w:hAnsi="宋体" w:cs="宋体"/>
                <w:color w:val="auto"/>
                <w:sz w:val="24"/>
              </w:rPr>
              <w:t>是否开工建设</w:t>
            </w:r>
          </w:p>
        </w:tc>
        <w:tc>
          <w:tcPr>
            <w:tcW w:w="7397" w:type="dxa"/>
            <w:gridSpan w:val="4"/>
            <w:vAlign w:val="center"/>
          </w:tcPr>
          <w:p w14:paraId="3C299867">
            <w:pPr>
              <w:adjustRightInd w:val="0"/>
              <w:snapToGrid w:val="0"/>
              <w:ind w:firstLine="105"/>
              <w:jc w:val="left"/>
              <w:rPr>
                <w:color w:val="auto"/>
                <w:sz w:val="24"/>
              </w:rPr>
            </w:pPr>
            <w:r>
              <w:rPr>
                <w:color w:val="auto"/>
                <w:sz w:val="24"/>
              </w:rPr>
              <w:sym w:font="Wingdings 2" w:char="0052"/>
            </w:r>
            <w:r>
              <w:rPr>
                <w:color w:val="auto"/>
                <w:sz w:val="24"/>
              </w:rPr>
              <w:t>否</w:t>
            </w:r>
          </w:p>
          <w:p w14:paraId="22C87EDD">
            <w:pPr>
              <w:adjustRightInd w:val="0"/>
              <w:snapToGrid w:val="0"/>
              <w:ind w:firstLine="92"/>
              <w:jc w:val="left"/>
              <w:rPr>
                <w:color w:val="auto"/>
                <w:sz w:val="24"/>
              </w:rPr>
            </w:pPr>
            <w:r>
              <w:rPr>
                <w:color w:val="auto"/>
                <w:sz w:val="24"/>
              </w:rPr>
              <w:t>□是：</w:t>
            </w:r>
            <w:r>
              <w:rPr>
                <w:color w:val="auto"/>
                <w:sz w:val="24"/>
                <w:u w:val="single"/>
              </w:rPr>
              <w:t xml:space="preserve">                             </w:t>
            </w:r>
          </w:p>
        </w:tc>
      </w:tr>
      <w:tr w14:paraId="76593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642" w:type="dxa"/>
            <w:tcMar>
              <w:top w:w="16" w:type="dxa"/>
              <w:left w:w="16" w:type="dxa"/>
              <w:right w:w="16" w:type="dxa"/>
            </w:tcMar>
            <w:vAlign w:val="center"/>
          </w:tcPr>
          <w:p w14:paraId="1E208732">
            <w:pPr>
              <w:autoSpaceDE w:val="0"/>
              <w:autoSpaceDN w:val="0"/>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专项评价设置情况</w:t>
            </w:r>
          </w:p>
        </w:tc>
        <w:tc>
          <w:tcPr>
            <w:tcW w:w="7397" w:type="dxa"/>
            <w:gridSpan w:val="4"/>
            <w:tcMar>
              <w:top w:w="16" w:type="dxa"/>
              <w:left w:w="16" w:type="dxa"/>
              <w:right w:w="16" w:type="dxa"/>
            </w:tcMar>
            <w:vAlign w:val="center"/>
          </w:tcPr>
          <w:p w14:paraId="60EF4B66">
            <w:pPr>
              <w:autoSpaceDE w:val="0"/>
              <w:autoSpaceDN w:val="0"/>
              <w:adjustRightInd w:val="0"/>
              <w:snapToGrid w:val="0"/>
              <w:jc w:val="center"/>
              <w:rPr>
                <w:color w:val="auto"/>
                <w:kern w:val="0"/>
                <w:sz w:val="24"/>
              </w:rPr>
            </w:pPr>
          </w:p>
          <w:p w14:paraId="572C8346">
            <w:pPr>
              <w:autoSpaceDE w:val="0"/>
              <w:autoSpaceDN w:val="0"/>
              <w:adjustRightInd w:val="0"/>
              <w:snapToGrid w:val="0"/>
              <w:jc w:val="center"/>
              <w:rPr>
                <w:color w:val="auto"/>
                <w:kern w:val="0"/>
                <w:sz w:val="24"/>
              </w:rPr>
            </w:pPr>
            <w:r>
              <w:rPr>
                <w:color w:val="auto"/>
                <w:kern w:val="0"/>
                <w:sz w:val="24"/>
              </w:rPr>
              <w:t>无</w:t>
            </w:r>
          </w:p>
          <w:p w14:paraId="61B4F649">
            <w:pPr>
              <w:autoSpaceDE w:val="0"/>
              <w:autoSpaceDN w:val="0"/>
              <w:adjustRightInd w:val="0"/>
              <w:snapToGrid w:val="0"/>
              <w:jc w:val="center"/>
              <w:rPr>
                <w:color w:val="auto"/>
                <w:kern w:val="0"/>
                <w:sz w:val="24"/>
              </w:rPr>
            </w:pPr>
          </w:p>
        </w:tc>
      </w:tr>
      <w:tr w14:paraId="6F9BA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642" w:type="dxa"/>
            <w:tcMar>
              <w:top w:w="16" w:type="dxa"/>
              <w:left w:w="16" w:type="dxa"/>
              <w:right w:w="16" w:type="dxa"/>
            </w:tcMar>
            <w:vAlign w:val="center"/>
          </w:tcPr>
          <w:p w14:paraId="56B5D459">
            <w:pPr>
              <w:autoSpaceDE w:val="0"/>
              <w:autoSpaceDN w:val="0"/>
              <w:adjustRightInd w:val="0"/>
              <w:snapToGrid w:val="0"/>
              <w:jc w:val="center"/>
              <w:rPr>
                <w:rFonts w:hint="eastAsia" w:ascii="宋体" w:hAnsi="宋体" w:cs="宋体"/>
                <w:color w:val="auto"/>
                <w:kern w:val="0"/>
                <w:sz w:val="24"/>
              </w:rPr>
            </w:pPr>
            <w:r>
              <w:rPr>
                <w:rFonts w:hint="eastAsia" w:ascii="宋体" w:hAnsi="宋体" w:cs="宋体"/>
                <w:color w:val="auto"/>
                <w:sz w:val="24"/>
              </w:rPr>
              <w:t>规划情况</w:t>
            </w:r>
          </w:p>
        </w:tc>
        <w:tc>
          <w:tcPr>
            <w:tcW w:w="7397" w:type="dxa"/>
            <w:gridSpan w:val="4"/>
            <w:tcMar>
              <w:top w:w="16" w:type="dxa"/>
              <w:left w:w="16" w:type="dxa"/>
              <w:right w:w="16" w:type="dxa"/>
            </w:tcMar>
            <w:vAlign w:val="center"/>
          </w:tcPr>
          <w:p w14:paraId="18A050A6">
            <w:pPr>
              <w:autoSpaceDE w:val="0"/>
              <w:autoSpaceDN w:val="0"/>
              <w:spacing w:line="360" w:lineRule="auto"/>
              <w:ind w:firstLine="480" w:firstLineChars="200"/>
              <w:rPr>
                <w:color w:val="auto"/>
                <w:sz w:val="24"/>
              </w:rPr>
            </w:pPr>
            <w:r>
              <w:rPr>
                <w:rFonts w:hint="eastAsia"/>
                <w:color w:val="auto"/>
                <w:sz w:val="24"/>
              </w:rPr>
              <w:t>《新疆维吾尔自治区矿产资源总体规划》（2021-2025年）</w:t>
            </w:r>
          </w:p>
          <w:p w14:paraId="59429C83">
            <w:pPr>
              <w:autoSpaceDE w:val="0"/>
              <w:autoSpaceDN w:val="0"/>
              <w:spacing w:line="360" w:lineRule="auto"/>
              <w:ind w:firstLine="480" w:firstLineChars="200"/>
              <w:rPr>
                <w:color w:val="auto"/>
                <w:sz w:val="24"/>
              </w:rPr>
            </w:pPr>
            <w:r>
              <w:rPr>
                <w:rFonts w:hint="eastAsia"/>
                <w:color w:val="auto"/>
                <w:sz w:val="24"/>
              </w:rPr>
              <w:t>《新疆维吾尔自治区昌吉回族自治州矿产资源总体规划》（2021-2025年）</w:t>
            </w:r>
          </w:p>
          <w:p w14:paraId="6B7B2DDF">
            <w:pPr>
              <w:autoSpaceDE w:val="0"/>
              <w:autoSpaceDN w:val="0"/>
              <w:spacing w:line="360" w:lineRule="auto"/>
              <w:ind w:firstLine="480" w:firstLineChars="200"/>
              <w:rPr>
                <w:color w:val="auto"/>
              </w:rPr>
            </w:pPr>
            <w:r>
              <w:rPr>
                <w:rFonts w:hint="eastAsia"/>
                <w:color w:val="auto"/>
                <w:sz w:val="24"/>
              </w:rPr>
              <w:t>《奇台县矿产资源总体规划（2021-2025）》</w:t>
            </w:r>
          </w:p>
        </w:tc>
      </w:tr>
      <w:tr w14:paraId="4AB92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425C4AD7">
            <w:pPr>
              <w:autoSpaceDE w:val="0"/>
              <w:autoSpaceDN w:val="0"/>
              <w:adjustRightInd w:val="0"/>
              <w:snapToGrid w:val="0"/>
              <w:jc w:val="center"/>
              <w:rPr>
                <w:rFonts w:hint="eastAsia" w:ascii="宋体" w:hAnsi="宋体" w:cs="宋体"/>
                <w:color w:val="auto"/>
                <w:sz w:val="24"/>
              </w:rPr>
            </w:pPr>
            <w:r>
              <w:rPr>
                <w:rFonts w:hint="eastAsia" w:ascii="宋体" w:hAnsi="宋体" w:cs="宋体"/>
                <w:color w:val="auto"/>
                <w:sz w:val="24"/>
              </w:rPr>
              <w:t>规划环境影响</w:t>
            </w:r>
          </w:p>
          <w:p w14:paraId="69AFE242">
            <w:pPr>
              <w:autoSpaceDE w:val="0"/>
              <w:autoSpaceDN w:val="0"/>
              <w:adjustRightInd w:val="0"/>
              <w:snapToGrid w:val="0"/>
              <w:jc w:val="center"/>
              <w:rPr>
                <w:rFonts w:hint="eastAsia" w:ascii="宋体" w:hAnsi="宋体" w:cs="宋体"/>
                <w:color w:val="auto"/>
                <w:kern w:val="0"/>
                <w:sz w:val="24"/>
              </w:rPr>
            </w:pPr>
            <w:r>
              <w:rPr>
                <w:rFonts w:hint="eastAsia" w:ascii="宋体" w:hAnsi="宋体" w:cs="宋体"/>
                <w:color w:val="auto"/>
                <w:sz w:val="24"/>
              </w:rPr>
              <w:t>评价情况</w:t>
            </w:r>
          </w:p>
        </w:tc>
        <w:tc>
          <w:tcPr>
            <w:tcW w:w="7397" w:type="dxa"/>
            <w:gridSpan w:val="4"/>
            <w:tcMar>
              <w:top w:w="16" w:type="dxa"/>
              <w:left w:w="16" w:type="dxa"/>
              <w:right w:w="16" w:type="dxa"/>
            </w:tcMar>
            <w:vAlign w:val="center"/>
          </w:tcPr>
          <w:p w14:paraId="1B87FB1C">
            <w:pPr>
              <w:autoSpaceDE w:val="0"/>
              <w:autoSpaceDN w:val="0"/>
              <w:spacing w:line="360" w:lineRule="auto"/>
              <w:ind w:firstLine="480" w:firstLineChars="200"/>
              <w:rPr>
                <w:color w:val="auto"/>
                <w:sz w:val="24"/>
              </w:rPr>
            </w:pPr>
            <w:r>
              <w:rPr>
                <w:rFonts w:hint="eastAsia"/>
                <w:color w:val="auto"/>
                <w:sz w:val="24"/>
              </w:rPr>
              <w:t>《关于〈新疆维吾尔自治区矿产资源总体规划（2021-2025）环境影响报告书〉的审查意见》环审〔2022〕124号，2022年8月12日，生态环境部</w:t>
            </w:r>
          </w:p>
        </w:tc>
      </w:tr>
      <w:tr w14:paraId="51882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9" w:hRule="atLeast"/>
        </w:trPr>
        <w:tc>
          <w:tcPr>
            <w:tcW w:w="1642" w:type="dxa"/>
            <w:tcMar>
              <w:top w:w="16" w:type="dxa"/>
              <w:left w:w="16" w:type="dxa"/>
              <w:right w:w="16" w:type="dxa"/>
            </w:tcMar>
            <w:vAlign w:val="center"/>
          </w:tcPr>
          <w:p w14:paraId="3B4E1F79">
            <w:pPr>
              <w:autoSpaceDE w:val="0"/>
              <w:autoSpaceDN w:val="0"/>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规划及</w:t>
            </w:r>
            <w:r>
              <w:rPr>
                <w:rFonts w:hint="eastAsia" w:ascii="宋体" w:hAnsi="宋体" w:cs="宋体"/>
                <w:color w:val="auto"/>
                <w:sz w:val="24"/>
              </w:rPr>
              <w:t>规划环境影响评价</w:t>
            </w:r>
            <w:r>
              <w:rPr>
                <w:rFonts w:hint="eastAsia" w:ascii="宋体" w:hAnsi="宋体" w:cs="宋体"/>
                <w:color w:val="auto"/>
                <w:kern w:val="0"/>
                <w:sz w:val="24"/>
              </w:rPr>
              <w:t>符合性分析</w:t>
            </w:r>
          </w:p>
        </w:tc>
        <w:tc>
          <w:tcPr>
            <w:tcW w:w="7397" w:type="dxa"/>
            <w:gridSpan w:val="4"/>
            <w:tcMar>
              <w:top w:w="16" w:type="dxa"/>
              <w:left w:w="16" w:type="dxa"/>
              <w:right w:w="16" w:type="dxa"/>
            </w:tcMar>
            <w:vAlign w:val="center"/>
          </w:tcPr>
          <w:p w14:paraId="3F1A4A2F">
            <w:pPr>
              <w:autoSpaceDE w:val="0"/>
              <w:autoSpaceDN w:val="0"/>
              <w:spacing w:line="360" w:lineRule="auto"/>
              <w:rPr>
                <w:b/>
                <w:bCs/>
                <w:color w:val="auto"/>
                <w:sz w:val="24"/>
              </w:rPr>
            </w:pPr>
            <w:r>
              <w:rPr>
                <w:rFonts w:hint="eastAsia"/>
                <w:b/>
                <w:bCs/>
                <w:color w:val="auto"/>
                <w:sz w:val="24"/>
              </w:rPr>
              <w:t>1、本项目与《新疆维吾尔自治区矿产资源总体规划（</w:t>
            </w:r>
            <w:r>
              <w:rPr>
                <w:b/>
                <w:bCs/>
                <w:color w:val="auto"/>
                <w:sz w:val="24"/>
              </w:rPr>
              <w:t>2021</w:t>
            </w:r>
            <w:r>
              <w:rPr>
                <w:rFonts w:hint="eastAsia"/>
                <w:b/>
                <w:bCs/>
                <w:color w:val="auto"/>
                <w:sz w:val="24"/>
              </w:rPr>
              <w:t>－</w:t>
            </w:r>
            <w:r>
              <w:rPr>
                <w:b/>
                <w:bCs/>
                <w:color w:val="auto"/>
                <w:sz w:val="24"/>
              </w:rPr>
              <w:t>2025</w:t>
            </w:r>
            <w:r>
              <w:rPr>
                <w:rFonts w:hint="eastAsia"/>
                <w:b/>
                <w:bCs/>
                <w:color w:val="auto"/>
                <w:sz w:val="24"/>
              </w:rPr>
              <w:t>年）》的符合性分析</w:t>
            </w:r>
          </w:p>
          <w:p w14:paraId="50B6B8CB">
            <w:pPr>
              <w:spacing w:line="360" w:lineRule="auto"/>
              <w:ind w:firstLine="480" w:firstLineChars="200"/>
              <w:rPr>
                <w:rFonts w:cs="宋体"/>
                <w:color w:val="auto"/>
                <w:sz w:val="24"/>
                <w:szCs w:val="32"/>
              </w:rPr>
            </w:pPr>
            <w:r>
              <w:rPr>
                <w:rFonts w:hint="eastAsia" w:cs="宋体"/>
                <w:color w:val="auto"/>
                <w:sz w:val="24"/>
                <w:szCs w:val="32"/>
              </w:rPr>
              <w:t>规划指出：矿业绿色转型取得新成效。矿山规模结构更加合理，2025年固体矿产大中型矿山比例达到40%以上。先进适用技术全面推广应用，资源利用效率达到新水平，严格执行“三率”考核，共伴生矿产资源、固体废弃物综合利用水平进一步提升。绿色勘查、绿色矿山建设和矿山智能化水平不断提高，矿山生态环境明显好转，基本实现矿山生产与自然生态和谐共生。建筑用砂矿最低开采规模为年开采6万立方米砂石料。</w:t>
            </w:r>
          </w:p>
          <w:p w14:paraId="65CD3C16">
            <w:pPr>
              <w:spacing w:line="360" w:lineRule="auto"/>
              <w:ind w:firstLine="480" w:firstLineChars="200"/>
              <w:rPr>
                <w:rFonts w:cs="宋体"/>
                <w:color w:val="auto"/>
                <w:sz w:val="24"/>
                <w:szCs w:val="32"/>
              </w:rPr>
            </w:pPr>
            <w:r>
              <w:rPr>
                <w:rFonts w:hint="eastAsia" w:cs="宋体"/>
                <w:color w:val="auto"/>
                <w:sz w:val="24"/>
                <w:szCs w:val="32"/>
              </w:rPr>
              <w:t>本项目属于新建非金属矿，开采建筑用砂50万m</w:t>
            </w:r>
            <w:r>
              <w:rPr>
                <w:rFonts w:hint="eastAsia" w:cs="宋体"/>
                <w:color w:val="auto"/>
                <w:sz w:val="24"/>
                <w:szCs w:val="32"/>
                <w:vertAlign w:val="superscript"/>
              </w:rPr>
              <w:t>3</w:t>
            </w:r>
            <w:r>
              <w:rPr>
                <w:rFonts w:hint="eastAsia" w:cs="宋体"/>
                <w:color w:val="auto"/>
                <w:sz w:val="24"/>
                <w:szCs w:val="32"/>
              </w:rPr>
              <w:t>/a，符合最低开采规模。根据《奇台县金奇瀚宇矿业有限责任公司奇台县三个庄子乡CS07号建筑用砂矿矿产资源开发利用与生态保护修复方案》，满足矿产资源开发“三率”指标，即：矿山回采率为97%、固体废物处置率可达到100%，不涉及选矿回收率、尾矿综合利用率以及未发现伴生资源利用。</w:t>
            </w:r>
            <w:r>
              <w:rPr>
                <w:rFonts w:ascii="宋体" w:hAnsi="宋体" w:cs="宋体"/>
                <w:color w:val="auto"/>
                <w:sz w:val="24"/>
              </w:rPr>
              <w:t>矿山在生产期间及服务期满后，对矿山各个功能区进行生态保护和恢复治理，最大限度消除地质灾害隐患，结合矿山实际情况，对矿山进行因地制宜化的土地恢复，达到与周边自然环境、景观相协调。</w:t>
            </w:r>
          </w:p>
          <w:p w14:paraId="1FFCE927">
            <w:pPr>
              <w:autoSpaceDE w:val="0"/>
              <w:autoSpaceDN w:val="0"/>
              <w:spacing w:line="360" w:lineRule="auto"/>
              <w:ind w:firstLine="480" w:firstLineChars="200"/>
              <w:rPr>
                <w:rFonts w:cs="宋体"/>
                <w:color w:val="auto"/>
                <w:sz w:val="24"/>
                <w:szCs w:val="32"/>
              </w:rPr>
            </w:pPr>
            <w:r>
              <w:rPr>
                <w:rFonts w:hint="eastAsia" w:cs="宋体"/>
                <w:color w:val="auto"/>
                <w:sz w:val="24"/>
                <w:szCs w:val="32"/>
              </w:rPr>
              <w:t>因此，本项目与《新疆维吾尔自治区矿产资源总体规划（20</w:t>
            </w:r>
            <w:r>
              <w:rPr>
                <w:rFonts w:cs="宋体"/>
                <w:color w:val="auto"/>
                <w:sz w:val="24"/>
                <w:szCs w:val="32"/>
              </w:rPr>
              <w:t>21</w:t>
            </w:r>
            <w:r>
              <w:rPr>
                <w:rFonts w:hint="eastAsia" w:cs="宋体"/>
                <w:color w:val="auto"/>
                <w:sz w:val="24"/>
                <w:szCs w:val="32"/>
              </w:rPr>
              <w:t>-20</w:t>
            </w:r>
            <w:r>
              <w:rPr>
                <w:rFonts w:cs="宋体"/>
                <w:color w:val="auto"/>
                <w:sz w:val="24"/>
                <w:szCs w:val="32"/>
              </w:rPr>
              <w:t>25</w:t>
            </w:r>
            <w:r>
              <w:rPr>
                <w:rFonts w:hint="eastAsia" w:cs="宋体"/>
                <w:color w:val="auto"/>
                <w:sz w:val="24"/>
                <w:szCs w:val="32"/>
              </w:rPr>
              <w:t>年）》相符</w:t>
            </w:r>
            <w:r>
              <w:rPr>
                <w:rFonts w:hint="eastAsia"/>
                <w:color w:val="auto"/>
                <w:szCs w:val="21"/>
              </w:rPr>
              <w:t>。</w:t>
            </w:r>
          </w:p>
          <w:p w14:paraId="21ECEEB5">
            <w:pPr>
              <w:autoSpaceDE w:val="0"/>
              <w:autoSpaceDN w:val="0"/>
              <w:spacing w:line="360" w:lineRule="auto"/>
              <w:rPr>
                <w:b/>
                <w:bCs/>
                <w:color w:val="auto"/>
                <w:sz w:val="24"/>
              </w:rPr>
            </w:pPr>
            <w:r>
              <w:rPr>
                <w:rFonts w:hint="eastAsia"/>
                <w:b/>
                <w:bCs/>
                <w:color w:val="auto"/>
                <w:sz w:val="24"/>
              </w:rPr>
              <w:t>2、项目与《新疆维吾尔自治区矿产资源总体规划（2021-2025）环境影响报告书》及审查意见的符合性分析</w:t>
            </w:r>
          </w:p>
          <w:p w14:paraId="198E65C8">
            <w:pPr>
              <w:pStyle w:val="64"/>
              <w:outlineLvl w:val="9"/>
              <w:rPr>
                <w:rFonts w:hint="default"/>
                <w:b/>
                <w:bCs/>
                <w:color w:val="auto"/>
              </w:rPr>
            </w:pPr>
            <w:r>
              <w:rPr>
                <w:rFonts w:hint="default"/>
                <w:b/>
                <w:bCs/>
                <w:color w:val="auto"/>
              </w:rPr>
              <w:t>表1-</w:t>
            </w:r>
            <w:r>
              <w:rPr>
                <w:b/>
                <w:bCs/>
                <w:color w:val="auto"/>
              </w:rPr>
              <w:t>1</w:t>
            </w:r>
            <w:r>
              <w:rPr>
                <w:rFonts w:hint="default"/>
                <w:b/>
                <w:bCs/>
                <w:color w:val="auto"/>
              </w:rPr>
              <w:t xml:space="preserve"> 本项目与《新疆维吾尔自治区矿产资源总体规划（2021-2025）环境影响报告书》</w:t>
            </w:r>
            <w:r>
              <w:rPr>
                <w:b/>
                <w:bCs/>
                <w:color w:val="auto"/>
              </w:rPr>
              <w:t>及</w:t>
            </w:r>
            <w:r>
              <w:rPr>
                <w:rFonts w:hint="default"/>
                <w:b/>
                <w:bCs/>
                <w:color w:val="auto"/>
              </w:rPr>
              <w:t>审查意见符合性</w:t>
            </w:r>
            <w:r>
              <w:rPr>
                <w:b/>
                <w:bCs/>
                <w:color w:val="auto"/>
              </w:rPr>
              <w:t>分析一览表</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4395"/>
              <w:gridCol w:w="1748"/>
              <w:gridCol w:w="800"/>
            </w:tblGrid>
            <w:tr w14:paraId="03C1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06E35CD6">
                  <w:pPr>
                    <w:rPr>
                      <w:b/>
                      <w:bCs/>
                      <w:color w:val="auto"/>
                      <w:szCs w:val="21"/>
                    </w:rPr>
                  </w:pPr>
                  <w:r>
                    <w:rPr>
                      <w:b/>
                      <w:bCs/>
                      <w:color w:val="auto"/>
                      <w:szCs w:val="21"/>
                    </w:rPr>
                    <w:t>序号</w:t>
                  </w:r>
                </w:p>
              </w:tc>
              <w:tc>
                <w:tcPr>
                  <w:tcW w:w="2989" w:type="pct"/>
                  <w:vAlign w:val="center"/>
                </w:tcPr>
                <w:p w14:paraId="5B6D338A">
                  <w:pPr>
                    <w:jc w:val="center"/>
                    <w:rPr>
                      <w:b/>
                      <w:bCs/>
                      <w:color w:val="auto"/>
                      <w:szCs w:val="21"/>
                    </w:rPr>
                  </w:pPr>
                  <w:r>
                    <w:rPr>
                      <w:rFonts w:hint="eastAsia"/>
                      <w:b/>
                      <w:bCs/>
                      <w:color w:val="auto"/>
                      <w:szCs w:val="21"/>
                    </w:rPr>
                    <w:t>《关于〈新疆维吾尔自治区矿产资源总体规划（2021-2025）环境影响报告书〉的审查意见》</w:t>
                  </w:r>
                </w:p>
              </w:tc>
              <w:tc>
                <w:tcPr>
                  <w:tcW w:w="1189" w:type="pct"/>
                  <w:vAlign w:val="center"/>
                </w:tcPr>
                <w:p w14:paraId="075F1F03">
                  <w:pPr>
                    <w:jc w:val="center"/>
                    <w:rPr>
                      <w:b/>
                      <w:bCs/>
                      <w:color w:val="auto"/>
                      <w:szCs w:val="21"/>
                    </w:rPr>
                  </w:pPr>
                  <w:r>
                    <w:rPr>
                      <w:b/>
                      <w:bCs/>
                      <w:color w:val="auto"/>
                      <w:szCs w:val="21"/>
                    </w:rPr>
                    <w:t>本项目实际建设情况</w:t>
                  </w:r>
                </w:p>
              </w:tc>
              <w:tc>
                <w:tcPr>
                  <w:tcW w:w="544" w:type="pct"/>
                  <w:vAlign w:val="center"/>
                </w:tcPr>
                <w:p w14:paraId="67355C73">
                  <w:pPr>
                    <w:jc w:val="center"/>
                    <w:rPr>
                      <w:b/>
                      <w:bCs/>
                      <w:color w:val="auto"/>
                      <w:szCs w:val="21"/>
                    </w:rPr>
                  </w:pPr>
                  <w:r>
                    <w:rPr>
                      <w:b/>
                      <w:bCs/>
                      <w:color w:val="auto"/>
                      <w:szCs w:val="21"/>
                    </w:rPr>
                    <w:t>是否</w:t>
                  </w:r>
                </w:p>
                <w:p w14:paraId="0528A7FC">
                  <w:pPr>
                    <w:jc w:val="center"/>
                    <w:rPr>
                      <w:b/>
                      <w:bCs/>
                      <w:color w:val="auto"/>
                      <w:szCs w:val="21"/>
                    </w:rPr>
                  </w:pPr>
                  <w:r>
                    <w:rPr>
                      <w:b/>
                      <w:bCs/>
                      <w:color w:val="auto"/>
                      <w:szCs w:val="21"/>
                    </w:rPr>
                    <w:t>符合</w:t>
                  </w:r>
                </w:p>
              </w:tc>
            </w:tr>
            <w:tr w14:paraId="7EB1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2209BFF3">
                  <w:pPr>
                    <w:rPr>
                      <w:color w:val="auto"/>
                      <w:szCs w:val="21"/>
                    </w:rPr>
                  </w:pPr>
                  <w:r>
                    <w:rPr>
                      <w:rFonts w:hint="eastAsia"/>
                      <w:color w:val="auto"/>
                      <w:szCs w:val="21"/>
                    </w:rPr>
                    <w:t>1</w:t>
                  </w:r>
                </w:p>
              </w:tc>
              <w:tc>
                <w:tcPr>
                  <w:tcW w:w="2989" w:type="pct"/>
                  <w:vAlign w:val="center"/>
                </w:tcPr>
                <w:p w14:paraId="6B159B80">
                  <w:pPr>
                    <w:jc w:val="center"/>
                    <w:rPr>
                      <w:color w:val="auto"/>
                      <w:szCs w:val="21"/>
                    </w:rPr>
                  </w:pPr>
                  <w:r>
                    <w:rPr>
                      <w:rFonts w:hint="eastAsia"/>
                      <w:color w:val="auto"/>
                      <w:szCs w:val="21"/>
                    </w:rPr>
                    <w:t>环境影响报告书中提出：大型建筑用砂最低开采规模为30万m</w:t>
                  </w:r>
                  <w:r>
                    <w:rPr>
                      <w:rFonts w:hint="eastAsia"/>
                      <w:color w:val="auto"/>
                      <w:szCs w:val="21"/>
                      <w:vertAlign w:val="superscript"/>
                    </w:rPr>
                    <w:t>3</w:t>
                  </w:r>
                  <w:r>
                    <w:rPr>
                      <w:rFonts w:hint="eastAsia"/>
                      <w:color w:val="auto"/>
                      <w:szCs w:val="21"/>
                    </w:rPr>
                    <w:t>/a，中型建筑用砂最低开采规模为10万m</w:t>
                  </w:r>
                  <w:r>
                    <w:rPr>
                      <w:rFonts w:hint="eastAsia"/>
                      <w:color w:val="auto"/>
                      <w:szCs w:val="21"/>
                      <w:vertAlign w:val="superscript"/>
                    </w:rPr>
                    <w:t>3</w:t>
                  </w:r>
                  <w:r>
                    <w:rPr>
                      <w:rFonts w:hint="eastAsia"/>
                      <w:color w:val="auto"/>
                      <w:szCs w:val="21"/>
                    </w:rPr>
                    <w:t>/a</w:t>
                  </w:r>
                </w:p>
              </w:tc>
              <w:tc>
                <w:tcPr>
                  <w:tcW w:w="1189" w:type="pct"/>
                  <w:vAlign w:val="center"/>
                </w:tcPr>
                <w:p w14:paraId="36FB6F9E">
                  <w:pPr>
                    <w:jc w:val="center"/>
                    <w:rPr>
                      <w:rFonts w:hint="default" w:eastAsia="宋体"/>
                      <w:color w:val="auto"/>
                      <w:szCs w:val="21"/>
                      <w:lang w:val="en-US" w:eastAsia="zh-CN"/>
                    </w:rPr>
                  </w:pPr>
                  <w:r>
                    <w:rPr>
                      <w:rFonts w:hint="eastAsia"/>
                      <w:color w:val="auto"/>
                      <w:szCs w:val="21"/>
                    </w:rPr>
                    <w:t>本项目开采规模为50万m</w:t>
                  </w:r>
                  <w:r>
                    <w:rPr>
                      <w:rFonts w:hint="eastAsia"/>
                      <w:color w:val="auto"/>
                      <w:szCs w:val="21"/>
                      <w:vertAlign w:val="superscript"/>
                    </w:rPr>
                    <w:t>3</w:t>
                  </w:r>
                  <w:r>
                    <w:rPr>
                      <w:rFonts w:hint="eastAsia"/>
                      <w:color w:val="auto"/>
                      <w:szCs w:val="21"/>
                    </w:rPr>
                    <w:t>/a</w:t>
                  </w:r>
                  <w:r>
                    <w:rPr>
                      <w:rFonts w:hint="eastAsia"/>
                      <w:color w:val="auto"/>
                      <w:szCs w:val="21"/>
                      <w:lang w:eastAsia="zh-CN"/>
                    </w:rPr>
                    <w:t>，</w:t>
                  </w:r>
                  <w:r>
                    <w:rPr>
                      <w:rFonts w:hint="eastAsia"/>
                      <w:color w:val="auto"/>
                      <w:szCs w:val="21"/>
                      <w:lang w:val="en-US" w:eastAsia="zh-CN"/>
                    </w:rPr>
                    <w:t>属大型建筑用砂开采项目。</w:t>
                  </w:r>
                </w:p>
              </w:tc>
              <w:tc>
                <w:tcPr>
                  <w:tcW w:w="544" w:type="pct"/>
                  <w:vAlign w:val="center"/>
                </w:tcPr>
                <w:p w14:paraId="66F5CC73">
                  <w:pPr>
                    <w:jc w:val="center"/>
                    <w:rPr>
                      <w:color w:val="auto"/>
                      <w:szCs w:val="21"/>
                    </w:rPr>
                  </w:pPr>
                  <w:r>
                    <w:rPr>
                      <w:rFonts w:hint="eastAsia"/>
                      <w:color w:val="auto"/>
                      <w:szCs w:val="21"/>
                    </w:rPr>
                    <w:t>符合</w:t>
                  </w:r>
                </w:p>
              </w:tc>
            </w:tr>
            <w:tr w14:paraId="249C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70E2D3E2">
                  <w:pPr>
                    <w:rPr>
                      <w:color w:val="auto"/>
                      <w:szCs w:val="21"/>
                    </w:rPr>
                  </w:pPr>
                  <w:r>
                    <w:rPr>
                      <w:rFonts w:hint="eastAsia"/>
                      <w:color w:val="auto"/>
                      <w:szCs w:val="21"/>
                    </w:rPr>
                    <w:t>2</w:t>
                  </w:r>
                </w:p>
              </w:tc>
              <w:tc>
                <w:tcPr>
                  <w:tcW w:w="2989" w:type="pct"/>
                  <w:vAlign w:val="center"/>
                </w:tcPr>
                <w:p w14:paraId="48E7818F">
                  <w:pPr>
                    <w:jc w:val="center"/>
                    <w:rPr>
                      <w:color w:val="auto"/>
                      <w:szCs w:val="21"/>
                    </w:rPr>
                  </w:pPr>
                  <w:r>
                    <w:rPr>
                      <w:rFonts w:hint="eastAsia"/>
                      <w:color w:val="auto"/>
                      <w:szCs w:val="21"/>
                    </w:rPr>
                    <w:t>环境影响报告书对“建筑用砂开发利用”提出：砂石集中开采区并严格管理。依据环境保护和运输半径合理规划砂石开采布局，在“三区两线”可视范围内严禁设置开采建筑石料等露天矿山。引导砂石矿实现集中开采、规模开发、绿色利用。原则上砂石矿开采规划区块必须位于集中开采区内，明确区内开采规划区块数量、开采规模、生态保护修复治理措施等准</w:t>
                  </w:r>
                </w:p>
                <w:p w14:paraId="7462198C">
                  <w:pPr>
                    <w:jc w:val="center"/>
                    <w:rPr>
                      <w:color w:val="auto"/>
                      <w:szCs w:val="21"/>
                    </w:rPr>
                  </w:pPr>
                  <w:r>
                    <w:rPr>
                      <w:rFonts w:hint="eastAsia"/>
                      <w:color w:val="auto"/>
                      <w:szCs w:val="21"/>
                    </w:rPr>
                    <w:t>入要求。统筹各地州（市）、县市（区）砂石矿产的开发布局，促进资源优势互补，鼓励砂石资源的区域合理调配。</w:t>
                  </w:r>
                </w:p>
              </w:tc>
              <w:tc>
                <w:tcPr>
                  <w:tcW w:w="1189" w:type="pct"/>
                  <w:vAlign w:val="center"/>
                </w:tcPr>
                <w:p w14:paraId="727AFE73">
                  <w:pPr>
                    <w:jc w:val="center"/>
                    <w:rPr>
                      <w:color w:val="auto"/>
                      <w:szCs w:val="21"/>
                    </w:rPr>
                  </w:pPr>
                  <w:r>
                    <w:rPr>
                      <w:rFonts w:hint="eastAsia"/>
                      <w:color w:val="auto"/>
                      <w:szCs w:val="21"/>
                    </w:rPr>
                    <w:t>本项目已明确开采规模、已编制矿产资源开发与生态保护修复方案，开采区严格管理等</w:t>
                  </w:r>
                </w:p>
              </w:tc>
              <w:tc>
                <w:tcPr>
                  <w:tcW w:w="544" w:type="pct"/>
                  <w:vAlign w:val="center"/>
                </w:tcPr>
                <w:p w14:paraId="738085E0">
                  <w:pPr>
                    <w:jc w:val="center"/>
                    <w:rPr>
                      <w:color w:val="auto"/>
                      <w:szCs w:val="21"/>
                    </w:rPr>
                  </w:pPr>
                  <w:r>
                    <w:rPr>
                      <w:rFonts w:hint="eastAsia"/>
                      <w:color w:val="auto"/>
                      <w:szCs w:val="21"/>
                    </w:rPr>
                    <w:t>符合</w:t>
                  </w:r>
                </w:p>
              </w:tc>
            </w:tr>
            <w:tr w14:paraId="1D07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2D464C36">
                  <w:pPr>
                    <w:rPr>
                      <w:color w:val="auto"/>
                      <w:szCs w:val="21"/>
                    </w:rPr>
                  </w:pPr>
                  <w:r>
                    <w:rPr>
                      <w:rFonts w:hint="eastAsia"/>
                      <w:color w:val="auto"/>
                      <w:szCs w:val="21"/>
                    </w:rPr>
                    <w:t>3</w:t>
                  </w:r>
                </w:p>
              </w:tc>
              <w:tc>
                <w:tcPr>
                  <w:tcW w:w="2989" w:type="pct"/>
                  <w:vAlign w:val="center"/>
                </w:tcPr>
                <w:p w14:paraId="7CE671CE">
                  <w:pPr>
                    <w:jc w:val="center"/>
                    <w:rPr>
                      <w:color w:val="auto"/>
                      <w:szCs w:val="21"/>
                    </w:rPr>
                  </w:pPr>
                  <w:r>
                    <w:rPr>
                      <w:rFonts w:hint="eastAsia"/>
                      <w:color w:val="auto"/>
                      <w:szCs w:val="21"/>
                    </w:rPr>
                    <w:t>环境影响报告书中提出：水环境功能区划目标水质为Ⅰ、Ⅱ类水体岸边1公里范围内，禁止新（改、扩）建“高污染、高风险”的非金属矿采选、涉重金属等工业污染项目；现有“高污染、高风险”工业项目要强化治理、削减污染物排放量，对存在严重环境问题的依法关停</w:t>
                  </w:r>
                </w:p>
                <w:p w14:paraId="2FA8E2E6">
                  <w:pPr>
                    <w:jc w:val="center"/>
                    <w:rPr>
                      <w:color w:val="auto"/>
                      <w:szCs w:val="21"/>
                    </w:rPr>
                  </w:pPr>
                  <w:r>
                    <w:rPr>
                      <w:rFonts w:hint="eastAsia"/>
                      <w:color w:val="auto"/>
                      <w:szCs w:val="21"/>
                    </w:rPr>
                    <w:t>整改或取缔。禁止未经法定许可在河流两岸进行采石、取土、采砂等活动。</w:t>
                  </w:r>
                </w:p>
              </w:tc>
              <w:tc>
                <w:tcPr>
                  <w:tcW w:w="1189" w:type="pct"/>
                  <w:vAlign w:val="center"/>
                </w:tcPr>
                <w:p w14:paraId="7D155D27">
                  <w:pPr>
                    <w:jc w:val="center"/>
                    <w:rPr>
                      <w:color w:val="auto"/>
                      <w:szCs w:val="21"/>
                    </w:rPr>
                  </w:pPr>
                  <w:r>
                    <w:rPr>
                      <w:rFonts w:hint="eastAsia"/>
                      <w:color w:val="auto"/>
                      <w:szCs w:val="21"/>
                    </w:rPr>
                    <w:t>本项目不属于河道采砂，本项目不涉及“高污染、高风险”的非金属矿采选。本项目1km范围内无地表水。</w:t>
                  </w:r>
                </w:p>
              </w:tc>
              <w:tc>
                <w:tcPr>
                  <w:tcW w:w="544" w:type="pct"/>
                  <w:vAlign w:val="center"/>
                </w:tcPr>
                <w:p w14:paraId="37A3ABF0">
                  <w:pPr>
                    <w:jc w:val="center"/>
                    <w:rPr>
                      <w:color w:val="auto"/>
                      <w:szCs w:val="21"/>
                    </w:rPr>
                  </w:pPr>
                  <w:r>
                    <w:rPr>
                      <w:rFonts w:hint="eastAsia"/>
                      <w:color w:val="auto"/>
                      <w:szCs w:val="21"/>
                    </w:rPr>
                    <w:t>符合</w:t>
                  </w:r>
                </w:p>
              </w:tc>
            </w:tr>
            <w:tr w14:paraId="62B3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511AB60C">
                  <w:pPr>
                    <w:jc w:val="center"/>
                    <w:rPr>
                      <w:color w:val="auto"/>
                      <w:szCs w:val="21"/>
                    </w:rPr>
                  </w:pPr>
                  <w:r>
                    <w:rPr>
                      <w:rFonts w:hint="eastAsia"/>
                      <w:color w:val="auto"/>
                      <w:szCs w:val="21"/>
                    </w:rPr>
                    <w:t>4</w:t>
                  </w:r>
                </w:p>
              </w:tc>
              <w:tc>
                <w:tcPr>
                  <w:tcW w:w="2989" w:type="pct"/>
                  <w:vAlign w:val="center"/>
                </w:tcPr>
                <w:p w14:paraId="08C6C70D">
                  <w:pPr>
                    <w:rPr>
                      <w:color w:val="auto"/>
                      <w:szCs w:val="21"/>
                    </w:rPr>
                  </w:pPr>
                  <w:r>
                    <w:rPr>
                      <w:rFonts w:hint="eastAsia"/>
                      <w:color w:val="auto"/>
                      <w:szCs w:val="21"/>
                    </w:rPr>
                    <w:t>（一）</w:t>
                  </w:r>
                  <w:r>
                    <w:rPr>
                      <w:rFonts w:hint="eastAsia"/>
                      <w:color w:val="auto"/>
                      <w:szCs w:val="21"/>
                      <w:lang w:eastAsia="zh-CN"/>
                    </w:rPr>
                    <w:t>坚持生态优先、绿色发展</w:t>
                  </w:r>
                  <w:r>
                    <w:rPr>
                      <w:rFonts w:hint="eastAsia"/>
                      <w:color w:val="auto"/>
                      <w:szCs w:val="21"/>
                    </w:rPr>
                    <w:t>。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进一步强化《规划》的生态环境保护总体要求，将细化后的绿色开发、生态修复等相关目标、指标作为《规划》实施的硬约束。《规划》应严格执行国家矿产资源合理开发利用“三率”（即开采回采率、选矿回收率、综合利用率）相关要求，确保全区矿山整体“三率”水平达标率达到85%以上。优化并落实绿色矿山建设标准体系，到规划期末，全区大中型固体生产矿山基本达到绿色矿山建设水平。应进一步合理确定布局、规模、结构和开发时序，采取严格的生态保护和修复措施，确保优化后的《规划》符合绿色发展要求，推动生态环境保护与矿产资源开发目标同步实现。</w:t>
                  </w:r>
                </w:p>
              </w:tc>
              <w:tc>
                <w:tcPr>
                  <w:tcW w:w="1189" w:type="pct"/>
                  <w:vAlign w:val="center"/>
                </w:tcPr>
                <w:p w14:paraId="4CCEE549">
                  <w:pPr>
                    <w:rPr>
                      <w:color w:val="auto"/>
                      <w:szCs w:val="21"/>
                    </w:rPr>
                  </w:pPr>
                  <w:r>
                    <w:rPr>
                      <w:rFonts w:hint="eastAsia"/>
                      <w:color w:val="auto"/>
                      <w:szCs w:val="21"/>
                    </w:rPr>
                    <w:t>本项目不占用禁止开发的区域，矿区范围内无保护区等环境敏感目标；本项目开采规模为50万m</w:t>
                  </w:r>
                  <w:r>
                    <w:rPr>
                      <w:rFonts w:hint="eastAsia"/>
                      <w:color w:val="auto"/>
                      <w:szCs w:val="21"/>
                      <w:vertAlign w:val="superscript"/>
                    </w:rPr>
                    <w:t>3</w:t>
                  </w:r>
                  <w:r>
                    <w:rPr>
                      <w:rFonts w:hint="eastAsia"/>
                      <w:color w:val="auto"/>
                      <w:szCs w:val="21"/>
                    </w:rPr>
                    <w:t>/a</w:t>
                  </w:r>
                  <w:r>
                    <w:rPr>
                      <w:rFonts w:hint="eastAsia"/>
                      <w:color w:val="auto"/>
                      <w:szCs w:val="21"/>
                      <w:lang w:eastAsia="zh-CN"/>
                    </w:rPr>
                    <w:t>，</w:t>
                  </w:r>
                  <w:r>
                    <w:rPr>
                      <w:rFonts w:hint="eastAsia"/>
                      <w:color w:val="auto"/>
                      <w:szCs w:val="21"/>
                      <w:lang w:val="en-US" w:eastAsia="zh-CN"/>
                    </w:rPr>
                    <w:t>属大型建筑用砂开采项目。</w:t>
                  </w:r>
                  <w:r>
                    <w:rPr>
                      <w:rFonts w:hint="eastAsia"/>
                      <w:color w:val="auto"/>
                      <w:szCs w:val="21"/>
                    </w:rPr>
                    <w:t>环评中提出了生态保护和污染防治措施，确保矿山</w:t>
                  </w:r>
                  <w:r>
                    <w:rPr>
                      <w:rFonts w:hint="eastAsia"/>
                      <w:color w:val="auto"/>
                      <w:szCs w:val="21"/>
                      <w:lang w:val="en-US" w:eastAsia="zh-CN"/>
                    </w:rPr>
                    <w:t>基本</w:t>
                  </w:r>
                  <w:r>
                    <w:rPr>
                      <w:rFonts w:hint="eastAsia"/>
                      <w:color w:val="auto"/>
                      <w:szCs w:val="21"/>
                    </w:rPr>
                    <w:t>达到绿色矿山建设水平。</w:t>
                  </w:r>
                </w:p>
              </w:tc>
              <w:tc>
                <w:tcPr>
                  <w:tcW w:w="544" w:type="pct"/>
                  <w:vAlign w:val="center"/>
                </w:tcPr>
                <w:p w14:paraId="383EF7C3">
                  <w:pPr>
                    <w:rPr>
                      <w:color w:val="auto"/>
                      <w:szCs w:val="21"/>
                    </w:rPr>
                  </w:pPr>
                  <w:r>
                    <w:rPr>
                      <w:rFonts w:hint="eastAsia"/>
                      <w:color w:val="auto"/>
                      <w:szCs w:val="21"/>
                    </w:rPr>
                    <w:t>符合</w:t>
                  </w:r>
                </w:p>
              </w:tc>
            </w:tr>
            <w:tr w14:paraId="291C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274AF95C">
                  <w:pPr>
                    <w:jc w:val="center"/>
                    <w:rPr>
                      <w:color w:val="auto"/>
                      <w:szCs w:val="21"/>
                    </w:rPr>
                  </w:pPr>
                  <w:r>
                    <w:rPr>
                      <w:rFonts w:hint="eastAsia"/>
                      <w:color w:val="auto"/>
                      <w:szCs w:val="21"/>
                    </w:rPr>
                    <w:t>5</w:t>
                  </w:r>
                </w:p>
              </w:tc>
              <w:tc>
                <w:tcPr>
                  <w:tcW w:w="2989" w:type="pct"/>
                  <w:vAlign w:val="center"/>
                </w:tcPr>
                <w:p w14:paraId="024CFAAB">
                  <w:pPr>
                    <w:rPr>
                      <w:color w:val="auto"/>
                      <w:szCs w:val="21"/>
                    </w:rPr>
                  </w:pPr>
                  <w:r>
                    <w:rPr>
                      <w:rFonts w:hint="eastAsia"/>
                      <w:color w:val="auto"/>
                      <w:szCs w:val="21"/>
                    </w:rPr>
                    <w:t>（二）严格保护生态空间，优化《规划》布局。将生态保护红线作为保障和维护区域生态安全的底线，应进一步优化矿业权设置和空间布局，依法依规对生态空间实施严格保护。与生态保护红线存在空间重叠的6个能源资源基地、24个国家规划矿区、22个重点勘查区、32个重点开采区等，后续设置矿业权时，应进一步优化布局，确保满足生态保护红线管控要求。与大气环境优先保护区（自然保护区、森林公园、世界遗产地等）存在空间重叠的90个勘查规划区块、25个开采规划区块，以及与水环境优先保护区存在空间重叠的462个勘查规划区块、153个开采规划区块和与农用地优先保护区存在空间重叠的28个勘查规划区块、8个开采规划区块等，后续设置矿业权时，应进一步优化布局、强化管控措施，确保满足生态环境分区管控及相关环境保护要求。</w:t>
                  </w:r>
                </w:p>
              </w:tc>
              <w:tc>
                <w:tcPr>
                  <w:tcW w:w="1189" w:type="pct"/>
                  <w:vAlign w:val="center"/>
                </w:tcPr>
                <w:p w14:paraId="5E392718">
                  <w:pPr>
                    <w:rPr>
                      <w:color w:val="auto"/>
                      <w:szCs w:val="21"/>
                    </w:rPr>
                  </w:pPr>
                  <w:r>
                    <w:rPr>
                      <w:rFonts w:hint="eastAsia"/>
                      <w:color w:val="auto"/>
                      <w:szCs w:val="21"/>
                    </w:rPr>
                    <w:t>本项目不涉及生态保护红线；属国家规划矿区；建筑用砂矿建设符合“三线一单”要求，符合生态环境分区管控及相关环境保护要求。</w:t>
                  </w:r>
                </w:p>
              </w:tc>
              <w:tc>
                <w:tcPr>
                  <w:tcW w:w="544" w:type="pct"/>
                  <w:vAlign w:val="center"/>
                </w:tcPr>
                <w:p w14:paraId="519DADAB">
                  <w:pPr>
                    <w:rPr>
                      <w:color w:val="auto"/>
                      <w:szCs w:val="21"/>
                    </w:rPr>
                  </w:pPr>
                  <w:r>
                    <w:rPr>
                      <w:rFonts w:hint="eastAsia"/>
                      <w:color w:val="auto"/>
                      <w:szCs w:val="21"/>
                    </w:rPr>
                    <w:t>符合</w:t>
                  </w:r>
                </w:p>
              </w:tc>
            </w:tr>
            <w:tr w14:paraId="3496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412E3BF1">
                  <w:pPr>
                    <w:jc w:val="center"/>
                    <w:rPr>
                      <w:color w:val="auto"/>
                      <w:szCs w:val="21"/>
                    </w:rPr>
                  </w:pPr>
                  <w:r>
                    <w:rPr>
                      <w:rFonts w:hint="eastAsia"/>
                      <w:color w:val="auto"/>
                      <w:szCs w:val="21"/>
                    </w:rPr>
                    <w:t>6</w:t>
                  </w:r>
                </w:p>
              </w:tc>
              <w:tc>
                <w:tcPr>
                  <w:tcW w:w="2989" w:type="pct"/>
                  <w:vAlign w:val="center"/>
                </w:tcPr>
                <w:p w14:paraId="25BE5F6C">
                  <w:pPr>
                    <w:rPr>
                      <w:color w:val="auto"/>
                      <w:szCs w:val="21"/>
                    </w:rPr>
                  </w:pPr>
                  <w:r>
                    <w:rPr>
                      <w:rFonts w:hint="eastAsia"/>
                      <w:color w:val="auto"/>
                      <w:szCs w:val="21"/>
                    </w:rPr>
                    <w:t>（三）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黏土等矿产；限制开采硫铁矿、砖瓦用黏土等矿产；严格控制开采钨、稀土等特定保护性矿产。严格尾矿库的新建和管理，确保符合相关要求。</w:t>
                  </w:r>
                </w:p>
              </w:tc>
              <w:tc>
                <w:tcPr>
                  <w:tcW w:w="1189" w:type="pct"/>
                  <w:vAlign w:val="center"/>
                </w:tcPr>
                <w:p w14:paraId="135F8808">
                  <w:pPr>
                    <w:rPr>
                      <w:color w:val="auto"/>
                      <w:szCs w:val="21"/>
                    </w:rPr>
                  </w:pPr>
                  <w:r>
                    <w:rPr>
                      <w:color w:val="auto"/>
                      <w:szCs w:val="21"/>
                    </w:rPr>
                    <w:t>本项目建设规模符合矿区总体规划要求和《产业结构调整指导目录（2024年）》；建设规模符合矿山最低开采规模准入要求</w:t>
                  </w:r>
                  <w:r>
                    <w:rPr>
                      <w:rFonts w:hint="eastAsia"/>
                      <w:color w:val="auto"/>
                      <w:szCs w:val="21"/>
                    </w:rPr>
                    <w:t>。</w:t>
                  </w:r>
                </w:p>
              </w:tc>
              <w:tc>
                <w:tcPr>
                  <w:tcW w:w="544" w:type="pct"/>
                  <w:vAlign w:val="center"/>
                </w:tcPr>
                <w:p w14:paraId="52F24D8F">
                  <w:pPr>
                    <w:rPr>
                      <w:color w:val="auto"/>
                      <w:szCs w:val="21"/>
                    </w:rPr>
                  </w:pPr>
                  <w:r>
                    <w:rPr>
                      <w:rFonts w:hint="eastAsia"/>
                      <w:color w:val="auto"/>
                      <w:szCs w:val="21"/>
                    </w:rPr>
                    <w:t>符合</w:t>
                  </w:r>
                </w:p>
              </w:tc>
            </w:tr>
            <w:tr w14:paraId="2FA4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0209E507">
                  <w:pPr>
                    <w:jc w:val="center"/>
                    <w:rPr>
                      <w:color w:val="auto"/>
                      <w:szCs w:val="21"/>
                    </w:rPr>
                  </w:pPr>
                  <w:r>
                    <w:rPr>
                      <w:rFonts w:hint="eastAsia"/>
                      <w:color w:val="auto"/>
                      <w:szCs w:val="21"/>
                    </w:rPr>
                    <w:t>7</w:t>
                  </w:r>
                </w:p>
              </w:tc>
              <w:tc>
                <w:tcPr>
                  <w:tcW w:w="2989" w:type="pct"/>
                  <w:vAlign w:val="center"/>
                </w:tcPr>
                <w:p w14:paraId="50A3E148">
                  <w:pPr>
                    <w:rPr>
                      <w:color w:val="auto"/>
                      <w:szCs w:val="21"/>
                    </w:rPr>
                  </w:pPr>
                  <w:r>
                    <w:rPr>
                      <w:rFonts w:hint="eastAsia"/>
                      <w:color w:val="auto"/>
                      <w:szCs w:val="21"/>
                    </w:rPr>
                    <w:t>（四）严格环境准入，保护区域生态功能。按照新疆维吾尔自治区生态环境分区管控方案、生态环境保护规划等新要求，与大气环境优先保护区、水环境优先保护区、农用地优先保护区等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189" w:type="pct"/>
                  <w:vAlign w:val="center"/>
                </w:tcPr>
                <w:p w14:paraId="3A0679A6">
                  <w:pPr>
                    <w:rPr>
                      <w:color w:val="auto"/>
                      <w:szCs w:val="21"/>
                    </w:rPr>
                  </w:pPr>
                  <w:r>
                    <w:rPr>
                      <w:rFonts w:hint="eastAsia"/>
                      <w:color w:val="auto"/>
                      <w:szCs w:val="21"/>
                    </w:rPr>
                    <w:t>建筑用砂矿建设符合新疆维吾尔自治区生态环境分区管控方案；不涉及生态红线；矿山建设和运营过程中采取了污染防治措施和生态保护措施，减轻建筑用砂矿开采带来的不良环境影响。</w:t>
                  </w:r>
                </w:p>
              </w:tc>
              <w:tc>
                <w:tcPr>
                  <w:tcW w:w="544" w:type="pct"/>
                  <w:vAlign w:val="center"/>
                </w:tcPr>
                <w:p w14:paraId="2575B4C4">
                  <w:pPr>
                    <w:rPr>
                      <w:color w:val="auto"/>
                      <w:szCs w:val="21"/>
                    </w:rPr>
                  </w:pPr>
                  <w:r>
                    <w:rPr>
                      <w:rFonts w:hint="eastAsia"/>
                      <w:color w:val="auto"/>
                      <w:szCs w:val="21"/>
                    </w:rPr>
                    <w:t>符合</w:t>
                  </w:r>
                </w:p>
              </w:tc>
            </w:tr>
            <w:tr w14:paraId="7BEC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55C567B9">
                  <w:pPr>
                    <w:jc w:val="center"/>
                    <w:rPr>
                      <w:color w:val="auto"/>
                      <w:szCs w:val="21"/>
                    </w:rPr>
                  </w:pPr>
                  <w:r>
                    <w:rPr>
                      <w:rFonts w:hint="eastAsia"/>
                      <w:color w:val="auto"/>
                      <w:szCs w:val="21"/>
                    </w:rPr>
                    <w:t>8</w:t>
                  </w:r>
                </w:p>
              </w:tc>
              <w:tc>
                <w:tcPr>
                  <w:tcW w:w="2989" w:type="pct"/>
                  <w:vAlign w:val="center"/>
                </w:tcPr>
                <w:p w14:paraId="11290E89">
                  <w:pPr>
                    <w:rPr>
                      <w:color w:val="auto"/>
                      <w:szCs w:val="21"/>
                    </w:rPr>
                  </w:pPr>
                  <w:r>
                    <w:rPr>
                      <w:rFonts w:hint="eastAsia"/>
                      <w:color w:val="auto"/>
                      <w:szCs w:val="21"/>
                    </w:rPr>
                    <w:t>（五）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11000公顷。重视关闭矿山及历史遗留矿山的生态环境问题，明确污染治理、生态修复的任务、要求和完成时限。对可能造成重金属污染等环境问题的矿区，进一步优化开发方式，推进结构调整，加大治理投入。</w:t>
                  </w:r>
                </w:p>
              </w:tc>
              <w:tc>
                <w:tcPr>
                  <w:tcW w:w="1189" w:type="pct"/>
                  <w:vAlign w:val="center"/>
                </w:tcPr>
                <w:p w14:paraId="6F1F4794">
                  <w:pPr>
                    <w:rPr>
                      <w:color w:val="auto"/>
                      <w:szCs w:val="21"/>
                    </w:rPr>
                  </w:pPr>
                  <w:r>
                    <w:rPr>
                      <w:rFonts w:hint="eastAsia"/>
                      <w:color w:val="auto"/>
                      <w:szCs w:val="21"/>
                    </w:rPr>
                    <w:t>已加强矿山生态恢复和环境治理；对运营过程中的废气、废水等提出污染防治措施。</w:t>
                  </w:r>
                </w:p>
              </w:tc>
              <w:tc>
                <w:tcPr>
                  <w:tcW w:w="544" w:type="pct"/>
                  <w:vAlign w:val="center"/>
                </w:tcPr>
                <w:p w14:paraId="1E09E03E">
                  <w:pPr>
                    <w:rPr>
                      <w:color w:val="auto"/>
                      <w:szCs w:val="21"/>
                    </w:rPr>
                  </w:pPr>
                  <w:r>
                    <w:rPr>
                      <w:rFonts w:hint="eastAsia"/>
                      <w:color w:val="auto"/>
                      <w:szCs w:val="21"/>
                    </w:rPr>
                    <w:t>符合</w:t>
                  </w:r>
                </w:p>
              </w:tc>
            </w:tr>
            <w:tr w14:paraId="4D94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3ABE7F8C">
                  <w:pPr>
                    <w:jc w:val="center"/>
                    <w:rPr>
                      <w:color w:val="auto"/>
                      <w:szCs w:val="21"/>
                    </w:rPr>
                  </w:pPr>
                  <w:r>
                    <w:rPr>
                      <w:rFonts w:hint="eastAsia"/>
                      <w:color w:val="auto"/>
                      <w:szCs w:val="21"/>
                    </w:rPr>
                    <w:t>9</w:t>
                  </w:r>
                </w:p>
              </w:tc>
              <w:tc>
                <w:tcPr>
                  <w:tcW w:w="2989" w:type="pct"/>
                  <w:vAlign w:val="center"/>
                </w:tcPr>
                <w:p w14:paraId="392FDF6C">
                  <w:pPr>
                    <w:rPr>
                      <w:color w:val="auto"/>
                      <w:szCs w:val="21"/>
                    </w:rPr>
                  </w:pPr>
                  <w:r>
                    <w:rPr>
                      <w:rFonts w:hint="eastAsia"/>
                      <w:color w:val="auto"/>
                      <w:szCs w:val="21"/>
                    </w:rPr>
                    <w:t>（六）加强生态环境保护监测和预警。结合生态保护、饮用水水源保护区及水环境功能区水质保护及改善要求、土壤污染防治目标等，推进重点矿区建立生态、地表水、地下水、土壤等环境要素的长期监测监控体系，明确责任主体、强化资金保障，其中，在用尾矿库100%安装在线监测装置；组织开展主要矿种集中开采区域生态修复效果评估，并根据监测和评估结果增加和优化必要的保护措施。针对地表水环境及土壤环境累积影响、地下水环境质量下降、生态退化等情形，建立预警机制。</w:t>
                  </w:r>
                </w:p>
              </w:tc>
              <w:tc>
                <w:tcPr>
                  <w:tcW w:w="1189" w:type="pct"/>
                  <w:vAlign w:val="center"/>
                </w:tcPr>
                <w:p w14:paraId="7C9B0999">
                  <w:pPr>
                    <w:rPr>
                      <w:color w:val="auto"/>
                      <w:szCs w:val="21"/>
                    </w:rPr>
                  </w:pPr>
                  <w:r>
                    <w:rPr>
                      <w:rFonts w:hint="eastAsia"/>
                      <w:color w:val="auto"/>
                      <w:szCs w:val="21"/>
                    </w:rPr>
                    <w:t>环评要求建筑用砂矿建设生态、地下水、土壤等监控体系和预警机制；采取污染防治措施和生态保护措施，防止地下水、土壤环境质量下降。</w:t>
                  </w:r>
                </w:p>
              </w:tc>
              <w:tc>
                <w:tcPr>
                  <w:tcW w:w="544" w:type="pct"/>
                  <w:vAlign w:val="center"/>
                </w:tcPr>
                <w:p w14:paraId="62CC2AD7">
                  <w:pPr>
                    <w:rPr>
                      <w:color w:val="auto"/>
                      <w:szCs w:val="21"/>
                    </w:rPr>
                  </w:pPr>
                  <w:r>
                    <w:rPr>
                      <w:rFonts w:hint="eastAsia"/>
                      <w:color w:val="auto"/>
                      <w:szCs w:val="21"/>
                    </w:rPr>
                    <w:t>符合</w:t>
                  </w:r>
                </w:p>
              </w:tc>
            </w:tr>
          </w:tbl>
          <w:p w14:paraId="5178D926">
            <w:pPr>
              <w:autoSpaceDE w:val="0"/>
              <w:autoSpaceDN w:val="0"/>
              <w:spacing w:line="360" w:lineRule="auto"/>
              <w:ind w:firstLine="480" w:firstLineChars="200"/>
              <w:rPr>
                <w:color w:val="auto"/>
                <w:kern w:val="0"/>
                <w:sz w:val="24"/>
              </w:rPr>
            </w:pPr>
            <w:r>
              <w:rPr>
                <w:rFonts w:hint="eastAsia"/>
                <w:color w:val="auto"/>
                <w:kern w:val="0"/>
                <w:sz w:val="24"/>
              </w:rPr>
              <w:t>综上所述，本项目符合《新疆维吾尔自治区矿产资源总体规划（2021-2025）环境影响报告书》及审查意见要求。</w:t>
            </w:r>
          </w:p>
          <w:p w14:paraId="242F75ED">
            <w:pPr>
              <w:autoSpaceDE w:val="0"/>
              <w:autoSpaceDN w:val="0"/>
              <w:spacing w:line="360" w:lineRule="auto"/>
              <w:rPr>
                <w:b/>
                <w:bCs/>
                <w:color w:val="auto"/>
                <w:sz w:val="24"/>
              </w:rPr>
            </w:pPr>
            <w:r>
              <w:rPr>
                <w:rFonts w:hint="eastAsia"/>
                <w:b/>
                <w:bCs/>
                <w:color w:val="auto"/>
                <w:sz w:val="24"/>
              </w:rPr>
              <w:t>3、与《新疆维吾尔自治区昌吉回族自治州矿产资源总体规划（</w:t>
            </w:r>
            <w:r>
              <w:rPr>
                <w:b/>
                <w:bCs/>
                <w:color w:val="auto"/>
                <w:sz w:val="24"/>
              </w:rPr>
              <w:t>2021-2025</w:t>
            </w:r>
            <w:r>
              <w:rPr>
                <w:rFonts w:hint="eastAsia"/>
                <w:b/>
                <w:bCs/>
                <w:color w:val="auto"/>
                <w:sz w:val="24"/>
              </w:rPr>
              <w:t>）》</w:t>
            </w:r>
            <w:r>
              <w:rPr>
                <w:rFonts w:hint="eastAsia"/>
                <w:b/>
                <w:bCs/>
                <w:color w:val="auto"/>
                <w:sz w:val="24"/>
                <w:lang w:val="en-US" w:eastAsia="zh-CN"/>
              </w:rPr>
              <w:t>及规划环评</w:t>
            </w:r>
            <w:r>
              <w:rPr>
                <w:rFonts w:hint="eastAsia"/>
                <w:b/>
                <w:bCs/>
                <w:color w:val="auto"/>
                <w:sz w:val="24"/>
              </w:rPr>
              <w:t>符合性分析</w:t>
            </w:r>
          </w:p>
          <w:p w14:paraId="2240A70A">
            <w:pPr>
              <w:pStyle w:val="94"/>
              <w:pageBreakBefore w:val="0"/>
              <w:kinsoku/>
              <w:wordWrap/>
              <w:bidi w:val="0"/>
              <w:adjustRightInd/>
              <w:snapToGrid/>
              <w:spacing w:line="360" w:lineRule="auto"/>
              <w:outlineLvl w:val="9"/>
              <w:rPr>
                <w:rFonts w:hint="default" w:ascii="Times New Roman" w:hAnsi="Times New Roman" w:eastAsia="宋体" w:cs="Times New Roman"/>
                <w:b/>
                <w:bCs/>
                <w:color w:val="auto"/>
                <w:kern w:val="21"/>
                <w:lang w:eastAsia="zh-CN"/>
              </w:rPr>
            </w:pPr>
            <w:r>
              <w:rPr>
                <w:rFonts w:hint="eastAsia" w:ascii="Times New Roman" w:hAnsi="Times New Roman" w:eastAsia="宋体" w:cs="Times New Roman"/>
                <w:b/>
                <w:bCs/>
                <w:color w:val="auto"/>
                <w:kern w:val="21"/>
                <w:lang w:val="en-US" w:eastAsia="zh-CN"/>
              </w:rPr>
              <w:t>3.1</w:t>
            </w:r>
            <w:r>
              <w:rPr>
                <w:rFonts w:hint="default" w:ascii="Times New Roman" w:hAnsi="Times New Roman" w:eastAsia="宋体" w:cs="Times New Roman"/>
                <w:b/>
                <w:bCs/>
                <w:color w:val="auto"/>
                <w:kern w:val="21"/>
                <w:lang w:eastAsia="zh-CN"/>
              </w:rPr>
              <w:t>与《新疆维吾尔自治区昌吉回族自治州矿产资源总体规划（2021-2025年）》的符合性</w:t>
            </w:r>
          </w:p>
          <w:p w14:paraId="5E72D520">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lang w:eastAsia="zh-CN"/>
              </w:rPr>
            </w:pPr>
            <w:r>
              <w:rPr>
                <w:rFonts w:hint="default" w:ascii="Times New Roman" w:hAnsi="Times New Roman" w:eastAsia="宋体" w:cs="Times New Roman"/>
                <w:color w:val="auto"/>
                <w:kern w:val="21"/>
                <w:lang w:eastAsia="zh-CN"/>
              </w:rPr>
              <w:t>根据《新疆维吾尔自治区昌吉回族自治州矿产资源总体规划（2021-2025年）》：</w:t>
            </w:r>
            <w:r>
              <w:rPr>
                <w:rFonts w:hint="eastAsia" w:ascii="Times New Roman" w:hAnsi="Times New Roman" w:eastAsia="宋体" w:cs="Times New Roman"/>
                <w:color w:val="auto"/>
                <w:kern w:val="21"/>
                <w:lang w:eastAsia="zh-CN"/>
              </w:rPr>
              <w:t>“</w:t>
            </w:r>
            <w:r>
              <w:rPr>
                <w:rFonts w:hint="eastAsia" w:ascii="Times New Roman" w:hAnsi="Times New Roman" w:eastAsia="宋体" w:cs="Times New Roman"/>
                <w:color w:val="auto"/>
                <w:kern w:val="21"/>
                <w:lang w:val="en-US" w:eastAsia="zh-CN"/>
              </w:rPr>
              <w:t>优化矿产资源开发布局--非金属矿产--加强规模开采和产品深加工，延长产业链，提高附加值，建设一批特色非金属生产和深加工基地；昌吉州规划开采29个建筑用砂区块，规划面积4.45km</w:t>
            </w:r>
            <w:r>
              <w:rPr>
                <w:rFonts w:hint="eastAsia" w:ascii="Times New Roman" w:hAnsi="Times New Roman" w:eastAsia="宋体" w:cs="Times New Roman"/>
                <w:color w:val="auto"/>
                <w:kern w:val="21"/>
                <w:vertAlign w:val="superscript"/>
                <w:lang w:val="en-US" w:eastAsia="zh-CN"/>
              </w:rPr>
              <w:t>2</w:t>
            </w:r>
            <w:r>
              <w:rPr>
                <w:rFonts w:hint="eastAsia" w:ascii="Times New Roman" w:hAnsi="Times New Roman" w:eastAsia="宋体" w:cs="Times New Roman"/>
                <w:color w:val="auto"/>
                <w:kern w:val="21"/>
                <w:lang w:eastAsia="zh-CN"/>
              </w:rPr>
              <w:t>”</w:t>
            </w:r>
          </w:p>
          <w:p w14:paraId="6B8EAC93">
            <w:pPr>
              <w:pStyle w:val="94"/>
              <w:pageBreakBefore w:val="0"/>
              <w:kinsoku/>
              <w:wordWrap/>
              <w:bidi w:val="0"/>
              <w:adjustRightInd/>
              <w:snapToGrid/>
              <w:spacing w:line="360" w:lineRule="auto"/>
              <w:ind w:firstLine="480" w:firstLineChars="200"/>
              <w:outlineLvl w:val="9"/>
              <w:rPr>
                <w:rFonts w:hint="eastAsia" w:ascii="Times New Roman" w:hAnsi="Times New Roman" w:eastAsia="宋体" w:cs="Times New Roman"/>
                <w:color w:val="auto"/>
                <w:kern w:val="21"/>
                <w:lang w:val="en-US" w:eastAsia="zh-CN"/>
              </w:rPr>
            </w:pPr>
            <w:r>
              <w:rPr>
                <w:rFonts w:hint="eastAsia" w:ascii="Times New Roman" w:hAnsi="Times New Roman" w:eastAsia="宋体" w:cs="Times New Roman"/>
                <w:color w:val="auto"/>
                <w:kern w:val="21"/>
                <w:lang w:val="en-US" w:eastAsia="zh-CN"/>
              </w:rPr>
              <w:t>四、严格规范砂石土类矿产资源开发管理  2.合理规划集中开采区</w:t>
            </w:r>
          </w:p>
          <w:p w14:paraId="71A49652">
            <w:pPr>
              <w:pStyle w:val="94"/>
              <w:pageBreakBefore w:val="0"/>
              <w:kinsoku/>
              <w:wordWrap/>
              <w:bidi w:val="0"/>
              <w:adjustRightInd/>
              <w:snapToGrid/>
              <w:spacing w:line="360" w:lineRule="auto"/>
              <w:ind w:firstLine="480" w:firstLineChars="200"/>
              <w:outlineLvl w:val="9"/>
              <w:rPr>
                <w:rFonts w:hint="eastAsia" w:ascii="Times New Roman" w:hAnsi="Times New Roman" w:eastAsia="宋体" w:cs="Times New Roman"/>
                <w:color w:val="auto"/>
                <w:kern w:val="21"/>
                <w:lang w:val="en-US" w:eastAsia="zh-CN"/>
              </w:rPr>
            </w:pPr>
            <w:r>
              <w:rPr>
                <w:rFonts w:hint="eastAsia" w:ascii="Times New Roman" w:hAnsi="Times New Roman" w:eastAsia="宋体" w:cs="Times New Roman"/>
                <w:color w:val="auto"/>
                <w:kern w:val="21"/>
                <w:lang w:val="en-US" w:eastAsia="zh-CN"/>
              </w:rPr>
              <w:t>建筑用砂石料要合理调控开采总量，需严控设置数量，根据砂石土类矿的分布特点，结合运距、交通、矿体特征、资源储量、经济发展布局等因素，合理设立集中开采区。对建筑用砂石土类矿产实行严格的源头保护制度，有计划适度开发利用，砂石土类矿产的开采规划区块原则上应位于集中开采区内。坚持“集中开发、规模开采”原则，合理控制矿山数量，优化开发布局和结构。本规划全州共划分出76个集中开采区，总面积263.68</w:t>
            </w:r>
            <w:r>
              <w:rPr>
                <w:rFonts w:hint="eastAsia" w:ascii="Times New Roman" w:hAnsi="Times New Roman" w:cs="Times New Roman"/>
                <w:color w:val="auto"/>
                <w:kern w:val="21"/>
                <w:lang w:val="en-US" w:eastAsia="zh-CN"/>
              </w:rPr>
              <w:t>km</w:t>
            </w:r>
            <w:r>
              <w:rPr>
                <w:rFonts w:hint="eastAsia" w:ascii="Times New Roman" w:hAnsi="Times New Roman" w:cs="Times New Roman"/>
                <w:color w:val="auto"/>
                <w:kern w:val="21"/>
                <w:vertAlign w:val="superscript"/>
                <w:lang w:val="en-US" w:eastAsia="zh-CN"/>
              </w:rPr>
              <w:t>2</w:t>
            </w:r>
            <w:r>
              <w:rPr>
                <w:rFonts w:hint="eastAsia" w:ascii="Times New Roman" w:hAnsi="Times New Roman" w:eastAsia="宋体" w:cs="Times New Roman"/>
                <w:color w:val="auto"/>
                <w:kern w:val="21"/>
                <w:lang w:val="en-US" w:eastAsia="zh-CN"/>
              </w:rPr>
              <w:t>。</w:t>
            </w:r>
          </w:p>
          <w:p w14:paraId="60442E8F">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lang w:val="en-US" w:eastAsia="zh-CN"/>
              </w:rPr>
            </w:pPr>
            <w:r>
              <w:rPr>
                <w:rFonts w:hint="eastAsia" w:ascii="Times New Roman" w:hAnsi="Times New Roman" w:eastAsia="宋体" w:cs="Times New Roman"/>
                <w:color w:val="auto"/>
                <w:kern w:val="21"/>
                <w:lang w:val="en-US" w:eastAsia="zh-CN"/>
              </w:rPr>
              <w:t>第三节 严格规划准入管理 二、开采规模方面</w:t>
            </w:r>
          </w:p>
          <w:p w14:paraId="0BF0EECF">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lang w:eastAsia="zh-CN"/>
              </w:rPr>
            </w:pPr>
            <w:r>
              <w:rPr>
                <w:rFonts w:hint="default" w:ascii="Times New Roman" w:hAnsi="Times New Roman" w:eastAsia="宋体" w:cs="Times New Roman"/>
                <w:color w:val="auto"/>
                <w:kern w:val="21"/>
                <w:lang w:eastAsia="zh-CN"/>
              </w:rPr>
              <w:t>严格新建矿山最低开采规模准入标准，坚持矿山开采规模与储量规模相匹配，引导矿山企业规模开采，严格矿山建设标准、环境准入标准和安全标准，鼓励老矿山通过整合、提升规模达到相应矿山最低开采规模要求。产业政策和行业准入条件高于本规划规模准入标准的，以产业政策和行业准入条件为准。</w:t>
            </w:r>
          </w:p>
          <w:p w14:paraId="57CD34FD">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lang w:eastAsia="zh-CN"/>
              </w:rPr>
            </w:pPr>
            <w:r>
              <w:rPr>
                <w:rFonts w:hint="default" w:ascii="Times New Roman" w:hAnsi="Times New Roman" w:eastAsia="宋体" w:cs="Times New Roman"/>
                <w:color w:val="auto"/>
                <w:kern w:val="21"/>
                <w:lang w:eastAsia="zh-CN"/>
              </w:rPr>
              <w:t>新建矿山开采规模不得低于矿产资源规划确定的矿山最低开采规模，做到开采规模与储量规模相适应，编制有通过评审的《矿产资源开发利用与生态保护修复方案》。对于已经取得采矿权而开采规模与矿山相应的资源储量规模显著不协调的，即达不到规划所限定的最低开采规模的矿山，应该限期整改、联合，走规模化、集约化之路。</w:t>
            </w:r>
          </w:p>
          <w:p w14:paraId="50B5BEEF">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lang w:eastAsia="zh-CN"/>
              </w:rPr>
            </w:pPr>
            <w:r>
              <w:rPr>
                <w:rFonts w:hint="default" w:ascii="Times New Roman" w:hAnsi="Times New Roman" w:eastAsia="宋体" w:cs="Times New Roman"/>
                <w:color w:val="auto"/>
                <w:kern w:val="21"/>
                <w:lang w:eastAsia="zh-CN"/>
              </w:rPr>
              <w:t>此外，市、县、区级自然资源主管部门应结合本地资源赋存项目建设实际积极组织论证用作普通建筑用砂石矿的开发布局、生产规模，原则上每个县（市、区）可设置1至3个集中开采区，区内拟投入开采规划区块个数和开采规模、服务年限应与资源储量相匹配，原则上最低开采规模不低于30万</w:t>
            </w:r>
            <w:r>
              <w:rPr>
                <w:rFonts w:ascii="Times New Roman" w:hAnsi="Times New Roman" w:eastAsia="宋体"/>
                <w:color w:val="auto"/>
                <w:kern w:val="21"/>
                <w:sz w:val="24"/>
              </w:rPr>
              <w:t>m</w:t>
            </w:r>
            <w:r>
              <w:rPr>
                <w:rFonts w:ascii="Times New Roman" w:hAnsi="Times New Roman" w:eastAsia="宋体"/>
                <w:color w:val="auto"/>
                <w:kern w:val="21"/>
                <w:sz w:val="24"/>
                <w:vertAlign w:val="superscript"/>
              </w:rPr>
              <w:t>3</w:t>
            </w:r>
            <w:r>
              <w:rPr>
                <w:rFonts w:ascii="Times New Roman" w:hAnsi="Times New Roman" w:eastAsia="宋体"/>
                <w:color w:val="auto"/>
                <w:kern w:val="21"/>
                <w:sz w:val="24"/>
              </w:rPr>
              <w:t>/a</w:t>
            </w:r>
            <w:r>
              <w:rPr>
                <w:rFonts w:hint="default" w:ascii="Times New Roman" w:hAnsi="Times New Roman" w:eastAsia="宋体" w:cs="Times New Roman"/>
                <w:color w:val="auto"/>
                <w:kern w:val="21"/>
                <w:lang w:eastAsia="zh-CN"/>
              </w:rPr>
              <w:t>。因资源禀赋和开发条件限制，确属保障交通等基础设施建设重点项目的，根据项目建设实际需求其最低开采规模可适当降低。</w:t>
            </w:r>
          </w:p>
          <w:p w14:paraId="70B54E76">
            <w:pPr>
              <w:pStyle w:val="94"/>
              <w:pageBreakBefore w:val="0"/>
              <w:kinsoku/>
              <w:wordWrap/>
              <w:bidi w:val="0"/>
              <w:adjustRightInd/>
              <w:snapToGrid/>
              <w:spacing w:line="360" w:lineRule="auto"/>
              <w:ind w:firstLine="480" w:firstLineChars="200"/>
              <w:outlineLvl w:val="9"/>
              <w:rPr>
                <w:rFonts w:hint="default" w:ascii="Times New Roman" w:hAnsi="Times New Roman" w:eastAsia="宋体"/>
                <w:color w:val="auto"/>
                <w:kern w:val="21"/>
                <w:sz w:val="24"/>
                <w:lang w:val="en-US" w:eastAsia="zh-CN"/>
              </w:rPr>
            </w:pPr>
            <w:r>
              <w:rPr>
                <w:rFonts w:hint="default" w:ascii="Times New Roman" w:hAnsi="Times New Roman" w:eastAsia="宋体" w:cs="Times New Roman"/>
                <w:color w:val="auto"/>
                <w:kern w:val="21"/>
                <w:lang w:eastAsia="zh-CN"/>
              </w:rPr>
              <w:t>本项目为</w:t>
            </w:r>
            <w:r>
              <w:rPr>
                <w:rFonts w:hint="eastAsia" w:ascii="Times New Roman" w:hAnsi="Times New Roman" w:eastAsia="宋体" w:cs="Times New Roman"/>
                <w:color w:val="auto"/>
                <w:kern w:val="21"/>
                <w:lang w:val="en-US" w:eastAsia="zh-CN"/>
              </w:rPr>
              <w:t>建筑用砂</w:t>
            </w:r>
            <w:r>
              <w:rPr>
                <w:rFonts w:hint="default" w:ascii="Times New Roman" w:hAnsi="Times New Roman" w:eastAsia="宋体" w:cs="Times New Roman"/>
                <w:color w:val="auto"/>
                <w:kern w:val="21"/>
                <w:lang w:eastAsia="zh-CN"/>
              </w:rPr>
              <w:t>开采项目，</w:t>
            </w:r>
            <w:r>
              <w:rPr>
                <w:rFonts w:hint="eastAsia" w:ascii="Times New Roman" w:hAnsi="Times New Roman" w:cs="Times New Roman"/>
                <w:color w:val="auto"/>
                <w:kern w:val="21"/>
                <w:lang w:val="en-US" w:eastAsia="zh-CN"/>
              </w:rPr>
              <w:t>位于奇台县三个庄子镇砂石料矿规划区</w:t>
            </w:r>
            <w:r>
              <w:rPr>
                <w:rFonts w:hint="eastAsia" w:ascii="Times New Roman" w:hAnsi="Times New Roman" w:eastAsia="宋体" w:cs="Times New Roman"/>
                <w:color w:val="auto"/>
                <w:kern w:val="21"/>
                <w:lang w:val="en-US" w:eastAsia="zh-CN"/>
              </w:rPr>
              <w:t>范围内。建设单位已编制完成矿山地质环境保护与土地复垦方案，并完成专家评审。</w:t>
            </w:r>
            <w:r>
              <w:rPr>
                <w:rFonts w:ascii="Times New Roman" w:hAnsi="Times New Roman" w:eastAsia="宋体"/>
                <w:color w:val="auto"/>
                <w:kern w:val="21"/>
                <w:sz w:val="24"/>
              </w:rPr>
              <w:t>根据资源储量设计生产规模为开采建筑用</w:t>
            </w:r>
            <w:r>
              <w:rPr>
                <w:rFonts w:hint="eastAsia" w:ascii="Times New Roman" w:hAnsi="Times New Roman" w:eastAsia="宋体"/>
                <w:color w:val="auto"/>
                <w:kern w:val="21"/>
                <w:sz w:val="24"/>
                <w:lang w:val="en-US" w:eastAsia="zh-CN"/>
              </w:rPr>
              <w:t>砂30</w:t>
            </w:r>
            <w:r>
              <w:rPr>
                <w:rFonts w:ascii="Times New Roman" w:hAnsi="Times New Roman" w:eastAsia="宋体"/>
                <w:color w:val="auto"/>
                <w:kern w:val="21"/>
                <w:sz w:val="24"/>
              </w:rPr>
              <w:t>万m</w:t>
            </w:r>
            <w:r>
              <w:rPr>
                <w:rFonts w:ascii="Times New Roman" w:hAnsi="Times New Roman" w:eastAsia="宋体"/>
                <w:color w:val="auto"/>
                <w:kern w:val="21"/>
                <w:sz w:val="24"/>
                <w:vertAlign w:val="superscript"/>
              </w:rPr>
              <w:t>3</w:t>
            </w:r>
            <w:r>
              <w:rPr>
                <w:rFonts w:ascii="Times New Roman" w:hAnsi="Times New Roman" w:eastAsia="宋体"/>
                <w:color w:val="auto"/>
                <w:kern w:val="21"/>
                <w:sz w:val="24"/>
              </w:rPr>
              <w:t>/a，</w:t>
            </w:r>
            <w:r>
              <w:rPr>
                <w:rFonts w:hint="eastAsia" w:ascii="Times New Roman" w:hAnsi="Times New Roman" w:eastAsia="宋体"/>
                <w:color w:val="auto"/>
                <w:kern w:val="21"/>
                <w:sz w:val="24"/>
                <w:lang w:val="en-US" w:eastAsia="zh-CN"/>
              </w:rPr>
              <w:t>符合</w:t>
            </w:r>
            <w:r>
              <w:rPr>
                <w:rFonts w:hint="default" w:ascii="Times New Roman" w:hAnsi="Times New Roman" w:eastAsia="宋体" w:cs="Times New Roman"/>
                <w:color w:val="auto"/>
                <w:kern w:val="21"/>
                <w:lang w:eastAsia="zh-CN"/>
              </w:rPr>
              <w:t>最低开采规模不低于30万</w:t>
            </w:r>
            <w:r>
              <w:rPr>
                <w:rFonts w:ascii="Times New Roman" w:hAnsi="Times New Roman" w:eastAsia="宋体"/>
                <w:color w:val="auto"/>
                <w:kern w:val="21"/>
                <w:sz w:val="24"/>
              </w:rPr>
              <w:t>m</w:t>
            </w:r>
            <w:r>
              <w:rPr>
                <w:rFonts w:ascii="Times New Roman" w:hAnsi="Times New Roman" w:eastAsia="宋体"/>
                <w:color w:val="auto"/>
                <w:kern w:val="21"/>
                <w:sz w:val="24"/>
                <w:vertAlign w:val="superscript"/>
              </w:rPr>
              <w:t>3</w:t>
            </w:r>
            <w:r>
              <w:rPr>
                <w:rFonts w:ascii="Times New Roman" w:hAnsi="Times New Roman" w:eastAsia="宋体"/>
                <w:color w:val="auto"/>
                <w:kern w:val="21"/>
                <w:sz w:val="24"/>
              </w:rPr>
              <w:t>/a</w:t>
            </w:r>
            <w:r>
              <w:rPr>
                <w:rFonts w:hint="eastAsia" w:ascii="Times New Roman" w:hAnsi="Times New Roman" w:eastAsia="宋体" w:cs="Times New Roman"/>
                <w:color w:val="auto"/>
                <w:kern w:val="21"/>
                <w:lang w:val="en-US" w:eastAsia="zh-CN"/>
              </w:rPr>
              <w:t>要求。</w:t>
            </w:r>
          </w:p>
          <w:p w14:paraId="5D9A4218">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lang w:eastAsia="zh-CN"/>
              </w:rPr>
            </w:pPr>
            <w:r>
              <w:rPr>
                <w:rFonts w:hint="eastAsia" w:ascii="Times New Roman" w:hAnsi="Times New Roman" w:eastAsia="宋体"/>
                <w:color w:val="auto"/>
                <w:kern w:val="21"/>
                <w:sz w:val="24"/>
                <w:lang w:val="en-US" w:eastAsia="zh-CN"/>
              </w:rPr>
              <w:t>本项目为《新疆维吾尔自治区昌吉回族自治州矿产资源总体规划（2021-2025年）》允许开采矿种，开采规模大于该规划规定的建筑用砂矿最低开采规模（30万m³）</w:t>
            </w:r>
            <w:r>
              <w:rPr>
                <w:rFonts w:hint="eastAsia" w:ascii="Times New Roman" w:hAnsi="Times New Roman"/>
                <w:color w:val="auto"/>
                <w:kern w:val="21"/>
                <w:sz w:val="24"/>
                <w:lang w:val="en-US" w:eastAsia="zh-CN"/>
              </w:rPr>
              <w:t>，</w:t>
            </w:r>
            <w:r>
              <w:rPr>
                <w:rFonts w:hint="eastAsia" w:ascii="Times New Roman" w:hAnsi="Times New Roman" w:eastAsia="宋体"/>
                <w:color w:val="auto"/>
                <w:kern w:val="21"/>
                <w:sz w:val="24"/>
                <w:lang w:val="en-US" w:eastAsia="zh-CN"/>
              </w:rPr>
              <w:t>本项目建设</w:t>
            </w:r>
            <w:r>
              <w:rPr>
                <w:rFonts w:hint="default" w:ascii="Times New Roman" w:hAnsi="Times New Roman" w:eastAsia="宋体" w:cs="Times New Roman"/>
                <w:color w:val="auto"/>
                <w:kern w:val="21"/>
                <w:lang w:eastAsia="zh-CN"/>
              </w:rPr>
              <w:t>符合</w:t>
            </w:r>
            <w:r>
              <w:rPr>
                <w:rFonts w:hint="eastAsia" w:ascii="Times New Roman" w:hAnsi="Times New Roman" w:eastAsia="宋体" w:cs="Times New Roman"/>
                <w:color w:val="auto"/>
                <w:kern w:val="21"/>
                <w:lang w:eastAsia="zh-CN"/>
              </w:rPr>
              <w:t>《新疆维吾尔自治区昌吉回族自治州矿产资源总体规划（2021-2025年）》</w:t>
            </w:r>
            <w:r>
              <w:rPr>
                <w:rFonts w:hint="default" w:ascii="Times New Roman" w:hAnsi="Times New Roman" w:eastAsia="宋体" w:cs="Times New Roman"/>
                <w:color w:val="auto"/>
                <w:kern w:val="21"/>
                <w:lang w:eastAsia="zh-CN"/>
              </w:rPr>
              <w:t>。</w:t>
            </w:r>
          </w:p>
          <w:p w14:paraId="4302F841">
            <w:pPr>
              <w:pStyle w:val="94"/>
              <w:pageBreakBefore w:val="0"/>
              <w:kinsoku/>
              <w:wordWrap/>
              <w:bidi w:val="0"/>
              <w:adjustRightInd/>
              <w:snapToGrid/>
              <w:spacing w:line="360" w:lineRule="auto"/>
              <w:outlineLvl w:val="9"/>
              <w:rPr>
                <w:rFonts w:hint="default" w:ascii="Times New Roman" w:hAnsi="Times New Roman" w:eastAsia="宋体" w:cs="Times New Roman"/>
                <w:b/>
                <w:bCs/>
                <w:color w:val="auto"/>
                <w:kern w:val="21"/>
                <w:lang w:eastAsia="zh-CN"/>
              </w:rPr>
            </w:pPr>
            <w:r>
              <w:rPr>
                <w:rFonts w:hint="eastAsia" w:ascii="Times New Roman" w:hAnsi="Times New Roman" w:eastAsia="宋体" w:cs="Times New Roman"/>
                <w:b/>
                <w:bCs/>
                <w:color w:val="auto"/>
                <w:kern w:val="21"/>
                <w:lang w:val="en-US" w:eastAsia="zh-CN"/>
              </w:rPr>
              <w:t>3.2</w:t>
            </w:r>
            <w:r>
              <w:rPr>
                <w:rFonts w:hint="eastAsia" w:ascii="Times New Roman" w:hAnsi="Times New Roman" w:eastAsia="宋体" w:cs="Times New Roman"/>
                <w:b/>
                <w:bCs/>
                <w:color w:val="auto"/>
                <w:kern w:val="21"/>
                <w:lang w:eastAsia="zh-CN"/>
              </w:rPr>
              <w:t>与《昌吉州矿产资源总体规划（2021-2025年）环境影响报告书》及审查意见符合性分析</w:t>
            </w:r>
          </w:p>
          <w:p w14:paraId="0A73F7F9">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highlight w:val="none"/>
                <w:lang w:eastAsia="zh-CN"/>
              </w:rPr>
            </w:pPr>
            <w:r>
              <w:rPr>
                <w:rFonts w:hint="eastAsia" w:ascii="Times New Roman" w:hAnsi="Times New Roman" w:eastAsia="宋体" w:cs="Times New Roman"/>
                <w:color w:val="auto"/>
                <w:kern w:val="21"/>
                <w:highlight w:val="none"/>
                <w:lang w:val="en-US" w:eastAsia="zh-CN"/>
              </w:rPr>
              <w:t>2023年7月27日，昌吉回族自治州生态环境局出具了</w:t>
            </w:r>
            <w:r>
              <w:rPr>
                <w:rFonts w:hint="default" w:ascii="Times New Roman" w:hAnsi="Times New Roman" w:eastAsia="宋体" w:cs="Times New Roman"/>
                <w:color w:val="auto"/>
                <w:kern w:val="21"/>
                <w:sz w:val="24"/>
                <w:highlight w:val="none"/>
              </w:rPr>
              <w:t>《关于</w:t>
            </w:r>
            <w:r>
              <w:rPr>
                <w:rFonts w:hint="eastAsia" w:ascii="Times New Roman" w:hAnsi="Times New Roman" w:eastAsia="宋体" w:cs="Times New Roman"/>
                <w:color w:val="auto"/>
                <w:kern w:val="21"/>
                <w:sz w:val="24"/>
                <w:highlight w:val="none"/>
                <w:lang w:val="en-US" w:eastAsia="zh-CN"/>
              </w:rPr>
              <w:t>&lt;</w:t>
            </w:r>
            <w:r>
              <w:rPr>
                <w:rFonts w:hint="eastAsia" w:ascii="Times New Roman" w:hAnsi="Times New Roman" w:eastAsia="宋体" w:cs="Times New Roman"/>
                <w:color w:val="auto"/>
                <w:kern w:val="21"/>
                <w:highlight w:val="none"/>
                <w:lang w:eastAsia="zh-CN"/>
              </w:rPr>
              <w:t>昌吉州矿产资源总体规划（2021-2025年）环境影响报告书</w:t>
            </w:r>
            <w:r>
              <w:rPr>
                <w:rFonts w:hint="eastAsia" w:ascii="Times New Roman" w:hAnsi="Times New Roman" w:eastAsia="宋体" w:cs="Times New Roman"/>
                <w:color w:val="auto"/>
                <w:kern w:val="21"/>
                <w:sz w:val="24"/>
                <w:highlight w:val="none"/>
                <w:lang w:val="en-US" w:eastAsia="zh-CN"/>
              </w:rPr>
              <w:t>&gt;</w:t>
            </w:r>
            <w:r>
              <w:rPr>
                <w:rFonts w:hint="default" w:ascii="Times New Roman" w:hAnsi="Times New Roman" w:eastAsia="宋体" w:cs="Times New Roman"/>
                <w:color w:val="auto"/>
                <w:kern w:val="21"/>
                <w:sz w:val="24"/>
                <w:highlight w:val="none"/>
              </w:rPr>
              <w:t>的审查意见》</w:t>
            </w:r>
            <w:r>
              <w:rPr>
                <w:rFonts w:hint="eastAsia" w:ascii="Times New Roman" w:hAnsi="Times New Roman" w:eastAsia="宋体" w:cs="Times New Roman"/>
                <w:color w:val="auto"/>
                <w:kern w:val="21"/>
                <w:sz w:val="24"/>
                <w:highlight w:val="none"/>
                <w:lang w:eastAsia="zh-CN"/>
              </w:rPr>
              <w:t>（</w:t>
            </w:r>
            <w:r>
              <w:rPr>
                <w:rFonts w:hint="default" w:ascii="Times New Roman" w:hAnsi="Times New Roman" w:eastAsia="宋体" w:cs="Times New Roman"/>
                <w:color w:val="auto"/>
                <w:kern w:val="21"/>
                <w:sz w:val="24"/>
                <w:highlight w:val="none"/>
              </w:rPr>
              <w:t>昌州环函〔2023〕40号</w:t>
            </w:r>
            <w:r>
              <w:rPr>
                <w:rFonts w:hint="eastAsia" w:ascii="Times New Roman" w:hAnsi="Times New Roman" w:eastAsia="宋体" w:cs="Times New Roman"/>
                <w:color w:val="auto"/>
                <w:kern w:val="21"/>
                <w:sz w:val="24"/>
                <w:highlight w:val="none"/>
                <w:lang w:eastAsia="zh-CN"/>
              </w:rPr>
              <w:t>），</w:t>
            </w:r>
            <w:r>
              <w:rPr>
                <w:rFonts w:hint="eastAsia" w:ascii="Times New Roman" w:hAnsi="Times New Roman" w:eastAsia="宋体" w:cs="Times New Roman"/>
                <w:color w:val="auto"/>
                <w:kern w:val="21"/>
                <w:sz w:val="24"/>
                <w:highlight w:val="none"/>
                <w:lang w:val="en-US" w:eastAsia="zh-CN"/>
              </w:rPr>
              <w:t>本项目与其符合性分析详见表1-</w:t>
            </w:r>
            <w:r>
              <w:rPr>
                <w:rFonts w:hint="eastAsia" w:ascii="Times New Roman" w:hAnsi="Times New Roman" w:cs="Times New Roman"/>
                <w:color w:val="auto"/>
                <w:kern w:val="21"/>
                <w:sz w:val="24"/>
                <w:highlight w:val="none"/>
                <w:lang w:val="en-US" w:eastAsia="zh-CN"/>
              </w:rPr>
              <w:t>2</w:t>
            </w:r>
            <w:r>
              <w:rPr>
                <w:rFonts w:hint="eastAsia" w:ascii="Times New Roman" w:hAnsi="Times New Roman" w:eastAsia="宋体" w:cs="Times New Roman"/>
                <w:color w:val="auto"/>
                <w:kern w:val="21"/>
                <w:highlight w:val="none"/>
                <w:lang w:eastAsia="zh-CN"/>
              </w:rPr>
              <w:t>。</w:t>
            </w:r>
          </w:p>
          <w:p w14:paraId="6E542013">
            <w:pPr>
              <w:pStyle w:val="64"/>
              <w:outlineLvl w:val="9"/>
              <w:rPr>
                <w:rFonts w:hint="eastAsia"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eastAsia="zh-CN"/>
              </w:rPr>
              <w:t>表1-</w:t>
            </w:r>
            <w:r>
              <w:rPr>
                <w:rFonts w:hint="eastAsia" w:ascii="Times New Roman" w:hAnsi="Times New Roman" w:eastAsia="宋体" w:cs="Times New Roman"/>
                <w:b/>
                <w:bCs/>
                <w:color w:val="auto"/>
                <w:lang w:val="en-US" w:eastAsia="zh-CN"/>
              </w:rPr>
              <w:t>2</w:t>
            </w:r>
            <w:r>
              <w:rPr>
                <w:rFonts w:hint="default" w:ascii="Times New Roman" w:hAnsi="Times New Roman" w:eastAsia="宋体" w:cs="Times New Roman"/>
                <w:b/>
                <w:bCs/>
                <w:color w:val="auto"/>
                <w:lang w:eastAsia="zh-CN"/>
              </w:rPr>
              <w:t xml:space="preserve"> </w:t>
            </w:r>
            <w:r>
              <w:rPr>
                <w:rFonts w:hint="eastAsia"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lang w:eastAsia="zh-CN"/>
              </w:rPr>
              <w:t>项目与</w:t>
            </w:r>
            <w:r>
              <w:rPr>
                <w:rFonts w:hint="eastAsia" w:ascii="Times New Roman" w:hAnsi="Times New Roman" w:eastAsia="宋体" w:cs="Times New Roman"/>
                <w:b/>
                <w:bCs/>
                <w:color w:val="auto"/>
                <w:lang w:val="en-US" w:eastAsia="zh-CN"/>
              </w:rPr>
              <w:t>《昌吉州矿产资源总体规划（2021-2025年）环境影响报告书》</w:t>
            </w:r>
          </w:p>
          <w:p w14:paraId="0A372878">
            <w:pPr>
              <w:pStyle w:val="64"/>
              <w:outlineLvl w:val="9"/>
              <w:rPr>
                <w:rFonts w:hint="default" w:ascii="Times New Roman" w:hAnsi="Times New Roman" w:eastAsia="宋体" w:cs="Times New Roman"/>
                <w:b/>
                <w:bCs/>
                <w:color w:val="auto"/>
                <w:lang w:eastAsia="zh-CN"/>
              </w:rPr>
            </w:pPr>
            <w:r>
              <w:rPr>
                <w:rFonts w:hint="eastAsia" w:ascii="Times New Roman" w:hAnsi="Times New Roman" w:eastAsia="宋体" w:cs="Times New Roman"/>
                <w:b/>
                <w:bCs/>
                <w:color w:val="auto"/>
                <w:lang w:val="en-US" w:eastAsia="zh-CN"/>
              </w:rPr>
              <w:t>及审查意见</w:t>
            </w:r>
            <w:r>
              <w:rPr>
                <w:rFonts w:hint="default" w:ascii="Times New Roman" w:hAnsi="Times New Roman" w:eastAsia="宋体" w:cs="Times New Roman"/>
                <w:b/>
                <w:bCs/>
                <w:color w:val="auto"/>
                <w:lang w:eastAsia="zh-CN"/>
              </w:rPr>
              <w:t>符合性分析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2"/>
              <w:gridCol w:w="2444"/>
              <w:gridCol w:w="829"/>
            </w:tblGrid>
            <w:tr w14:paraId="38AB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E40E181">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eastAsia" w:ascii="Times New Roman" w:hAnsi="Times New Roman" w:eastAsia="宋体" w:cs="Times New Roman"/>
                      <w:b/>
                      <w:bCs/>
                      <w:color w:val="auto"/>
                      <w:kern w:val="21"/>
                      <w:sz w:val="21"/>
                      <w:szCs w:val="21"/>
                      <w:highlight w:val="none"/>
                      <w:lang w:eastAsia="zh-CN"/>
                    </w:rPr>
                  </w:pPr>
                  <w:r>
                    <w:rPr>
                      <w:rFonts w:hint="eastAsia" w:ascii="Times New Roman" w:hAnsi="Times New Roman" w:eastAsia="宋体" w:cs="Times New Roman"/>
                      <w:b/>
                      <w:bCs/>
                      <w:color w:val="auto"/>
                      <w:kern w:val="21"/>
                      <w:sz w:val="21"/>
                      <w:szCs w:val="21"/>
                      <w:highlight w:val="none"/>
                      <w:lang w:eastAsia="zh-CN"/>
                    </w:rPr>
                    <w:t>要求</w:t>
                  </w:r>
                </w:p>
              </w:tc>
              <w:tc>
                <w:tcPr>
                  <w:tcW w:w="1661" w:type="pct"/>
                  <w:tcBorders>
                    <w:tl2br w:val="nil"/>
                    <w:tr2bl w:val="nil"/>
                  </w:tcBorders>
                  <w:vAlign w:val="center"/>
                </w:tcPr>
                <w:p w14:paraId="349FC51C">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auto"/>
                      <w:kern w:val="21"/>
                      <w:sz w:val="21"/>
                      <w:szCs w:val="21"/>
                      <w:highlight w:val="none"/>
                    </w:rPr>
                  </w:pPr>
                  <w:r>
                    <w:rPr>
                      <w:rFonts w:hint="default" w:ascii="Times New Roman" w:hAnsi="Times New Roman" w:eastAsia="宋体" w:cs="Times New Roman"/>
                      <w:b/>
                      <w:bCs/>
                      <w:color w:val="auto"/>
                      <w:kern w:val="21"/>
                      <w:sz w:val="21"/>
                      <w:szCs w:val="21"/>
                      <w:highlight w:val="none"/>
                    </w:rPr>
                    <w:t>本项目</w:t>
                  </w:r>
                </w:p>
              </w:tc>
              <w:tc>
                <w:tcPr>
                  <w:tcW w:w="563" w:type="pct"/>
                  <w:tcBorders>
                    <w:tl2br w:val="nil"/>
                    <w:tr2bl w:val="nil"/>
                  </w:tcBorders>
                  <w:vAlign w:val="center"/>
                </w:tcPr>
                <w:p w14:paraId="57767313">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auto"/>
                      <w:kern w:val="21"/>
                      <w:sz w:val="21"/>
                      <w:szCs w:val="21"/>
                      <w:highlight w:val="none"/>
                    </w:rPr>
                  </w:pPr>
                  <w:r>
                    <w:rPr>
                      <w:rFonts w:hint="default" w:ascii="Times New Roman" w:hAnsi="Times New Roman" w:eastAsia="宋体" w:cs="Times New Roman"/>
                      <w:b/>
                      <w:bCs/>
                      <w:color w:val="auto"/>
                      <w:kern w:val="21"/>
                      <w:sz w:val="21"/>
                      <w:szCs w:val="21"/>
                      <w:highlight w:val="none"/>
                    </w:rPr>
                    <w:t>符合性</w:t>
                  </w:r>
                </w:p>
              </w:tc>
            </w:tr>
            <w:tr w14:paraId="1FB7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20BD326">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auto"/>
                      <w:kern w:val="21"/>
                      <w:sz w:val="21"/>
                      <w:szCs w:val="21"/>
                      <w:highlight w:val="none"/>
                      <w:lang w:eastAsia="zh-CN"/>
                    </w:rPr>
                  </w:pPr>
                  <w:r>
                    <w:rPr>
                      <w:rFonts w:hint="eastAsia" w:cs="Times New Roman"/>
                      <w:color w:val="auto"/>
                      <w:kern w:val="21"/>
                      <w:sz w:val="21"/>
                      <w:szCs w:val="21"/>
                      <w:highlight w:val="none"/>
                      <w:lang w:eastAsia="zh-CN"/>
                    </w:rPr>
                    <w:t>坚持生态优先、绿色发展</w:t>
                  </w:r>
                  <w:r>
                    <w:rPr>
                      <w:rFonts w:hint="default" w:ascii="Times New Roman" w:hAnsi="Times New Roman" w:eastAsia="宋体" w:cs="Times New Roman"/>
                      <w:color w:val="auto"/>
                      <w:kern w:val="21"/>
                      <w:sz w:val="21"/>
                      <w:szCs w:val="21"/>
                      <w:highlight w:val="none"/>
                      <w:lang w:eastAsia="zh-CN"/>
                    </w:rPr>
                    <w:t>。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w:t>
                  </w:r>
                </w:p>
              </w:tc>
              <w:tc>
                <w:tcPr>
                  <w:tcW w:w="1661" w:type="pct"/>
                  <w:tcBorders>
                    <w:tl2br w:val="nil"/>
                    <w:tr2bl w:val="nil"/>
                  </w:tcBorders>
                  <w:vAlign w:val="center"/>
                </w:tcPr>
                <w:p w14:paraId="6D437FCE">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项目位于奇台县三个庄子镇，项目未占用</w:t>
                  </w:r>
                  <w:r>
                    <w:rPr>
                      <w:rFonts w:hint="default" w:ascii="Times New Roman" w:hAnsi="Times New Roman" w:eastAsia="宋体" w:cs="Times New Roman"/>
                      <w:color w:val="auto"/>
                      <w:kern w:val="21"/>
                      <w:sz w:val="21"/>
                      <w:szCs w:val="21"/>
                      <w:highlight w:val="none"/>
                      <w:lang w:eastAsia="zh-CN"/>
                    </w:rPr>
                    <w:t>禁止开发的区域</w:t>
                  </w:r>
                  <w:r>
                    <w:rPr>
                      <w:rFonts w:hint="eastAsia" w:ascii="Times New Roman" w:hAnsi="Times New Roman" w:eastAsia="宋体" w:cs="Times New Roman"/>
                      <w:color w:val="auto"/>
                      <w:kern w:val="21"/>
                      <w:sz w:val="21"/>
                      <w:szCs w:val="21"/>
                      <w:highlight w:val="none"/>
                      <w:lang w:val="en-US" w:eastAsia="zh-CN"/>
                    </w:rPr>
                    <w:t>和</w:t>
                  </w:r>
                  <w:r>
                    <w:rPr>
                      <w:rFonts w:hint="default" w:ascii="Times New Roman" w:hAnsi="Times New Roman" w:eastAsia="宋体" w:cs="Times New Roman"/>
                      <w:color w:val="auto"/>
                      <w:kern w:val="21"/>
                      <w:sz w:val="21"/>
                      <w:szCs w:val="21"/>
                      <w:highlight w:val="none"/>
                      <w:lang w:eastAsia="zh-CN"/>
                    </w:rPr>
                    <w:t>生态环境敏感区域。</w:t>
                  </w:r>
                </w:p>
              </w:tc>
              <w:tc>
                <w:tcPr>
                  <w:tcW w:w="563" w:type="pct"/>
                  <w:tcBorders>
                    <w:tl2br w:val="nil"/>
                    <w:tr2bl w:val="nil"/>
                  </w:tcBorders>
                  <w:vAlign w:val="center"/>
                </w:tcPr>
                <w:p w14:paraId="54D2645E">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auto"/>
                      <w:kern w:val="21"/>
                      <w:sz w:val="21"/>
                      <w:szCs w:val="21"/>
                      <w:highlight w:val="none"/>
                      <w:lang w:eastAsia="zh-CN"/>
                    </w:rPr>
                  </w:pPr>
                  <w:r>
                    <w:rPr>
                      <w:rFonts w:hint="default" w:ascii="Times New Roman" w:hAnsi="Times New Roman" w:eastAsia="宋体" w:cs="Times New Roman"/>
                      <w:color w:val="auto"/>
                      <w:kern w:val="21"/>
                      <w:sz w:val="21"/>
                      <w:szCs w:val="21"/>
                      <w:highlight w:val="none"/>
                      <w:lang w:eastAsia="zh-CN"/>
                    </w:rPr>
                    <w:t>符合</w:t>
                  </w:r>
                </w:p>
              </w:tc>
            </w:tr>
            <w:tr w14:paraId="6C7C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29129EC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bidi="ar-SA"/>
                    </w:rPr>
                    <w:t>严格保护生态空间，优化《规划》布局。将生态保护红线作为保障和维护区域生态安全的底线，应进一步优化矿业权设置和空间布局，依法依规对生态空间实施严格保护。与基本农田、饮用水水源保护区、风景名胜区等禁止开发区域存在重叠的规划区块，后续设置矿业权时，应进一步优化布局，确保满足各类禁止开发区保护条例、管理规定要求。与一般耕地、公益林等生态敏感区存在重叠的规划区块，后续设置矿业权时，应优先考虑避让措施，必须占用的应严格按照《中华人民共和国土地管理法》《国家级公益林管理办法》办理征占地手续。与“三线一单”优先保护单元存在重叠的规划区块，应进一步优化布局、强化管控措施，确保满足生态环境分区管控及相关环境保护要求。与重要河流、交通干线存在重叠的规划区块，应按照《新疆维吾尔自治区重点行业环境准入条件》要求，进一步优化矿山企业场地布局，降低环境污染水平、控制环境风险。</w:t>
                  </w:r>
                </w:p>
              </w:tc>
              <w:tc>
                <w:tcPr>
                  <w:tcW w:w="1661" w:type="pct"/>
                  <w:tcBorders>
                    <w:tl2br w:val="nil"/>
                    <w:tr2bl w:val="nil"/>
                  </w:tcBorders>
                  <w:vAlign w:val="center"/>
                </w:tcPr>
                <w:p w14:paraId="51850D54">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rPr>
                    <w:t>项目位于奇台县三个庄子镇，未占用生态保护红线，已取得奇台县自然资源局核发的采矿许可证（证号：C6523252025027150157970）</w:t>
                  </w:r>
                  <w:r>
                    <w:rPr>
                      <w:rFonts w:hint="default" w:ascii="Times New Roman" w:hAnsi="Times New Roman" w:eastAsia="宋体" w:cs="Times New Roman"/>
                      <w:color w:val="auto"/>
                      <w:kern w:val="21"/>
                      <w:sz w:val="21"/>
                      <w:szCs w:val="21"/>
                      <w:highlight w:val="none"/>
                      <w:lang w:eastAsia="zh-CN"/>
                    </w:rPr>
                    <w:t>。</w:t>
                  </w:r>
                </w:p>
              </w:tc>
              <w:tc>
                <w:tcPr>
                  <w:tcW w:w="563" w:type="pct"/>
                  <w:tcBorders>
                    <w:tl2br w:val="nil"/>
                    <w:tr2bl w:val="nil"/>
                  </w:tcBorders>
                  <w:vAlign w:val="center"/>
                </w:tcPr>
                <w:p w14:paraId="3C4440FF">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auto"/>
                      <w:kern w:val="21"/>
                      <w:sz w:val="21"/>
                      <w:szCs w:val="21"/>
                      <w:highlight w:val="none"/>
                      <w:lang w:eastAsia="zh-CN"/>
                    </w:rPr>
                  </w:pPr>
                  <w:r>
                    <w:rPr>
                      <w:rFonts w:hint="default" w:ascii="Times New Roman" w:hAnsi="Times New Roman" w:eastAsia="宋体" w:cs="Times New Roman"/>
                      <w:color w:val="auto"/>
                      <w:kern w:val="21"/>
                      <w:sz w:val="21"/>
                      <w:szCs w:val="21"/>
                      <w:highlight w:val="none"/>
                      <w:lang w:eastAsia="zh-CN"/>
                    </w:rPr>
                    <w:t>符合</w:t>
                  </w:r>
                </w:p>
              </w:tc>
            </w:tr>
            <w:tr w14:paraId="19ED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34D126B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bidi="ar-SA"/>
                    </w:rPr>
                    <w:t>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粘土等矿产；限制开采高硫煤、硫铁矿、砖瓦用粘土等矿产。严格尾矿库的新建和管理，确保符合相关要求。</w:t>
                  </w:r>
                </w:p>
              </w:tc>
              <w:tc>
                <w:tcPr>
                  <w:tcW w:w="1661" w:type="pct"/>
                  <w:tcBorders>
                    <w:tl2br w:val="nil"/>
                    <w:tr2bl w:val="nil"/>
                  </w:tcBorders>
                  <w:vAlign w:val="center"/>
                </w:tcPr>
                <w:p w14:paraId="74EFCBC5">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rPr>
                    <w:t>项目开采</w:t>
                  </w:r>
                  <w:r>
                    <w:rPr>
                      <w:rFonts w:hint="eastAsia" w:ascii="Times New Roman" w:hAnsi="Times New Roman" w:eastAsia="宋体" w:cs="Times New Roman"/>
                      <w:color w:val="auto"/>
                      <w:kern w:val="21"/>
                      <w:sz w:val="21"/>
                      <w:szCs w:val="21"/>
                      <w:highlight w:val="none"/>
                      <w:lang w:eastAsia="zh-CN"/>
                    </w:rPr>
                    <w:t>规模</w:t>
                  </w:r>
                  <w:r>
                    <w:rPr>
                      <w:rFonts w:hint="eastAsia" w:ascii="Times New Roman" w:hAnsi="Times New Roman" w:eastAsia="宋体" w:cs="Times New Roman"/>
                      <w:color w:val="auto"/>
                      <w:kern w:val="21"/>
                      <w:sz w:val="21"/>
                      <w:szCs w:val="21"/>
                      <w:highlight w:val="none"/>
                      <w:lang w:val="en-US" w:eastAsia="zh-CN"/>
                    </w:rPr>
                    <w:t>为30</w:t>
                  </w:r>
                  <w:r>
                    <w:rPr>
                      <w:rFonts w:hint="eastAsia" w:ascii="Times New Roman" w:hAnsi="Times New Roman" w:eastAsia="宋体" w:cs="Times New Roman"/>
                      <w:color w:val="auto"/>
                      <w:kern w:val="21"/>
                      <w:sz w:val="21"/>
                      <w:szCs w:val="21"/>
                      <w:highlight w:val="none"/>
                      <w:lang w:eastAsia="zh-CN"/>
                    </w:rPr>
                    <w:t>万m</w:t>
                  </w:r>
                  <w:r>
                    <w:rPr>
                      <w:rFonts w:hint="eastAsia" w:ascii="Times New Roman" w:hAnsi="Times New Roman" w:eastAsia="宋体" w:cs="Times New Roman"/>
                      <w:color w:val="auto"/>
                      <w:kern w:val="21"/>
                      <w:sz w:val="21"/>
                      <w:szCs w:val="21"/>
                      <w:highlight w:val="none"/>
                      <w:vertAlign w:val="superscript"/>
                      <w:lang w:val="en-US" w:eastAsia="zh-CN"/>
                    </w:rPr>
                    <w:t>3</w:t>
                  </w:r>
                  <w:r>
                    <w:rPr>
                      <w:rFonts w:hint="eastAsia" w:ascii="Times New Roman" w:hAnsi="Times New Roman" w:eastAsia="宋体" w:cs="Times New Roman"/>
                      <w:color w:val="auto"/>
                      <w:kern w:val="21"/>
                      <w:sz w:val="21"/>
                      <w:szCs w:val="21"/>
                      <w:highlight w:val="none"/>
                      <w:lang w:eastAsia="zh-CN"/>
                    </w:rPr>
                    <w:t>/a，</w:t>
                  </w:r>
                  <w:r>
                    <w:rPr>
                      <w:rFonts w:hint="eastAsia" w:ascii="Times New Roman" w:hAnsi="Times New Roman" w:eastAsia="宋体" w:cs="Times New Roman"/>
                      <w:color w:val="auto"/>
                      <w:kern w:val="21"/>
                      <w:sz w:val="21"/>
                      <w:szCs w:val="21"/>
                      <w:highlight w:val="none"/>
                      <w:lang w:val="en-US" w:eastAsia="zh-CN"/>
                    </w:rPr>
                    <w:t>服务年限为6.47年。满足新建矿山最低开采规模要求。项目属于建筑用砂开采，不属于禁止和限制开采类矿产</w:t>
                  </w:r>
                  <w:r>
                    <w:rPr>
                      <w:rFonts w:hint="eastAsia" w:cs="Times New Roman"/>
                      <w:color w:val="auto"/>
                      <w:kern w:val="21"/>
                      <w:sz w:val="21"/>
                      <w:szCs w:val="21"/>
                      <w:highlight w:val="none"/>
                      <w:lang w:val="en-US" w:eastAsia="zh-CN"/>
                    </w:rPr>
                    <w:t>，为允许开采矿种</w:t>
                  </w:r>
                  <w:r>
                    <w:rPr>
                      <w:rFonts w:hint="eastAsia" w:ascii="Times New Roman" w:hAnsi="Times New Roman" w:eastAsia="宋体" w:cs="Times New Roman"/>
                      <w:color w:val="auto"/>
                      <w:kern w:val="21"/>
                      <w:sz w:val="21"/>
                      <w:szCs w:val="21"/>
                      <w:highlight w:val="none"/>
                      <w:lang w:val="en-US" w:eastAsia="zh-CN"/>
                    </w:rPr>
                    <w:t>。</w:t>
                  </w:r>
                </w:p>
              </w:tc>
              <w:tc>
                <w:tcPr>
                  <w:tcW w:w="563" w:type="pct"/>
                  <w:tcBorders>
                    <w:tl2br w:val="nil"/>
                    <w:tr2bl w:val="nil"/>
                  </w:tcBorders>
                  <w:vAlign w:val="center"/>
                </w:tcPr>
                <w:p w14:paraId="5A62C353">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auto"/>
                      <w:kern w:val="21"/>
                      <w:sz w:val="21"/>
                      <w:szCs w:val="21"/>
                      <w:highlight w:val="none"/>
                      <w:lang w:eastAsia="zh-CN"/>
                    </w:rPr>
                  </w:pPr>
                  <w:r>
                    <w:rPr>
                      <w:rFonts w:hint="eastAsia" w:ascii="Times New Roman" w:hAnsi="Times New Roman" w:eastAsia="宋体" w:cs="Times New Roman"/>
                      <w:color w:val="auto"/>
                      <w:kern w:val="21"/>
                      <w:sz w:val="21"/>
                      <w:szCs w:val="21"/>
                      <w:highlight w:val="none"/>
                      <w:lang w:val="en-US" w:eastAsia="zh-CN"/>
                    </w:rPr>
                    <w:t>符合</w:t>
                  </w:r>
                </w:p>
              </w:tc>
            </w:tr>
            <w:tr w14:paraId="60A5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09C8969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bidi="ar-SA"/>
                    </w:rPr>
                    <w:t>严格环境准入，保护区域生态功能。按照昌吉州“三线一单”生态环境分区管控方案、生态环境保护规划等新要求，与“三线一单”优先保护单元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661" w:type="pct"/>
                  <w:tcBorders>
                    <w:tl2br w:val="nil"/>
                    <w:tr2bl w:val="nil"/>
                  </w:tcBorders>
                  <w:vAlign w:val="center"/>
                </w:tcPr>
                <w:p w14:paraId="484A2144">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rPr>
                    <w:t>项目位于奇台县三个庄子镇，未占用</w:t>
                  </w:r>
                  <w:r>
                    <w:rPr>
                      <w:rFonts w:hint="eastAsia" w:ascii="Times New Roman" w:hAnsi="Times New Roman" w:eastAsia="宋体" w:cs="Times New Roman"/>
                      <w:color w:val="auto"/>
                      <w:kern w:val="21"/>
                      <w:sz w:val="21"/>
                      <w:szCs w:val="21"/>
                      <w:highlight w:val="none"/>
                      <w:lang w:val="en-US" w:eastAsia="zh-CN" w:bidi="ar-SA"/>
                    </w:rPr>
                    <w:t>大气环境优先保护区、水环境优先保护区、农用地优先保护区；未涉及生物多样性保护优先区域、国家重点生态功能区、国家重要生态功能区、水源涵养区、水土流失重点防治区等区域。</w:t>
                  </w:r>
                </w:p>
              </w:tc>
              <w:tc>
                <w:tcPr>
                  <w:tcW w:w="563" w:type="pct"/>
                  <w:tcBorders>
                    <w:tl2br w:val="nil"/>
                    <w:tr2bl w:val="nil"/>
                  </w:tcBorders>
                  <w:vAlign w:val="center"/>
                </w:tcPr>
                <w:p w14:paraId="497BED35">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auto"/>
                      <w:kern w:val="21"/>
                      <w:sz w:val="21"/>
                      <w:szCs w:val="21"/>
                      <w:highlight w:val="none"/>
                      <w:lang w:eastAsia="zh-CN"/>
                    </w:rPr>
                  </w:pPr>
                  <w:r>
                    <w:rPr>
                      <w:rFonts w:hint="eastAsia" w:ascii="Times New Roman" w:hAnsi="Times New Roman" w:eastAsia="宋体" w:cs="Times New Roman"/>
                      <w:color w:val="auto"/>
                      <w:kern w:val="21"/>
                      <w:sz w:val="21"/>
                      <w:szCs w:val="21"/>
                      <w:highlight w:val="none"/>
                      <w:lang w:val="en-US" w:eastAsia="zh-CN"/>
                    </w:rPr>
                    <w:t>符合</w:t>
                  </w:r>
                </w:p>
              </w:tc>
            </w:tr>
            <w:tr w14:paraId="2700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7227D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bidi="ar-SA"/>
                    </w:rPr>
                    <w:t>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980公顷。重视关闭矿山及历史遗留矿山的生态环境问题，明确污染治理、生态修复的任务、要求和完成时限。对可能造成重金属污染等环境问题的矿区，进一步优化开发方式，推进结构调整，加大治理投入。</w:t>
                  </w:r>
                </w:p>
              </w:tc>
              <w:tc>
                <w:tcPr>
                  <w:tcW w:w="1661" w:type="pct"/>
                  <w:tcBorders>
                    <w:tl2br w:val="nil"/>
                    <w:tr2bl w:val="nil"/>
                  </w:tcBorders>
                  <w:vAlign w:val="center"/>
                </w:tcPr>
                <w:p w14:paraId="0EA6D0DE">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bidi="ar-SA"/>
                    </w:rPr>
                    <w:t>项目已编制《奇台县金奇瀚宇矿业有限责任公司奇台县三个庄子乡CS07号建筑用砂矿矿产资源开发利用与生态保护修复方案》，闭矿后严格按照方案要求进行土地复垦。</w:t>
                  </w:r>
                </w:p>
              </w:tc>
              <w:tc>
                <w:tcPr>
                  <w:tcW w:w="563" w:type="pct"/>
                  <w:tcBorders>
                    <w:tl2br w:val="nil"/>
                    <w:tr2bl w:val="nil"/>
                  </w:tcBorders>
                  <w:vAlign w:val="center"/>
                </w:tcPr>
                <w:p w14:paraId="317AC6E6">
                  <w:pPr>
                    <w:pStyle w:val="100"/>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符合</w:t>
                  </w:r>
                </w:p>
              </w:tc>
            </w:tr>
          </w:tbl>
          <w:p w14:paraId="270411ED">
            <w:pPr>
              <w:autoSpaceDE w:val="0"/>
              <w:autoSpaceDN w:val="0"/>
              <w:spacing w:line="360" w:lineRule="auto"/>
              <w:ind w:firstLine="480" w:firstLineChars="200"/>
              <w:rPr>
                <w:rFonts w:hint="eastAsia" w:ascii="Times New Roman" w:hAnsi="Times New Roman" w:eastAsia="宋体" w:cs="Times New Roman"/>
                <w:color w:val="auto"/>
                <w:kern w:val="0"/>
                <w:sz w:val="24"/>
              </w:rPr>
            </w:pPr>
            <w:r>
              <w:rPr>
                <w:rFonts w:hint="eastAsia" w:ascii="Times New Roman" w:hAnsi="Times New Roman" w:eastAsia="宋体" w:cs="Times New Roman"/>
                <w:color w:val="auto"/>
                <w:kern w:val="0"/>
                <w:sz w:val="24"/>
                <w:lang w:val="en-US" w:eastAsia="zh-CN"/>
              </w:rPr>
              <w:t>综上，项目符合《</w:t>
            </w:r>
            <w:r>
              <w:rPr>
                <w:rFonts w:hint="eastAsia" w:ascii="Times New Roman" w:hAnsi="Times New Roman" w:eastAsia="宋体" w:cs="Times New Roman"/>
                <w:color w:val="auto"/>
                <w:kern w:val="0"/>
                <w:sz w:val="24"/>
                <w:lang w:eastAsia="zh-CN"/>
              </w:rPr>
              <w:t>昌吉州矿产资源总体规划（2021-2025年）环境影响报告书》</w:t>
            </w:r>
            <w:r>
              <w:rPr>
                <w:rFonts w:hint="default" w:ascii="Times New Roman" w:hAnsi="Times New Roman" w:eastAsia="宋体" w:cs="Times New Roman"/>
                <w:color w:val="auto"/>
                <w:kern w:val="0"/>
                <w:sz w:val="24"/>
                <w:lang w:eastAsia="zh-CN"/>
              </w:rPr>
              <w:t>及审查意见</w:t>
            </w:r>
            <w:r>
              <w:rPr>
                <w:rFonts w:hint="eastAsia" w:ascii="Times New Roman" w:hAnsi="Times New Roman" w:eastAsia="宋体" w:cs="Times New Roman"/>
                <w:color w:val="auto"/>
                <w:kern w:val="0"/>
                <w:sz w:val="24"/>
                <w:lang w:val="en-US" w:eastAsia="zh-CN"/>
              </w:rPr>
              <w:t>相关要求。</w:t>
            </w:r>
          </w:p>
          <w:p w14:paraId="2C67C5EA">
            <w:pPr>
              <w:numPr>
                <w:ilvl w:val="0"/>
                <w:numId w:val="2"/>
              </w:numPr>
              <w:autoSpaceDE w:val="0"/>
              <w:autoSpaceDN w:val="0"/>
              <w:spacing w:line="360" w:lineRule="auto"/>
              <w:rPr>
                <w:b/>
                <w:bCs/>
                <w:color w:val="auto"/>
                <w:sz w:val="24"/>
              </w:rPr>
            </w:pPr>
            <w:r>
              <w:rPr>
                <w:rFonts w:hint="eastAsia"/>
                <w:b/>
                <w:bCs/>
                <w:color w:val="auto"/>
                <w:sz w:val="24"/>
              </w:rPr>
              <w:t>与《奇台县矿产资源总体规划（2021-2025）》符合性分析</w:t>
            </w:r>
          </w:p>
          <w:p w14:paraId="24206585">
            <w:pPr>
              <w:pStyle w:val="64"/>
              <w:outlineLvl w:val="9"/>
              <w:rPr>
                <w:rFonts w:hint="default"/>
                <w:b/>
                <w:bCs/>
                <w:color w:val="auto"/>
              </w:rPr>
            </w:pPr>
            <w:r>
              <w:rPr>
                <w:b/>
                <w:bCs/>
                <w:color w:val="auto"/>
              </w:rPr>
              <w:t>表1-3    与《奇台县矿产资源总体规划（2021-2025）》符合性分析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6"/>
              <w:gridCol w:w="1784"/>
              <w:gridCol w:w="925"/>
            </w:tblGrid>
            <w:tr w14:paraId="3913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09E36C0C">
                  <w:pPr>
                    <w:autoSpaceDE w:val="0"/>
                    <w:autoSpaceDN w:val="0"/>
                    <w:jc w:val="center"/>
                    <w:rPr>
                      <w:color w:val="auto"/>
                      <w:szCs w:val="21"/>
                    </w:rPr>
                  </w:pPr>
                  <w:r>
                    <w:rPr>
                      <w:rFonts w:hint="eastAsia"/>
                      <w:color w:val="auto"/>
                      <w:szCs w:val="21"/>
                    </w:rPr>
                    <w:t>《奇台县矿产资源总体规划（2021-2025）》要求</w:t>
                  </w:r>
                </w:p>
              </w:tc>
              <w:tc>
                <w:tcPr>
                  <w:tcW w:w="1786" w:type="dxa"/>
                </w:tcPr>
                <w:p w14:paraId="74B4BBD5">
                  <w:pPr>
                    <w:autoSpaceDE w:val="0"/>
                    <w:autoSpaceDN w:val="0"/>
                    <w:jc w:val="center"/>
                    <w:rPr>
                      <w:color w:val="auto"/>
                      <w:szCs w:val="21"/>
                    </w:rPr>
                  </w:pPr>
                  <w:r>
                    <w:rPr>
                      <w:rFonts w:hint="eastAsia"/>
                      <w:color w:val="auto"/>
                      <w:szCs w:val="21"/>
                    </w:rPr>
                    <w:t>本项目</w:t>
                  </w:r>
                </w:p>
              </w:tc>
              <w:tc>
                <w:tcPr>
                  <w:tcW w:w="926" w:type="dxa"/>
                </w:tcPr>
                <w:p w14:paraId="5496D26A">
                  <w:pPr>
                    <w:autoSpaceDE w:val="0"/>
                    <w:autoSpaceDN w:val="0"/>
                    <w:jc w:val="center"/>
                    <w:rPr>
                      <w:color w:val="auto"/>
                      <w:szCs w:val="21"/>
                    </w:rPr>
                  </w:pPr>
                  <w:r>
                    <w:rPr>
                      <w:rFonts w:hint="eastAsia"/>
                      <w:color w:val="auto"/>
                      <w:szCs w:val="21"/>
                    </w:rPr>
                    <w:t>符合性</w:t>
                  </w:r>
                </w:p>
              </w:tc>
            </w:tr>
            <w:tr w14:paraId="7487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29DBD686">
                  <w:pPr>
                    <w:numPr>
                      <w:ilvl w:val="0"/>
                      <w:numId w:val="3"/>
                    </w:numPr>
                    <w:autoSpaceDE w:val="0"/>
                    <w:autoSpaceDN w:val="0"/>
                    <w:jc w:val="center"/>
                    <w:rPr>
                      <w:color w:val="auto"/>
                      <w:szCs w:val="21"/>
                    </w:rPr>
                  </w:pPr>
                  <w:r>
                    <w:rPr>
                      <w:color w:val="auto"/>
                      <w:szCs w:val="21"/>
                    </w:rPr>
                    <w:t>矿业经济转型升级和提质增效的方向和目标</w:t>
                  </w:r>
                </w:p>
                <w:p w14:paraId="71C19630">
                  <w:pPr>
                    <w:autoSpaceDE w:val="0"/>
                    <w:autoSpaceDN w:val="0"/>
                    <w:rPr>
                      <w:color w:val="auto"/>
                      <w:szCs w:val="21"/>
                    </w:rPr>
                  </w:pPr>
                  <w:r>
                    <w:rPr>
                      <w:color w:val="auto"/>
                      <w:szCs w:val="21"/>
                    </w:rPr>
                    <w:t>建筑用砂石：加大砂石矿产资源综合利用力度，推动砂石企业对砂石生产工艺进行优化，充分利用加工副产品，提高资源综合利用率。</w:t>
                  </w:r>
                </w:p>
              </w:tc>
              <w:tc>
                <w:tcPr>
                  <w:tcW w:w="1786" w:type="dxa"/>
                </w:tcPr>
                <w:p w14:paraId="2AABA287">
                  <w:pPr>
                    <w:autoSpaceDE w:val="0"/>
                    <w:autoSpaceDN w:val="0"/>
                    <w:jc w:val="center"/>
                    <w:rPr>
                      <w:color w:val="auto"/>
                      <w:szCs w:val="21"/>
                    </w:rPr>
                  </w:pPr>
                  <w:r>
                    <w:rPr>
                      <w:color w:val="auto"/>
                      <w:szCs w:val="21"/>
                    </w:rPr>
                    <w:t>本项目</w:t>
                  </w:r>
                  <w:r>
                    <w:rPr>
                      <w:rFonts w:hint="eastAsia"/>
                      <w:color w:val="auto"/>
                      <w:szCs w:val="21"/>
                    </w:rPr>
                    <w:t>建筑用砂</w:t>
                  </w:r>
                  <w:r>
                    <w:rPr>
                      <w:color w:val="auto"/>
                      <w:szCs w:val="21"/>
                    </w:rPr>
                    <w:t>矿开采，</w:t>
                  </w:r>
                  <w:r>
                    <w:rPr>
                      <w:rFonts w:hint="eastAsia"/>
                      <w:color w:val="auto"/>
                      <w:szCs w:val="21"/>
                    </w:rPr>
                    <w:t>不进行建筑用砂生产加工</w:t>
                  </w:r>
                  <w:r>
                    <w:rPr>
                      <w:color w:val="auto"/>
                      <w:szCs w:val="21"/>
                    </w:rPr>
                    <w:t>。</w:t>
                  </w:r>
                </w:p>
              </w:tc>
              <w:tc>
                <w:tcPr>
                  <w:tcW w:w="926" w:type="dxa"/>
                </w:tcPr>
                <w:p w14:paraId="1586EEE3">
                  <w:pPr>
                    <w:autoSpaceDE w:val="0"/>
                    <w:autoSpaceDN w:val="0"/>
                    <w:jc w:val="center"/>
                    <w:rPr>
                      <w:color w:val="auto"/>
                      <w:szCs w:val="21"/>
                    </w:rPr>
                  </w:pPr>
                  <w:r>
                    <w:rPr>
                      <w:rFonts w:hint="eastAsia"/>
                      <w:color w:val="auto"/>
                      <w:szCs w:val="21"/>
                    </w:rPr>
                    <w:t>符合</w:t>
                  </w:r>
                </w:p>
              </w:tc>
            </w:tr>
            <w:tr w14:paraId="175F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71018F4C">
                  <w:pPr>
                    <w:autoSpaceDE w:val="0"/>
                    <w:autoSpaceDN w:val="0"/>
                    <w:rPr>
                      <w:rFonts w:hint="eastAsia" w:ascii="Times New Roman" w:hAnsi="Times New Roman" w:eastAsia="宋体" w:cs="Times New Roman"/>
                      <w:color w:val="auto"/>
                      <w:szCs w:val="21"/>
                    </w:rPr>
                  </w:pPr>
                  <w:bookmarkStart w:id="1" w:name="_Toc109504851"/>
                  <w:bookmarkStart w:id="2" w:name="_Toc83472795"/>
                  <w:r>
                    <w:rPr>
                      <w:rFonts w:hint="eastAsia" w:ascii="Times New Roman" w:hAnsi="Times New Roman" w:eastAsia="宋体" w:cs="Times New Roman"/>
                      <w:color w:val="auto"/>
                      <w:szCs w:val="21"/>
                    </w:rPr>
                    <w:t>三、严格规范砂石土类矿产资源开发管理</w:t>
                  </w:r>
                  <w:bookmarkEnd w:id="1"/>
                  <w:bookmarkEnd w:id="2"/>
                </w:p>
                <w:p w14:paraId="2F56E5EF">
                  <w:pPr>
                    <w:autoSpaceDE w:val="0"/>
                    <w:autoSpaceDN w:val="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1、合理规划集中开采区</w:t>
                  </w:r>
                </w:p>
                <w:p w14:paraId="4973935A">
                  <w:pPr>
                    <w:autoSpaceDE w:val="0"/>
                    <w:autoSpaceDN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建筑用砂石料要合理调控开采总量，需严控设置数量，根据砂石土类矿的分布特点，结合运距、交通、矿体特征、资源储量、经济发展布局等因素，合理设立集中开采区，对面积较小的区块可直接设置开采区块。对建筑用砂石土类矿产实行严格的源头保护制度，有计划适度开发利用。坚持“集中开发、规模开采”原则，合理控制矿山数量，优化开发布局和结构。在全县辖区内规划砂石土类矿产资源集中开采区或开采区块11个，总面积4.8388平方千米，全部为建筑用砂。</w:t>
                  </w:r>
                </w:p>
              </w:tc>
              <w:tc>
                <w:tcPr>
                  <w:tcW w:w="1786" w:type="dxa"/>
                </w:tcPr>
                <w:p w14:paraId="2F1EC101">
                  <w:pPr>
                    <w:autoSpaceDE w:val="0"/>
                    <w:autoSpaceDN w:val="0"/>
                    <w:jc w:val="center"/>
                    <w:rPr>
                      <w:color w:val="auto"/>
                      <w:szCs w:val="21"/>
                    </w:rPr>
                  </w:pPr>
                  <w:r>
                    <w:rPr>
                      <w:rFonts w:hint="default" w:ascii="Times New Roman" w:hAnsi="Times New Roman" w:eastAsia="宋体" w:cs="Times New Roman"/>
                      <w:color w:val="auto"/>
                      <w:kern w:val="21"/>
                      <w:lang w:eastAsia="zh-CN"/>
                    </w:rPr>
                    <w:t>本项目为</w:t>
                  </w:r>
                  <w:r>
                    <w:rPr>
                      <w:rFonts w:hint="eastAsia" w:ascii="Times New Roman" w:hAnsi="Times New Roman" w:eastAsia="宋体" w:cs="Times New Roman"/>
                      <w:color w:val="auto"/>
                      <w:kern w:val="21"/>
                      <w:lang w:val="en-US" w:eastAsia="zh-CN"/>
                    </w:rPr>
                    <w:t>建筑用砂</w:t>
                  </w:r>
                  <w:r>
                    <w:rPr>
                      <w:rFonts w:hint="default" w:ascii="Times New Roman" w:hAnsi="Times New Roman" w:eastAsia="宋体" w:cs="Times New Roman"/>
                      <w:color w:val="auto"/>
                      <w:kern w:val="21"/>
                      <w:lang w:eastAsia="zh-CN"/>
                    </w:rPr>
                    <w:t>开采项目，</w:t>
                  </w:r>
                  <w:r>
                    <w:rPr>
                      <w:rFonts w:hint="eastAsia" w:ascii="Times New Roman" w:hAnsi="Times New Roman" w:cs="Times New Roman"/>
                      <w:color w:val="auto"/>
                      <w:kern w:val="21"/>
                      <w:lang w:val="en-US" w:eastAsia="zh-CN"/>
                    </w:rPr>
                    <w:t>位于</w:t>
                  </w:r>
                  <w:r>
                    <w:rPr>
                      <w:rFonts w:hint="eastAsia" w:cs="Times New Roman"/>
                      <w:color w:val="auto"/>
                      <w:kern w:val="21"/>
                      <w:lang w:val="en-US" w:eastAsia="zh-CN"/>
                    </w:rPr>
                    <w:t>奇台县三个庄子镇砂石料矿规划区</w:t>
                  </w:r>
                  <w:r>
                    <w:rPr>
                      <w:rFonts w:hint="eastAsia" w:ascii="Times New Roman" w:hAnsi="Times New Roman" w:eastAsia="宋体" w:cs="Times New Roman"/>
                      <w:color w:val="auto"/>
                      <w:kern w:val="21"/>
                      <w:lang w:val="en-US" w:eastAsia="zh-CN"/>
                    </w:rPr>
                    <w:t>范围内。</w:t>
                  </w:r>
                </w:p>
              </w:tc>
              <w:tc>
                <w:tcPr>
                  <w:tcW w:w="926" w:type="dxa"/>
                </w:tcPr>
                <w:p w14:paraId="0523D223">
                  <w:pPr>
                    <w:autoSpaceDE w:val="0"/>
                    <w:autoSpaceDN w:val="0"/>
                    <w:jc w:val="center"/>
                    <w:rPr>
                      <w:rFonts w:hint="eastAsia"/>
                      <w:color w:val="auto"/>
                      <w:szCs w:val="21"/>
                    </w:rPr>
                  </w:pPr>
                </w:p>
              </w:tc>
            </w:tr>
            <w:tr w14:paraId="6EA6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602B1412">
                  <w:pPr>
                    <w:numPr>
                      <w:ilvl w:val="0"/>
                      <w:numId w:val="4"/>
                    </w:numPr>
                    <w:autoSpaceDE w:val="0"/>
                    <w:autoSpaceDN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 xml:space="preserve"> 严格规划准入管理</w:t>
                  </w:r>
                </w:p>
                <w:p w14:paraId="6E538AEC">
                  <w:pPr>
                    <w:autoSpaceDE w:val="0"/>
                    <w:autoSpaceDN w:val="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二、新建矿山准入条件</w:t>
                  </w:r>
                </w:p>
                <w:p w14:paraId="1F5CF2A1">
                  <w:pPr>
                    <w:autoSpaceDE w:val="0"/>
                    <w:autoSpaceDN w:val="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为有效保护和合理利用矿产资源，优化矿业结构，设立新建矿山企业除应符合国家有关</w:t>
                  </w:r>
                  <w:r>
                    <w:rPr>
                      <w:rFonts w:hint="eastAsia" w:ascii="Times New Roman" w:hAnsi="Times New Roman" w:eastAsia="宋体" w:cs="Times New Roman"/>
                      <w:color w:val="auto"/>
                      <w:szCs w:val="21"/>
                      <w:lang w:eastAsia="zh-CN"/>
                    </w:rPr>
                    <w:t>法律法规</w:t>
                  </w:r>
                  <w:r>
                    <w:rPr>
                      <w:rFonts w:hint="eastAsia" w:ascii="Times New Roman" w:hAnsi="Times New Roman" w:eastAsia="宋体" w:cs="Times New Roman"/>
                      <w:color w:val="auto"/>
                      <w:szCs w:val="21"/>
                    </w:rPr>
                    <w:t>外，还必须具备下列准入条件：</w:t>
                  </w:r>
                </w:p>
                <w:p w14:paraId="1907130F">
                  <w:pPr>
                    <w:autoSpaceDE w:val="0"/>
                    <w:autoSpaceDN w:val="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资质条件：具备与所建矿山规模相适应的资金、技术、人才及其它有关规定的条件。禁止不具备相应资质条件的企业进入规划区矿产地开采矿产资源。</w:t>
                  </w:r>
                </w:p>
                <w:p w14:paraId="3FE1F04C">
                  <w:pPr>
                    <w:autoSpaceDE w:val="0"/>
                    <w:autoSpaceDN w:val="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资源条件：有经储量管理部门认定的相应类型和规模的矿产资源勘查报告和资源储量，矿山开采规模应与矿区（床）资源储量规模相适应。</w:t>
                  </w:r>
                </w:p>
                <w:p w14:paraId="7ADD2326">
                  <w:pPr>
                    <w:autoSpaceDE w:val="0"/>
                    <w:autoSpaceDN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开采规模：矿山建设须符合规模开采、集约经营的原则，严格执行本规划规定的新立采矿权最低开采规模标准，除因</w:t>
                  </w:r>
                  <w:r>
                    <w:rPr>
                      <w:rFonts w:hint="eastAsia" w:cs="Times New Roman"/>
                      <w:color w:val="auto"/>
                      <w:szCs w:val="21"/>
                      <w:lang w:eastAsia="zh-CN"/>
                    </w:rPr>
                    <w:t>涉及</w:t>
                  </w:r>
                  <w:r>
                    <w:rPr>
                      <w:rFonts w:hint="eastAsia" w:ascii="Times New Roman" w:hAnsi="Times New Roman" w:eastAsia="宋体" w:cs="Times New Roman"/>
                      <w:color w:val="auto"/>
                      <w:szCs w:val="21"/>
                    </w:rPr>
                    <w:t>公路、铁路、水利等重点项目建设、乡村振兴、废弃矿山生态修复需要等，可按实际需求设定准入目标外，新建、改扩建矿山开采规模不低于本规划确定的最低开采规模。鼓励老矿山通过整合、提升规模达到相应矿山最低开采规模要求。产业政策和行业准入条件高于规模准入标准的，以产业政策和行业准入条件为准。对于已经取得采矿权而开采规模与矿山相应的资源储量规模显著不协调的，即达不到规划所限定的经济开采规模的矿山，应该限期整改、联合，走规模化、集约化之路。</w:t>
                  </w:r>
                </w:p>
              </w:tc>
              <w:tc>
                <w:tcPr>
                  <w:tcW w:w="1786" w:type="dxa"/>
                </w:tcPr>
                <w:p w14:paraId="42D1EEA5">
                  <w:pPr>
                    <w:autoSpaceDE w:val="0"/>
                    <w:autoSpaceDN w:val="0"/>
                    <w:jc w:val="center"/>
                    <w:rPr>
                      <w:rFonts w:hint="eastAsia"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本项目已取得奇台县自然资源局核发的采矿许可证（证号：C6523252025027150157970）</w:t>
                  </w:r>
                  <w:r>
                    <w:rPr>
                      <w:rFonts w:hint="default" w:ascii="Times New Roman" w:hAnsi="Times New Roman" w:eastAsia="宋体" w:cs="Times New Roman"/>
                      <w:color w:val="auto"/>
                      <w:kern w:val="21"/>
                      <w:sz w:val="21"/>
                      <w:szCs w:val="21"/>
                      <w:highlight w:val="none"/>
                      <w:lang w:eastAsia="zh-CN"/>
                    </w:rPr>
                    <w:t>。</w:t>
                  </w:r>
                  <w:r>
                    <w:rPr>
                      <w:rFonts w:hint="eastAsia" w:ascii="Times New Roman" w:hAnsi="Times New Roman" w:eastAsia="宋体" w:cs="Times New Roman"/>
                      <w:color w:val="auto"/>
                      <w:kern w:val="21"/>
                      <w:sz w:val="21"/>
                      <w:szCs w:val="21"/>
                      <w:highlight w:val="none"/>
                      <w:lang w:val="en-US" w:eastAsia="zh-CN"/>
                    </w:rPr>
                    <w:t>项目开采</w:t>
                  </w:r>
                  <w:r>
                    <w:rPr>
                      <w:rFonts w:hint="eastAsia" w:ascii="Times New Roman" w:hAnsi="Times New Roman" w:eastAsia="宋体" w:cs="Times New Roman"/>
                      <w:color w:val="auto"/>
                      <w:kern w:val="21"/>
                      <w:sz w:val="21"/>
                      <w:szCs w:val="21"/>
                      <w:highlight w:val="none"/>
                      <w:lang w:eastAsia="zh-CN"/>
                    </w:rPr>
                    <w:t>规模</w:t>
                  </w:r>
                  <w:r>
                    <w:rPr>
                      <w:rFonts w:hint="eastAsia" w:ascii="Times New Roman" w:hAnsi="Times New Roman" w:eastAsia="宋体" w:cs="Times New Roman"/>
                      <w:color w:val="auto"/>
                      <w:kern w:val="21"/>
                      <w:sz w:val="21"/>
                      <w:szCs w:val="21"/>
                      <w:highlight w:val="none"/>
                      <w:lang w:val="en-US" w:eastAsia="zh-CN"/>
                    </w:rPr>
                    <w:t>为30</w:t>
                  </w:r>
                  <w:r>
                    <w:rPr>
                      <w:rFonts w:hint="eastAsia" w:ascii="Times New Roman" w:hAnsi="Times New Roman" w:eastAsia="宋体" w:cs="Times New Roman"/>
                      <w:color w:val="auto"/>
                      <w:kern w:val="21"/>
                      <w:sz w:val="21"/>
                      <w:szCs w:val="21"/>
                      <w:highlight w:val="none"/>
                      <w:lang w:eastAsia="zh-CN"/>
                    </w:rPr>
                    <w:t>万m</w:t>
                  </w:r>
                  <w:r>
                    <w:rPr>
                      <w:rFonts w:hint="eastAsia" w:ascii="Times New Roman" w:hAnsi="Times New Roman" w:eastAsia="宋体" w:cs="Times New Roman"/>
                      <w:color w:val="auto"/>
                      <w:kern w:val="21"/>
                      <w:sz w:val="21"/>
                      <w:szCs w:val="21"/>
                      <w:highlight w:val="none"/>
                      <w:vertAlign w:val="superscript"/>
                      <w:lang w:val="en-US" w:eastAsia="zh-CN"/>
                    </w:rPr>
                    <w:t>3</w:t>
                  </w:r>
                  <w:r>
                    <w:rPr>
                      <w:rFonts w:hint="eastAsia" w:ascii="Times New Roman" w:hAnsi="Times New Roman" w:eastAsia="宋体" w:cs="Times New Roman"/>
                      <w:color w:val="auto"/>
                      <w:kern w:val="21"/>
                      <w:sz w:val="21"/>
                      <w:szCs w:val="21"/>
                      <w:highlight w:val="none"/>
                      <w:lang w:eastAsia="zh-CN"/>
                    </w:rPr>
                    <w:t>/a</w:t>
                  </w:r>
                  <w:r>
                    <w:rPr>
                      <w:rFonts w:hint="eastAsia" w:ascii="Times New Roman" w:hAnsi="Times New Roman" w:eastAsia="宋体" w:cs="Times New Roman"/>
                      <w:color w:val="auto"/>
                      <w:kern w:val="21"/>
                      <w:sz w:val="21"/>
                      <w:szCs w:val="21"/>
                      <w:highlight w:val="none"/>
                      <w:lang w:val="en-US" w:eastAsia="zh-CN"/>
                    </w:rPr>
                    <w:t>。满足建筑用砂新建矿山最低开采规模30万m</w:t>
                  </w:r>
                  <w:r>
                    <w:rPr>
                      <w:rFonts w:hint="eastAsia" w:ascii="Times New Roman" w:hAnsi="Times New Roman" w:eastAsia="宋体" w:cs="Times New Roman"/>
                      <w:color w:val="auto"/>
                      <w:kern w:val="21"/>
                      <w:sz w:val="21"/>
                      <w:szCs w:val="21"/>
                      <w:highlight w:val="none"/>
                      <w:vertAlign w:val="superscript"/>
                      <w:lang w:val="en-US" w:eastAsia="zh-CN"/>
                    </w:rPr>
                    <w:t>3</w:t>
                  </w:r>
                  <w:r>
                    <w:rPr>
                      <w:rFonts w:hint="eastAsia" w:ascii="Times New Roman" w:hAnsi="Times New Roman" w:eastAsia="宋体" w:cs="Times New Roman"/>
                      <w:color w:val="auto"/>
                      <w:kern w:val="21"/>
                      <w:sz w:val="21"/>
                      <w:szCs w:val="21"/>
                      <w:highlight w:val="none"/>
                      <w:lang w:val="en-US" w:eastAsia="zh-CN"/>
                    </w:rPr>
                    <w:t>/a要求。</w:t>
                  </w:r>
                </w:p>
                <w:p w14:paraId="109A5DFF">
                  <w:pPr>
                    <w:autoSpaceDE w:val="0"/>
                    <w:autoSpaceDN w:val="0"/>
                    <w:jc w:val="center"/>
                    <w:rPr>
                      <w:color w:val="auto"/>
                      <w:szCs w:val="21"/>
                    </w:rPr>
                  </w:pPr>
                </w:p>
              </w:tc>
              <w:tc>
                <w:tcPr>
                  <w:tcW w:w="926" w:type="dxa"/>
                </w:tcPr>
                <w:p w14:paraId="0D14B66A">
                  <w:pPr>
                    <w:autoSpaceDE w:val="0"/>
                    <w:autoSpaceDN w:val="0"/>
                    <w:jc w:val="center"/>
                    <w:rPr>
                      <w:color w:val="auto"/>
                      <w:szCs w:val="21"/>
                    </w:rPr>
                  </w:pPr>
                  <w:r>
                    <w:rPr>
                      <w:rFonts w:hint="eastAsia"/>
                      <w:color w:val="auto"/>
                      <w:szCs w:val="21"/>
                    </w:rPr>
                    <w:t>符合</w:t>
                  </w:r>
                </w:p>
              </w:tc>
            </w:tr>
          </w:tbl>
          <w:p w14:paraId="0B0ECAD6">
            <w:pPr>
              <w:autoSpaceDE w:val="0"/>
              <w:autoSpaceDN w:val="0"/>
              <w:spacing w:line="360" w:lineRule="auto"/>
              <w:ind w:firstLine="480" w:firstLineChars="200"/>
              <w:rPr>
                <w:color w:val="auto"/>
              </w:rPr>
            </w:pPr>
            <w:r>
              <w:rPr>
                <w:rFonts w:hint="eastAsia"/>
                <w:color w:val="auto"/>
                <w:kern w:val="0"/>
                <w:sz w:val="24"/>
              </w:rPr>
              <w:t>综上所述，本项目</w:t>
            </w:r>
            <w:r>
              <w:rPr>
                <w:rFonts w:hint="eastAsia"/>
                <w:color w:val="auto"/>
                <w:kern w:val="0"/>
                <w:sz w:val="24"/>
                <w:lang w:val="en-US" w:eastAsia="zh-CN"/>
              </w:rPr>
              <w:t>建设</w:t>
            </w:r>
            <w:r>
              <w:rPr>
                <w:rFonts w:hint="eastAsia"/>
                <w:color w:val="auto"/>
                <w:kern w:val="0"/>
                <w:sz w:val="24"/>
              </w:rPr>
              <w:t>符合《奇台县矿产资源总体规划（2021-2025）》中相关要求。</w:t>
            </w:r>
          </w:p>
        </w:tc>
      </w:tr>
    </w:tbl>
    <w:p w14:paraId="085BFEA4">
      <w:pPr>
        <w:autoSpaceDE w:val="0"/>
        <w:autoSpaceDN w:val="0"/>
        <w:adjustRightInd w:val="0"/>
        <w:snapToGrid w:val="0"/>
        <w:jc w:val="center"/>
        <w:rPr>
          <w:rFonts w:hint="eastAsia" w:ascii="宋体" w:hAnsi="宋体" w:cs="宋体"/>
          <w:color w:val="auto"/>
          <w:kern w:val="0"/>
          <w:szCs w:val="21"/>
        </w:rPr>
        <w:sectPr>
          <w:footerReference r:id="rId3" w:type="default"/>
          <w:pgSz w:w="11906" w:h="16838"/>
          <w:pgMar w:top="1701" w:right="1531" w:bottom="1701" w:left="1531" w:header="851" w:footer="1077" w:gutter="0"/>
          <w:pgNumType w:fmt="decimal" w:start="1"/>
          <w:cols w:space="720" w:num="1"/>
          <w:docGrid w:linePitch="312" w:charSpace="0"/>
        </w:sectPr>
      </w:pPr>
      <w:bookmarkStart w:id="3" w:name="_Hlk56690880"/>
    </w:p>
    <w:tbl>
      <w:tblPr>
        <w:tblStyle w:val="28"/>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82"/>
        <w:gridCol w:w="7357"/>
      </w:tblGrid>
      <w:tr w14:paraId="5F07F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18" w:hRule="atLeast"/>
        </w:trPr>
        <w:tc>
          <w:tcPr>
            <w:tcW w:w="1682" w:type="dxa"/>
            <w:tcMar>
              <w:top w:w="16" w:type="dxa"/>
              <w:left w:w="16" w:type="dxa"/>
              <w:right w:w="16" w:type="dxa"/>
            </w:tcMar>
            <w:vAlign w:val="center"/>
          </w:tcPr>
          <w:p w14:paraId="279EFCA1">
            <w:pPr>
              <w:autoSpaceDE w:val="0"/>
              <w:autoSpaceDN w:val="0"/>
              <w:adjustRightInd w:val="0"/>
              <w:snapToGrid w:val="0"/>
              <w:jc w:val="center"/>
              <w:rPr>
                <w:rFonts w:hint="eastAsia" w:ascii="宋体" w:hAnsi="宋体" w:cs="宋体"/>
                <w:color w:val="auto"/>
                <w:kern w:val="0"/>
                <w:szCs w:val="21"/>
              </w:rPr>
            </w:pPr>
            <w:r>
              <w:rPr>
                <w:rFonts w:hint="eastAsia" w:ascii="宋体" w:hAnsi="宋体" w:cs="宋体"/>
                <w:color w:val="auto"/>
                <w:kern w:val="0"/>
                <w:sz w:val="24"/>
              </w:rPr>
              <w:t>其他符合性分析</w:t>
            </w:r>
            <w:bookmarkEnd w:id="3"/>
          </w:p>
        </w:tc>
        <w:tc>
          <w:tcPr>
            <w:tcW w:w="7357" w:type="dxa"/>
            <w:tcMar>
              <w:top w:w="16" w:type="dxa"/>
              <w:left w:w="16" w:type="dxa"/>
              <w:right w:w="16" w:type="dxa"/>
            </w:tcMar>
            <w:vAlign w:val="center"/>
          </w:tcPr>
          <w:p w14:paraId="194E6D27">
            <w:pPr>
              <w:autoSpaceDE w:val="0"/>
              <w:autoSpaceDN w:val="0"/>
              <w:spacing w:line="360" w:lineRule="auto"/>
              <w:rPr>
                <w:b/>
                <w:bCs/>
                <w:color w:val="auto"/>
                <w:sz w:val="24"/>
              </w:rPr>
            </w:pPr>
            <w:r>
              <w:rPr>
                <w:rFonts w:hint="eastAsia"/>
                <w:b/>
                <w:bCs/>
                <w:color w:val="auto"/>
                <w:sz w:val="24"/>
              </w:rPr>
              <w:t>1、产业政策符合性</w:t>
            </w:r>
          </w:p>
          <w:p w14:paraId="70BE41A3">
            <w:pPr>
              <w:autoSpaceDE w:val="0"/>
              <w:autoSpaceDN w:val="0"/>
              <w:spacing w:line="360" w:lineRule="auto"/>
              <w:ind w:firstLine="480" w:firstLineChars="200"/>
              <w:rPr>
                <w:color w:val="auto"/>
                <w:kern w:val="0"/>
                <w:sz w:val="24"/>
              </w:rPr>
            </w:pPr>
            <w:r>
              <w:rPr>
                <w:rFonts w:hint="eastAsia"/>
                <w:color w:val="auto"/>
                <w:kern w:val="0"/>
                <w:sz w:val="24"/>
              </w:rPr>
              <w:t>本项目开采矿种为建筑用砂，根据《产业结构调整指导目录（2024年本）》，本项目不属于鼓励类，限制类，为允许建设的项目。本项目已取得投资项目登记备案，编号：2410311547652300000198，项目编码：2410-652325-07-01-652502，因此，本项目符合国家产业政策要求。</w:t>
            </w:r>
          </w:p>
          <w:p w14:paraId="4DE90D90">
            <w:pPr>
              <w:autoSpaceDE w:val="0"/>
              <w:autoSpaceDN w:val="0"/>
              <w:spacing w:line="360" w:lineRule="auto"/>
              <w:rPr>
                <w:b/>
                <w:bCs/>
                <w:color w:val="auto"/>
                <w:kern w:val="0"/>
                <w:sz w:val="24"/>
              </w:rPr>
            </w:pPr>
            <w:r>
              <w:rPr>
                <w:rFonts w:hint="eastAsia"/>
                <w:b/>
                <w:bCs/>
                <w:color w:val="auto"/>
                <w:kern w:val="0"/>
                <w:sz w:val="24"/>
              </w:rPr>
              <w:t>2、“</w:t>
            </w:r>
            <w:r>
              <w:rPr>
                <w:b/>
                <w:bCs/>
                <w:color w:val="auto"/>
                <w:kern w:val="0"/>
                <w:sz w:val="24"/>
              </w:rPr>
              <w:t>三线一单</w:t>
            </w:r>
            <w:r>
              <w:rPr>
                <w:rFonts w:hint="eastAsia"/>
                <w:b/>
                <w:bCs/>
                <w:color w:val="auto"/>
                <w:kern w:val="0"/>
                <w:sz w:val="24"/>
              </w:rPr>
              <w:t>”</w:t>
            </w:r>
            <w:r>
              <w:rPr>
                <w:b/>
                <w:bCs/>
                <w:color w:val="auto"/>
                <w:kern w:val="0"/>
                <w:sz w:val="24"/>
              </w:rPr>
              <w:t>符合性分析</w:t>
            </w:r>
          </w:p>
          <w:p w14:paraId="00BA3731">
            <w:pPr>
              <w:autoSpaceDE w:val="0"/>
              <w:autoSpaceDN w:val="0"/>
              <w:spacing w:line="360" w:lineRule="auto"/>
              <w:rPr>
                <w:b/>
                <w:bCs/>
                <w:color w:val="auto"/>
                <w:sz w:val="24"/>
              </w:rPr>
            </w:pPr>
            <w:r>
              <w:rPr>
                <w:rFonts w:hint="eastAsia"/>
                <w:b/>
                <w:bCs/>
                <w:color w:val="auto"/>
                <w:sz w:val="24"/>
              </w:rPr>
              <w:t>2.1与《新疆维吾尔自治区生态环境分区管控动态更新成果》（新环环评发〔2024〕157号）</w:t>
            </w:r>
            <w:r>
              <w:rPr>
                <w:b/>
                <w:bCs/>
                <w:color w:val="auto"/>
                <w:sz w:val="24"/>
              </w:rPr>
              <w:t>符合</w:t>
            </w:r>
            <w:r>
              <w:rPr>
                <w:rFonts w:hint="eastAsia"/>
                <w:b/>
                <w:bCs/>
                <w:color w:val="auto"/>
                <w:sz w:val="24"/>
              </w:rPr>
              <w:t>性</w:t>
            </w:r>
            <w:r>
              <w:rPr>
                <w:b/>
                <w:bCs/>
                <w:color w:val="auto"/>
                <w:sz w:val="24"/>
              </w:rPr>
              <w:t>分析</w:t>
            </w:r>
          </w:p>
          <w:p w14:paraId="02E3F92B">
            <w:pPr>
              <w:autoSpaceDE w:val="0"/>
              <w:autoSpaceDN w:val="0"/>
              <w:adjustRightInd w:val="0"/>
              <w:snapToGrid w:val="0"/>
              <w:spacing w:line="360" w:lineRule="auto"/>
              <w:ind w:firstLine="480" w:firstLineChars="200"/>
              <w:rPr>
                <w:color w:val="auto"/>
                <w:sz w:val="24"/>
              </w:rPr>
            </w:pPr>
            <w:r>
              <w:rPr>
                <w:color w:val="auto"/>
                <w:sz w:val="24"/>
              </w:rPr>
              <w:t>根据《关于印发＜新疆维吾尔自治区生态环境分区管控动态更新成果＞的通知》（新环环评发〔2024〕157号）可知，新疆维吾尔自治区共划定1777个环境管控单元，分为优先保护单元、重点管控单元和一般管控单元三类，实施分类管控。其中优先保护单元925个（主要包括生态保护红线区和生态保护红线区以外的饮用水水源保护区、水源涵养区、防风固沙区、土地沙化防控区、水土流失防控区等一般生态空间管控区）、重点管控单元713、一般管控单元139个。本项目位于奇台县三个庄子镇，不涉及国家公园、自然保护区、风景名胜区、世界文化和自然遗产地、海洋特别保护区等环境敏感区，不涉及生态保护红线。</w:t>
            </w:r>
          </w:p>
          <w:p w14:paraId="7EDA9A18">
            <w:pPr>
              <w:autoSpaceDE w:val="0"/>
              <w:autoSpaceDN w:val="0"/>
              <w:adjustRightInd w:val="0"/>
              <w:snapToGrid w:val="0"/>
              <w:spacing w:line="360" w:lineRule="auto"/>
              <w:ind w:firstLine="480" w:firstLineChars="200"/>
              <w:rPr>
                <w:color w:val="auto"/>
                <w:sz w:val="24"/>
              </w:rPr>
            </w:pPr>
            <w:r>
              <w:rPr>
                <w:color w:val="auto"/>
                <w:sz w:val="24"/>
              </w:rPr>
              <w:t>本项目与新疆维吾尔自治区生态环境分区管控总体要求符合性见表1-</w:t>
            </w:r>
            <w:r>
              <w:rPr>
                <w:rFonts w:hint="eastAsia"/>
                <w:color w:val="auto"/>
                <w:sz w:val="24"/>
              </w:rPr>
              <w:t>4</w:t>
            </w:r>
            <w:r>
              <w:rPr>
                <w:color w:val="auto"/>
                <w:sz w:val="24"/>
              </w:rPr>
              <w:t>。</w:t>
            </w:r>
          </w:p>
          <w:p w14:paraId="23568E41">
            <w:pPr>
              <w:pStyle w:val="64"/>
              <w:outlineLvl w:val="9"/>
              <w:rPr>
                <w:rFonts w:hint="default"/>
                <w:b/>
                <w:bCs/>
                <w:color w:val="auto"/>
              </w:rPr>
            </w:pPr>
            <w:r>
              <w:rPr>
                <w:b/>
                <w:bCs/>
                <w:color w:val="auto"/>
              </w:rPr>
              <w:t>表1-4    本项目与新疆维吾尔自治区生态环境分区管控总体要求符合性一览表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12"/>
              <w:gridCol w:w="3528"/>
              <w:gridCol w:w="1863"/>
              <w:gridCol w:w="643"/>
            </w:tblGrid>
            <w:tr w14:paraId="2BD4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tcPr>
                <w:p w14:paraId="4A9C24C3">
                  <w:pPr>
                    <w:jc w:val="center"/>
                    <w:rPr>
                      <w:color w:val="auto"/>
                      <w:szCs w:val="21"/>
                    </w:rPr>
                  </w:pPr>
                  <w:r>
                    <w:rPr>
                      <w:rFonts w:hint="eastAsia"/>
                      <w:color w:val="auto"/>
                      <w:szCs w:val="21"/>
                    </w:rPr>
                    <w:t>管控维度</w:t>
                  </w:r>
                </w:p>
              </w:tc>
              <w:tc>
                <w:tcPr>
                  <w:tcW w:w="733" w:type="dxa"/>
                </w:tcPr>
                <w:p w14:paraId="633B1BD0">
                  <w:pPr>
                    <w:jc w:val="center"/>
                    <w:rPr>
                      <w:color w:val="auto"/>
                      <w:szCs w:val="21"/>
                    </w:rPr>
                  </w:pPr>
                  <w:r>
                    <w:rPr>
                      <w:rFonts w:hint="eastAsia"/>
                      <w:color w:val="auto"/>
                      <w:szCs w:val="21"/>
                    </w:rPr>
                    <w:t>管控要求</w:t>
                  </w:r>
                </w:p>
              </w:tc>
              <w:tc>
                <w:tcPr>
                  <w:tcW w:w="4587" w:type="dxa"/>
                </w:tcPr>
                <w:p w14:paraId="6DA6E5A2">
                  <w:pPr>
                    <w:jc w:val="center"/>
                    <w:rPr>
                      <w:color w:val="auto"/>
                      <w:szCs w:val="21"/>
                    </w:rPr>
                  </w:pPr>
                  <w:r>
                    <w:rPr>
                      <w:rFonts w:hint="eastAsia"/>
                      <w:color w:val="auto"/>
                      <w:szCs w:val="21"/>
                    </w:rPr>
                    <w:t>管控要求</w:t>
                  </w:r>
                </w:p>
              </w:tc>
              <w:tc>
                <w:tcPr>
                  <w:tcW w:w="2386" w:type="dxa"/>
                </w:tcPr>
                <w:p w14:paraId="36C46759">
                  <w:pPr>
                    <w:jc w:val="center"/>
                    <w:rPr>
                      <w:color w:val="auto"/>
                      <w:szCs w:val="21"/>
                    </w:rPr>
                  </w:pPr>
                  <w:r>
                    <w:rPr>
                      <w:rFonts w:hint="eastAsia"/>
                      <w:color w:val="auto"/>
                      <w:szCs w:val="21"/>
                    </w:rPr>
                    <w:t>本项目</w:t>
                  </w:r>
                </w:p>
              </w:tc>
              <w:tc>
                <w:tcPr>
                  <w:tcW w:w="774" w:type="dxa"/>
                </w:tcPr>
                <w:p w14:paraId="27BD7F99">
                  <w:pPr>
                    <w:jc w:val="center"/>
                    <w:rPr>
                      <w:color w:val="auto"/>
                      <w:szCs w:val="21"/>
                    </w:rPr>
                  </w:pPr>
                  <w:r>
                    <w:rPr>
                      <w:rFonts w:hint="eastAsia"/>
                      <w:color w:val="auto"/>
                      <w:szCs w:val="21"/>
                    </w:rPr>
                    <w:t>符合性</w:t>
                  </w:r>
                </w:p>
              </w:tc>
            </w:tr>
            <w:tr w14:paraId="4921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restart"/>
                </w:tcPr>
                <w:p w14:paraId="21DEA6A9">
                  <w:pPr>
                    <w:jc w:val="center"/>
                    <w:rPr>
                      <w:color w:val="auto"/>
                      <w:szCs w:val="21"/>
                    </w:rPr>
                  </w:pPr>
                  <w:r>
                    <w:rPr>
                      <w:rFonts w:hint="eastAsia"/>
                      <w:color w:val="auto"/>
                      <w:szCs w:val="21"/>
                    </w:rPr>
                    <w:t>A1空间布局约束</w:t>
                  </w:r>
                </w:p>
              </w:tc>
              <w:tc>
                <w:tcPr>
                  <w:tcW w:w="733" w:type="dxa"/>
                  <w:vMerge w:val="restart"/>
                </w:tcPr>
                <w:p w14:paraId="75AC58D7">
                  <w:pPr>
                    <w:jc w:val="center"/>
                    <w:rPr>
                      <w:color w:val="auto"/>
                      <w:szCs w:val="21"/>
                    </w:rPr>
                  </w:pPr>
                  <w:r>
                    <w:rPr>
                      <w:rFonts w:hint="eastAsia"/>
                      <w:color w:val="auto"/>
                      <w:szCs w:val="21"/>
                    </w:rPr>
                    <w:t>A1.1禁止开发建设的活动</w:t>
                  </w:r>
                </w:p>
              </w:tc>
              <w:tc>
                <w:tcPr>
                  <w:tcW w:w="4587" w:type="dxa"/>
                </w:tcPr>
                <w:p w14:paraId="6FD919D4">
                  <w:pPr>
                    <w:jc w:val="center"/>
                    <w:rPr>
                      <w:color w:val="auto"/>
                      <w:szCs w:val="21"/>
                    </w:rPr>
                  </w:pPr>
                  <w:r>
                    <w:rPr>
                      <w:rFonts w:hint="eastAsia"/>
                      <w:color w:val="auto"/>
                      <w:szCs w:val="21"/>
                    </w:rPr>
                    <w:t>〔A1.1-1〕禁止新建、扩建《产业结构调整指导目录（2024年本）》中淘汰类项目。禁止引入《市场准入负面清单（2022年版）》禁止准入类事项。</w:t>
                  </w:r>
                </w:p>
              </w:tc>
              <w:tc>
                <w:tcPr>
                  <w:tcW w:w="2386" w:type="dxa"/>
                </w:tcPr>
                <w:p w14:paraId="76C0BF3E">
                  <w:pPr>
                    <w:jc w:val="center"/>
                    <w:rPr>
                      <w:color w:val="auto"/>
                      <w:szCs w:val="21"/>
                    </w:rPr>
                  </w:pPr>
                  <w:r>
                    <w:rPr>
                      <w:rFonts w:hint="eastAsia"/>
                      <w:color w:val="auto"/>
                      <w:szCs w:val="21"/>
                    </w:rPr>
                    <w:t>根据《产业结构调整指导目录》（2024 年本），本项目属于允许类，符合国家产业政策要求。</w:t>
                  </w:r>
                </w:p>
              </w:tc>
              <w:tc>
                <w:tcPr>
                  <w:tcW w:w="774" w:type="dxa"/>
                </w:tcPr>
                <w:p w14:paraId="5B7596A6">
                  <w:pPr>
                    <w:jc w:val="center"/>
                    <w:rPr>
                      <w:color w:val="auto"/>
                      <w:szCs w:val="21"/>
                    </w:rPr>
                  </w:pPr>
                  <w:r>
                    <w:rPr>
                      <w:rFonts w:hint="eastAsia"/>
                      <w:color w:val="auto"/>
                      <w:szCs w:val="21"/>
                    </w:rPr>
                    <w:t>符合</w:t>
                  </w:r>
                </w:p>
              </w:tc>
            </w:tr>
            <w:tr w14:paraId="7E6C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198DBF76">
                  <w:pPr>
                    <w:jc w:val="center"/>
                    <w:rPr>
                      <w:color w:val="auto"/>
                      <w:szCs w:val="21"/>
                    </w:rPr>
                  </w:pPr>
                </w:p>
              </w:tc>
              <w:tc>
                <w:tcPr>
                  <w:tcW w:w="733" w:type="dxa"/>
                  <w:vMerge w:val="continue"/>
                </w:tcPr>
                <w:p w14:paraId="6DF6DBAB">
                  <w:pPr>
                    <w:jc w:val="center"/>
                    <w:rPr>
                      <w:color w:val="auto"/>
                      <w:szCs w:val="21"/>
                    </w:rPr>
                  </w:pPr>
                </w:p>
              </w:tc>
              <w:tc>
                <w:tcPr>
                  <w:tcW w:w="4587" w:type="dxa"/>
                </w:tcPr>
                <w:p w14:paraId="32562C1A">
                  <w:pPr>
                    <w:jc w:val="center"/>
                    <w:rPr>
                      <w:color w:val="auto"/>
                      <w:szCs w:val="21"/>
                    </w:rPr>
                  </w:pPr>
                  <w:r>
                    <w:rPr>
                      <w:rFonts w:hint="eastAsia"/>
                      <w:color w:val="auto"/>
                      <w:szCs w:val="21"/>
                    </w:rPr>
                    <w:t>〔A1.1-2〕禁止建设不符合国家和自治区环境保护标准的项目。</w:t>
                  </w:r>
                </w:p>
              </w:tc>
              <w:tc>
                <w:tcPr>
                  <w:tcW w:w="2386" w:type="dxa"/>
                </w:tcPr>
                <w:p w14:paraId="2EE6BA63">
                  <w:pPr>
                    <w:jc w:val="center"/>
                    <w:rPr>
                      <w:color w:val="auto"/>
                      <w:szCs w:val="21"/>
                    </w:rPr>
                  </w:pPr>
                  <w:r>
                    <w:rPr>
                      <w:rFonts w:hint="eastAsia"/>
                      <w:color w:val="auto"/>
                      <w:szCs w:val="21"/>
                    </w:rPr>
                    <w:t>不涉及</w:t>
                  </w:r>
                </w:p>
              </w:tc>
              <w:tc>
                <w:tcPr>
                  <w:tcW w:w="774" w:type="dxa"/>
                </w:tcPr>
                <w:p w14:paraId="648932BE">
                  <w:pPr>
                    <w:jc w:val="center"/>
                    <w:rPr>
                      <w:color w:val="auto"/>
                      <w:szCs w:val="21"/>
                    </w:rPr>
                  </w:pPr>
                  <w:r>
                    <w:rPr>
                      <w:rFonts w:hint="eastAsia"/>
                      <w:color w:val="auto"/>
                      <w:szCs w:val="21"/>
                    </w:rPr>
                    <w:t>符合</w:t>
                  </w:r>
                </w:p>
              </w:tc>
            </w:tr>
            <w:tr w14:paraId="6A32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24972998">
                  <w:pPr>
                    <w:jc w:val="center"/>
                    <w:rPr>
                      <w:color w:val="auto"/>
                      <w:szCs w:val="21"/>
                    </w:rPr>
                  </w:pPr>
                </w:p>
              </w:tc>
              <w:tc>
                <w:tcPr>
                  <w:tcW w:w="733" w:type="dxa"/>
                  <w:vMerge w:val="continue"/>
                </w:tcPr>
                <w:p w14:paraId="56237BDE">
                  <w:pPr>
                    <w:jc w:val="center"/>
                    <w:rPr>
                      <w:color w:val="auto"/>
                      <w:szCs w:val="21"/>
                    </w:rPr>
                  </w:pPr>
                </w:p>
              </w:tc>
              <w:tc>
                <w:tcPr>
                  <w:tcW w:w="4587" w:type="dxa"/>
                </w:tcPr>
                <w:p w14:paraId="2A53D0B6">
                  <w:pPr>
                    <w:jc w:val="center"/>
                    <w:rPr>
                      <w:color w:val="auto"/>
                      <w:szCs w:val="21"/>
                    </w:rPr>
                  </w:pPr>
                  <w:r>
                    <w:rPr>
                      <w:rFonts w:hint="eastAsia"/>
                      <w:color w:val="auto"/>
                      <w:szCs w:val="21"/>
                    </w:rPr>
                    <w:t>〔A1.1-3〕禁止在饮用水水源保护区、风景名胜区、自然保护区的核心区和缓冲区、城镇居民区、文化教育科学研究区等人口集中区域以及法律法规规定的其他禁止养殖区域建设畜禽养殖场、养殖小区。</w:t>
                  </w:r>
                </w:p>
              </w:tc>
              <w:tc>
                <w:tcPr>
                  <w:tcW w:w="2386" w:type="dxa"/>
                </w:tcPr>
                <w:p w14:paraId="6C7AA085">
                  <w:pPr>
                    <w:jc w:val="center"/>
                    <w:rPr>
                      <w:color w:val="auto"/>
                      <w:szCs w:val="21"/>
                    </w:rPr>
                  </w:pPr>
                  <w:r>
                    <w:rPr>
                      <w:rFonts w:hint="eastAsia"/>
                      <w:color w:val="auto"/>
                      <w:szCs w:val="21"/>
                    </w:rPr>
                    <w:t>不涉及</w:t>
                  </w:r>
                </w:p>
              </w:tc>
              <w:tc>
                <w:tcPr>
                  <w:tcW w:w="774" w:type="dxa"/>
                </w:tcPr>
                <w:p w14:paraId="376CF651">
                  <w:pPr>
                    <w:jc w:val="center"/>
                    <w:rPr>
                      <w:color w:val="auto"/>
                      <w:szCs w:val="21"/>
                    </w:rPr>
                  </w:pPr>
                  <w:r>
                    <w:rPr>
                      <w:rFonts w:hint="eastAsia"/>
                      <w:color w:val="auto"/>
                      <w:szCs w:val="21"/>
                    </w:rPr>
                    <w:t>符合</w:t>
                  </w:r>
                </w:p>
              </w:tc>
            </w:tr>
            <w:tr w14:paraId="6819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2990899E">
                  <w:pPr>
                    <w:jc w:val="center"/>
                    <w:rPr>
                      <w:color w:val="auto"/>
                      <w:szCs w:val="21"/>
                    </w:rPr>
                  </w:pPr>
                </w:p>
              </w:tc>
              <w:tc>
                <w:tcPr>
                  <w:tcW w:w="733" w:type="dxa"/>
                  <w:vMerge w:val="continue"/>
                </w:tcPr>
                <w:p w14:paraId="28FC3AB5">
                  <w:pPr>
                    <w:jc w:val="center"/>
                    <w:rPr>
                      <w:color w:val="auto"/>
                      <w:szCs w:val="21"/>
                    </w:rPr>
                  </w:pPr>
                </w:p>
              </w:tc>
              <w:tc>
                <w:tcPr>
                  <w:tcW w:w="4587" w:type="dxa"/>
                </w:tcPr>
                <w:p w14:paraId="6F64F017">
                  <w:pPr>
                    <w:jc w:val="center"/>
                    <w:rPr>
                      <w:color w:val="auto"/>
                      <w:szCs w:val="21"/>
                    </w:rPr>
                  </w:pPr>
                  <w:r>
                    <w:rPr>
                      <w:rFonts w:hint="eastAsia"/>
                      <w:color w:val="auto"/>
                      <w:szCs w:val="21"/>
                    </w:rPr>
                    <w:t>〔A1.1-4〕禁止在水源涵养区、地下水源、饮用水源、自然保护区风景名胜区、森林公园、重要湿地及人群密集区等生态敏感区域内进行煤炭、石油、天然气开发。</w:t>
                  </w:r>
                </w:p>
              </w:tc>
              <w:tc>
                <w:tcPr>
                  <w:tcW w:w="2386" w:type="dxa"/>
                </w:tcPr>
                <w:p w14:paraId="0E5BA75B">
                  <w:pPr>
                    <w:jc w:val="center"/>
                    <w:rPr>
                      <w:color w:val="auto"/>
                      <w:szCs w:val="21"/>
                    </w:rPr>
                  </w:pPr>
                  <w:r>
                    <w:rPr>
                      <w:rFonts w:hint="eastAsia"/>
                      <w:color w:val="auto"/>
                      <w:szCs w:val="21"/>
                    </w:rPr>
                    <w:t>不涉及</w:t>
                  </w:r>
                </w:p>
              </w:tc>
              <w:tc>
                <w:tcPr>
                  <w:tcW w:w="774" w:type="dxa"/>
                </w:tcPr>
                <w:p w14:paraId="6D30116B">
                  <w:pPr>
                    <w:jc w:val="center"/>
                    <w:rPr>
                      <w:color w:val="auto"/>
                      <w:szCs w:val="21"/>
                    </w:rPr>
                  </w:pPr>
                  <w:r>
                    <w:rPr>
                      <w:rFonts w:hint="eastAsia"/>
                      <w:color w:val="auto"/>
                      <w:szCs w:val="21"/>
                    </w:rPr>
                    <w:t>符合</w:t>
                  </w:r>
                </w:p>
              </w:tc>
            </w:tr>
            <w:tr w14:paraId="4ECE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262E976A">
                  <w:pPr>
                    <w:jc w:val="center"/>
                    <w:rPr>
                      <w:color w:val="auto"/>
                      <w:szCs w:val="21"/>
                    </w:rPr>
                  </w:pPr>
                </w:p>
              </w:tc>
              <w:tc>
                <w:tcPr>
                  <w:tcW w:w="733" w:type="dxa"/>
                  <w:vMerge w:val="continue"/>
                </w:tcPr>
                <w:p w14:paraId="64737600">
                  <w:pPr>
                    <w:jc w:val="center"/>
                    <w:rPr>
                      <w:color w:val="auto"/>
                      <w:szCs w:val="21"/>
                    </w:rPr>
                  </w:pPr>
                </w:p>
              </w:tc>
              <w:tc>
                <w:tcPr>
                  <w:tcW w:w="4587" w:type="dxa"/>
                </w:tcPr>
                <w:p w14:paraId="3C82DC8E">
                  <w:pPr>
                    <w:jc w:val="center"/>
                    <w:rPr>
                      <w:color w:val="auto"/>
                      <w:szCs w:val="21"/>
                    </w:rPr>
                  </w:pPr>
                  <w:r>
                    <w:rPr>
                      <w:rFonts w:hint="eastAsia"/>
                      <w:color w:val="auto"/>
                      <w:szCs w:val="21"/>
                    </w:rPr>
                    <w:t>〔A1.1-5〕禁止下列破坏湿地及其生态功能的行为：</w:t>
                  </w:r>
                </w:p>
                <w:p w14:paraId="03540569">
                  <w:pPr>
                    <w:jc w:val="center"/>
                    <w:rPr>
                      <w:color w:val="auto"/>
                      <w:szCs w:val="21"/>
                    </w:rPr>
                  </w:pPr>
                  <w:r>
                    <w:rPr>
                      <w:rFonts w:hint="eastAsia"/>
                      <w:color w:val="auto"/>
                      <w:szCs w:val="21"/>
                    </w:rPr>
                    <w:t>（一）开（围）垦、排干自然湿地，永久性截断自然湿地水源；</w:t>
                  </w:r>
                </w:p>
                <w:p w14:paraId="49604E1B">
                  <w:pPr>
                    <w:jc w:val="center"/>
                    <w:rPr>
                      <w:color w:val="auto"/>
                      <w:szCs w:val="21"/>
                    </w:rPr>
                  </w:pPr>
                  <w:r>
                    <w:rPr>
                      <w:rFonts w:hint="eastAsia"/>
                      <w:color w:val="auto"/>
                      <w:szCs w:val="21"/>
                    </w:rPr>
                    <w:t>（二）擅自填埋自然湿地，擅自采砂、采矿、取土；</w:t>
                  </w:r>
                </w:p>
                <w:p w14:paraId="0EA14E29">
                  <w:pPr>
                    <w:jc w:val="center"/>
                    <w:rPr>
                      <w:color w:val="auto"/>
                      <w:szCs w:val="21"/>
                    </w:rPr>
                  </w:pPr>
                  <w:r>
                    <w:rPr>
                      <w:rFonts w:hint="eastAsia"/>
                      <w:color w:val="auto"/>
                      <w:szCs w:val="21"/>
                    </w:rPr>
                    <w:t>（三）排放不符合水污染物排放标准的工业废水、生活污水及其他污染湿地的废水、污水，倾倒、堆放、丢弃、遗撒固体废物；</w:t>
                  </w:r>
                </w:p>
                <w:p w14:paraId="5D403809">
                  <w:pPr>
                    <w:jc w:val="center"/>
                    <w:rPr>
                      <w:color w:val="auto"/>
                      <w:szCs w:val="21"/>
                    </w:rPr>
                  </w:pPr>
                  <w:r>
                    <w:rPr>
                      <w:rFonts w:hint="eastAsia"/>
                      <w:color w:val="auto"/>
                      <w:szCs w:val="21"/>
                    </w:rPr>
                    <w:t>（四）过度放牧或者滥采野生植物，过度捕捞或者灭绝式捕捞，过度施肥、投药、投放饵料等污染湿地的种植养殖行为；</w:t>
                  </w:r>
                </w:p>
                <w:p w14:paraId="03B29381">
                  <w:pPr>
                    <w:jc w:val="center"/>
                    <w:rPr>
                      <w:color w:val="auto"/>
                      <w:szCs w:val="21"/>
                    </w:rPr>
                  </w:pPr>
                  <w:r>
                    <w:rPr>
                      <w:rFonts w:hint="eastAsia"/>
                      <w:color w:val="auto"/>
                      <w:szCs w:val="21"/>
                    </w:rPr>
                    <w:t>（五）其他破坏湿地及其生态功能的行为。</w:t>
                  </w:r>
                </w:p>
              </w:tc>
              <w:tc>
                <w:tcPr>
                  <w:tcW w:w="2386" w:type="dxa"/>
                </w:tcPr>
                <w:p w14:paraId="74D1745B">
                  <w:pPr>
                    <w:jc w:val="center"/>
                    <w:rPr>
                      <w:color w:val="auto"/>
                      <w:szCs w:val="21"/>
                    </w:rPr>
                  </w:pPr>
                  <w:r>
                    <w:rPr>
                      <w:rFonts w:hint="eastAsia"/>
                      <w:color w:val="auto"/>
                      <w:szCs w:val="21"/>
                    </w:rPr>
                    <w:t>不涉及</w:t>
                  </w:r>
                </w:p>
              </w:tc>
              <w:tc>
                <w:tcPr>
                  <w:tcW w:w="774" w:type="dxa"/>
                </w:tcPr>
                <w:p w14:paraId="2269C59D">
                  <w:pPr>
                    <w:jc w:val="center"/>
                    <w:rPr>
                      <w:color w:val="auto"/>
                      <w:szCs w:val="21"/>
                    </w:rPr>
                  </w:pPr>
                  <w:r>
                    <w:rPr>
                      <w:rFonts w:hint="eastAsia"/>
                      <w:color w:val="auto"/>
                      <w:szCs w:val="21"/>
                    </w:rPr>
                    <w:t>符合</w:t>
                  </w:r>
                </w:p>
              </w:tc>
            </w:tr>
            <w:tr w14:paraId="38A3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72F13DC1">
                  <w:pPr>
                    <w:jc w:val="center"/>
                    <w:rPr>
                      <w:color w:val="auto"/>
                      <w:szCs w:val="21"/>
                    </w:rPr>
                  </w:pPr>
                </w:p>
              </w:tc>
              <w:tc>
                <w:tcPr>
                  <w:tcW w:w="733" w:type="dxa"/>
                  <w:vMerge w:val="continue"/>
                </w:tcPr>
                <w:p w14:paraId="2BDAFD57">
                  <w:pPr>
                    <w:jc w:val="center"/>
                    <w:rPr>
                      <w:color w:val="auto"/>
                      <w:szCs w:val="21"/>
                    </w:rPr>
                  </w:pPr>
                </w:p>
              </w:tc>
              <w:tc>
                <w:tcPr>
                  <w:tcW w:w="4587" w:type="dxa"/>
                </w:tcPr>
                <w:p w14:paraId="0B35BF8F">
                  <w:pPr>
                    <w:jc w:val="center"/>
                    <w:rPr>
                      <w:color w:val="auto"/>
                      <w:szCs w:val="21"/>
                    </w:rPr>
                  </w:pPr>
                  <w:r>
                    <w:rPr>
                      <w:rFonts w:hint="eastAsia"/>
                      <w:color w:val="auto"/>
                      <w:szCs w:val="21"/>
                    </w:rPr>
                    <w:t>〔A1.1-6〕禁止在自治区行政区域内引进能（水）耗不符合相关国家标准中准入值要求且污染物排放和环境风险防控不符合国家（地方）标准及有关产业准入条件的高污染（排放）、高能（水）耗、高环境风险的工业项目。</w:t>
                  </w:r>
                </w:p>
              </w:tc>
              <w:tc>
                <w:tcPr>
                  <w:tcW w:w="2386" w:type="dxa"/>
                </w:tcPr>
                <w:p w14:paraId="28029955">
                  <w:pPr>
                    <w:jc w:val="center"/>
                    <w:rPr>
                      <w:color w:val="auto"/>
                      <w:szCs w:val="21"/>
                    </w:rPr>
                  </w:pPr>
                  <w:r>
                    <w:rPr>
                      <w:rFonts w:hint="eastAsia"/>
                      <w:color w:val="auto"/>
                      <w:szCs w:val="21"/>
                    </w:rPr>
                    <w:t>不涉及</w:t>
                  </w:r>
                </w:p>
              </w:tc>
              <w:tc>
                <w:tcPr>
                  <w:tcW w:w="774" w:type="dxa"/>
                </w:tcPr>
                <w:p w14:paraId="06C11731">
                  <w:pPr>
                    <w:jc w:val="center"/>
                    <w:rPr>
                      <w:color w:val="auto"/>
                      <w:szCs w:val="21"/>
                    </w:rPr>
                  </w:pPr>
                  <w:r>
                    <w:rPr>
                      <w:rFonts w:hint="eastAsia"/>
                      <w:color w:val="auto"/>
                      <w:szCs w:val="21"/>
                    </w:rPr>
                    <w:t>符合</w:t>
                  </w:r>
                </w:p>
              </w:tc>
            </w:tr>
            <w:tr w14:paraId="0B8A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6FB1624C">
                  <w:pPr>
                    <w:jc w:val="center"/>
                    <w:rPr>
                      <w:color w:val="auto"/>
                      <w:szCs w:val="21"/>
                    </w:rPr>
                  </w:pPr>
                </w:p>
              </w:tc>
              <w:tc>
                <w:tcPr>
                  <w:tcW w:w="733" w:type="dxa"/>
                  <w:vMerge w:val="continue"/>
                </w:tcPr>
                <w:p w14:paraId="0314FEA4">
                  <w:pPr>
                    <w:jc w:val="center"/>
                    <w:rPr>
                      <w:color w:val="auto"/>
                      <w:szCs w:val="21"/>
                    </w:rPr>
                  </w:pPr>
                </w:p>
              </w:tc>
              <w:tc>
                <w:tcPr>
                  <w:tcW w:w="4587" w:type="dxa"/>
                </w:tcPr>
                <w:p w14:paraId="577984F6">
                  <w:pPr>
                    <w:jc w:val="center"/>
                    <w:rPr>
                      <w:color w:val="auto"/>
                      <w:szCs w:val="21"/>
                    </w:rPr>
                  </w:pPr>
                  <w:r>
                    <w:rPr>
                      <w:rFonts w:hint="eastAsia"/>
                      <w:color w:val="auto"/>
                      <w:szCs w:val="21"/>
                    </w:rPr>
                    <w:t>〔A1.1-7〕①坚决遏制高耗能高排放低水平项目盲目发展。严把高耗能高排放低水平项目准入关口，严格落实污染物排放区域削减要求，对不符合规定的项目坚决停批停建。依法依规淘汰落后产能和化解过剩产能。②重点行业企业纳入重污染天气绩效分级，制定“一一策”应急减排清单，实现应纳尽纳；引导重点企业在秋冬季安排停产检修计划，减少冬季和采暖期排放。推进重点行业深度治理实施全工况脱硫脱硝提标改造，加大无组织排放治理力度，深度开展工业炉窑综合整治，全面提升电解铝、活性炭、硅冶炼、纯碱、电石、聚氯乙烯、石化等行业污染治理水平。</w:t>
                  </w:r>
                </w:p>
              </w:tc>
              <w:tc>
                <w:tcPr>
                  <w:tcW w:w="2386" w:type="dxa"/>
                </w:tcPr>
                <w:p w14:paraId="6BEEB1BA">
                  <w:pPr>
                    <w:jc w:val="center"/>
                    <w:rPr>
                      <w:color w:val="auto"/>
                      <w:szCs w:val="21"/>
                    </w:rPr>
                  </w:pPr>
                  <w:r>
                    <w:rPr>
                      <w:rFonts w:hint="eastAsia"/>
                      <w:color w:val="auto"/>
                      <w:szCs w:val="21"/>
                    </w:rPr>
                    <w:t>不涉及</w:t>
                  </w:r>
                </w:p>
              </w:tc>
              <w:tc>
                <w:tcPr>
                  <w:tcW w:w="774" w:type="dxa"/>
                </w:tcPr>
                <w:p w14:paraId="3F250DAE">
                  <w:pPr>
                    <w:jc w:val="center"/>
                    <w:rPr>
                      <w:color w:val="auto"/>
                      <w:szCs w:val="21"/>
                    </w:rPr>
                  </w:pPr>
                  <w:r>
                    <w:rPr>
                      <w:rFonts w:hint="eastAsia"/>
                      <w:color w:val="auto"/>
                      <w:szCs w:val="21"/>
                    </w:rPr>
                    <w:t>符合</w:t>
                  </w:r>
                </w:p>
              </w:tc>
            </w:tr>
            <w:tr w14:paraId="3574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5DA739B5">
                  <w:pPr>
                    <w:jc w:val="center"/>
                    <w:rPr>
                      <w:color w:val="auto"/>
                      <w:szCs w:val="21"/>
                    </w:rPr>
                  </w:pPr>
                </w:p>
              </w:tc>
              <w:tc>
                <w:tcPr>
                  <w:tcW w:w="733" w:type="dxa"/>
                </w:tcPr>
                <w:p w14:paraId="735DC751">
                  <w:pPr>
                    <w:jc w:val="center"/>
                    <w:rPr>
                      <w:color w:val="auto"/>
                      <w:szCs w:val="21"/>
                    </w:rPr>
                  </w:pPr>
                  <w:r>
                    <w:rPr>
                      <w:rFonts w:hint="eastAsia"/>
                      <w:color w:val="auto"/>
                      <w:szCs w:val="21"/>
                    </w:rPr>
                    <w:t>A1.2限制开发建设的活动</w:t>
                  </w:r>
                </w:p>
              </w:tc>
              <w:tc>
                <w:tcPr>
                  <w:tcW w:w="4587" w:type="dxa"/>
                </w:tcPr>
                <w:p w14:paraId="6FB46436">
                  <w:pPr>
                    <w:jc w:val="center"/>
                    <w:rPr>
                      <w:color w:val="auto"/>
                      <w:szCs w:val="21"/>
                    </w:rPr>
                  </w:pPr>
                  <w:r>
                    <w:rPr>
                      <w:rFonts w:hint="eastAsia"/>
                      <w:color w:val="auto"/>
                      <w:szCs w:val="21"/>
                    </w:rPr>
                    <w:t>〔A1.2-1〕严格控制缺水地区、水污染严重区域和敏感区域高耗水、高污染行业发展。</w:t>
                  </w:r>
                </w:p>
                <w:p w14:paraId="76755A22">
                  <w:pPr>
                    <w:jc w:val="center"/>
                    <w:rPr>
                      <w:color w:val="auto"/>
                      <w:szCs w:val="21"/>
                    </w:rPr>
                  </w:pPr>
                  <w:r>
                    <w:rPr>
                      <w:rFonts w:hint="eastAsia"/>
                      <w:color w:val="auto"/>
                      <w:szCs w:val="21"/>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p w14:paraId="0F0FC78F">
                  <w:pPr>
                    <w:jc w:val="center"/>
                    <w:rPr>
                      <w:color w:val="auto"/>
                      <w:szCs w:val="21"/>
                    </w:rPr>
                  </w:pPr>
                  <w:r>
                    <w:rPr>
                      <w:rFonts w:hint="eastAsia"/>
                      <w:color w:val="auto"/>
                      <w:szCs w:val="21"/>
                    </w:rPr>
                    <w:t>〔A1.2-3〕以用途变更为住宅、公共管理与公共服务用地的地块为重点，严格建设用地准入管理和风险管控，未依法完成土壤污染状况调查或风险评估的地块，不得开工建设与风险管控和修复无关的项目。</w:t>
                  </w:r>
                </w:p>
                <w:p w14:paraId="6B678081">
                  <w:pPr>
                    <w:jc w:val="center"/>
                    <w:rPr>
                      <w:color w:val="auto"/>
                      <w:szCs w:val="21"/>
                    </w:rPr>
                  </w:pPr>
                  <w:r>
                    <w:rPr>
                      <w:rFonts w:hint="eastAsia"/>
                      <w:color w:val="auto"/>
                      <w:szCs w:val="21"/>
                    </w:rPr>
                    <w:t>〔A1.2-4〕严格控制建设项目占用湿地。因国家和自治区重点建设工程、基础设施建设，以及重点公益性项目建设，确需占用湿地的，应当按照有关法律法规规定的权限和程序办理批准手续。</w:t>
                  </w:r>
                </w:p>
                <w:p w14:paraId="7CB9C09B">
                  <w:pPr>
                    <w:jc w:val="center"/>
                    <w:rPr>
                      <w:color w:val="auto"/>
                      <w:szCs w:val="21"/>
                    </w:rPr>
                  </w:pPr>
                  <w:r>
                    <w:rPr>
                      <w:rFonts w:hint="eastAsia"/>
                      <w:color w:val="auto"/>
                      <w:szCs w:val="21"/>
                    </w:rPr>
                    <w:t>〔A1.2-5〕严格管控自然保护地范围内非生态活动，稳妥推进核心区内居民、耕地有序退出，矿权依法依规退出。</w:t>
                  </w:r>
                </w:p>
              </w:tc>
              <w:tc>
                <w:tcPr>
                  <w:tcW w:w="2386" w:type="dxa"/>
                </w:tcPr>
                <w:p w14:paraId="7D1F024D">
                  <w:pPr>
                    <w:jc w:val="center"/>
                    <w:rPr>
                      <w:rFonts w:hint="default" w:eastAsia="宋体"/>
                      <w:color w:val="auto"/>
                      <w:szCs w:val="21"/>
                      <w:lang w:val="en-US" w:eastAsia="zh-CN"/>
                    </w:rPr>
                  </w:pPr>
                  <w:r>
                    <w:rPr>
                      <w:rFonts w:hint="eastAsia"/>
                      <w:color w:val="auto"/>
                      <w:szCs w:val="21"/>
                    </w:rPr>
                    <w:t>本项目不涉及永久基本农田，根据奇台县自然资源局出具的建筑用砂矿土地利用现状类型、开发利用规划及权属证明可知，项目地类为其他草地，权属均为国有。</w:t>
                  </w:r>
                  <w:r>
                    <w:rPr>
                      <w:rFonts w:hint="eastAsia"/>
                      <w:color w:val="auto"/>
                      <w:szCs w:val="21"/>
                      <w:lang w:val="en-US" w:eastAsia="zh-CN"/>
                    </w:rPr>
                    <w:t>新疆维吾尔自治区林业和草原局已出具《征收使用草原审核同意书》（新林草许准昌）〔2025〕23号），同意项目长期使用奇台县三个庄子镇青年村国有天然草原28.66138hm</w:t>
                  </w:r>
                  <w:r>
                    <w:rPr>
                      <w:rFonts w:hint="eastAsia"/>
                      <w:color w:val="auto"/>
                      <w:szCs w:val="21"/>
                      <w:vertAlign w:val="superscript"/>
                      <w:lang w:val="en-US" w:eastAsia="zh-CN"/>
                    </w:rPr>
                    <w:t>2</w:t>
                  </w:r>
                  <w:r>
                    <w:rPr>
                      <w:rFonts w:hint="eastAsia"/>
                      <w:color w:val="auto"/>
                      <w:szCs w:val="21"/>
                      <w:lang w:val="en-US" w:eastAsia="zh-CN"/>
                    </w:rPr>
                    <w:t>。建设单位按要求办理建设用地审批手续。</w:t>
                  </w:r>
                </w:p>
              </w:tc>
              <w:tc>
                <w:tcPr>
                  <w:tcW w:w="774" w:type="dxa"/>
                </w:tcPr>
                <w:p w14:paraId="29A837E3">
                  <w:pPr>
                    <w:jc w:val="center"/>
                    <w:rPr>
                      <w:color w:val="auto"/>
                      <w:szCs w:val="21"/>
                    </w:rPr>
                  </w:pPr>
                  <w:r>
                    <w:rPr>
                      <w:rFonts w:hint="eastAsia"/>
                      <w:color w:val="auto"/>
                      <w:szCs w:val="21"/>
                    </w:rPr>
                    <w:t>符合</w:t>
                  </w:r>
                </w:p>
              </w:tc>
            </w:tr>
            <w:tr w14:paraId="5EAD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5EC15702">
                  <w:pPr>
                    <w:jc w:val="center"/>
                    <w:rPr>
                      <w:color w:val="auto"/>
                      <w:szCs w:val="21"/>
                    </w:rPr>
                  </w:pPr>
                </w:p>
              </w:tc>
              <w:tc>
                <w:tcPr>
                  <w:tcW w:w="733" w:type="dxa"/>
                </w:tcPr>
                <w:p w14:paraId="3A33C11E">
                  <w:pPr>
                    <w:jc w:val="center"/>
                    <w:rPr>
                      <w:color w:val="auto"/>
                      <w:szCs w:val="21"/>
                    </w:rPr>
                  </w:pPr>
                  <w:r>
                    <w:rPr>
                      <w:rFonts w:hint="eastAsia"/>
                      <w:color w:val="auto"/>
                      <w:szCs w:val="21"/>
                    </w:rPr>
                    <w:t>A1.3不符合空间布局要求活动的退出要求</w:t>
                  </w:r>
                </w:p>
              </w:tc>
              <w:tc>
                <w:tcPr>
                  <w:tcW w:w="4587" w:type="dxa"/>
                </w:tcPr>
                <w:p w14:paraId="6E846A1F">
                  <w:pPr>
                    <w:jc w:val="center"/>
                    <w:rPr>
                      <w:color w:val="auto"/>
                      <w:szCs w:val="21"/>
                    </w:rPr>
                  </w:pPr>
                  <w:r>
                    <w:rPr>
                      <w:rFonts w:hint="eastAsia"/>
                      <w:color w:val="auto"/>
                      <w:szCs w:val="21"/>
                    </w:rPr>
                    <w:t>〔A1.3-1〕任何单位和个人不得在水源涵养区、饮用水水源保护区内和河流、湖泊、水库周围建设重化工、涉重金属等工业污染项目对已建成的工业污染项目，当地人民政府应当组织限期搬迁。</w:t>
                  </w:r>
                </w:p>
                <w:p w14:paraId="68E81960">
                  <w:pPr>
                    <w:jc w:val="center"/>
                    <w:rPr>
                      <w:color w:val="auto"/>
                      <w:szCs w:val="21"/>
                    </w:rPr>
                  </w:pPr>
                  <w:r>
                    <w:rPr>
                      <w:rFonts w:hint="eastAsia"/>
                      <w:color w:val="auto"/>
                      <w:szCs w:val="21"/>
                    </w:rPr>
                    <w:t>〔A1.3-2〕对不符合国家产业政策、严重污染水环境的生产项目全部予以取缔。</w:t>
                  </w:r>
                </w:p>
                <w:p w14:paraId="2B226A4B">
                  <w:pPr>
                    <w:jc w:val="center"/>
                    <w:rPr>
                      <w:color w:val="auto"/>
                      <w:szCs w:val="21"/>
                    </w:rPr>
                  </w:pPr>
                  <w:r>
                    <w:rPr>
                      <w:rFonts w:hint="eastAsia"/>
                      <w:color w:val="auto"/>
                      <w:szCs w:val="21"/>
                    </w:rPr>
                    <w:t>〔A1.3-3〕根据《产业结构调整指导目录》《限期淘汰产生严重污染环境的工业固体废物的落后生产工艺设备名录》等要求，配合有关部门依法淘汰烧结-鼓风炉5炼铅工艺炼铅等涉重金属落后产能和化解过剩产能。严格执行生态环境保护等相关法规标准，推动经整改仍达不到要求的产能依法依规关闭退出。</w:t>
                  </w:r>
                </w:p>
                <w:p w14:paraId="625480BB">
                  <w:pPr>
                    <w:jc w:val="center"/>
                    <w:rPr>
                      <w:color w:val="auto"/>
                    </w:rPr>
                  </w:pPr>
                  <w:r>
                    <w:rPr>
                      <w:rFonts w:hint="eastAsia"/>
                      <w:color w:val="auto"/>
                      <w:szCs w:val="21"/>
                    </w:rPr>
                    <w:t>〔A1.3-4〕城市建成区、重点流域内已建成投产化工企业和危险化学品生产企业应加快退城入园，搬入化工园区前企业不应实施改扩建工程扩大生产规模。</w:t>
                  </w:r>
                </w:p>
              </w:tc>
              <w:tc>
                <w:tcPr>
                  <w:tcW w:w="2386" w:type="dxa"/>
                </w:tcPr>
                <w:p w14:paraId="5EDB7CB2">
                  <w:pPr>
                    <w:jc w:val="center"/>
                    <w:rPr>
                      <w:color w:val="auto"/>
                      <w:szCs w:val="21"/>
                    </w:rPr>
                  </w:pPr>
                  <w:r>
                    <w:rPr>
                      <w:rFonts w:hint="eastAsia"/>
                      <w:color w:val="auto"/>
                      <w:szCs w:val="21"/>
                    </w:rPr>
                    <w:t>不涉及</w:t>
                  </w:r>
                </w:p>
              </w:tc>
              <w:tc>
                <w:tcPr>
                  <w:tcW w:w="774" w:type="dxa"/>
                </w:tcPr>
                <w:p w14:paraId="254B8EAF">
                  <w:pPr>
                    <w:jc w:val="center"/>
                    <w:rPr>
                      <w:color w:val="auto"/>
                      <w:szCs w:val="21"/>
                    </w:rPr>
                  </w:pPr>
                  <w:r>
                    <w:rPr>
                      <w:rFonts w:hint="eastAsia"/>
                      <w:color w:val="auto"/>
                      <w:szCs w:val="21"/>
                    </w:rPr>
                    <w:t>符合</w:t>
                  </w:r>
                </w:p>
              </w:tc>
            </w:tr>
            <w:tr w14:paraId="0382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448BB8BC">
                  <w:pPr>
                    <w:jc w:val="center"/>
                    <w:rPr>
                      <w:color w:val="auto"/>
                      <w:szCs w:val="21"/>
                    </w:rPr>
                  </w:pPr>
                </w:p>
              </w:tc>
              <w:tc>
                <w:tcPr>
                  <w:tcW w:w="733" w:type="dxa"/>
                </w:tcPr>
                <w:p w14:paraId="3F3AE5C7">
                  <w:pPr>
                    <w:jc w:val="center"/>
                    <w:rPr>
                      <w:color w:val="auto"/>
                      <w:szCs w:val="21"/>
                    </w:rPr>
                  </w:pPr>
                  <w:r>
                    <w:rPr>
                      <w:rFonts w:hint="eastAsia"/>
                      <w:color w:val="auto"/>
                      <w:szCs w:val="21"/>
                    </w:rPr>
                    <w:t>A1.4其他布局要求</w:t>
                  </w:r>
                </w:p>
              </w:tc>
              <w:tc>
                <w:tcPr>
                  <w:tcW w:w="4587" w:type="dxa"/>
                </w:tcPr>
                <w:p w14:paraId="518DE932">
                  <w:pPr>
                    <w:jc w:val="center"/>
                    <w:rPr>
                      <w:color w:val="auto"/>
                      <w:szCs w:val="21"/>
                    </w:rPr>
                  </w:pPr>
                  <w:r>
                    <w:rPr>
                      <w:rFonts w:hint="eastAsia"/>
                      <w:color w:val="auto"/>
                      <w:szCs w:val="21"/>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p w14:paraId="4C37FE34">
                  <w:pPr>
                    <w:jc w:val="center"/>
                    <w:rPr>
                      <w:color w:val="auto"/>
                      <w:szCs w:val="21"/>
                    </w:rPr>
                  </w:pPr>
                  <w:r>
                    <w:rPr>
                      <w:rFonts w:hint="eastAsia"/>
                      <w:color w:val="auto"/>
                      <w:szCs w:val="21"/>
                    </w:rPr>
                    <w:t>〔A1.4-2〕新建、扩建石化、化工、焦化、有色金属冶炼、平板玻璃项目应布设在依法合规设立并经规划环评的产业园区。</w:t>
                  </w:r>
                </w:p>
                <w:p w14:paraId="1B1FDEF8">
                  <w:pPr>
                    <w:jc w:val="center"/>
                    <w:rPr>
                      <w:color w:val="auto"/>
                      <w:szCs w:val="21"/>
                    </w:rPr>
                  </w:pPr>
                  <w:r>
                    <w:rPr>
                      <w:rFonts w:hint="eastAsia"/>
                      <w:color w:val="auto"/>
                      <w:szCs w:val="21"/>
                    </w:rPr>
                    <w:t>〔A1.4-3〕危险化学品生产企业搬迁改造及新建化工项目必须进入国家及自治区各级人民政府正式批准设立，规划环评通过审查，规划通过审批且环保基础设施完善的工业园区，并符合国土空间规划产业发展规划和生态红线管控要求。</w:t>
                  </w:r>
                </w:p>
              </w:tc>
              <w:tc>
                <w:tcPr>
                  <w:tcW w:w="2386" w:type="dxa"/>
                </w:tcPr>
                <w:p w14:paraId="30B98DE9">
                  <w:pPr>
                    <w:jc w:val="center"/>
                    <w:rPr>
                      <w:color w:val="auto"/>
                      <w:szCs w:val="21"/>
                    </w:rPr>
                  </w:pPr>
                  <w:r>
                    <w:rPr>
                      <w:rFonts w:hint="eastAsia"/>
                      <w:color w:val="auto"/>
                      <w:szCs w:val="21"/>
                    </w:rPr>
                    <w:t>本项目为建筑用砂开采项目，项目建设符合《新疆维吾尔自治区主体功能区规划》。</w:t>
                  </w:r>
                </w:p>
              </w:tc>
              <w:tc>
                <w:tcPr>
                  <w:tcW w:w="774" w:type="dxa"/>
                </w:tcPr>
                <w:p w14:paraId="5985F7DD">
                  <w:pPr>
                    <w:jc w:val="center"/>
                    <w:rPr>
                      <w:color w:val="auto"/>
                      <w:szCs w:val="21"/>
                    </w:rPr>
                  </w:pPr>
                  <w:r>
                    <w:rPr>
                      <w:rFonts w:hint="eastAsia"/>
                      <w:color w:val="auto"/>
                      <w:szCs w:val="21"/>
                    </w:rPr>
                    <w:t>符合</w:t>
                  </w:r>
                </w:p>
              </w:tc>
            </w:tr>
            <w:tr w14:paraId="07F1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tcPr>
                <w:p w14:paraId="4910196F">
                  <w:pPr>
                    <w:jc w:val="center"/>
                    <w:rPr>
                      <w:color w:val="auto"/>
                      <w:szCs w:val="21"/>
                    </w:rPr>
                  </w:pPr>
                  <w:r>
                    <w:rPr>
                      <w:rFonts w:hint="eastAsia"/>
                      <w:color w:val="auto"/>
                      <w:szCs w:val="21"/>
                    </w:rPr>
                    <w:t>A2污染物排放管控</w:t>
                  </w:r>
                </w:p>
              </w:tc>
              <w:tc>
                <w:tcPr>
                  <w:tcW w:w="733" w:type="dxa"/>
                </w:tcPr>
                <w:p w14:paraId="09AC8FD1">
                  <w:pPr>
                    <w:jc w:val="center"/>
                    <w:rPr>
                      <w:color w:val="auto"/>
                      <w:szCs w:val="21"/>
                    </w:rPr>
                  </w:pPr>
                  <w:r>
                    <w:rPr>
                      <w:rFonts w:hint="eastAsia"/>
                      <w:color w:val="auto"/>
                      <w:szCs w:val="21"/>
                    </w:rPr>
                    <w:t>A22污染物控制措施要求</w:t>
                  </w:r>
                </w:p>
              </w:tc>
              <w:tc>
                <w:tcPr>
                  <w:tcW w:w="4587" w:type="dxa"/>
                </w:tcPr>
                <w:p w14:paraId="3C160C42">
                  <w:pPr>
                    <w:jc w:val="center"/>
                    <w:rPr>
                      <w:color w:val="auto"/>
                      <w:szCs w:val="21"/>
                    </w:rPr>
                  </w:pPr>
                  <w:r>
                    <w:rPr>
                      <w:rFonts w:hint="eastAsia"/>
                      <w:color w:val="auto"/>
                      <w:szCs w:val="21"/>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p w14:paraId="34E116D2">
                  <w:pPr>
                    <w:jc w:val="center"/>
                    <w:rPr>
                      <w:color w:val="auto"/>
                      <w:szCs w:val="21"/>
                    </w:rPr>
                  </w:pPr>
                  <w:r>
                    <w:rPr>
                      <w:rFonts w:hint="eastAsia"/>
                      <w:color w:val="auto"/>
                      <w:szCs w:val="21"/>
                    </w:rPr>
                    <w:t>〔A2.2-2〕实施重点行业氮氧化物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p w14:paraId="3A353DC5">
                  <w:pPr>
                    <w:jc w:val="center"/>
                    <w:rPr>
                      <w:color w:val="auto"/>
                      <w:szCs w:val="21"/>
                    </w:rPr>
                  </w:pPr>
                  <w:r>
                    <w:rPr>
                      <w:rFonts w:hint="eastAsia"/>
                      <w:color w:val="auto"/>
                      <w:szCs w:val="21"/>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p w14:paraId="278F9359">
                  <w:pPr>
                    <w:jc w:val="center"/>
                    <w:rPr>
                      <w:color w:val="auto"/>
                      <w:szCs w:val="21"/>
                    </w:rPr>
                  </w:pPr>
                  <w:r>
                    <w:rPr>
                      <w:rFonts w:hint="eastAsia"/>
                      <w:color w:val="auto"/>
                      <w:szCs w:val="21"/>
                    </w:rPr>
                    <w:t>〔A2.2-4〕强化用水定额管理。推进地下水超采综合治理。开展河湖生态流量（水量）确定工作，强化生态用水保障。</w:t>
                  </w:r>
                </w:p>
                <w:p w14:paraId="4A147C92">
                  <w:pPr>
                    <w:jc w:val="center"/>
                    <w:rPr>
                      <w:color w:val="auto"/>
                      <w:szCs w:val="21"/>
                    </w:rPr>
                  </w:pPr>
                  <w:r>
                    <w:rPr>
                      <w:rFonts w:hint="eastAsia"/>
                      <w:color w:val="auto"/>
                      <w:szCs w:val="21"/>
                    </w:rPr>
                    <w:t>〔A2.2-5〕持续推进伊犁河、额尔齐斯河、额敏河、玛纳斯河、乌伦古湖、博斯腾湖等流域生态治理，加强生态修复。推动重点行业重点企业绿色发展，严格落实水污染物排放标准。加强农副食品加工、化工、印染、棉浆粕、粘胶纤维等企业综合治理和清洁化改造。</w:t>
                  </w:r>
                </w:p>
                <w:p w14:paraId="0EFBD292">
                  <w:pPr>
                    <w:jc w:val="center"/>
                    <w:rPr>
                      <w:color w:val="auto"/>
                      <w:szCs w:val="21"/>
                    </w:rPr>
                  </w:pPr>
                  <w:r>
                    <w:rPr>
                      <w:rFonts w:hint="eastAsia"/>
                      <w:color w:val="auto"/>
                      <w:szCs w:val="21"/>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w:t>
                  </w:r>
                </w:p>
                <w:p w14:paraId="6DC9E33C">
                  <w:pPr>
                    <w:jc w:val="center"/>
                    <w:rPr>
                      <w:color w:val="auto"/>
                      <w:szCs w:val="21"/>
                    </w:rPr>
                  </w:pPr>
                  <w:r>
                    <w:rPr>
                      <w:rFonts w:hint="eastAsia"/>
                      <w:color w:val="auto"/>
                      <w:szCs w:val="21"/>
                    </w:rPr>
                    <w:t>园区水资源循环利用水平。</w:t>
                  </w:r>
                </w:p>
                <w:p w14:paraId="751F5779">
                  <w:pPr>
                    <w:jc w:val="center"/>
                    <w:rPr>
                      <w:color w:val="auto"/>
                      <w:szCs w:val="21"/>
                    </w:rPr>
                  </w:pPr>
                  <w:r>
                    <w:rPr>
                      <w:rFonts w:hint="eastAsia"/>
                      <w:color w:val="auto"/>
                      <w:szCs w:val="21"/>
                    </w:rPr>
                    <w:t>〔A2.2-7〕强化重点区域地下水环境风险管控，对化学品生产企业工业集聚区、尾矿库、矿山开采区、危险废物处置场、垃圾填埋场等地下水污染源及周边区域，逐步开展地下水环境状况调查评估加强风险管控。</w:t>
                  </w:r>
                </w:p>
                <w:p w14:paraId="4E6BC5B3">
                  <w:pPr>
                    <w:jc w:val="center"/>
                    <w:rPr>
                      <w:color w:val="auto"/>
                      <w:szCs w:val="21"/>
                    </w:rPr>
                  </w:pPr>
                  <w:r>
                    <w:rPr>
                      <w:rFonts w:hint="eastAsia"/>
                      <w:color w:val="auto"/>
                      <w:szCs w:val="21"/>
                    </w:rPr>
                    <w:t>〔A2.2-8〕严控土壤重金属污染，加强油（气）田开发土壤污染防治，以历史遗留工业企业污染场地为重点，开展土壤污染风险管控与修复工程。</w:t>
                  </w:r>
                </w:p>
                <w:p w14:paraId="178C50E7">
                  <w:pPr>
                    <w:jc w:val="center"/>
                    <w:rPr>
                      <w:color w:val="auto"/>
                      <w:szCs w:val="21"/>
                    </w:rPr>
                  </w:pPr>
                  <w:r>
                    <w:rPr>
                      <w:rFonts w:hint="eastAsia"/>
                      <w:color w:val="auto"/>
                      <w:szCs w:val="21"/>
                    </w:rPr>
                    <w:t>〔A2.2-9〕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2386" w:type="dxa"/>
                </w:tcPr>
                <w:p w14:paraId="7D085E78">
                  <w:pPr>
                    <w:jc w:val="center"/>
                    <w:rPr>
                      <w:color w:val="auto"/>
                      <w:szCs w:val="21"/>
                    </w:rPr>
                  </w:pPr>
                  <w:r>
                    <w:rPr>
                      <w:rFonts w:hint="eastAsia"/>
                      <w:color w:val="auto"/>
                      <w:szCs w:val="21"/>
                    </w:rPr>
                    <w:t>不涉及。</w:t>
                  </w:r>
                </w:p>
              </w:tc>
              <w:tc>
                <w:tcPr>
                  <w:tcW w:w="774" w:type="dxa"/>
                </w:tcPr>
                <w:p w14:paraId="451D1668">
                  <w:pPr>
                    <w:jc w:val="center"/>
                    <w:rPr>
                      <w:color w:val="auto"/>
                      <w:szCs w:val="21"/>
                    </w:rPr>
                  </w:pPr>
                  <w:r>
                    <w:rPr>
                      <w:rFonts w:hint="eastAsia"/>
                      <w:color w:val="auto"/>
                      <w:szCs w:val="21"/>
                    </w:rPr>
                    <w:t>符合</w:t>
                  </w:r>
                </w:p>
              </w:tc>
            </w:tr>
            <w:tr w14:paraId="4008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tcPr>
                <w:p w14:paraId="550FB289">
                  <w:pPr>
                    <w:jc w:val="center"/>
                    <w:rPr>
                      <w:color w:val="auto"/>
                      <w:szCs w:val="21"/>
                    </w:rPr>
                  </w:pPr>
                  <w:r>
                    <w:rPr>
                      <w:rFonts w:hint="eastAsia"/>
                      <w:color w:val="auto"/>
                      <w:szCs w:val="21"/>
                    </w:rPr>
                    <w:t>A3环境风险防控</w:t>
                  </w:r>
                </w:p>
              </w:tc>
              <w:tc>
                <w:tcPr>
                  <w:tcW w:w="733" w:type="dxa"/>
                </w:tcPr>
                <w:p w14:paraId="56410FA7">
                  <w:pPr>
                    <w:jc w:val="center"/>
                    <w:rPr>
                      <w:color w:val="auto"/>
                      <w:szCs w:val="21"/>
                    </w:rPr>
                  </w:pPr>
                  <w:r>
                    <w:rPr>
                      <w:rFonts w:hint="eastAsia"/>
                      <w:color w:val="auto"/>
                      <w:szCs w:val="21"/>
                    </w:rPr>
                    <w:t>A3.1人居环境要求</w:t>
                  </w:r>
                </w:p>
              </w:tc>
              <w:tc>
                <w:tcPr>
                  <w:tcW w:w="4587" w:type="dxa"/>
                </w:tcPr>
                <w:p w14:paraId="19026A5D">
                  <w:pPr>
                    <w:jc w:val="center"/>
                    <w:rPr>
                      <w:color w:val="auto"/>
                      <w:szCs w:val="21"/>
                    </w:rPr>
                  </w:pPr>
                  <w:r>
                    <w:rPr>
                      <w:rFonts w:hint="eastAsia"/>
                      <w:color w:val="auto"/>
                      <w:szCs w:val="21"/>
                    </w:rPr>
                    <w:t>〔A3.1-1〕建立和完善重污染天气兵地联合应急预案、预报预警应急机制和会商联动机制。“乌一昌一石”区域内可能影响相邻行政区域大气环境的项目，兵地间、城市间必须相互征求意见。</w:t>
                  </w:r>
                </w:p>
                <w:p w14:paraId="0CB72C75">
                  <w:pPr>
                    <w:jc w:val="center"/>
                    <w:rPr>
                      <w:color w:val="auto"/>
                      <w:szCs w:val="21"/>
                    </w:rPr>
                  </w:pPr>
                  <w:r>
                    <w:rPr>
                      <w:rFonts w:hint="eastAsia"/>
                      <w:color w:val="auto"/>
                      <w:szCs w:val="21"/>
                    </w:rPr>
                    <w:t>〔A3.1-2〕对跨国境河流、涉及县级及以上集中式饮用水水源地的河流、其他重要环境敏感目标的河流，建立健全流域上下游突发水污染事件联防联动机制，建立流域环境应急基础信息动态更新长效机制，绘制全流域“一河一策一图”。建立健全跨部门、跨区域的环境应急协调联动处置机制，强化流域上下游、兵地各部门协调，实施联合监测、联合执法、应急联动、信息共享，形成“政府引导、多元联动、社会参与、专业救援”的环境应急处置机制，持续开展应急综合演练，实现从被动应对到主动防控的重大转变。加强流域突发水环境事件应急能力建设，提升应急响应水平，加强监测预警拦污控污、信息通报、协同处置、基础保障等工作，防范重大生态环境风险，坚决守住生态环境安全底线。</w:t>
                  </w:r>
                </w:p>
                <w:p w14:paraId="6A314098">
                  <w:pPr>
                    <w:rPr>
                      <w:color w:val="auto"/>
                      <w:szCs w:val="21"/>
                    </w:rPr>
                  </w:pPr>
                  <w:r>
                    <w:rPr>
                      <w:rFonts w:hint="eastAsia"/>
                      <w:color w:val="auto"/>
                      <w:szCs w:val="21"/>
                    </w:rPr>
                    <w:t>〔A3.1-3〕强化重污染天气监测预报预警能力，建立和完善重污染天气兵地联合应急预案、预警应急机制和会商联动机制，加强轻、中度污染天气管控。</w:t>
                  </w:r>
                </w:p>
              </w:tc>
              <w:tc>
                <w:tcPr>
                  <w:tcW w:w="2386" w:type="dxa"/>
                </w:tcPr>
                <w:p w14:paraId="7E87FAFB">
                  <w:pPr>
                    <w:jc w:val="center"/>
                    <w:rPr>
                      <w:color w:val="auto"/>
                      <w:szCs w:val="21"/>
                    </w:rPr>
                  </w:pPr>
                  <w:r>
                    <w:rPr>
                      <w:rFonts w:hint="eastAsia"/>
                      <w:color w:val="auto"/>
                      <w:szCs w:val="21"/>
                    </w:rPr>
                    <w:t>本项目为建筑用砂开采项目，不涉及。</w:t>
                  </w:r>
                </w:p>
              </w:tc>
              <w:tc>
                <w:tcPr>
                  <w:tcW w:w="774" w:type="dxa"/>
                </w:tcPr>
                <w:p w14:paraId="41B46160">
                  <w:pPr>
                    <w:jc w:val="center"/>
                    <w:rPr>
                      <w:color w:val="auto"/>
                      <w:szCs w:val="21"/>
                    </w:rPr>
                  </w:pPr>
                  <w:r>
                    <w:rPr>
                      <w:rFonts w:hint="eastAsia"/>
                      <w:color w:val="auto"/>
                      <w:szCs w:val="21"/>
                    </w:rPr>
                    <w:t>符合</w:t>
                  </w:r>
                </w:p>
              </w:tc>
            </w:tr>
            <w:tr w14:paraId="637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restart"/>
                </w:tcPr>
                <w:p w14:paraId="1F29BF0D">
                  <w:pPr>
                    <w:jc w:val="center"/>
                    <w:rPr>
                      <w:color w:val="auto"/>
                      <w:szCs w:val="21"/>
                    </w:rPr>
                  </w:pPr>
                  <w:r>
                    <w:rPr>
                      <w:rFonts w:hint="eastAsia"/>
                      <w:color w:val="auto"/>
                      <w:szCs w:val="21"/>
                    </w:rPr>
                    <w:t>A4资源利用要求</w:t>
                  </w:r>
                </w:p>
              </w:tc>
              <w:tc>
                <w:tcPr>
                  <w:tcW w:w="733" w:type="dxa"/>
                </w:tcPr>
                <w:p w14:paraId="1F932A9E">
                  <w:pPr>
                    <w:jc w:val="center"/>
                    <w:rPr>
                      <w:color w:val="auto"/>
                      <w:szCs w:val="21"/>
                    </w:rPr>
                  </w:pPr>
                  <w:r>
                    <w:rPr>
                      <w:rFonts w:hint="eastAsia"/>
                      <w:color w:val="auto"/>
                      <w:szCs w:val="21"/>
                    </w:rPr>
                    <w:t>A4.1水资源</w:t>
                  </w:r>
                </w:p>
                <w:p w14:paraId="6BD6C184">
                  <w:pPr>
                    <w:jc w:val="center"/>
                    <w:rPr>
                      <w:color w:val="auto"/>
                      <w:szCs w:val="21"/>
                    </w:rPr>
                  </w:pPr>
                </w:p>
              </w:tc>
              <w:tc>
                <w:tcPr>
                  <w:tcW w:w="4587" w:type="dxa"/>
                </w:tcPr>
                <w:p w14:paraId="28CAE828">
                  <w:pPr>
                    <w:jc w:val="center"/>
                    <w:rPr>
                      <w:color w:val="auto"/>
                      <w:szCs w:val="21"/>
                    </w:rPr>
                  </w:pPr>
                  <w:r>
                    <w:rPr>
                      <w:rFonts w:hint="eastAsia"/>
                      <w:color w:val="auto"/>
                      <w:szCs w:val="21"/>
                    </w:rPr>
                    <w:t>〔A4.1-1〕自治区用水总量2025年、2030年控制在国家下达的指标内。</w:t>
                  </w:r>
                </w:p>
                <w:p w14:paraId="0B38FC1C">
                  <w:pPr>
                    <w:jc w:val="center"/>
                    <w:rPr>
                      <w:color w:val="auto"/>
                      <w:szCs w:val="21"/>
                    </w:rPr>
                  </w:pPr>
                  <w:r>
                    <w:rPr>
                      <w:rFonts w:hint="eastAsia"/>
                      <w:color w:val="auto"/>
                      <w:szCs w:val="21"/>
                    </w:rPr>
                    <w:t>〔A4.1-2〕加大城镇污水再生利用工程建设力度，推进区域再生水循环利用，到2025年，城市生活污水再生利用率力争达到60%。</w:t>
                  </w:r>
                </w:p>
                <w:p w14:paraId="242C6CC8">
                  <w:pPr>
                    <w:jc w:val="center"/>
                    <w:rPr>
                      <w:color w:val="auto"/>
                      <w:szCs w:val="21"/>
                    </w:rPr>
                  </w:pPr>
                  <w:r>
                    <w:rPr>
                      <w:rFonts w:hint="eastAsia"/>
                      <w:color w:val="auto"/>
                      <w:szCs w:val="21"/>
                    </w:rPr>
                    <w:t>〔A4.1-3〕加强农村水利基础设施建设，推进农村供水保障工程农村自来水普及率、集中供水率分别达到99.3%、99.7%。</w:t>
                  </w:r>
                </w:p>
                <w:p w14:paraId="5755E762">
                  <w:pPr>
                    <w:jc w:val="center"/>
                    <w:rPr>
                      <w:color w:val="auto"/>
                      <w:szCs w:val="21"/>
                    </w:rPr>
                  </w:pPr>
                  <w:r>
                    <w:rPr>
                      <w:rFonts w:hint="eastAsia"/>
                      <w:color w:val="auto"/>
                      <w:szCs w:val="21"/>
                    </w:rPr>
                    <w:t>〔A4.1-4〕地下水资源利用实行总量控制和水位控制。取用地下水资源，应当按照国家和自治区有关规定申请取水许可。地下水利用应当以浅层地下水为主。</w:t>
                  </w:r>
                </w:p>
              </w:tc>
              <w:tc>
                <w:tcPr>
                  <w:tcW w:w="2386" w:type="dxa"/>
                </w:tcPr>
                <w:p w14:paraId="159A7352">
                  <w:pPr>
                    <w:jc w:val="center"/>
                    <w:rPr>
                      <w:color w:val="auto"/>
                      <w:szCs w:val="21"/>
                      <w:lang w:bidi="ar"/>
                    </w:rPr>
                  </w:pPr>
                  <w:r>
                    <w:rPr>
                      <w:rFonts w:hint="eastAsia" w:ascii="宋体" w:hAnsi="宋体" w:cs="宋体"/>
                      <w:color w:val="auto"/>
                      <w:szCs w:val="21"/>
                      <w:lang w:bidi="ar"/>
                    </w:rPr>
                    <w:t>本项目主要为建筑用砂</w:t>
                  </w:r>
                  <w:r>
                    <w:rPr>
                      <w:color w:val="auto"/>
                      <w:szCs w:val="21"/>
                      <w:lang w:bidi="ar"/>
                    </w:rPr>
                    <w:t>开采，矿区服务年限为6.47年，开采完毕后</w:t>
                  </w:r>
                </w:p>
                <w:p w14:paraId="6146C6A9">
                  <w:pPr>
                    <w:jc w:val="center"/>
                    <w:rPr>
                      <w:rFonts w:hint="eastAsia" w:ascii="宋体" w:hAnsi="宋体" w:cs="宋体"/>
                      <w:color w:val="auto"/>
                      <w:szCs w:val="21"/>
                      <w:lang w:bidi="ar"/>
                    </w:rPr>
                  </w:pPr>
                  <w:r>
                    <w:rPr>
                      <w:rFonts w:hint="eastAsia" w:ascii="宋体" w:hAnsi="宋体" w:cs="宋体"/>
                      <w:color w:val="auto"/>
                      <w:szCs w:val="21"/>
                      <w:lang w:bidi="ar"/>
                    </w:rPr>
                    <w:t>进行生态恢复，项目资源消耗在区域资源消耗总量中占比较小，符合资源利用上线要求。</w:t>
                  </w:r>
                </w:p>
                <w:p w14:paraId="7340323C">
                  <w:pPr>
                    <w:jc w:val="center"/>
                    <w:rPr>
                      <w:color w:val="auto"/>
                      <w:szCs w:val="21"/>
                    </w:rPr>
                  </w:pPr>
                </w:p>
              </w:tc>
              <w:tc>
                <w:tcPr>
                  <w:tcW w:w="774" w:type="dxa"/>
                </w:tcPr>
                <w:p w14:paraId="00D416C5">
                  <w:pPr>
                    <w:jc w:val="center"/>
                    <w:rPr>
                      <w:color w:val="auto"/>
                      <w:szCs w:val="21"/>
                    </w:rPr>
                  </w:pPr>
                  <w:r>
                    <w:rPr>
                      <w:rFonts w:hint="eastAsia"/>
                      <w:color w:val="auto"/>
                      <w:szCs w:val="21"/>
                    </w:rPr>
                    <w:t>符合</w:t>
                  </w:r>
                </w:p>
              </w:tc>
            </w:tr>
            <w:tr w14:paraId="09EF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62AFB1E4">
                  <w:pPr>
                    <w:jc w:val="center"/>
                    <w:rPr>
                      <w:color w:val="auto"/>
                      <w:szCs w:val="21"/>
                    </w:rPr>
                  </w:pPr>
                </w:p>
              </w:tc>
              <w:tc>
                <w:tcPr>
                  <w:tcW w:w="733" w:type="dxa"/>
                </w:tcPr>
                <w:p w14:paraId="09486A52">
                  <w:pPr>
                    <w:jc w:val="center"/>
                    <w:rPr>
                      <w:color w:val="auto"/>
                      <w:szCs w:val="21"/>
                    </w:rPr>
                  </w:pPr>
                  <w:r>
                    <w:rPr>
                      <w:rFonts w:hint="eastAsia"/>
                      <w:color w:val="auto"/>
                      <w:szCs w:val="21"/>
                    </w:rPr>
                    <w:t>A4.2 土地资源</w:t>
                  </w:r>
                </w:p>
              </w:tc>
              <w:tc>
                <w:tcPr>
                  <w:tcW w:w="4587" w:type="dxa"/>
                </w:tcPr>
                <w:p w14:paraId="3A23943F">
                  <w:pPr>
                    <w:jc w:val="center"/>
                    <w:rPr>
                      <w:color w:val="auto"/>
                      <w:szCs w:val="21"/>
                    </w:rPr>
                  </w:pPr>
                  <w:r>
                    <w:rPr>
                      <w:rFonts w:hint="eastAsia"/>
                      <w:color w:val="auto"/>
                      <w:szCs w:val="21"/>
                    </w:rPr>
                    <w:t>〔A4.2-1〕土地资源上线指标控制在最终批复的国土空间规划控制指标内。</w:t>
                  </w:r>
                </w:p>
                <w:p w14:paraId="01FB012B">
                  <w:pPr>
                    <w:jc w:val="center"/>
                    <w:rPr>
                      <w:color w:val="auto"/>
                      <w:szCs w:val="21"/>
                    </w:rPr>
                  </w:pPr>
                </w:p>
              </w:tc>
              <w:tc>
                <w:tcPr>
                  <w:tcW w:w="2386" w:type="dxa"/>
                </w:tcPr>
                <w:p w14:paraId="15687EA7">
                  <w:pPr>
                    <w:jc w:val="center"/>
                    <w:rPr>
                      <w:color w:val="auto"/>
                      <w:szCs w:val="21"/>
                    </w:rPr>
                  </w:pPr>
                  <w:r>
                    <w:rPr>
                      <w:rFonts w:hint="eastAsia"/>
                      <w:color w:val="auto"/>
                      <w:szCs w:val="21"/>
                    </w:rPr>
                    <w:t>本项目占地面积较小，符合土地资源上线指标</w:t>
                  </w:r>
                </w:p>
              </w:tc>
              <w:tc>
                <w:tcPr>
                  <w:tcW w:w="774" w:type="dxa"/>
                </w:tcPr>
                <w:p w14:paraId="64CF90B4">
                  <w:pPr>
                    <w:jc w:val="center"/>
                    <w:rPr>
                      <w:color w:val="auto"/>
                      <w:szCs w:val="21"/>
                    </w:rPr>
                  </w:pPr>
                  <w:r>
                    <w:rPr>
                      <w:rFonts w:hint="eastAsia"/>
                      <w:color w:val="auto"/>
                      <w:szCs w:val="21"/>
                    </w:rPr>
                    <w:t>符合</w:t>
                  </w:r>
                </w:p>
              </w:tc>
            </w:tr>
            <w:tr w14:paraId="6894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39325D0F">
                  <w:pPr>
                    <w:jc w:val="center"/>
                    <w:rPr>
                      <w:color w:val="auto"/>
                      <w:szCs w:val="21"/>
                    </w:rPr>
                  </w:pPr>
                </w:p>
              </w:tc>
              <w:tc>
                <w:tcPr>
                  <w:tcW w:w="733" w:type="dxa"/>
                </w:tcPr>
                <w:p w14:paraId="5C28DD91">
                  <w:pPr>
                    <w:jc w:val="center"/>
                    <w:rPr>
                      <w:color w:val="auto"/>
                      <w:szCs w:val="21"/>
                    </w:rPr>
                  </w:pPr>
                  <w:r>
                    <w:rPr>
                      <w:rFonts w:hint="eastAsia"/>
                      <w:color w:val="auto"/>
                      <w:szCs w:val="21"/>
                    </w:rPr>
                    <w:t>A4.3 能源利用</w:t>
                  </w:r>
                </w:p>
              </w:tc>
              <w:tc>
                <w:tcPr>
                  <w:tcW w:w="4587" w:type="dxa"/>
                </w:tcPr>
                <w:p w14:paraId="26C8EAB4">
                  <w:pPr>
                    <w:jc w:val="center"/>
                    <w:rPr>
                      <w:color w:val="auto"/>
                      <w:szCs w:val="21"/>
                    </w:rPr>
                  </w:pPr>
                  <w:r>
                    <w:rPr>
                      <w:rFonts w:hint="eastAsia"/>
                      <w:color w:val="auto"/>
                      <w:szCs w:val="21"/>
                    </w:rPr>
                    <w:t>〔A4.3-1〕单位地区生产总值二氧化碳排放降低水平完成国家下达指标。</w:t>
                  </w:r>
                </w:p>
                <w:p w14:paraId="04E0CBDE">
                  <w:pPr>
                    <w:jc w:val="center"/>
                    <w:rPr>
                      <w:color w:val="auto"/>
                      <w:szCs w:val="21"/>
                    </w:rPr>
                  </w:pPr>
                  <w:r>
                    <w:rPr>
                      <w:rFonts w:hint="eastAsia"/>
                      <w:color w:val="auto"/>
                      <w:szCs w:val="21"/>
                    </w:rPr>
                    <w:t>〔A4.3-2〕到2025年，自治区万元国内生产总值能耗比2020年下降 14.5%。</w:t>
                  </w:r>
                </w:p>
                <w:p w14:paraId="3EF9BA46">
                  <w:pPr>
                    <w:jc w:val="center"/>
                    <w:rPr>
                      <w:color w:val="auto"/>
                      <w:szCs w:val="21"/>
                    </w:rPr>
                  </w:pPr>
                  <w:r>
                    <w:rPr>
                      <w:rFonts w:hint="eastAsia"/>
                      <w:color w:val="auto"/>
                      <w:szCs w:val="21"/>
                    </w:rPr>
                    <w:t>〔A4.3-3〕到2025年，非化石能源占一次能源消费比重达18%以上。</w:t>
                  </w:r>
                </w:p>
                <w:p w14:paraId="0D6BD2DE">
                  <w:pPr>
                    <w:jc w:val="center"/>
                    <w:rPr>
                      <w:color w:val="auto"/>
                      <w:szCs w:val="21"/>
                    </w:rPr>
                  </w:pPr>
                  <w:r>
                    <w:rPr>
                      <w:rFonts w:hint="eastAsia"/>
                      <w:color w:val="auto"/>
                      <w:szCs w:val="21"/>
                    </w:rPr>
                    <w:t>〔A4.3-4〕鼓励使用清洁能源或电厂热力、工业余热等替代锅炉炉窑燃料用煤。</w:t>
                  </w:r>
                </w:p>
                <w:p w14:paraId="7C855467">
                  <w:pPr>
                    <w:jc w:val="center"/>
                    <w:rPr>
                      <w:color w:val="auto"/>
                      <w:szCs w:val="21"/>
                    </w:rPr>
                  </w:pPr>
                  <w:r>
                    <w:rPr>
                      <w:rFonts w:hint="eastAsia"/>
                      <w:color w:val="auto"/>
                      <w:szCs w:val="21"/>
                    </w:rPr>
                    <w:t>〔A4.3-5〕以碳达峰碳中和工作为引领，着力提高能源资源利用效率。引导重点行业深入实施清洁生产改造，钢铁、建材、石油化工等重点行业以及其他行业重点用能单位持续开展节能降耗。</w:t>
                  </w:r>
                </w:p>
                <w:p w14:paraId="2203F7BE">
                  <w:pPr>
                    <w:jc w:val="center"/>
                    <w:rPr>
                      <w:color w:val="auto"/>
                      <w:szCs w:val="21"/>
                    </w:rPr>
                  </w:pPr>
                  <w:r>
                    <w:rPr>
                      <w:rFonts w:hint="eastAsia"/>
                      <w:color w:val="auto"/>
                      <w:szCs w:val="21"/>
                    </w:rPr>
                    <w:t>〔A4.3-6〕深入推进碳达峰碳中和行动。推动能源清洁低碳转型加强能耗“双控”管理，优化能源消费结构。新增原料用能不纳入能源消费总量控制。持续推进散煤整治。</w:t>
                  </w:r>
                </w:p>
              </w:tc>
              <w:tc>
                <w:tcPr>
                  <w:tcW w:w="2386" w:type="dxa"/>
                </w:tcPr>
                <w:p w14:paraId="0D440579">
                  <w:pPr>
                    <w:jc w:val="center"/>
                    <w:rPr>
                      <w:color w:val="auto"/>
                      <w:szCs w:val="21"/>
                    </w:rPr>
                  </w:pPr>
                  <w:r>
                    <w:rPr>
                      <w:rFonts w:hint="eastAsia"/>
                      <w:color w:val="auto"/>
                      <w:szCs w:val="21"/>
                    </w:rPr>
                    <w:t>不涉及</w:t>
                  </w:r>
                </w:p>
              </w:tc>
              <w:tc>
                <w:tcPr>
                  <w:tcW w:w="774" w:type="dxa"/>
                </w:tcPr>
                <w:p w14:paraId="0592B772">
                  <w:pPr>
                    <w:jc w:val="center"/>
                    <w:rPr>
                      <w:color w:val="auto"/>
                      <w:szCs w:val="21"/>
                    </w:rPr>
                  </w:pPr>
                  <w:r>
                    <w:rPr>
                      <w:rFonts w:hint="eastAsia"/>
                      <w:color w:val="auto"/>
                      <w:szCs w:val="21"/>
                    </w:rPr>
                    <w:t>符合</w:t>
                  </w:r>
                </w:p>
              </w:tc>
            </w:tr>
            <w:tr w14:paraId="01F0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1B1A1236">
                  <w:pPr>
                    <w:jc w:val="center"/>
                    <w:rPr>
                      <w:color w:val="auto"/>
                      <w:szCs w:val="21"/>
                    </w:rPr>
                  </w:pPr>
                </w:p>
              </w:tc>
              <w:tc>
                <w:tcPr>
                  <w:tcW w:w="733" w:type="dxa"/>
                </w:tcPr>
                <w:p w14:paraId="523951CC">
                  <w:pPr>
                    <w:jc w:val="center"/>
                    <w:rPr>
                      <w:color w:val="auto"/>
                      <w:szCs w:val="21"/>
                    </w:rPr>
                  </w:pPr>
                  <w:r>
                    <w:rPr>
                      <w:rFonts w:hint="eastAsia"/>
                      <w:color w:val="auto"/>
                      <w:szCs w:val="21"/>
                    </w:rPr>
                    <w:t>A4.4禁燃区要</w:t>
                  </w:r>
                </w:p>
                <w:p w14:paraId="7C03D114">
                  <w:pPr>
                    <w:jc w:val="center"/>
                    <w:rPr>
                      <w:color w:val="auto"/>
                      <w:szCs w:val="21"/>
                    </w:rPr>
                  </w:pPr>
                  <w:r>
                    <w:rPr>
                      <w:rFonts w:hint="eastAsia"/>
                      <w:color w:val="auto"/>
                      <w:szCs w:val="21"/>
                    </w:rPr>
                    <w:t>求</w:t>
                  </w:r>
                </w:p>
              </w:tc>
              <w:tc>
                <w:tcPr>
                  <w:tcW w:w="4587" w:type="dxa"/>
                </w:tcPr>
                <w:p w14:paraId="3978E187">
                  <w:pPr>
                    <w:jc w:val="center"/>
                    <w:rPr>
                      <w:color w:val="auto"/>
                      <w:szCs w:val="21"/>
                    </w:rPr>
                  </w:pPr>
                  <w:r>
                    <w:rPr>
                      <w:rFonts w:hint="eastAsia"/>
                      <w:color w:val="auto"/>
                      <w:szCs w:val="21"/>
                    </w:rPr>
                    <w:t>〔A4.4-1〕在禁燃区内，禁止销售、燃用高污染燃料，禁止新建、扩建燃用高污染燃料的设施。已建成的，应当在规定期限内改用清洁能源。</w:t>
                  </w:r>
                </w:p>
              </w:tc>
              <w:tc>
                <w:tcPr>
                  <w:tcW w:w="2386" w:type="dxa"/>
                </w:tcPr>
                <w:p w14:paraId="6D70DC38">
                  <w:pPr>
                    <w:jc w:val="center"/>
                    <w:rPr>
                      <w:color w:val="auto"/>
                      <w:szCs w:val="21"/>
                    </w:rPr>
                  </w:pPr>
                  <w:r>
                    <w:rPr>
                      <w:rFonts w:hint="eastAsia"/>
                      <w:color w:val="auto"/>
                      <w:szCs w:val="21"/>
                    </w:rPr>
                    <w:t>不涉及</w:t>
                  </w:r>
                </w:p>
              </w:tc>
              <w:tc>
                <w:tcPr>
                  <w:tcW w:w="774" w:type="dxa"/>
                </w:tcPr>
                <w:p w14:paraId="1DBD4AEE">
                  <w:pPr>
                    <w:jc w:val="center"/>
                    <w:rPr>
                      <w:color w:val="auto"/>
                      <w:szCs w:val="21"/>
                    </w:rPr>
                  </w:pPr>
                  <w:r>
                    <w:rPr>
                      <w:rFonts w:hint="eastAsia"/>
                      <w:color w:val="auto"/>
                      <w:szCs w:val="21"/>
                    </w:rPr>
                    <w:t>符合</w:t>
                  </w:r>
                </w:p>
              </w:tc>
            </w:tr>
          </w:tbl>
          <w:p w14:paraId="79C320FE">
            <w:pPr>
              <w:spacing w:line="360" w:lineRule="auto"/>
              <w:ind w:firstLine="480" w:firstLineChars="200"/>
              <w:rPr>
                <w:rFonts w:hint="eastAsia" w:ascii="宋体" w:hAnsi="宋体" w:cs="宋体"/>
                <w:color w:val="auto"/>
                <w:sz w:val="24"/>
              </w:rPr>
            </w:pPr>
            <w:r>
              <w:rPr>
                <w:rFonts w:hint="eastAsia" w:ascii="宋体" w:hAnsi="宋体" w:cs="宋体"/>
                <w:color w:val="auto"/>
                <w:sz w:val="24"/>
              </w:rPr>
              <w:t>综上，本项目建设符合《新疆维吾尔自治区生态环境分区管控动态更新成果》</w:t>
            </w:r>
            <w:r>
              <w:rPr>
                <w:color w:val="auto"/>
                <w:sz w:val="24"/>
              </w:rPr>
              <w:t>（新环环评发〔2024〕157号）的相关</w:t>
            </w:r>
            <w:r>
              <w:rPr>
                <w:rFonts w:hint="eastAsia" w:ascii="宋体" w:hAnsi="宋体" w:cs="宋体"/>
                <w:color w:val="auto"/>
                <w:sz w:val="24"/>
              </w:rPr>
              <w:t>要求。</w:t>
            </w:r>
          </w:p>
          <w:p w14:paraId="4DD5AF21">
            <w:pPr>
              <w:autoSpaceDE w:val="0"/>
              <w:autoSpaceDN w:val="0"/>
              <w:spacing w:line="360" w:lineRule="auto"/>
              <w:rPr>
                <w:b/>
                <w:bCs/>
                <w:color w:val="auto"/>
                <w:sz w:val="24"/>
              </w:rPr>
            </w:pPr>
            <w:r>
              <w:rPr>
                <w:rFonts w:hint="eastAsia"/>
                <w:b/>
                <w:bCs/>
                <w:color w:val="auto"/>
                <w:sz w:val="24"/>
              </w:rPr>
              <w:t>2.2与《新疆维吾尔自治区七大片区“三线一单”生态环境分区管控要求（</w:t>
            </w:r>
            <w:r>
              <w:rPr>
                <w:b/>
                <w:bCs/>
                <w:color w:val="auto"/>
                <w:sz w:val="24"/>
              </w:rPr>
              <w:t>2021</w:t>
            </w:r>
            <w:r>
              <w:rPr>
                <w:rFonts w:hint="eastAsia"/>
                <w:b/>
                <w:bCs/>
                <w:color w:val="auto"/>
                <w:sz w:val="24"/>
              </w:rPr>
              <w:t xml:space="preserve">年版）》的符合性分析 </w:t>
            </w:r>
          </w:p>
          <w:p w14:paraId="19AC6353">
            <w:pPr>
              <w:pStyle w:val="24"/>
              <w:widowControl w:val="0"/>
              <w:spacing w:line="360" w:lineRule="auto"/>
              <w:ind w:firstLine="480" w:firstLineChars="200"/>
              <w:jc w:val="both"/>
              <w:rPr>
                <w:rFonts w:ascii="Times New Roman" w:eastAsia="宋体"/>
                <w:color w:val="auto"/>
                <w:sz w:val="24"/>
                <w:szCs w:val="24"/>
              </w:rPr>
            </w:pPr>
            <w:r>
              <w:rPr>
                <w:rFonts w:hint="eastAsia" w:ascii="Times New Roman" w:eastAsia="宋体"/>
                <w:color w:val="auto"/>
                <w:sz w:val="24"/>
                <w:szCs w:val="24"/>
              </w:rPr>
              <w:t xml:space="preserve">本项目位于奇台县，其属于乌昌石片区，根据《新疆维吾尔自治区七大片区“三线一单”生态环境分区管控要求（2021年版）》可知，乌昌石片区管控要求主要如下： </w:t>
            </w:r>
          </w:p>
          <w:p w14:paraId="056B34EF">
            <w:pPr>
              <w:pStyle w:val="24"/>
              <w:widowControl w:val="0"/>
              <w:spacing w:line="360" w:lineRule="auto"/>
              <w:ind w:firstLine="480" w:firstLineChars="200"/>
              <w:jc w:val="both"/>
              <w:rPr>
                <w:rFonts w:ascii="Times New Roman" w:eastAsia="宋体"/>
                <w:color w:val="auto"/>
                <w:sz w:val="24"/>
                <w:szCs w:val="24"/>
              </w:rPr>
            </w:pPr>
            <w:r>
              <w:rPr>
                <w:rFonts w:hint="eastAsia" w:ascii="Times New Roman" w:eastAsia="宋体"/>
                <w:color w:val="auto"/>
                <w:sz w:val="24"/>
                <w:szCs w:val="24"/>
              </w:rPr>
              <w:t>乌昌石片区包括乌鲁木齐市、昌吉回族自治州和沙湾市。除国家规划项目外，乌鲁木齐市七区一县、昌吉市、阜康市、玛纳斯县、呼图壁县、沙湾市建成区及周边敏感区域内不再布局建设煤化工、电解铝、燃煤纯发电机组、金属硅、碳化硅、聚氨乙烯（电石法）、焦炭（含半焦）等新增产能项目。具备风光电清洁供暖建设条件的区域原则上不新批热电联产项目。坚持属地负责与区域大气污染联防联控相结合，以明显降低细颗粒物浓度为重点，协同推进“乌</w:t>
            </w:r>
            <w:r>
              <w:rPr>
                <w:rFonts w:ascii="Times New Roman" w:eastAsia="宋体"/>
                <w:color w:val="auto"/>
                <w:sz w:val="24"/>
                <w:szCs w:val="24"/>
              </w:rPr>
              <w:t>-</w:t>
            </w:r>
            <w:r>
              <w:rPr>
                <w:rFonts w:hint="eastAsia" w:ascii="Times New Roman" w:eastAsia="宋体"/>
                <w:color w:val="auto"/>
                <w:sz w:val="24"/>
                <w:szCs w:val="24"/>
              </w:rPr>
              <w:t>昌</w:t>
            </w:r>
            <w:r>
              <w:rPr>
                <w:rFonts w:ascii="Times New Roman" w:eastAsia="宋体"/>
                <w:color w:val="auto"/>
                <w:sz w:val="24"/>
                <w:szCs w:val="24"/>
              </w:rPr>
              <w:t>-</w:t>
            </w:r>
            <w:r>
              <w:rPr>
                <w:rFonts w:hint="eastAsia" w:ascii="Times New Roman" w:eastAsia="宋体"/>
                <w:color w:val="auto"/>
                <w:sz w:val="24"/>
                <w:szCs w:val="24"/>
              </w:rPr>
              <w:t>石”同防同治区域大气环境治理。强化与生产建设兵团第六师、第八师、第十一师、第十二师的同防同治，所有新建、改建、扩建工业项目执行最严格的大气污染物排放标准，强化氮氧化物深度治理，确保区域环境空气质量持续改善。强化企业清洁生产改造，推进节水型企业、节水型工业园区建设，提高资源集约节约利用水平。积极推进地下水超采治理，逐步压减地下水超采量，实现地下水采补平衡。</w:t>
            </w:r>
          </w:p>
          <w:p w14:paraId="7CDA56C3">
            <w:pPr>
              <w:pStyle w:val="24"/>
              <w:widowControl w:val="0"/>
              <w:spacing w:line="360" w:lineRule="auto"/>
              <w:ind w:firstLine="480" w:firstLineChars="200"/>
              <w:jc w:val="both"/>
              <w:rPr>
                <w:rFonts w:ascii="Times New Roman" w:eastAsia="宋体"/>
                <w:b/>
                <w:bCs/>
                <w:color w:val="auto"/>
                <w:sz w:val="24"/>
              </w:rPr>
            </w:pPr>
            <w:r>
              <w:rPr>
                <w:rFonts w:hint="eastAsia" w:ascii="Times New Roman" w:eastAsia="宋体"/>
                <w:color w:val="auto"/>
                <w:sz w:val="24"/>
                <w:szCs w:val="24"/>
              </w:rPr>
              <w:t>本项目为建筑用砂开采业，本项目开采作业面及建筑用砂装卸过程中采用雾炮机水雾增湿除尘方式降尘，表土堆场采用洒水抑尘和防尘网苫盖等措施防治无组织粉尘排放，颗粒物排放可满足《大气污染物综合排放标准》（GB16297-1996）中表2中颗粒物排放标准，对外环境影响较小。综上，项目符合《新疆维吾尔自治区七大片区“三线一单”生态环境分区管控要求（2021年版）》中管控要求。</w:t>
            </w:r>
          </w:p>
          <w:p w14:paraId="5F3F81E8">
            <w:pPr>
              <w:autoSpaceDE w:val="0"/>
              <w:autoSpaceDN w:val="0"/>
              <w:spacing w:line="360" w:lineRule="auto"/>
              <w:rPr>
                <w:b/>
                <w:bCs/>
                <w:color w:val="auto"/>
                <w:sz w:val="24"/>
              </w:rPr>
            </w:pPr>
            <w:r>
              <w:rPr>
                <w:rFonts w:hint="eastAsia"/>
                <w:b/>
                <w:bCs/>
                <w:color w:val="auto"/>
                <w:sz w:val="24"/>
              </w:rPr>
              <w:t>2.3</w:t>
            </w:r>
            <w:r>
              <w:rPr>
                <w:b/>
                <w:bCs/>
                <w:color w:val="auto"/>
                <w:sz w:val="24"/>
              </w:rPr>
              <w:t>与《昌吉回族自治州生态环境分区管控动态更新成果》的相符性分析</w:t>
            </w:r>
          </w:p>
          <w:p w14:paraId="22677FEB">
            <w:pPr>
              <w:pStyle w:val="24"/>
              <w:widowControl w:val="0"/>
              <w:spacing w:line="360" w:lineRule="auto"/>
              <w:ind w:firstLine="480" w:firstLineChars="200"/>
              <w:jc w:val="both"/>
              <w:rPr>
                <w:rFonts w:ascii="Times New Roman" w:eastAsia="宋体"/>
                <w:color w:val="auto"/>
                <w:sz w:val="24"/>
                <w:szCs w:val="24"/>
              </w:rPr>
            </w:pPr>
            <w:r>
              <w:rPr>
                <w:rFonts w:hint="eastAsia" w:ascii="Times New Roman" w:eastAsia="宋体"/>
                <w:color w:val="auto"/>
                <w:sz w:val="24"/>
                <w:szCs w:val="24"/>
              </w:rPr>
              <w:t>根据《昌吉回族自治州生态环境分区管控动态更新成果》，昌吉回族自治州共划定193个环境管控单元，分为优先保护单元、重点管控单元、一般管控单元三类，实施分类管控。根据《昌吉回族自治州生态环境分区管控动态更新成果》可知，本项目所在地环境管控单元名称为奇台县城镇村，环境管控单元分类为重点管控单元，单元编码 ZH65232520026。昌吉回族自治州环境管控单元图见图1-1。</w:t>
            </w:r>
          </w:p>
          <w:p w14:paraId="77A31DA7">
            <w:pPr>
              <w:pStyle w:val="64"/>
              <w:outlineLvl w:val="9"/>
              <w:rPr>
                <w:rFonts w:hint="default"/>
                <w:b/>
                <w:bCs/>
                <w:color w:val="auto"/>
              </w:rPr>
            </w:pPr>
            <w:r>
              <w:rPr>
                <w:b/>
                <w:bCs/>
                <w:color w:val="auto"/>
              </w:rPr>
              <w:t>表1-5项目与奇台县环境管控单元生态环境准入清单动态更新成果符合性分析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87"/>
              <w:gridCol w:w="498"/>
              <w:gridCol w:w="385"/>
              <w:gridCol w:w="2327"/>
              <w:gridCol w:w="2182"/>
              <w:gridCol w:w="780"/>
            </w:tblGrid>
            <w:tr w14:paraId="4F68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Pr>
                <w:p w14:paraId="47B59437">
                  <w:pPr>
                    <w:pStyle w:val="64"/>
                    <w:outlineLvl w:val="9"/>
                    <w:rPr>
                      <w:rFonts w:hint="default"/>
                      <w:color w:val="auto"/>
                    </w:rPr>
                  </w:pPr>
                  <w:r>
                    <w:rPr>
                      <w:color w:val="auto"/>
                    </w:rPr>
                    <w:t>环境管控单元编码</w:t>
                  </w:r>
                </w:p>
              </w:tc>
              <w:tc>
                <w:tcPr>
                  <w:tcW w:w="487" w:type="dxa"/>
                </w:tcPr>
                <w:p w14:paraId="1C03E843">
                  <w:pPr>
                    <w:pStyle w:val="64"/>
                    <w:outlineLvl w:val="9"/>
                    <w:rPr>
                      <w:rFonts w:hint="default"/>
                      <w:color w:val="auto"/>
                    </w:rPr>
                  </w:pPr>
                  <w:r>
                    <w:rPr>
                      <w:color w:val="auto"/>
                    </w:rPr>
                    <w:t>环境管控单元名称</w:t>
                  </w:r>
                </w:p>
              </w:tc>
              <w:tc>
                <w:tcPr>
                  <w:tcW w:w="498" w:type="dxa"/>
                </w:tcPr>
                <w:p w14:paraId="5CF2037E">
                  <w:pPr>
                    <w:pStyle w:val="64"/>
                    <w:outlineLvl w:val="9"/>
                    <w:rPr>
                      <w:rFonts w:hint="default"/>
                      <w:color w:val="auto"/>
                    </w:rPr>
                  </w:pPr>
                  <w:r>
                    <w:rPr>
                      <w:color w:val="auto"/>
                    </w:rPr>
                    <w:t>环境管控单元分类</w:t>
                  </w:r>
                </w:p>
              </w:tc>
              <w:tc>
                <w:tcPr>
                  <w:tcW w:w="2712" w:type="dxa"/>
                  <w:gridSpan w:val="2"/>
                </w:tcPr>
                <w:p w14:paraId="4B7CD89B">
                  <w:pPr>
                    <w:pStyle w:val="64"/>
                    <w:outlineLvl w:val="9"/>
                    <w:rPr>
                      <w:rFonts w:hint="default"/>
                      <w:color w:val="auto"/>
                    </w:rPr>
                  </w:pPr>
                  <w:r>
                    <w:rPr>
                      <w:color w:val="auto"/>
                    </w:rPr>
                    <w:t>管控要求</w:t>
                  </w:r>
                </w:p>
              </w:tc>
              <w:tc>
                <w:tcPr>
                  <w:tcW w:w="2182" w:type="dxa"/>
                </w:tcPr>
                <w:p w14:paraId="0F8E985D">
                  <w:pPr>
                    <w:pStyle w:val="64"/>
                    <w:outlineLvl w:val="9"/>
                    <w:rPr>
                      <w:rFonts w:hint="default"/>
                      <w:color w:val="auto"/>
                    </w:rPr>
                  </w:pPr>
                  <w:r>
                    <w:rPr>
                      <w:color w:val="auto"/>
                    </w:rPr>
                    <w:t>项目情况</w:t>
                  </w:r>
                </w:p>
              </w:tc>
              <w:tc>
                <w:tcPr>
                  <w:tcW w:w="780" w:type="dxa"/>
                </w:tcPr>
                <w:p w14:paraId="6C77EA65">
                  <w:pPr>
                    <w:pStyle w:val="64"/>
                    <w:outlineLvl w:val="9"/>
                    <w:rPr>
                      <w:rFonts w:hint="default"/>
                      <w:color w:val="auto"/>
                    </w:rPr>
                  </w:pPr>
                  <w:r>
                    <w:rPr>
                      <w:color w:val="auto"/>
                    </w:rPr>
                    <w:t>符合性</w:t>
                  </w:r>
                </w:p>
              </w:tc>
            </w:tr>
            <w:tr w14:paraId="2585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restart"/>
                </w:tcPr>
                <w:p w14:paraId="0B9F73C8">
                  <w:pPr>
                    <w:pStyle w:val="64"/>
                    <w:outlineLvl w:val="9"/>
                    <w:rPr>
                      <w:rFonts w:hint="default"/>
                      <w:color w:val="auto"/>
                    </w:rPr>
                  </w:pPr>
                </w:p>
                <w:p w14:paraId="742B0D2F">
                  <w:pPr>
                    <w:pStyle w:val="64"/>
                    <w:outlineLvl w:val="9"/>
                    <w:rPr>
                      <w:rFonts w:hint="default"/>
                      <w:color w:val="auto"/>
                    </w:rPr>
                  </w:pPr>
                </w:p>
                <w:p w14:paraId="537B44E7">
                  <w:pPr>
                    <w:pStyle w:val="64"/>
                    <w:outlineLvl w:val="9"/>
                    <w:rPr>
                      <w:rFonts w:hint="default"/>
                      <w:color w:val="auto"/>
                    </w:rPr>
                  </w:pPr>
                </w:p>
                <w:p w14:paraId="1E1C1EE4">
                  <w:pPr>
                    <w:pStyle w:val="64"/>
                    <w:outlineLvl w:val="9"/>
                    <w:rPr>
                      <w:rFonts w:hint="default"/>
                      <w:color w:val="auto"/>
                    </w:rPr>
                  </w:pPr>
                </w:p>
                <w:p w14:paraId="66B98D8D">
                  <w:pPr>
                    <w:pStyle w:val="64"/>
                    <w:outlineLvl w:val="9"/>
                    <w:rPr>
                      <w:rFonts w:hint="default"/>
                      <w:color w:val="auto"/>
                    </w:rPr>
                  </w:pPr>
                </w:p>
                <w:p w14:paraId="3D85C219">
                  <w:pPr>
                    <w:pStyle w:val="64"/>
                    <w:outlineLvl w:val="9"/>
                    <w:rPr>
                      <w:rFonts w:hint="default"/>
                      <w:color w:val="auto"/>
                    </w:rPr>
                  </w:pPr>
                </w:p>
                <w:p w14:paraId="1376BEC2">
                  <w:pPr>
                    <w:pStyle w:val="64"/>
                    <w:outlineLvl w:val="9"/>
                    <w:rPr>
                      <w:rFonts w:hint="default"/>
                      <w:color w:val="auto"/>
                    </w:rPr>
                  </w:pPr>
                </w:p>
                <w:p w14:paraId="46940731">
                  <w:pPr>
                    <w:pStyle w:val="64"/>
                    <w:outlineLvl w:val="9"/>
                    <w:rPr>
                      <w:rFonts w:hint="default"/>
                      <w:color w:val="auto"/>
                    </w:rPr>
                  </w:pPr>
                </w:p>
                <w:p w14:paraId="577F5E15">
                  <w:pPr>
                    <w:pStyle w:val="64"/>
                    <w:outlineLvl w:val="9"/>
                    <w:rPr>
                      <w:rFonts w:hint="default"/>
                      <w:color w:val="auto"/>
                    </w:rPr>
                  </w:pPr>
                </w:p>
                <w:p w14:paraId="65C6A01E">
                  <w:pPr>
                    <w:pStyle w:val="64"/>
                    <w:outlineLvl w:val="9"/>
                    <w:rPr>
                      <w:rFonts w:hint="default"/>
                      <w:color w:val="auto"/>
                    </w:rPr>
                  </w:pPr>
                </w:p>
                <w:p w14:paraId="0F23DE95">
                  <w:pPr>
                    <w:pStyle w:val="64"/>
                    <w:outlineLvl w:val="9"/>
                    <w:rPr>
                      <w:rFonts w:hint="default"/>
                      <w:color w:val="auto"/>
                    </w:rPr>
                  </w:pPr>
                </w:p>
                <w:p w14:paraId="2274C6A6">
                  <w:pPr>
                    <w:rPr>
                      <w:color w:val="auto"/>
                    </w:rPr>
                  </w:pPr>
                </w:p>
                <w:p w14:paraId="6B0FA9CA">
                  <w:pPr>
                    <w:pStyle w:val="64"/>
                    <w:outlineLvl w:val="9"/>
                    <w:rPr>
                      <w:rFonts w:hint="default"/>
                      <w:color w:val="auto"/>
                    </w:rPr>
                  </w:pPr>
                </w:p>
                <w:p w14:paraId="665CB964">
                  <w:pPr>
                    <w:pStyle w:val="64"/>
                    <w:outlineLvl w:val="9"/>
                    <w:rPr>
                      <w:rFonts w:hint="default"/>
                      <w:color w:val="auto"/>
                    </w:rPr>
                  </w:pPr>
                  <w:r>
                    <w:rPr>
                      <w:rFonts w:hint="default"/>
                      <w:color w:val="auto"/>
                    </w:rPr>
                    <w:t>ZH652325200</w:t>
                  </w:r>
                  <w:r>
                    <w:rPr>
                      <w:color w:val="auto"/>
                    </w:rPr>
                    <w:t>26</w:t>
                  </w:r>
                </w:p>
              </w:tc>
              <w:tc>
                <w:tcPr>
                  <w:tcW w:w="487" w:type="dxa"/>
                  <w:vMerge w:val="restart"/>
                </w:tcPr>
                <w:p w14:paraId="57A290EE">
                  <w:pPr>
                    <w:pStyle w:val="64"/>
                    <w:outlineLvl w:val="9"/>
                    <w:rPr>
                      <w:rFonts w:hint="default"/>
                      <w:color w:val="auto"/>
                    </w:rPr>
                  </w:pPr>
                </w:p>
                <w:p w14:paraId="290ED2FB">
                  <w:pPr>
                    <w:pStyle w:val="64"/>
                    <w:outlineLvl w:val="9"/>
                    <w:rPr>
                      <w:rFonts w:hint="default"/>
                      <w:color w:val="auto"/>
                    </w:rPr>
                  </w:pPr>
                </w:p>
                <w:p w14:paraId="14D9AFD2">
                  <w:pPr>
                    <w:pStyle w:val="64"/>
                    <w:outlineLvl w:val="9"/>
                    <w:rPr>
                      <w:rFonts w:hint="default"/>
                      <w:color w:val="auto"/>
                    </w:rPr>
                  </w:pPr>
                </w:p>
                <w:p w14:paraId="6AA3371A">
                  <w:pPr>
                    <w:pStyle w:val="64"/>
                    <w:outlineLvl w:val="9"/>
                    <w:rPr>
                      <w:rFonts w:hint="default"/>
                      <w:color w:val="auto"/>
                    </w:rPr>
                  </w:pPr>
                </w:p>
                <w:p w14:paraId="136542B8">
                  <w:pPr>
                    <w:pStyle w:val="64"/>
                    <w:outlineLvl w:val="9"/>
                    <w:rPr>
                      <w:rFonts w:hint="default"/>
                      <w:color w:val="auto"/>
                    </w:rPr>
                  </w:pPr>
                </w:p>
                <w:p w14:paraId="6127A3C1">
                  <w:pPr>
                    <w:pStyle w:val="64"/>
                    <w:outlineLvl w:val="9"/>
                    <w:rPr>
                      <w:rFonts w:hint="default"/>
                      <w:color w:val="auto"/>
                    </w:rPr>
                  </w:pPr>
                </w:p>
                <w:p w14:paraId="44543637">
                  <w:pPr>
                    <w:pStyle w:val="64"/>
                    <w:outlineLvl w:val="9"/>
                    <w:rPr>
                      <w:rFonts w:hint="default"/>
                      <w:color w:val="auto"/>
                    </w:rPr>
                  </w:pPr>
                </w:p>
                <w:p w14:paraId="183004F5">
                  <w:pPr>
                    <w:pStyle w:val="64"/>
                    <w:outlineLvl w:val="9"/>
                    <w:rPr>
                      <w:rFonts w:hint="default"/>
                      <w:color w:val="auto"/>
                    </w:rPr>
                  </w:pPr>
                </w:p>
                <w:p w14:paraId="3D9A7CFC">
                  <w:pPr>
                    <w:pStyle w:val="64"/>
                    <w:outlineLvl w:val="9"/>
                    <w:rPr>
                      <w:rFonts w:hint="default"/>
                      <w:color w:val="auto"/>
                    </w:rPr>
                  </w:pPr>
                </w:p>
                <w:p w14:paraId="524796B6">
                  <w:pPr>
                    <w:pStyle w:val="64"/>
                    <w:outlineLvl w:val="9"/>
                    <w:rPr>
                      <w:rFonts w:hint="default"/>
                      <w:color w:val="auto"/>
                    </w:rPr>
                  </w:pPr>
                </w:p>
                <w:p w14:paraId="642AD0ED">
                  <w:pPr>
                    <w:rPr>
                      <w:color w:val="auto"/>
                    </w:rPr>
                  </w:pPr>
                </w:p>
                <w:p w14:paraId="06B08CA1">
                  <w:pPr>
                    <w:pStyle w:val="64"/>
                    <w:outlineLvl w:val="9"/>
                    <w:rPr>
                      <w:rFonts w:hint="default"/>
                      <w:color w:val="auto"/>
                    </w:rPr>
                  </w:pPr>
                </w:p>
                <w:p w14:paraId="0E4124DF">
                  <w:pPr>
                    <w:pStyle w:val="64"/>
                    <w:outlineLvl w:val="9"/>
                    <w:rPr>
                      <w:rFonts w:hint="default"/>
                      <w:color w:val="auto"/>
                    </w:rPr>
                  </w:pPr>
                  <w:r>
                    <w:rPr>
                      <w:color w:val="auto"/>
                    </w:rPr>
                    <w:t>奇台县城镇村</w:t>
                  </w:r>
                </w:p>
              </w:tc>
              <w:tc>
                <w:tcPr>
                  <w:tcW w:w="498" w:type="dxa"/>
                  <w:vMerge w:val="restart"/>
                </w:tcPr>
                <w:p w14:paraId="5E147567">
                  <w:pPr>
                    <w:pStyle w:val="64"/>
                    <w:outlineLvl w:val="9"/>
                    <w:rPr>
                      <w:rFonts w:hint="default"/>
                      <w:color w:val="auto"/>
                    </w:rPr>
                  </w:pPr>
                </w:p>
                <w:p w14:paraId="4B154406">
                  <w:pPr>
                    <w:pStyle w:val="64"/>
                    <w:outlineLvl w:val="9"/>
                    <w:rPr>
                      <w:rFonts w:hint="default"/>
                      <w:color w:val="auto"/>
                    </w:rPr>
                  </w:pPr>
                </w:p>
                <w:p w14:paraId="5C48E012">
                  <w:pPr>
                    <w:pStyle w:val="64"/>
                    <w:outlineLvl w:val="9"/>
                    <w:rPr>
                      <w:rFonts w:hint="default"/>
                      <w:color w:val="auto"/>
                    </w:rPr>
                  </w:pPr>
                </w:p>
                <w:p w14:paraId="5C9AA55D">
                  <w:pPr>
                    <w:pStyle w:val="64"/>
                    <w:outlineLvl w:val="9"/>
                    <w:rPr>
                      <w:rFonts w:hint="default"/>
                      <w:color w:val="auto"/>
                    </w:rPr>
                  </w:pPr>
                </w:p>
                <w:p w14:paraId="50F7F870">
                  <w:pPr>
                    <w:pStyle w:val="64"/>
                    <w:outlineLvl w:val="9"/>
                    <w:rPr>
                      <w:rFonts w:hint="default"/>
                      <w:color w:val="auto"/>
                    </w:rPr>
                  </w:pPr>
                </w:p>
                <w:p w14:paraId="1A07C0AA">
                  <w:pPr>
                    <w:pStyle w:val="64"/>
                    <w:outlineLvl w:val="9"/>
                    <w:rPr>
                      <w:rFonts w:hint="default"/>
                      <w:color w:val="auto"/>
                    </w:rPr>
                  </w:pPr>
                </w:p>
                <w:p w14:paraId="2E7B690C">
                  <w:pPr>
                    <w:pStyle w:val="64"/>
                    <w:outlineLvl w:val="9"/>
                    <w:rPr>
                      <w:rFonts w:hint="default"/>
                      <w:color w:val="auto"/>
                    </w:rPr>
                  </w:pPr>
                </w:p>
                <w:p w14:paraId="674F4EBA">
                  <w:pPr>
                    <w:pStyle w:val="64"/>
                    <w:outlineLvl w:val="9"/>
                    <w:rPr>
                      <w:rFonts w:hint="default"/>
                      <w:color w:val="auto"/>
                    </w:rPr>
                  </w:pPr>
                </w:p>
                <w:p w14:paraId="7CC5A57C">
                  <w:pPr>
                    <w:pStyle w:val="64"/>
                    <w:outlineLvl w:val="9"/>
                    <w:rPr>
                      <w:rFonts w:hint="default"/>
                      <w:color w:val="auto"/>
                    </w:rPr>
                  </w:pPr>
                </w:p>
                <w:p w14:paraId="4520068D">
                  <w:pPr>
                    <w:pStyle w:val="64"/>
                    <w:outlineLvl w:val="9"/>
                    <w:rPr>
                      <w:rFonts w:hint="default"/>
                      <w:color w:val="auto"/>
                    </w:rPr>
                  </w:pPr>
                </w:p>
                <w:p w14:paraId="05C6DAFF">
                  <w:pPr>
                    <w:pStyle w:val="64"/>
                    <w:outlineLvl w:val="9"/>
                    <w:rPr>
                      <w:rFonts w:hint="default"/>
                      <w:color w:val="auto"/>
                    </w:rPr>
                  </w:pPr>
                </w:p>
                <w:p w14:paraId="450DA980">
                  <w:pPr>
                    <w:pStyle w:val="64"/>
                    <w:outlineLvl w:val="9"/>
                    <w:rPr>
                      <w:rFonts w:hint="default"/>
                      <w:color w:val="auto"/>
                    </w:rPr>
                  </w:pPr>
                </w:p>
                <w:p w14:paraId="743035EE">
                  <w:pPr>
                    <w:pStyle w:val="64"/>
                    <w:outlineLvl w:val="9"/>
                    <w:rPr>
                      <w:rFonts w:hint="default"/>
                      <w:color w:val="auto"/>
                    </w:rPr>
                  </w:pPr>
                  <w:r>
                    <w:rPr>
                      <w:color w:val="auto"/>
                    </w:rPr>
                    <w:t>重点管控</w:t>
                  </w:r>
                </w:p>
                <w:p w14:paraId="7891F121">
                  <w:pPr>
                    <w:pStyle w:val="64"/>
                    <w:outlineLvl w:val="9"/>
                    <w:rPr>
                      <w:rFonts w:hint="default"/>
                      <w:color w:val="auto"/>
                    </w:rPr>
                  </w:pPr>
                  <w:r>
                    <w:rPr>
                      <w:color w:val="auto"/>
                    </w:rPr>
                    <w:t>单元</w:t>
                  </w:r>
                </w:p>
              </w:tc>
              <w:tc>
                <w:tcPr>
                  <w:tcW w:w="385" w:type="dxa"/>
                  <w:shd w:val="clear" w:color="auto" w:fill="auto"/>
                </w:tcPr>
                <w:p w14:paraId="11DC80FE">
                  <w:pPr>
                    <w:pStyle w:val="64"/>
                    <w:outlineLvl w:val="9"/>
                    <w:rPr>
                      <w:rFonts w:hint="default"/>
                      <w:color w:val="auto"/>
                    </w:rPr>
                  </w:pPr>
                  <w:r>
                    <w:rPr>
                      <w:color w:val="auto"/>
                    </w:rPr>
                    <w:t>空间布局约束</w:t>
                  </w:r>
                </w:p>
              </w:tc>
              <w:tc>
                <w:tcPr>
                  <w:tcW w:w="2327" w:type="dxa"/>
                </w:tcPr>
                <w:p w14:paraId="534D4971">
                  <w:pPr>
                    <w:pStyle w:val="64"/>
                    <w:outlineLvl w:val="9"/>
                    <w:rPr>
                      <w:rFonts w:hint="default"/>
                      <w:color w:val="auto"/>
                    </w:rPr>
                  </w:pPr>
                  <w:r>
                    <w:rPr>
                      <w:color w:val="auto"/>
                    </w:rPr>
                    <w:t>城镇村开发应符合国土空间规划要求，不得影响区域主导生态功能</w:t>
                  </w:r>
                </w:p>
              </w:tc>
              <w:tc>
                <w:tcPr>
                  <w:tcW w:w="2182" w:type="dxa"/>
                </w:tcPr>
                <w:p w14:paraId="57076498">
                  <w:pPr>
                    <w:pStyle w:val="64"/>
                    <w:outlineLvl w:val="9"/>
                    <w:rPr>
                      <w:rFonts w:hint="default"/>
                      <w:color w:val="auto"/>
                    </w:rPr>
                  </w:pPr>
                  <w:r>
                    <w:rPr>
                      <w:color w:val="auto"/>
                    </w:rPr>
                    <w:t>本项目为建筑用砂开采项目，矿区不涉及农产品主产区及重点生态功能区，本工程符合《新疆维吾尔自治区主体功能区规划》相关要求。</w:t>
                  </w:r>
                </w:p>
              </w:tc>
              <w:tc>
                <w:tcPr>
                  <w:tcW w:w="780" w:type="dxa"/>
                </w:tcPr>
                <w:p w14:paraId="51AAEE50">
                  <w:pPr>
                    <w:pStyle w:val="64"/>
                    <w:outlineLvl w:val="9"/>
                    <w:rPr>
                      <w:rFonts w:hint="default"/>
                      <w:color w:val="auto"/>
                    </w:rPr>
                  </w:pPr>
                  <w:r>
                    <w:rPr>
                      <w:color w:val="auto"/>
                    </w:rPr>
                    <w:t>符合</w:t>
                  </w:r>
                </w:p>
              </w:tc>
            </w:tr>
            <w:tr w14:paraId="0CFE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continue"/>
                </w:tcPr>
                <w:p w14:paraId="086ACE7F">
                  <w:pPr>
                    <w:pStyle w:val="64"/>
                    <w:outlineLvl w:val="9"/>
                    <w:rPr>
                      <w:rFonts w:hint="default"/>
                      <w:color w:val="auto"/>
                    </w:rPr>
                  </w:pPr>
                </w:p>
              </w:tc>
              <w:tc>
                <w:tcPr>
                  <w:tcW w:w="487" w:type="dxa"/>
                  <w:vMerge w:val="continue"/>
                </w:tcPr>
                <w:p w14:paraId="04808AA6">
                  <w:pPr>
                    <w:pStyle w:val="64"/>
                    <w:outlineLvl w:val="9"/>
                    <w:rPr>
                      <w:rFonts w:hint="default"/>
                      <w:color w:val="auto"/>
                    </w:rPr>
                  </w:pPr>
                </w:p>
              </w:tc>
              <w:tc>
                <w:tcPr>
                  <w:tcW w:w="498" w:type="dxa"/>
                  <w:vMerge w:val="continue"/>
                </w:tcPr>
                <w:p w14:paraId="5253B1BC">
                  <w:pPr>
                    <w:pStyle w:val="64"/>
                    <w:outlineLvl w:val="9"/>
                    <w:rPr>
                      <w:rFonts w:hint="default"/>
                      <w:color w:val="auto"/>
                    </w:rPr>
                  </w:pPr>
                </w:p>
              </w:tc>
              <w:tc>
                <w:tcPr>
                  <w:tcW w:w="385" w:type="dxa"/>
                  <w:shd w:val="clear" w:color="auto" w:fill="auto"/>
                </w:tcPr>
                <w:p w14:paraId="6FD6524F">
                  <w:pPr>
                    <w:pStyle w:val="64"/>
                    <w:outlineLvl w:val="9"/>
                    <w:rPr>
                      <w:rFonts w:hint="default"/>
                      <w:color w:val="auto"/>
                    </w:rPr>
                  </w:pPr>
                  <w:r>
                    <w:rPr>
                      <w:color w:val="auto"/>
                    </w:rPr>
                    <w:t>污染物排放管控</w:t>
                  </w:r>
                </w:p>
              </w:tc>
              <w:tc>
                <w:tcPr>
                  <w:tcW w:w="2327" w:type="dxa"/>
                </w:tcPr>
                <w:p w14:paraId="0C2098D0">
                  <w:pPr>
                    <w:pStyle w:val="64"/>
                    <w:outlineLvl w:val="9"/>
                    <w:rPr>
                      <w:rFonts w:hint="default"/>
                      <w:color w:val="auto"/>
                    </w:rPr>
                  </w:pPr>
                  <w:r>
                    <w:rPr>
                      <w:color w:val="auto"/>
                    </w:rPr>
                    <w:t>依法开展环境影响评价，执行最严格的污染物排放标准，确保区域环境质量不降低</w:t>
                  </w:r>
                </w:p>
              </w:tc>
              <w:tc>
                <w:tcPr>
                  <w:tcW w:w="2182" w:type="dxa"/>
                </w:tcPr>
                <w:p w14:paraId="59931DA1">
                  <w:pPr>
                    <w:pStyle w:val="64"/>
                    <w:outlineLvl w:val="9"/>
                    <w:rPr>
                      <w:rFonts w:hint="default"/>
                      <w:color w:val="auto"/>
                    </w:rPr>
                  </w:pPr>
                  <w:r>
                    <w:rPr>
                      <w:color w:val="auto"/>
                    </w:rPr>
                    <w:t>已根据环评法依法开展环境影响评价工作。矿区产生的颗粒物执行</w:t>
                  </w:r>
                  <w:r>
                    <w:rPr>
                      <w:color w:val="auto"/>
                      <w:szCs w:val="21"/>
                    </w:rPr>
                    <w:t>《大气污染物综合排放标准》（GB16297-1996）中无组织排放浓度限值。</w:t>
                  </w:r>
                </w:p>
              </w:tc>
              <w:tc>
                <w:tcPr>
                  <w:tcW w:w="780" w:type="dxa"/>
                </w:tcPr>
                <w:p w14:paraId="7BE4A0EC">
                  <w:pPr>
                    <w:pStyle w:val="64"/>
                    <w:outlineLvl w:val="9"/>
                    <w:rPr>
                      <w:rFonts w:hint="default"/>
                      <w:color w:val="auto"/>
                    </w:rPr>
                  </w:pPr>
                  <w:r>
                    <w:rPr>
                      <w:color w:val="auto"/>
                    </w:rPr>
                    <w:t>符合</w:t>
                  </w:r>
                </w:p>
              </w:tc>
            </w:tr>
            <w:tr w14:paraId="517C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continue"/>
                </w:tcPr>
                <w:p w14:paraId="178610B7">
                  <w:pPr>
                    <w:pStyle w:val="64"/>
                    <w:outlineLvl w:val="9"/>
                    <w:rPr>
                      <w:rFonts w:hint="default"/>
                      <w:color w:val="auto"/>
                    </w:rPr>
                  </w:pPr>
                </w:p>
              </w:tc>
              <w:tc>
                <w:tcPr>
                  <w:tcW w:w="487" w:type="dxa"/>
                  <w:vMerge w:val="continue"/>
                </w:tcPr>
                <w:p w14:paraId="0D3C0C35">
                  <w:pPr>
                    <w:pStyle w:val="64"/>
                    <w:outlineLvl w:val="9"/>
                    <w:rPr>
                      <w:rFonts w:hint="default"/>
                      <w:color w:val="auto"/>
                    </w:rPr>
                  </w:pPr>
                </w:p>
              </w:tc>
              <w:tc>
                <w:tcPr>
                  <w:tcW w:w="498" w:type="dxa"/>
                  <w:vMerge w:val="continue"/>
                </w:tcPr>
                <w:p w14:paraId="53AD0AEB">
                  <w:pPr>
                    <w:pStyle w:val="64"/>
                    <w:outlineLvl w:val="9"/>
                    <w:rPr>
                      <w:rFonts w:hint="default"/>
                      <w:color w:val="auto"/>
                    </w:rPr>
                  </w:pPr>
                </w:p>
              </w:tc>
              <w:tc>
                <w:tcPr>
                  <w:tcW w:w="385" w:type="dxa"/>
                  <w:shd w:val="clear" w:color="auto" w:fill="auto"/>
                </w:tcPr>
                <w:p w14:paraId="3088C605">
                  <w:pPr>
                    <w:pStyle w:val="64"/>
                    <w:outlineLvl w:val="9"/>
                    <w:rPr>
                      <w:rFonts w:hint="default"/>
                      <w:color w:val="auto"/>
                    </w:rPr>
                  </w:pPr>
                  <w:r>
                    <w:rPr>
                      <w:color w:val="auto"/>
                    </w:rPr>
                    <w:t>环境风险防控</w:t>
                  </w:r>
                </w:p>
              </w:tc>
              <w:tc>
                <w:tcPr>
                  <w:tcW w:w="2327" w:type="dxa"/>
                </w:tcPr>
                <w:p w14:paraId="0A216FD5">
                  <w:pPr>
                    <w:pStyle w:val="64"/>
                    <w:outlineLvl w:val="9"/>
                    <w:rPr>
                      <w:rFonts w:hint="default"/>
                      <w:color w:val="auto"/>
                    </w:rPr>
                  </w:pPr>
                  <w:r>
                    <w:rPr>
                      <w:color w:val="auto"/>
                    </w:rPr>
                    <w:t>1、提升饮用水安全保障水平。以县级及以上集中式饮用水水源地为重点，推进饮用水水源保护区规范化建设，统筹推进备用水源或应急水源建设。强化饮用水水源保护区环境应急管理，完善重大突发环境事件的物资和技术储备。针对汇水区、补给区存在兵地跨界的，建立统一的饮用水水源应急和执法机制，共享应急物资。</w:t>
                  </w:r>
                </w:p>
              </w:tc>
              <w:tc>
                <w:tcPr>
                  <w:tcW w:w="2182" w:type="dxa"/>
                </w:tcPr>
                <w:p w14:paraId="3FCBF2D4">
                  <w:pPr>
                    <w:pStyle w:val="64"/>
                    <w:outlineLvl w:val="9"/>
                    <w:rPr>
                      <w:rFonts w:hint="default"/>
                      <w:color w:val="auto"/>
                    </w:rPr>
                  </w:pPr>
                  <w:r>
                    <w:rPr>
                      <w:color w:val="auto"/>
                    </w:rPr>
                    <w:t>本项目为建筑用砂开采项目。运营期开采作业面及建筑用砂装卸过程中采用雾炮机水雾增湿除尘方式降尘，道路及表土堆场进行洒水降尘。</w:t>
                  </w:r>
                </w:p>
              </w:tc>
              <w:tc>
                <w:tcPr>
                  <w:tcW w:w="780" w:type="dxa"/>
                </w:tcPr>
                <w:p w14:paraId="0E2F8E8D">
                  <w:pPr>
                    <w:pStyle w:val="64"/>
                    <w:outlineLvl w:val="9"/>
                    <w:rPr>
                      <w:rFonts w:hint="default"/>
                      <w:color w:val="auto"/>
                    </w:rPr>
                  </w:pPr>
                  <w:r>
                    <w:rPr>
                      <w:color w:val="auto"/>
                    </w:rPr>
                    <w:t>符合</w:t>
                  </w:r>
                </w:p>
              </w:tc>
            </w:tr>
          </w:tbl>
          <w:p w14:paraId="307D1F84">
            <w:pPr>
              <w:autoSpaceDE w:val="0"/>
              <w:autoSpaceDN w:val="0"/>
              <w:adjustRightInd w:val="0"/>
              <w:snapToGrid w:val="0"/>
              <w:spacing w:before="120" w:beforeLines="50" w:line="360" w:lineRule="auto"/>
              <w:ind w:firstLine="480" w:firstLineChars="200"/>
              <w:jc w:val="left"/>
              <w:rPr>
                <w:color w:val="auto"/>
                <w:kern w:val="0"/>
                <w:sz w:val="24"/>
              </w:rPr>
            </w:pPr>
            <w:r>
              <w:rPr>
                <w:rFonts w:hint="eastAsia"/>
                <w:color w:val="auto"/>
                <w:kern w:val="0"/>
                <w:sz w:val="24"/>
              </w:rPr>
              <w:t>综上所述，</w:t>
            </w:r>
            <w:r>
              <w:rPr>
                <w:color w:val="auto"/>
                <w:kern w:val="0"/>
                <w:sz w:val="24"/>
              </w:rPr>
              <w:t>本项目符合</w:t>
            </w:r>
            <w:r>
              <w:rPr>
                <w:rFonts w:hint="eastAsia"/>
                <w:color w:val="auto"/>
                <w:kern w:val="0"/>
                <w:sz w:val="24"/>
              </w:rPr>
              <w:t>《昌吉回族自治州生态环境分区管控动态更新成果》中相关</w:t>
            </w:r>
            <w:r>
              <w:rPr>
                <w:color w:val="auto"/>
                <w:kern w:val="0"/>
                <w:sz w:val="24"/>
              </w:rPr>
              <w:t>要求。</w:t>
            </w:r>
          </w:p>
          <w:p w14:paraId="4B2ECF4A">
            <w:pPr>
              <w:spacing w:line="360" w:lineRule="auto"/>
              <w:rPr>
                <w:b/>
                <w:bCs/>
                <w:color w:val="auto"/>
                <w:sz w:val="24"/>
              </w:rPr>
            </w:pPr>
            <w:r>
              <w:rPr>
                <w:rFonts w:hint="eastAsia"/>
                <w:b/>
                <w:bCs/>
                <w:color w:val="auto"/>
                <w:sz w:val="24"/>
              </w:rPr>
              <w:t>3、</w:t>
            </w:r>
            <w:r>
              <w:rPr>
                <w:b/>
                <w:bCs/>
                <w:color w:val="auto"/>
                <w:sz w:val="24"/>
              </w:rPr>
              <w:t>与相关政策的符合性</w:t>
            </w:r>
          </w:p>
          <w:p w14:paraId="5DD31688">
            <w:pPr>
              <w:autoSpaceDE w:val="0"/>
              <w:autoSpaceDN w:val="0"/>
              <w:adjustRightInd w:val="0"/>
              <w:spacing w:line="360" w:lineRule="auto"/>
              <w:jc w:val="left"/>
              <w:rPr>
                <w:b/>
                <w:bCs/>
                <w:color w:val="auto"/>
                <w:kern w:val="0"/>
                <w:sz w:val="24"/>
              </w:rPr>
            </w:pPr>
            <w:r>
              <w:rPr>
                <w:rFonts w:hint="eastAsia"/>
                <w:b/>
                <w:bCs/>
                <w:color w:val="auto"/>
                <w:sz w:val="24"/>
              </w:rPr>
              <w:t>3.1</w:t>
            </w:r>
            <w:r>
              <w:rPr>
                <w:b/>
                <w:bCs/>
                <w:color w:val="auto"/>
                <w:sz w:val="24"/>
              </w:rPr>
              <w:t>与《中华人民共和国矿产资源法》符合性</w:t>
            </w:r>
          </w:p>
          <w:p w14:paraId="061458A5">
            <w:pPr>
              <w:autoSpaceDE w:val="0"/>
              <w:autoSpaceDN w:val="0"/>
              <w:spacing w:line="360" w:lineRule="auto"/>
              <w:ind w:firstLine="480" w:firstLineChars="200"/>
              <w:rPr>
                <w:color w:val="auto"/>
                <w:kern w:val="0"/>
                <w:sz w:val="24"/>
              </w:rPr>
            </w:pPr>
            <w:r>
              <w:rPr>
                <w:rFonts w:hint="eastAsia"/>
                <w:color w:val="auto"/>
                <w:kern w:val="0"/>
                <w:sz w:val="24"/>
              </w:rPr>
              <w:t>《中华人民共和国矿产资源法》第二十条规定：“</w:t>
            </w:r>
            <w:r>
              <w:rPr>
                <w:color w:val="auto"/>
                <w:sz w:val="24"/>
              </w:rPr>
              <w:t>非经国务院授权的有关主管部门同意，不得在下列地区开采矿产资源：（一）港口、机场、国防工程设施圈定地区以内；（二）重要工业区、大型水利工程设施、城镇市政工程设施附近一定距离以内；（三）铁路、重要公路两侧一定距离以内；（四）重要河流、堤坝两侧一定距离以内；（五）国家划定的自然保护区、重要风景区，国家重点保护的不能移动的历史文物和名胜古迹所在地；（六）国家规定不得开采矿产资源的其他地区</w:t>
            </w:r>
            <w:r>
              <w:rPr>
                <w:rFonts w:hint="eastAsia"/>
                <w:color w:val="auto"/>
                <w:sz w:val="24"/>
              </w:rPr>
              <w:t>。”本项目不属于上述区域，符合《中华人民共和国矿产资源法》中相关要求。</w:t>
            </w:r>
          </w:p>
          <w:p w14:paraId="5599615F">
            <w:pPr>
              <w:pStyle w:val="60"/>
              <w:tabs>
                <w:tab w:val="left" w:pos="4584"/>
              </w:tabs>
              <w:ind w:firstLine="0" w:firstLineChars="0"/>
              <w:rPr>
                <w:b/>
                <w:bCs/>
                <w:snapToGrid/>
                <w:color w:val="auto"/>
                <w:kern w:val="2"/>
              </w:rPr>
            </w:pPr>
            <w:r>
              <w:rPr>
                <w:rFonts w:hint="eastAsia"/>
                <w:b/>
                <w:bCs/>
                <w:snapToGrid/>
                <w:color w:val="auto"/>
                <w:kern w:val="2"/>
              </w:rPr>
              <w:t>3.2</w:t>
            </w:r>
            <w:r>
              <w:rPr>
                <w:b/>
                <w:bCs/>
                <w:snapToGrid/>
                <w:color w:val="auto"/>
                <w:kern w:val="2"/>
              </w:rPr>
              <w:t>与《矿山生态环境保护与恢复治理技术规范</w:t>
            </w:r>
            <w:r>
              <w:rPr>
                <w:rFonts w:hint="eastAsia"/>
                <w:b/>
                <w:bCs/>
                <w:snapToGrid/>
                <w:color w:val="auto"/>
                <w:kern w:val="2"/>
              </w:rPr>
              <w:t>（</w:t>
            </w:r>
            <w:r>
              <w:rPr>
                <w:rFonts w:hint="eastAsia" w:ascii="宋体" w:hAnsi="宋体" w:cs="宋体"/>
                <w:b/>
                <w:bCs/>
                <w:snapToGrid/>
                <w:color w:val="auto"/>
                <w:kern w:val="2"/>
              </w:rPr>
              <w:t>试行）</w:t>
            </w:r>
            <w:r>
              <w:rPr>
                <w:b/>
                <w:bCs/>
                <w:snapToGrid/>
                <w:color w:val="auto"/>
                <w:kern w:val="2"/>
              </w:rPr>
              <w:t>》符合性</w:t>
            </w:r>
            <w:r>
              <w:rPr>
                <w:rFonts w:hint="eastAsia"/>
                <w:b/>
                <w:bCs/>
                <w:snapToGrid/>
                <w:color w:val="auto"/>
                <w:kern w:val="2"/>
              </w:rPr>
              <w:t>分析</w:t>
            </w:r>
          </w:p>
          <w:p w14:paraId="78395286">
            <w:pPr>
              <w:pStyle w:val="60"/>
              <w:tabs>
                <w:tab w:val="left" w:pos="4584"/>
              </w:tabs>
              <w:ind w:firstLine="480" w:firstLineChars="200"/>
              <w:rPr>
                <w:snapToGrid/>
                <w:color w:val="auto"/>
                <w:kern w:val="2"/>
              </w:rPr>
            </w:pPr>
            <w:r>
              <w:rPr>
                <w:rFonts w:hint="eastAsia"/>
                <w:snapToGrid/>
                <w:color w:val="auto"/>
                <w:kern w:val="2"/>
              </w:rPr>
              <w:t>本项目与《矿山生态环境保护与恢复治理技术规范（试行）》 （HJ651-2013）符合性分析详见表1-6。</w:t>
            </w:r>
          </w:p>
          <w:p w14:paraId="4A1FD6CA">
            <w:pPr>
              <w:pStyle w:val="64"/>
              <w:outlineLvl w:val="9"/>
              <w:rPr>
                <w:rFonts w:hint="default"/>
                <w:b/>
                <w:bCs/>
                <w:color w:val="auto"/>
              </w:rPr>
            </w:pPr>
            <w:r>
              <w:rPr>
                <w:rFonts w:hint="default"/>
                <w:b/>
                <w:bCs/>
                <w:color w:val="auto"/>
              </w:rPr>
              <w:t>表</w:t>
            </w:r>
            <w:r>
              <w:rPr>
                <w:b/>
                <w:bCs/>
                <w:color w:val="auto"/>
              </w:rPr>
              <w:t>1-6</w:t>
            </w:r>
            <w:r>
              <w:rPr>
                <w:rFonts w:hint="default"/>
                <w:b/>
                <w:bCs/>
                <w:color w:val="auto"/>
              </w:rPr>
              <w:t xml:space="preserve"> 与《矿山生态环境保护与恢复治理技术规范（试行）》</w:t>
            </w:r>
            <w:r>
              <w:rPr>
                <w:b/>
                <w:bCs/>
                <w:color w:val="auto"/>
              </w:rPr>
              <w:t>符合性分析一览表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6"/>
              <w:gridCol w:w="2903"/>
              <w:gridCol w:w="986"/>
            </w:tblGrid>
            <w:tr w14:paraId="2BB7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427FE3D1">
                  <w:pPr>
                    <w:adjustRightInd w:val="0"/>
                    <w:snapToGrid w:val="0"/>
                    <w:jc w:val="center"/>
                    <w:rPr>
                      <w:b/>
                      <w:bCs/>
                      <w:color w:val="auto"/>
                      <w:kern w:val="0"/>
                      <w:szCs w:val="21"/>
                    </w:rPr>
                  </w:pPr>
                  <w:r>
                    <w:rPr>
                      <w:rFonts w:hint="eastAsia"/>
                      <w:b/>
                      <w:bCs/>
                      <w:color w:val="auto"/>
                      <w:kern w:val="0"/>
                      <w:szCs w:val="21"/>
                    </w:rPr>
                    <w:t>文件要求</w:t>
                  </w:r>
                </w:p>
              </w:tc>
              <w:tc>
                <w:tcPr>
                  <w:tcW w:w="1984" w:type="pct"/>
                  <w:vAlign w:val="center"/>
                </w:tcPr>
                <w:p w14:paraId="3F539A00">
                  <w:pPr>
                    <w:adjustRightInd w:val="0"/>
                    <w:snapToGrid w:val="0"/>
                    <w:jc w:val="center"/>
                    <w:rPr>
                      <w:b/>
                      <w:bCs/>
                      <w:color w:val="auto"/>
                      <w:kern w:val="0"/>
                      <w:szCs w:val="21"/>
                    </w:rPr>
                  </w:pPr>
                  <w:r>
                    <w:rPr>
                      <w:rFonts w:hint="eastAsia"/>
                      <w:b/>
                      <w:bCs/>
                      <w:color w:val="auto"/>
                      <w:kern w:val="0"/>
                      <w:szCs w:val="21"/>
                    </w:rPr>
                    <w:t>本项目情况</w:t>
                  </w:r>
                </w:p>
              </w:tc>
              <w:tc>
                <w:tcPr>
                  <w:tcW w:w="674" w:type="pct"/>
                  <w:vAlign w:val="center"/>
                </w:tcPr>
                <w:p w14:paraId="0547BA03">
                  <w:pPr>
                    <w:adjustRightInd w:val="0"/>
                    <w:snapToGrid w:val="0"/>
                    <w:jc w:val="center"/>
                    <w:rPr>
                      <w:b/>
                      <w:bCs/>
                      <w:color w:val="auto"/>
                      <w:kern w:val="0"/>
                      <w:szCs w:val="21"/>
                    </w:rPr>
                  </w:pPr>
                  <w:r>
                    <w:rPr>
                      <w:rFonts w:hint="eastAsia"/>
                      <w:b/>
                      <w:bCs/>
                      <w:color w:val="auto"/>
                      <w:kern w:val="0"/>
                      <w:szCs w:val="21"/>
                    </w:rPr>
                    <w:t>符合性</w:t>
                  </w:r>
                </w:p>
              </w:tc>
            </w:tr>
            <w:tr w14:paraId="4E95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3FA3E1B4">
                  <w:pPr>
                    <w:adjustRightInd w:val="0"/>
                    <w:snapToGrid w:val="0"/>
                    <w:jc w:val="center"/>
                    <w:rPr>
                      <w:color w:val="auto"/>
                      <w:kern w:val="0"/>
                      <w:szCs w:val="21"/>
                    </w:rPr>
                  </w:pPr>
                  <w:r>
                    <w:rPr>
                      <w:color w:val="auto"/>
                      <w:kern w:val="0"/>
                      <w:szCs w:val="21"/>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1984" w:type="pct"/>
                  <w:vAlign w:val="center"/>
                </w:tcPr>
                <w:p w14:paraId="0D169E8B">
                  <w:pPr>
                    <w:adjustRightInd w:val="0"/>
                    <w:snapToGrid w:val="0"/>
                    <w:jc w:val="center"/>
                    <w:rPr>
                      <w:color w:val="auto"/>
                      <w:kern w:val="0"/>
                      <w:szCs w:val="21"/>
                    </w:rPr>
                  </w:pPr>
                  <w:r>
                    <w:rPr>
                      <w:rFonts w:hint="eastAsia"/>
                      <w:color w:val="auto"/>
                      <w:kern w:val="0"/>
                      <w:szCs w:val="21"/>
                    </w:rPr>
                    <w:t>本</w:t>
                  </w:r>
                  <w:r>
                    <w:rPr>
                      <w:color w:val="auto"/>
                      <w:kern w:val="0"/>
                      <w:szCs w:val="21"/>
                    </w:rPr>
                    <w:t>项目不在依法划定的自然保护区、风景名胜区、森林公园、饮用水水源保护区、文物古迹所在地、地质遗迹保护区、基本农田保护区等重要生态保护地以及其他法律法规规定的禁采区域内；</w:t>
                  </w:r>
                  <w:r>
                    <w:rPr>
                      <w:rFonts w:hint="eastAsia"/>
                      <w:color w:val="auto"/>
                      <w:kern w:val="0"/>
                      <w:szCs w:val="21"/>
                    </w:rPr>
                    <w:t>本</w:t>
                  </w:r>
                  <w:r>
                    <w:rPr>
                      <w:color w:val="auto"/>
                      <w:kern w:val="0"/>
                      <w:szCs w:val="21"/>
                    </w:rPr>
                    <w:t>项目不在铁路、国道、省道、航道两侧的直观可视范围内</w:t>
                  </w:r>
                </w:p>
              </w:tc>
              <w:tc>
                <w:tcPr>
                  <w:tcW w:w="674" w:type="pct"/>
                  <w:vAlign w:val="center"/>
                </w:tcPr>
                <w:p w14:paraId="37CD0068">
                  <w:pPr>
                    <w:adjustRightInd w:val="0"/>
                    <w:snapToGrid w:val="0"/>
                    <w:jc w:val="center"/>
                    <w:rPr>
                      <w:color w:val="auto"/>
                      <w:kern w:val="0"/>
                      <w:szCs w:val="21"/>
                    </w:rPr>
                  </w:pPr>
                  <w:r>
                    <w:rPr>
                      <w:rFonts w:hint="eastAsia"/>
                      <w:color w:val="auto"/>
                      <w:kern w:val="0"/>
                      <w:szCs w:val="21"/>
                    </w:rPr>
                    <w:t>符合</w:t>
                  </w:r>
                </w:p>
              </w:tc>
            </w:tr>
            <w:tr w14:paraId="0F59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52DCFB7B">
                  <w:pPr>
                    <w:adjustRightInd w:val="0"/>
                    <w:snapToGrid w:val="0"/>
                    <w:jc w:val="center"/>
                    <w:rPr>
                      <w:color w:val="auto"/>
                      <w:kern w:val="0"/>
                      <w:szCs w:val="21"/>
                    </w:rPr>
                  </w:pPr>
                  <w:r>
                    <w:rPr>
                      <w:color w:val="auto"/>
                      <w:kern w:val="0"/>
                      <w:szCs w:val="21"/>
                    </w:rPr>
                    <w:t>矿产资源开发活动应符合国家和区域主体功能区规划、生态功能区划、生态环境保护规划的要求，采取有效预防和保护措施，避免或减轻矿产资源开发活动造成的生态破坏和环境污染</w:t>
                  </w:r>
                </w:p>
              </w:tc>
              <w:tc>
                <w:tcPr>
                  <w:tcW w:w="1984" w:type="pct"/>
                  <w:vAlign w:val="center"/>
                </w:tcPr>
                <w:p w14:paraId="02A87B59">
                  <w:pPr>
                    <w:adjustRightInd w:val="0"/>
                    <w:snapToGrid w:val="0"/>
                    <w:jc w:val="center"/>
                    <w:rPr>
                      <w:color w:val="auto"/>
                      <w:kern w:val="0"/>
                      <w:szCs w:val="21"/>
                    </w:rPr>
                  </w:pPr>
                  <w:r>
                    <w:rPr>
                      <w:color w:val="auto"/>
                      <w:kern w:val="0"/>
                      <w:szCs w:val="21"/>
                    </w:rPr>
                    <w:t>建设项目符合国家和</w:t>
                  </w:r>
                  <w:r>
                    <w:rPr>
                      <w:rFonts w:hint="eastAsia"/>
                      <w:color w:val="auto"/>
                      <w:kern w:val="0"/>
                      <w:szCs w:val="21"/>
                    </w:rPr>
                    <w:t>自治区</w:t>
                  </w:r>
                  <w:r>
                    <w:rPr>
                      <w:color w:val="auto"/>
                      <w:kern w:val="0"/>
                      <w:szCs w:val="21"/>
                    </w:rPr>
                    <w:t>主体功能区划、生态功能区划，建设项目建设严格</w:t>
                  </w:r>
                  <w:r>
                    <w:rPr>
                      <w:rFonts w:hint="eastAsia"/>
                      <w:color w:val="auto"/>
                      <w:kern w:val="0"/>
                      <w:szCs w:val="21"/>
                    </w:rPr>
                    <w:t>按照</w:t>
                  </w:r>
                  <w:r>
                    <w:rPr>
                      <w:color w:val="auto"/>
                      <w:kern w:val="0"/>
                      <w:szCs w:val="21"/>
                    </w:rPr>
                    <w:t>《矿山生态环境保护与污染防治技术政策</w:t>
                  </w:r>
                  <w:r>
                    <w:rPr>
                      <w:rFonts w:hint="eastAsia"/>
                      <w:color w:val="auto"/>
                      <w:kern w:val="0"/>
                      <w:szCs w:val="21"/>
                    </w:rPr>
                    <w:t>》《</w:t>
                  </w:r>
                  <w:r>
                    <w:rPr>
                      <w:color w:val="auto"/>
                      <w:kern w:val="0"/>
                      <w:szCs w:val="21"/>
                    </w:rPr>
                    <w:t>矿山生态环境保护与恢复治理技术规范</w:t>
                  </w:r>
                  <w:r>
                    <w:rPr>
                      <w:rFonts w:hint="eastAsia"/>
                      <w:color w:val="auto"/>
                      <w:kern w:val="0"/>
                      <w:szCs w:val="21"/>
                    </w:rPr>
                    <w:t>》《</w:t>
                  </w:r>
                  <w:r>
                    <w:rPr>
                      <w:color w:val="auto"/>
                      <w:kern w:val="0"/>
                      <w:szCs w:val="21"/>
                    </w:rPr>
                    <w:t>砂石行业绿色矿山建设规范》等文件要求建设</w:t>
                  </w:r>
                  <w:r>
                    <w:rPr>
                      <w:rFonts w:hint="eastAsia"/>
                      <w:color w:val="auto"/>
                      <w:kern w:val="0"/>
                      <w:szCs w:val="21"/>
                    </w:rPr>
                    <w:t>。开采过程中采取了各项生态保护措施及其他污染防治措施</w:t>
                  </w:r>
                </w:p>
              </w:tc>
              <w:tc>
                <w:tcPr>
                  <w:tcW w:w="674" w:type="pct"/>
                  <w:vAlign w:val="center"/>
                </w:tcPr>
                <w:p w14:paraId="1490BAC2">
                  <w:pPr>
                    <w:adjustRightInd w:val="0"/>
                    <w:snapToGrid w:val="0"/>
                    <w:jc w:val="center"/>
                    <w:rPr>
                      <w:color w:val="auto"/>
                      <w:kern w:val="0"/>
                      <w:szCs w:val="21"/>
                    </w:rPr>
                  </w:pPr>
                  <w:r>
                    <w:rPr>
                      <w:rFonts w:hint="eastAsia"/>
                      <w:color w:val="auto"/>
                      <w:kern w:val="0"/>
                      <w:szCs w:val="21"/>
                    </w:rPr>
                    <w:t>符合</w:t>
                  </w:r>
                </w:p>
              </w:tc>
            </w:tr>
            <w:tr w14:paraId="29AA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747E528F">
                  <w:pPr>
                    <w:adjustRightInd w:val="0"/>
                    <w:snapToGrid w:val="0"/>
                    <w:jc w:val="center"/>
                    <w:rPr>
                      <w:color w:val="auto"/>
                      <w:kern w:val="0"/>
                      <w:szCs w:val="21"/>
                    </w:rPr>
                  </w:pPr>
                  <w:r>
                    <w:rPr>
                      <w:color w:val="auto"/>
                      <w:kern w:val="0"/>
                      <w:szCs w:val="21"/>
                    </w:rPr>
                    <w:t>坚持“预防为主、防治结合、过程控制”的原则，将矿山生态环境保护与恢复治理贯穿矿产资源开采全过程。根据矿山生态环境保护与恢复治理重点任务，合理确定矿山生态保护与恢复治理分区，优化矿区生产与生活空间格局。采用新技术、新方法、新工艺提高矿山生态环境保护和恢复治理水平</w:t>
                  </w:r>
                </w:p>
              </w:tc>
              <w:tc>
                <w:tcPr>
                  <w:tcW w:w="1984" w:type="pct"/>
                  <w:vAlign w:val="center"/>
                </w:tcPr>
                <w:p w14:paraId="2D322D37">
                  <w:pPr>
                    <w:adjustRightInd w:val="0"/>
                    <w:snapToGrid w:val="0"/>
                    <w:jc w:val="center"/>
                    <w:rPr>
                      <w:color w:val="auto"/>
                      <w:kern w:val="0"/>
                      <w:szCs w:val="21"/>
                    </w:rPr>
                  </w:pPr>
                  <w:r>
                    <w:rPr>
                      <w:rFonts w:hint="eastAsia"/>
                      <w:color w:val="auto"/>
                      <w:kern w:val="0"/>
                      <w:szCs w:val="21"/>
                    </w:rPr>
                    <w:t>本</w:t>
                  </w:r>
                  <w:r>
                    <w:rPr>
                      <w:color w:val="auto"/>
                      <w:kern w:val="0"/>
                      <w:szCs w:val="21"/>
                    </w:rPr>
                    <w:t>项目采取边开采边治理的生态恢复措施，矿山服务期满后按矿山地质环境保护与土地复垦方案要求进行生态恢复</w:t>
                  </w:r>
                </w:p>
              </w:tc>
              <w:tc>
                <w:tcPr>
                  <w:tcW w:w="674" w:type="pct"/>
                  <w:vAlign w:val="center"/>
                </w:tcPr>
                <w:p w14:paraId="78FD54CB">
                  <w:pPr>
                    <w:adjustRightInd w:val="0"/>
                    <w:snapToGrid w:val="0"/>
                    <w:jc w:val="center"/>
                    <w:rPr>
                      <w:color w:val="auto"/>
                      <w:kern w:val="0"/>
                      <w:szCs w:val="21"/>
                    </w:rPr>
                  </w:pPr>
                  <w:r>
                    <w:rPr>
                      <w:rFonts w:hint="eastAsia"/>
                      <w:color w:val="auto"/>
                      <w:kern w:val="0"/>
                      <w:szCs w:val="21"/>
                    </w:rPr>
                    <w:t>符合</w:t>
                  </w:r>
                </w:p>
              </w:tc>
            </w:tr>
            <w:tr w14:paraId="3A2D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1CEC78A7">
                  <w:pPr>
                    <w:adjustRightInd w:val="0"/>
                    <w:snapToGrid w:val="0"/>
                    <w:jc w:val="center"/>
                    <w:rPr>
                      <w:color w:val="auto"/>
                      <w:kern w:val="0"/>
                      <w:szCs w:val="21"/>
                    </w:rPr>
                  </w:pPr>
                  <w:r>
                    <w:rPr>
                      <w:color w:val="auto"/>
                      <w:kern w:val="0"/>
                      <w:szCs w:val="21"/>
                    </w:rPr>
                    <w:t>所有矿山企业均应对照本标准各项要求，编制实施矿山生态环境保护与恢复治理方案</w:t>
                  </w:r>
                </w:p>
              </w:tc>
              <w:tc>
                <w:tcPr>
                  <w:tcW w:w="1984" w:type="pct"/>
                  <w:vAlign w:val="center"/>
                </w:tcPr>
                <w:p w14:paraId="36DD53DE">
                  <w:pPr>
                    <w:adjustRightInd w:val="0"/>
                    <w:snapToGrid w:val="0"/>
                    <w:jc w:val="center"/>
                    <w:rPr>
                      <w:color w:val="auto"/>
                      <w:kern w:val="0"/>
                      <w:szCs w:val="21"/>
                    </w:rPr>
                  </w:pPr>
                  <w:r>
                    <w:rPr>
                      <w:rFonts w:hint="eastAsia"/>
                      <w:color w:val="auto"/>
                      <w:kern w:val="0"/>
                      <w:szCs w:val="21"/>
                    </w:rPr>
                    <w:t>建设单位已</w:t>
                  </w:r>
                  <w:r>
                    <w:rPr>
                      <w:color w:val="auto"/>
                      <w:kern w:val="0"/>
                      <w:szCs w:val="21"/>
                    </w:rPr>
                    <w:t>编制</w:t>
                  </w:r>
                  <w:r>
                    <w:rPr>
                      <w:rFonts w:hint="eastAsia"/>
                      <w:color w:val="auto"/>
                      <w:kern w:val="0"/>
                      <w:szCs w:val="21"/>
                    </w:rPr>
                    <w:t>完成</w:t>
                  </w:r>
                  <w:r>
                    <w:rPr>
                      <w:color w:val="auto"/>
                      <w:kern w:val="0"/>
                      <w:szCs w:val="21"/>
                    </w:rPr>
                    <w:t>矿山地质环境保护与土地复垦方案</w:t>
                  </w:r>
                  <w:r>
                    <w:rPr>
                      <w:rFonts w:hint="eastAsia"/>
                      <w:color w:val="auto"/>
                      <w:kern w:val="0"/>
                      <w:szCs w:val="21"/>
                    </w:rPr>
                    <w:t>，并完成专家评审。</w:t>
                  </w:r>
                </w:p>
              </w:tc>
              <w:tc>
                <w:tcPr>
                  <w:tcW w:w="674" w:type="pct"/>
                  <w:vAlign w:val="center"/>
                </w:tcPr>
                <w:p w14:paraId="63E74423">
                  <w:pPr>
                    <w:adjustRightInd w:val="0"/>
                    <w:snapToGrid w:val="0"/>
                    <w:jc w:val="center"/>
                    <w:rPr>
                      <w:color w:val="auto"/>
                      <w:kern w:val="0"/>
                      <w:szCs w:val="21"/>
                    </w:rPr>
                  </w:pPr>
                  <w:r>
                    <w:rPr>
                      <w:rFonts w:hint="eastAsia"/>
                      <w:color w:val="auto"/>
                      <w:kern w:val="0"/>
                      <w:szCs w:val="21"/>
                    </w:rPr>
                    <w:t>符合</w:t>
                  </w:r>
                </w:p>
              </w:tc>
            </w:tr>
            <w:tr w14:paraId="1244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0D06F2FD">
                  <w:pPr>
                    <w:adjustRightInd w:val="0"/>
                    <w:snapToGrid w:val="0"/>
                    <w:jc w:val="center"/>
                    <w:rPr>
                      <w:color w:val="auto"/>
                      <w:kern w:val="0"/>
                      <w:szCs w:val="21"/>
                    </w:rPr>
                  </w:pPr>
                  <w:r>
                    <w:rPr>
                      <w:color w:val="auto"/>
                      <w:kern w:val="0"/>
                      <w:szCs w:val="21"/>
                    </w:rPr>
                    <w:t>恢复治理后的各类场地应该安全稳定，不对人类</w:t>
                  </w:r>
                  <w:r>
                    <w:rPr>
                      <w:rFonts w:hint="eastAsia"/>
                      <w:color w:val="auto"/>
                      <w:kern w:val="0"/>
                      <w:szCs w:val="21"/>
                    </w:rPr>
                    <w:t>和</w:t>
                  </w:r>
                  <w:r>
                    <w:rPr>
                      <w:color w:val="auto"/>
                      <w:kern w:val="0"/>
                      <w:szCs w:val="21"/>
                    </w:rPr>
                    <w:t>动植物造成威胁；对周围环境不产生污染；与周边自然环境和景观相协调；恢复土地的基本功能；因地制宜实现土地可持续利用；区域整体生态功能得到保护和恢复</w:t>
                  </w:r>
                </w:p>
              </w:tc>
              <w:tc>
                <w:tcPr>
                  <w:tcW w:w="1984" w:type="pct"/>
                  <w:vAlign w:val="center"/>
                </w:tcPr>
                <w:p w14:paraId="5EA49B64">
                  <w:pPr>
                    <w:adjustRightInd w:val="0"/>
                    <w:snapToGrid w:val="0"/>
                    <w:jc w:val="center"/>
                    <w:rPr>
                      <w:color w:val="auto"/>
                      <w:kern w:val="0"/>
                      <w:szCs w:val="21"/>
                    </w:rPr>
                  </w:pPr>
                  <w:r>
                    <w:rPr>
                      <w:rFonts w:hint="eastAsia"/>
                      <w:color w:val="auto"/>
                      <w:kern w:val="0"/>
                      <w:szCs w:val="21"/>
                    </w:rPr>
                    <w:t>本</w:t>
                  </w:r>
                  <w:r>
                    <w:rPr>
                      <w:color w:val="auto"/>
                      <w:kern w:val="0"/>
                      <w:szCs w:val="21"/>
                    </w:rPr>
                    <w:t>项目严格按矿山地质环境保护与土地复垦方案进行生态恢复</w:t>
                  </w:r>
                  <w:r>
                    <w:rPr>
                      <w:rFonts w:hint="eastAsia"/>
                      <w:color w:val="auto"/>
                      <w:kern w:val="0"/>
                      <w:szCs w:val="21"/>
                    </w:rPr>
                    <w:t>。</w:t>
                  </w:r>
                </w:p>
              </w:tc>
              <w:tc>
                <w:tcPr>
                  <w:tcW w:w="674" w:type="pct"/>
                  <w:vAlign w:val="center"/>
                </w:tcPr>
                <w:p w14:paraId="6BEA301B">
                  <w:pPr>
                    <w:adjustRightInd w:val="0"/>
                    <w:snapToGrid w:val="0"/>
                    <w:jc w:val="center"/>
                    <w:rPr>
                      <w:color w:val="auto"/>
                      <w:kern w:val="0"/>
                      <w:szCs w:val="21"/>
                    </w:rPr>
                  </w:pPr>
                  <w:r>
                    <w:rPr>
                      <w:rFonts w:hint="eastAsia"/>
                      <w:color w:val="auto"/>
                      <w:kern w:val="0"/>
                      <w:szCs w:val="21"/>
                    </w:rPr>
                    <w:t>符合</w:t>
                  </w:r>
                </w:p>
              </w:tc>
            </w:tr>
          </w:tbl>
          <w:p w14:paraId="6459DEAC">
            <w:pPr>
              <w:pStyle w:val="60"/>
              <w:tabs>
                <w:tab w:val="left" w:pos="4584"/>
              </w:tabs>
              <w:ind w:firstLine="480" w:firstLineChars="200"/>
              <w:rPr>
                <w:snapToGrid/>
                <w:color w:val="auto"/>
                <w:kern w:val="2"/>
              </w:rPr>
            </w:pPr>
          </w:p>
          <w:p w14:paraId="66C04B0B">
            <w:pPr>
              <w:pStyle w:val="60"/>
              <w:tabs>
                <w:tab w:val="left" w:pos="4584"/>
              </w:tabs>
              <w:ind w:firstLine="480" w:firstLineChars="200"/>
              <w:rPr>
                <w:snapToGrid/>
                <w:color w:val="auto"/>
                <w:kern w:val="2"/>
              </w:rPr>
            </w:pPr>
            <w:r>
              <w:rPr>
                <w:rFonts w:hint="eastAsia"/>
                <w:snapToGrid/>
                <w:color w:val="auto"/>
                <w:kern w:val="2"/>
              </w:rPr>
              <w:t>综上所述，本项目建设</w:t>
            </w:r>
            <w:r>
              <w:rPr>
                <w:snapToGrid/>
                <w:color w:val="auto"/>
                <w:kern w:val="2"/>
              </w:rPr>
              <w:t>符合</w:t>
            </w:r>
            <w:r>
              <w:rPr>
                <w:rFonts w:hint="eastAsia"/>
                <w:snapToGrid/>
                <w:color w:val="auto"/>
                <w:kern w:val="2"/>
              </w:rPr>
              <w:t>《矿山生态环境保护与恢复治理技术规范（试行）》中的相关</w:t>
            </w:r>
            <w:r>
              <w:rPr>
                <w:snapToGrid/>
                <w:color w:val="auto"/>
                <w:kern w:val="2"/>
              </w:rPr>
              <w:t>要求。</w:t>
            </w:r>
          </w:p>
          <w:p w14:paraId="7A0BC7AC">
            <w:pPr>
              <w:pStyle w:val="60"/>
              <w:tabs>
                <w:tab w:val="left" w:pos="4584"/>
              </w:tabs>
              <w:ind w:firstLine="0" w:firstLineChars="0"/>
              <w:rPr>
                <w:b/>
                <w:bCs/>
                <w:color w:val="auto"/>
                <w:kern w:val="2"/>
              </w:rPr>
            </w:pPr>
            <w:r>
              <w:rPr>
                <w:rFonts w:hint="eastAsia"/>
                <w:b/>
                <w:bCs/>
                <w:color w:val="auto"/>
                <w:kern w:val="2"/>
              </w:rPr>
              <w:t xml:space="preserve">3.3与《矿山生态环境保护与污染防治技术政策》相符性分析 </w:t>
            </w:r>
          </w:p>
          <w:p w14:paraId="30F81A28">
            <w:pPr>
              <w:pStyle w:val="60"/>
              <w:tabs>
                <w:tab w:val="left" w:pos="4584"/>
              </w:tabs>
              <w:ind w:firstLine="480" w:firstLineChars="200"/>
              <w:rPr>
                <w:snapToGrid/>
                <w:color w:val="auto"/>
                <w:kern w:val="2"/>
              </w:rPr>
            </w:pPr>
            <w:r>
              <w:rPr>
                <w:rFonts w:hint="eastAsia"/>
                <w:snapToGrid/>
                <w:color w:val="auto"/>
                <w:kern w:val="2"/>
              </w:rPr>
              <w:t>本项目与《矿山生态环境保护与污染防治技术政策》（环发〔</w:t>
            </w:r>
            <w:r>
              <w:rPr>
                <w:snapToGrid/>
                <w:color w:val="auto"/>
                <w:kern w:val="2"/>
              </w:rPr>
              <w:t>2005</w:t>
            </w:r>
            <w:r>
              <w:rPr>
                <w:rFonts w:hint="eastAsia"/>
                <w:snapToGrid/>
                <w:color w:val="auto"/>
                <w:kern w:val="2"/>
              </w:rPr>
              <w:t>〕</w:t>
            </w:r>
            <w:r>
              <w:rPr>
                <w:snapToGrid/>
                <w:color w:val="auto"/>
                <w:kern w:val="2"/>
              </w:rPr>
              <w:t>109</w:t>
            </w:r>
            <w:r>
              <w:rPr>
                <w:rFonts w:hint="eastAsia"/>
                <w:snapToGrid/>
                <w:color w:val="auto"/>
                <w:kern w:val="2"/>
              </w:rPr>
              <w:t>号）符合性分析见表1-7。</w:t>
            </w:r>
          </w:p>
          <w:p w14:paraId="39102FFF">
            <w:pPr>
              <w:pStyle w:val="64"/>
              <w:outlineLvl w:val="9"/>
              <w:rPr>
                <w:rFonts w:hint="default"/>
                <w:b/>
                <w:bCs/>
                <w:color w:val="auto"/>
              </w:rPr>
            </w:pPr>
            <w:r>
              <w:rPr>
                <w:b/>
                <w:bCs/>
                <w:color w:val="auto"/>
              </w:rPr>
              <w:t>表1-7   与《矿山生态环境保护与污染防治技术政策》符合性分析一览表</w:t>
            </w:r>
          </w:p>
          <w:tbl>
            <w:tblPr>
              <w:tblStyle w:val="29"/>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2450"/>
              <w:gridCol w:w="806"/>
            </w:tblGrid>
            <w:tr w14:paraId="0AC5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3D0E1DB5">
                  <w:pPr>
                    <w:pStyle w:val="64"/>
                    <w:outlineLvl w:val="9"/>
                    <w:rPr>
                      <w:rFonts w:hint="default"/>
                      <w:color w:val="auto"/>
                    </w:rPr>
                  </w:pPr>
                  <w:r>
                    <w:rPr>
                      <w:color w:val="auto"/>
                    </w:rPr>
                    <w:t>相关规定</w:t>
                  </w:r>
                </w:p>
              </w:tc>
              <w:tc>
                <w:tcPr>
                  <w:tcW w:w="2450" w:type="dxa"/>
                </w:tcPr>
                <w:p w14:paraId="61967AF3">
                  <w:pPr>
                    <w:pStyle w:val="64"/>
                    <w:outlineLvl w:val="9"/>
                    <w:rPr>
                      <w:rFonts w:hint="default"/>
                      <w:color w:val="auto"/>
                    </w:rPr>
                  </w:pPr>
                  <w:r>
                    <w:rPr>
                      <w:color w:val="auto"/>
                    </w:rPr>
                    <w:t>本项目</w:t>
                  </w:r>
                </w:p>
              </w:tc>
              <w:tc>
                <w:tcPr>
                  <w:tcW w:w="806" w:type="dxa"/>
                </w:tcPr>
                <w:p w14:paraId="64F7A014">
                  <w:pPr>
                    <w:pStyle w:val="64"/>
                    <w:outlineLvl w:val="9"/>
                    <w:rPr>
                      <w:rFonts w:hint="default"/>
                      <w:color w:val="auto"/>
                    </w:rPr>
                  </w:pPr>
                  <w:r>
                    <w:rPr>
                      <w:color w:val="auto"/>
                    </w:rPr>
                    <w:t>符合性</w:t>
                  </w:r>
                </w:p>
              </w:tc>
            </w:tr>
            <w:tr w14:paraId="0956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15AA4528">
                  <w:pPr>
                    <w:pStyle w:val="64"/>
                    <w:outlineLvl w:val="9"/>
                    <w:rPr>
                      <w:rFonts w:hint="default"/>
                      <w:color w:val="auto"/>
                    </w:rPr>
                  </w:pPr>
                  <w:r>
                    <w:rPr>
                      <w:color w:val="auto"/>
                    </w:rPr>
                    <w:t>禁止在依法划定的自然保护区（核心区、缓冲区）、风景名胜区、森林公园、饮用水水源保护区、重要湖泊周边、文物古迹所在地、地质遗迹保护区、基本农田保护区等区域内采矿。</w:t>
                  </w:r>
                </w:p>
              </w:tc>
              <w:tc>
                <w:tcPr>
                  <w:tcW w:w="2450" w:type="dxa"/>
                </w:tcPr>
                <w:p w14:paraId="402BD344">
                  <w:pPr>
                    <w:pStyle w:val="64"/>
                    <w:outlineLvl w:val="9"/>
                    <w:rPr>
                      <w:rFonts w:hint="default"/>
                      <w:color w:val="auto"/>
                    </w:rPr>
                  </w:pPr>
                  <w:r>
                    <w:rPr>
                      <w:color w:val="auto"/>
                    </w:rPr>
                    <w:t>本项目不在自然保护区（核心区、缓冲区）、风景名胜区、森林公园、饮用水水源保护区、重要湖泊、文物古迹所在地、地质遗迹保护区、基本农田保护区等区域内采矿。</w:t>
                  </w:r>
                </w:p>
              </w:tc>
              <w:tc>
                <w:tcPr>
                  <w:tcW w:w="806" w:type="dxa"/>
                </w:tcPr>
                <w:p w14:paraId="6C54B955">
                  <w:pPr>
                    <w:pStyle w:val="64"/>
                    <w:outlineLvl w:val="9"/>
                    <w:rPr>
                      <w:rFonts w:hint="default"/>
                      <w:color w:val="auto"/>
                    </w:rPr>
                  </w:pPr>
                  <w:r>
                    <w:rPr>
                      <w:color w:val="auto"/>
                    </w:rPr>
                    <w:t>符合</w:t>
                  </w:r>
                </w:p>
              </w:tc>
            </w:tr>
            <w:tr w14:paraId="41C4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65B796CA">
                  <w:pPr>
                    <w:pStyle w:val="64"/>
                    <w:outlineLvl w:val="9"/>
                    <w:rPr>
                      <w:rFonts w:hint="default"/>
                      <w:color w:val="auto"/>
                    </w:rPr>
                  </w:pPr>
                  <w:r>
                    <w:rPr>
                      <w:color w:val="auto"/>
                    </w:rPr>
                    <w:t>禁止在铁路、国道、省道两侧的直观可视范围内进行露天开采</w:t>
                  </w:r>
                </w:p>
              </w:tc>
              <w:tc>
                <w:tcPr>
                  <w:tcW w:w="2450" w:type="dxa"/>
                </w:tcPr>
                <w:p w14:paraId="4F20A025">
                  <w:pPr>
                    <w:pStyle w:val="64"/>
                    <w:outlineLvl w:val="9"/>
                    <w:rPr>
                      <w:rFonts w:hint="default"/>
                      <w:color w:val="auto"/>
                    </w:rPr>
                  </w:pPr>
                  <w:r>
                    <w:rPr>
                      <w:color w:val="auto"/>
                    </w:rPr>
                    <w:t>本项目周边无铁路，距离本项目最近的省道303位于项目区南侧，直线最近距离为3km，不在道路可视范围内。</w:t>
                  </w:r>
                </w:p>
              </w:tc>
              <w:tc>
                <w:tcPr>
                  <w:tcW w:w="806" w:type="dxa"/>
                </w:tcPr>
                <w:p w14:paraId="31AC8056">
                  <w:pPr>
                    <w:keepNext/>
                    <w:keepLines/>
                    <w:jc w:val="center"/>
                    <w:rPr>
                      <w:color w:val="auto"/>
                    </w:rPr>
                  </w:pPr>
                  <w:r>
                    <w:rPr>
                      <w:rFonts w:hint="eastAsia"/>
                      <w:color w:val="auto"/>
                    </w:rPr>
                    <w:t>符合</w:t>
                  </w:r>
                </w:p>
              </w:tc>
            </w:tr>
            <w:tr w14:paraId="4086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1F400DA0">
                  <w:pPr>
                    <w:pStyle w:val="64"/>
                    <w:outlineLvl w:val="9"/>
                    <w:rPr>
                      <w:rFonts w:hint="default"/>
                      <w:color w:val="auto"/>
                    </w:rPr>
                  </w:pPr>
                  <w:r>
                    <w:rPr>
                      <w:color w:val="auto"/>
                    </w:rPr>
                    <w:t>禁止在地质灾害危险区开采矿产资源</w:t>
                  </w:r>
                </w:p>
              </w:tc>
              <w:tc>
                <w:tcPr>
                  <w:tcW w:w="2450" w:type="dxa"/>
                </w:tcPr>
                <w:p w14:paraId="7757689F">
                  <w:pPr>
                    <w:pStyle w:val="64"/>
                    <w:outlineLvl w:val="9"/>
                    <w:rPr>
                      <w:rFonts w:hint="default"/>
                      <w:color w:val="auto"/>
                    </w:rPr>
                  </w:pPr>
                  <w:r>
                    <w:rPr>
                      <w:color w:val="auto"/>
                    </w:rPr>
                    <w:t>本项目不属于地质灾害危险区</w:t>
                  </w:r>
                </w:p>
              </w:tc>
              <w:tc>
                <w:tcPr>
                  <w:tcW w:w="806" w:type="dxa"/>
                </w:tcPr>
                <w:p w14:paraId="6F55901F">
                  <w:pPr>
                    <w:keepNext/>
                    <w:keepLines/>
                    <w:jc w:val="center"/>
                    <w:rPr>
                      <w:color w:val="auto"/>
                    </w:rPr>
                  </w:pPr>
                  <w:r>
                    <w:rPr>
                      <w:rFonts w:hint="eastAsia"/>
                      <w:color w:val="auto"/>
                    </w:rPr>
                    <w:t>符合</w:t>
                  </w:r>
                </w:p>
              </w:tc>
            </w:tr>
            <w:tr w14:paraId="61D8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1507E208">
                  <w:pPr>
                    <w:pStyle w:val="64"/>
                    <w:outlineLvl w:val="9"/>
                    <w:rPr>
                      <w:rFonts w:hint="default"/>
                      <w:color w:val="auto"/>
                    </w:rPr>
                  </w:pPr>
                  <w:r>
                    <w:rPr>
                      <w:color w:val="auto"/>
                    </w:rPr>
                    <w:t>禁止土法采、选冶金矿和土法冶炼汞、砷、铅、锌、焦、硫、钒等矿产资源开发活动</w:t>
                  </w:r>
                </w:p>
              </w:tc>
              <w:tc>
                <w:tcPr>
                  <w:tcW w:w="2450" w:type="dxa"/>
                </w:tcPr>
                <w:p w14:paraId="6A770925">
                  <w:pPr>
                    <w:pStyle w:val="64"/>
                    <w:outlineLvl w:val="9"/>
                    <w:rPr>
                      <w:rFonts w:hint="default"/>
                      <w:color w:val="auto"/>
                    </w:rPr>
                  </w:pPr>
                  <w:r>
                    <w:rPr>
                      <w:color w:val="auto"/>
                    </w:rPr>
                    <w:t xml:space="preserve">本项目属于建筑用砂开采，不涉及土法采、选冶金矿和土法冶炼汞、砷、铅、锌、焦、硫、钒等矿产资源开发活动。 </w:t>
                  </w:r>
                </w:p>
              </w:tc>
              <w:tc>
                <w:tcPr>
                  <w:tcW w:w="806" w:type="dxa"/>
                </w:tcPr>
                <w:p w14:paraId="73A6D224">
                  <w:pPr>
                    <w:keepNext/>
                    <w:keepLines/>
                    <w:jc w:val="center"/>
                    <w:rPr>
                      <w:color w:val="auto"/>
                    </w:rPr>
                  </w:pPr>
                  <w:r>
                    <w:rPr>
                      <w:rFonts w:hint="eastAsia"/>
                      <w:color w:val="auto"/>
                    </w:rPr>
                    <w:t>符合</w:t>
                  </w:r>
                </w:p>
              </w:tc>
            </w:tr>
            <w:tr w14:paraId="53C0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4D737563">
                  <w:pPr>
                    <w:pStyle w:val="64"/>
                    <w:outlineLvl w:val="9"/>
                    <w:rPr>
                      <w:rFonts w:hint="default"/>
                      <w:color w:val="auto"/>
                    </w:rPr>
                  </w:pPr>
                  <w:r>
                    <w:rPr>
                      <w:color w:val="auto"/>
                    </w:rPr>
                    <w:t>禁止新建对生态环境产生不可恢复利用的、产生破坏性影响的矿产资源开发项目</w:t>
                  </w:r>
                </w:p>
              </w:tc>
              <w:tc>
                <w:tcPr>
                  <w:tcW w:w="2450" w:type="dxa"/>
                </w:tcPr>
                <w:p w14:paraId="616B3A9E">
                  <w:pPr>
                    <w:pStyle w:val="64"/>
                    <w:outlineLvl w:val="9"/>
                    <w:rPr>
                      <w:rFonts w:hint="default"/>
                      <w:color w:val="auto"/>
                    </w:rPr>
                  </w:pPr>
                  <w:r>
                    <w:rPr>
                      <w:color w:val="auto"/>
                    </w:rPr>
                    <w:t>本次评价要求在表土堆场堆存，阶段性开采结束后，将地表覆盖砂全部有序清运至露天采坑回填覆盖，以恢复当地生态环境。</w:t>
                  </w:r>
                </w:p>
              </w:tc>
              <w:tc>
                <w:tcPr>
                  <w:tcW w:w="806" w:type="dxa"/>
                </w:tcPr>
                <w:p w14:paraId="69B4AF90">
                  <w:pPr>
                    <w:keepNext/>
                    <w:keepLines/>
                    <w:jc w:val="center"/>
                    <w:rPr>
                      <w:color w:val="auto"/>
                    </w:rPr>
                  </w:pPr>
                  <w:r>
                    <w:rPr>
                      <w:rFonts w:hint="eastAsia"/>
                      <w:color w:val="auto"/>
                    </w:rPr>
                    <w:t>符合</w:t>
                  </w:r>
                </w:p>
              </w:tc>
            </w:tr>
            <w:tr w14:paraId="4596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7" w:hRule="exact"/>
              </w:trPr>
              <w:tc>
                <w:tcPr>
                  <w:tcW w:w="4069" w:type="dxa"/>
                </w:tcPr>
                <w:p w14:paraId="0D3D2A30">
                  <w:pPr>
                    <w:pStyle w:val="64"/>
                    <w:outlineLvl w:val="9"/>
                    <w:rPr>
                      <w:rFonts w:hint="default"/>
                      <w:color w:val="auto"/>
                    </w:rPr>
                  </w:pPr>
                  <w:r>
                    <w:rPr>
                      <w:color w:val="auto"/>
                    </w:rPr>
                    <w:t>限制在生态功能保护区和自然保护区（过渡区）内开采矿产资源</w:t>
                  </w:r>
                </w:p>
              </w:tc>
              <w:tc>
                <w:tcPr>
                  <w:tcW w:w="2450" w:type="dxa"/>
                </w:tcPr>
                <w:p w14:paraId="7E883E36">
                  <w:pPr>
                    <w:pStyle w:val="64"/>
                    <w:outlineLvl w:val="9"/>
                    <w:rPr>
                      <w:rFonts w:hint="default"/>
                      <w:color w:val="auto"/>
                    </w:rPr>
                  </w:pPr>
                  <w:r>
                    <w:rPr>
                      <w:color w:val="auto"/>
                    </w:rPr>
                    <w:t>本项目不在自然保护区（过渡区）和生态功能保护区内开采。</w:t>
                  </w:r>
                </w:p>
              </w:tc>
              <w:tc>
                <w:tcPr>
                  <w:tcW w:w="806" w:type="dxa"/>
                </w:tcPr>
                <w:p w14:paraId="4BC7A875">
                  <w:pPr>
                    <w:keepNext/>
                    <w:keepLines/>
                    <w:jc w:val="center"/>
                    <w:rPr>
                      <w:color w:val="auto"/>
                    </w:rPr>
                  </w:pPr>
                  <w:r>
                    <w:rPr>
                      <w:rFonts w:hint="eastAsia"/>
                      <w:color w:val="auto"/>
                    </w:rPr>
                    <w:t>符合</w:t>
                  </w:r>
                </w:p>
              </w:tc>
            </w:tr>
            <w:tr w14:paraId="6325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39D31D1A">
                  <w:pPr>
                    <w:pStyle w:val="64"/>
                    <w:outlineLvl w:val="9"/>
                    <w:rPr>
                      <w:rFonts w:hint="default"/>
                      <w:color w:val="auto"/>
                    </w:rPr>
                  </w:pPr>
                  <w:r>
                    <w:rPr>
                      <w:color w:val="auto"/>
                    </w:rPr>
                    <w:t>限制在地质灾害易发区、水土流失严重区域等生态脆弱区内开采矿产资源</w:t>
                  </w:r>
                </w:p>
              </w:tc>
              <w:tc>
                <w:tcPr>
                  <w:tcW w:w="2450" w:type="dxa"/>
                </w:tcPr>
                <w:p w14:paraId="73104762">
                  <w:pPr>
                    <w:pStyle w:val="64"/>
                    <w:outlineLvl w:val="9"/>
                    <w:rPr>
                      <w:rFonts w:hint="default"/>
                      <w:color w:val="auto"/>
                    </w:rPr>
                  </w:pPr>
                  <w:r>
                    <w:rPr>
                      <w:color w:val="auto"/>
                    </w:rPr>
                    <w:t>本项目不涉及在地质灾害易发区、水土流失严重区域等生态脆弱区内开采。</w:t>
                  </w:r>
                </w:p>
              </w:tc>
              <w:tc>
                <w:tcPr>
                  <w:tcW w:w="806" w:type="dxa"/>
                </w:tcPr>
                <w:p w14:paraId="528F6BBE">
                  <w:pPr>
                    <w:keepNext/>
                    <w:keepLines/>
                    <w:jc w:val="center"/>
                    <w:rPr>
                      <w:color w:val="auto"/>
                    </w:rPr>
                  </w:pPr>
                  <w:r>
                    <w:rPr>
                      <w:rFonts w:hint="eastAsia"/>
                      <w:color w:val="auto"/>
                    </w:rPr>
                    <w:t>符合</w:t>
                  </w:r>
                </w:p>
              </w:tc>
            </w:tr>
            <w:tr w14:paraId="255B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2694AA56">
                  <w:pPr>
                    <w:pStyle w:val="64"/>
                    <w:outlineLvl w:val="9"/>
                    <w:rPr>
                      <w:rFonts w:hint="default"/>
                      <w:color w:val="auto"/>
                    </w:rPr>
                  </w:pPr>
                  <w:r>
                    <w:rPr>
                      <w:color w:val="auto"/>
                    </w:rPr>
                    <w:t>矿产资源开发应符合国家产业政策要求，选址、布局应符合所在地的区域发展规划</w:t>
                  </w:r>
                </w:p>
              </w:tc>
              <w:tc>
                <w:tcPr>
                  <w:tcW w:w="2450" w:type="dxa"/>
                </w:tcPr>
                <w:p w14:paraId="30576CA6">
                  <w:pPr>
                    <w:pStyle w:val="64"/>
                    <w:outlineLvl w:val="9"/>
                    <w:rPr>
                      <w:rFonts w:hint="default"/>
                      <w:color w:val="auto"/>
                    </w:rPr>
                  </w:pPr>
                  <w:r>
                    <w:rPr>
                      <w:color w:val="auto"/>
                    </w:rPr>
                    <w:t>本项目符合国家产业政策及区域规划要求</w:t>
                  </w:r>
                </w:p>
              </w:tc>
              <w:tc>
                <w:tcPr>
                  <w:tcW w:w="806" w:type="dxa"/>
                </w:tcPr>
                <w:p w14:paraId="24EFFA1E">
                  <w:pPr>
                    <w:keepNext/>
                    <w:keepLines/>
                    <w:jc w:val="center"/>
                    <w:rPr>
                      <w:color w:val="auto"/>
                    </w:rPr>
                  </w:pPr>
                  <w:r>
                    <w:rPr>
                      <w:rFonts w:hint="eastAsia"/>
                      <w:color w:val="auto"/>
                    </w:rPr>
                    <w:t>符合</w:t>
                  </w:r>
                </w:p>
              </w:tc>
            </w:tr>
            <w:tr w14:paraId="7797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32250D22">
                  <w:pPr>
                    <w:adjustRightInd w:val="0"/>
                    <w:snapToGrid w:val="0"/>
                    <w:jc w:val="center"/>
                    <w:rPr>
                      <w:color w:val="auto"/>
                    </w:rPr>
                  </w:pPr>
                  <w:r>
                    <w:rPr>
                      <w:color w:val="auto"/>
                      <w:kern w:val="0"/>
                      <w:szCs w:val="21"/>
                    </w:rPr>
                    <w:t>矿产资源开发企业应制定矿产资源综合开发规划，并应进行环境影响评价，规划内容包括资源开发利用、生态环境保护、地质灾害防治、水土保持、废弃地复垦等</w:t>
                  </w:r>
                </w:p>
              </w:tc>
              <w:tc>
                <w:tcPr>
                  <w:tcW w:w="2450" w:type="dxa"/>
                  <w:vAlign w:val="center"/>
                </w:tcPr>
                <w:p w14:paraId="52758D12">
                  <w:pPr>
                    <w:adjustRightInd w:val="0"/>
                    <w:snapToGrid w:val="0"/>
                    <w:jc w:val="center"/>
                    <w:rPr>
                      <w:color w:val="auto"/>
                    </w:rPr>
                  </w:pPr>
                  <w:r>
                    <w:rPr>
                      <w:rFonts w:hint="eastAsia"/>
                      <w:color w:val="auto"/>
                      <w:kern w:val="0"/>
                      <w:szCs w:val="21"/>
                    </w:rPr>
                    <w:t>本</w:t>
                  </w:r>
                  <w:r>
                    <w:rPr>
                      <w:color w:val="auto"/>
                      <w:kern w:val="0"/>
                      <w:szCs w:val="21"/>
                    </w:rPr>
                    <w:t>项目已经委托编制完成矿产资源开发利用方案、</w:t>
                  </w:r>
                  <w:r>
                    <w:rPr>
                      <w:rFonts w:hint="eastAsia"/>
                      <w:color w:val="auto"/>
                      <w:kern w:val="0"/>
                      <w:szCs w:val="21"/>
                    </w:rPr>
                    <w:t>已编制</w:t>
                  </w:r>
                  <w:r>
                    <w:rPr>
                      <w:color w:val="auto"/>
                      <w:kern w:val="0"/>
                      <w:szCs w:val="21"/>
                    </w:rPr>
                    <w:t>矿山地质环境保护与土地复垦方案，并完成</w:t>
                  </w:r>
                  <w:r>
                    <w:rPr>
                      <w:rFonts w:hint="eastAsia"/>
                      <w:color w:val="auto"/>
                      <w:kern w:val="0"/>
                      <w:szCs w:val="21"/>
                    </w:rPr>
                    <w:t>专家评审</w:t>
                  </w:r>
                  <w:r>
                    <w:rPr>
                      <w:color w:val="auto"/>
                      <w:kern w:val="0"/>
                      <w:szCs w:val="21"/>
                    </w:rPr>
                    <w:t>；水土保持目前正在编制中</w:t>
                  </w:r>
                  <w:r>
                    <w:rPr>
                      <w:rFonts w:hint="eastAsia"/>
                      <w:color w:val="auto"/>
                      <w:kern w:val="0"/>
                      <w:szCs w:val="21"/>
                    </w:rPr>
                    <w:t>。</w:t>
                  </w:r>
                </w:p>
              </w:tc>
              <w:tc>
                <w:tcPr>
                  <w:tcW w:w="806" w:type="dxa"/>
                </w:tcPr>
                <w:p w14:paraId="02B1BC77">
                  <w:pPr>
                    <w:keepNext/>
                    <w:keepLines/>
                    <w:jc w:val="center"/>
                    <w:rPr>
                      <w:color w:val="auto"/>
                    </w:rPr>
                  </w:pPr>
                  <w:r>
                    <w:rPr>
                      <w:rFonts w:hint="eastAsia"/>
                      <w:color w:val="auto"/>
                    </w:rPr>
                    <w:t>符合</w:t>
                  </w:r>
                </w:p>
              </w:tc>
            </w:tr>
            <w:tr w14:paraId="36FF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9" w:type="dxa"/>
                  <w:vAlign w:val="center"/>
                </w:tcPr>
                <w:p w14:paraId="17C4EA0D">
                  <w:pPr>
                    <w:adjustRightInd w:val="0"/>
                    <w:snapToGrid w:val="0"/>
                    <w:jc w:val="center"/>
                    <w:rPr>
                      <w:color w:val="auto"/>
                    </w:rPr>
                  </w:pPr>
                  <w:r>
                    <w:rPr>
                      <w:color w:val="auto"/>
                      <w:kern w:val="0"/>
                      <w:szCs w:val="21"/>
                    </w:rPr>
                    <w:t>矿井水、选矿水和矿山</w:t>
                  </w:r>
                  <w:r>
                    <w:rPr>
                      <w:rFonts w:hint="eastAsia"/>
                      <w:color w:val="auto"/>
                      <w:kern w:val="0"/>
                      <w:szCs w:val="21"/>
                    </w:rPr>
                    <w:t>其他</w:t>
                  </w:r>
                  <w:r>
                    <w:rPr>
                      <w:color w:val="auto"/>
                      <w:kern w:val="0"/>
                      <w:szCs w:val="21"/>
                    </w:rPr>
                    <w:t>外排水应统筹规划、分类管理、综合利用</w:t>
                  </w:r>
                </w:p>
              </w:tc>
              <w:tc>
                <w:tcPr>
                  <w:tcW w:w="2450" w:type="dxa"/>
                  <w:vAlign w:val="center"/>
                </w:tcPr>
                <w:p w14:paraId="7853AD71">
                  <w:pPr>
                    <w:adjustRightInd w:val="0"/>
                    <w:snapToGrid w:val="0"/>
                    <w:jc w:val="center"/>
                    <w:rPr>
                      <w:color w:val="auto"/>
                    </w:rPr>
                  </w:pPr>
                  <w:r>
                    <w:rPr>
                      <w:rFonts w:hint="eastAsia"/>
                      <w:color w:val="auto"/>
                      <w:kern w:val="0"/>
                      <w:szCs w:val="21"/>
                    </w:rPr>
                    <w:t>本</w:t>
                  </w:r>
                  <w:r>
                    <w:rPr>
                      <w:color w:val="auto"/>
                      <w:kern w:val="0"/>
                      <w:szCs w:val="21"/>
                    </w:rPr>
                    <w:t>项目</w:t>
                  </w:r>
                  <w:r>
                    <w:rPr>
                      <w:rFonts w:hint="eastAsia"/>
                      <w:color w:val="auto"/>
                      <w:kern w:val="0"/>
                      <w:szCs w:val="21"/>
                    </w:rPr>
                    <w:t>无矿井水产生，不涉及选矿工序，无选矿废水产生；</w:t>
                  </w:r>
                  <w:r>
                    <w:rPr>
                      <w:color w:val="auto"/>
                      <w:spacing w:val="-2"/>
                      <w:szCs w:val="21"/>
                    </w:rPr>
                    <w:t>矿区</w:t>
                  </w:r>
                  <w:r>
                    <w:rPr>
                      <w:rFonts w:hint="eastAsia"/>
                      <w:color w:val="auto"/>
                      <w:spacing w:val="-2"/>
                      <w:szCs w:val="21"/>
                    </w:rPr>
                    <w:t>不设办公生活区，运营期设1处环保厕所</w:t>
                  </w:r>
                  <w:r>
                    <w:rPr>
                      <w:rFonts w:hint="eastAsia"/>
                      <w:color w:val="auto"/>
                      <w:spacing w:val="-2"/>
                      <w:szCs w:val="21"/>
                      <w:lang w:val="en-US" w:eastAsia="zh-CN"/>
                    </w:rPr>
                    <w:t>和防渗化粪池（15m</w:t>
                  </w:r>
                  <w:r>
                    <w:rPr>
                      <w:rFonts w:hint="eastAsia"/>
                      <w:color w:val="auto"/>
                      <w:spacing w:val="-2"/>
                      <w:szCs w:val="21"/>
                      <w:vertAlign w:val="superscript"/>
                      <w:lang w:val="en-US" w:eastAsia="zh-CN"/>
                    </w:rPr>
                    <w:t>3</w:t>
                  </w:r>
                  <w:r>
                    <w:rPr>
                      <w:rFonts w:hint="eastAsia"/>
                      <w:color w:val="auto"/>
                      <w:spacing w:val="-2"/>
                      <w:szCs w:val="21"/>
                      <w:lang w:val="en-US" w:eastAsia="zh-CN"/>
                    </w:rPr>
                    <w:t>）</w:t>
                  </w:r>
                  <w:r>
                    <w:rPr>
                      <w:rFonts w:hint="eastAsia"/>
                      <w:color w:val="auto"/>
                      <w:spacing w:val="-2"/>
                      <w:szCs w:val="21"/>
                    </w:rPr>
                    <w:t>，定期由吸污车拉运至奇台县污水处理厂进一步处理</w:t>
                  </w:r>
                  <w:r>
                    <w:rPr>
                      <w:rFonts w:hint="eastAsia"/>
                      <w:color w:val="auto"/>
                      <w:spacing w:val="-2"/>
                      <w:szCs w:val="21"/>
                      <w:lang w:eastAsia="zh-CN"/>
                    </w:rPr>
                    <w:t>；</w:t>
                  </w:r>
                  <w:r>
                    <w:rPr>
                      <w:rFonts w:hint="eastAsia"/>
                      <w:color w:val="auto"/>
                      <w:sz w:val="21"/>
                      <w:szCs w:val="21"/>
                      <w:lang w:val="en-US" w:eastAsia="zh-CN"/>
                    </w:rPr>
                    <w:t>车辆清洗废水经沉淀池处理后，用于车辆清洗</w:t>
                  </w:r>
                  <w:r>
                    <w:rPr>
                      <w:rFonts w:hint="eastAsia"/>
                      <w:color w:val="auto"/>
                      <w:kern w:val="0"/>
                      <w:szCs w:val="21"/>
                    </w:rPr>
                    <w:t>。</w:t>
                  </w:r>
                </w:p>
              </w:tc>
              <w:tc>
                <w:tcPr>
                  <w:tcW w:w="806" w:type="dxa"/>
                </w:tcPr>
                <w:p w14:paraId="3D31B526">
                  <w:pPr>
                    <w:keepNext/>
                    <w:keepLines/>
                    <w:jc w:val="center"/>
                    <w:rPr>
                      <w:color w:val="auto"/>
                    </w:rPr>
                  </w:pPr>
                  <w:r>
                    <w:rPr>
                      <w:rFonts w:hint="eastAsia"/>
                      <w:color w:val="auto"/>
                    </w:rPr>
                    <w:t>符合</w:t>
                  </w:r>
                </w:p>
              </w:tc>
            </w:tr>
            <w:tr w14:paraId="12D6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781E4AC9">
                  <w:pPr>
                    <w:adjustRightInd w:val="0"/>
                    <w:snapToGrid w:val="0"/>
                    <w:jc w:val="center"/>
                    <w:rPr>
                      <w:color w:val="auto"/>
                    </w:rPr>
                  </w:pPr>
                  <w:r>
                    <w:rPr>
                      <w:color w:val="auto"/>
                      <w:kern w:val="0"/>
                      <w:szCs w:val="21"/>
                    </w:rPr>
                    <w:t>对矿山基建产生的表土、底土和岩石等应分类堆放、分类管理和充分利用。对表土、底土和适于植物生长的地层物质均应进行保护性堆存和利用，可有效用作废弃地复垦的土壤重构用土</w:t>
                  </w:r>
                </w:p>
              </w:tc>
              <w:tc>
                <w:tcPr>
                  <w:tcW w:w="2450" w:type="dxa"/>
                  <w:vAlign w:val="center"/>
                </w:tcPr>
                <w:p w14:paraId="3D28092A">
                  <w:pPr>
                    <w:adjustRightInd w:val="0"/>
                    <w:snapToGrid w:val="0"/>
                    <w:jc w:val="center"/>
                    <w:rPr>
                      <w:color w:val="auto"/>
                    </w:rPr>
                  </w:pPr>
                  <w:r>
                    <w:rPr>
                      <w:color w:val="auto"/>
                      <w:kern w:val="0"/>
                      <w:szCs w:val="21"/>
                    </w:rPr>
                    <w:t>建设项目基建期产生的</w:t>
                  </w:r>
                  <w:r>
                    <w:rPr>
                      <w:rFonts w:hint="eastAsia"/>
                      <w:color w:val="auto"/>
                      <w:kern w:val="0"/>
                      <w:szCs w:val="21"/>
                    </w:rPr>
                    <w:t>剥离废物</w:t>
                  </w:r>
                  <w:r>
                    <w:rPr>
                      <w:color w:val="auto"/>
                      <w:kern w:val="0"/>
                      <w:szCs w:val="21"/>
                    </w:rPr>
                    <w:t>分类堆放、分类管理</w:t>
                  </w:r>
                </w:p>
              </w:tc>
              <w:tc>
                <w:tcPr>
                  <w:tcW w:w="806" w:type="dxa"/>
                </w:tcPr>
                <w:p w14:paraId="43F46BBF">
                  <w:pPr>
                    <w:keepNext/>
                    <w:keepLines/>
                    <w:jc w:val="center"/>
                    <w:rPr>
                      <w:color w:val="auto"/>
                    </w:rPr>
                  </w:pPr>
                  <w:r>
                    <w:rPr>
                      <w:rFonts w:hint="eastAsia"/>
                      <w:color w:val="auto"/>
                    </w:rPr>
                    <w:t>符合</w:t>
                  </w:r>
                </w:p>
              </w:tc>
            </w:tr>
            <w:tr w14:paraId="7354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42C46919">
                  <w:pPr>
                    <w:adjustRightInd w:val="0"/>
                    <w:snapToGrid w:val="0"/>
                    <w:jc w:val="center"/>
                    <w:rPr>
                      <w:color w:val="auto"/>
                    </w:rPr>
                  </w:pPr>
                  <w:r>
                    <w:rPr>
                      <w:color w:val="auto"/>
                      <w:kern w:val="0"/>
                      <w:szCs w:val="21"/>
                    </w:rPr>
                    <w:t>矿山基建应尽量少占用农田和耕地，矿山基建临时性占地应及时恢复</w:t>
                  </w:r>
                </w:p>
              </w:tc>
              <w:tc>
                <w:tcPr>
                  <w:tcW w:w="2450" w:type="dxa"/>
                  <w:vAlign w:val="center"/>
                </w:tcPr>
                <w:p w14:paraId="0400BA8E">
                  <w:pPr>
                    <w:adjustRightInd w:val="0"/>
                    <w:snapToGrid w:val="0"/>
                    <w:jc w:val="center"/>
                    <w:rPr>
                      <w:color w:val="auto"/>
                    </w:rPr>
                  </w:pPr>
                  <w:r>
                    <w:rPr>
                      <w:rFonts w:hint="eastAsia"/>
                      <w:color w:val="auto"/>
                      <w:kern w:val="0"/>
                      <w:szCs w:val="21"/>
                    </w:rPr>
                    <w:t>本</w:t>
                  </w:r>
                  <w:r>
                    <w:rPr>
                      <w:color w:val="auto"/>
                      <w:kern w:val="0"/>
                      <w:szCs w:val="21"/>
                    </w:rPr>
                    <w:t>项目基建期</w:t>
                  </w:r>
                  <w:r>
                    <w:rPr>
                      <w:rFonts w:hint="eastAsia"/>
                      <w:color w:val="auto"/>
                      <w:kern w:val="0"/>
                      <w:szCs w:val="21"/>
                    </w:rPr>
                    <w:t>不</w:t>
                  </w:r>
                  <w:r>
                    <w:rPr>
                      <w:color w:val="auto"/>
                      <w:kern w:val="0"/>
                      <w:szCs w:val="21"/>
                    </w:rPr>
                    <w:t>占用农田和耕地，对矿山基建临时性占地及时恢复</w:t>
                  </w:r>
                </w:p>
              </w:tc>
              <w:tc>
                <w:tcPr>
                  <w:tcW w:w="806" w:type="dxa"/>
                </w:tcPr>
                <w:p w14:paraId="2B017E3A">
                  <w:pPr>
                    <w:keepNext/>
                    <w:keepLines/>
                    <w:jc w:val="center"/>
                    <w:rPr>
                      <w:color w:val="auto"/>
                    </w:rPr>
                  </w:pPr>
                  <w:r>
                    <w:rPr>
                      <w:rFonts w:hint="eastAsia"/>
                      <w:color w:val="auto"/>
                    </w:rPr>
                    <w:t>符合</w:t>
                  </w:r>
                </w:p>
              </w:tc>
            </w:tr>
            <w:tr w14:paraId="3171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03AB3817">
                  <w:pPr>
                    <w:adjustRightInd w:val="0"/>
                    <w:snapToGrid w:val="0"/>
                    <w:jc w:val="center"/>
                    <w:rPr>
                      <w:color w:val="auto"/>
                    </w:rPr>
                  </w:pPr>
                  <w:r>
                    <w:rPr>
                      <w:color w:val="auto"/>
                      <w:kern w:val="0"/>
                      <w:szCs w:val="21"/>
                    </w:rPr>
                    <w:t>宜采取修筑排水沟、引流渠，预先截堵水，防渗漏处理等措施，防止或减少各种水源进入露天采场和地下井巷</w:t>
                  </w:r>
                </w:p>
              </w:tc>
              <w:tc>
                <w:tcPr>
                  <w:tcW w:w="2450" w:type="dxa"/>
                  <w:vAlign w:val="center"/>
                </w:tcPr>
                <w:p w14:paraId="5A9374D7">
                  <w:pPr>
                    <w:adjustRightInd w:val="0"/>
                    <w:snapToGrid w:val="0"/>
                    <w:jc w:val="center"/>
                    <w:rPr>
                      <w:color w:val="auto"/>
                    </w:rPr>
                  </w:pPr>
                  <w:r>
                    <w:rPr>
                      <w:rFonts w:hint="eastAsia"/>
                      <w:color w:val="auto"/>
                      <w:kern w:val="0"/>
                      <w:szCs w:val="21"/>
                    </w:rPr>
                    <w:t>本</w:t>
                  </w:r>
                  <w:r>
                    <w:rPr>
                      <w:color w:val="auto"/>
                      <w:kern w:val="0"/>
                      <w:szCs w:val="21"/>
                    </w:rPr>
                    <w:t>项目采场外围开筑截排水沟，减少雨水进入露天采场</w:t>
                  </w:r>
                </w:p>
              </w:tc>
              <w:tc>
                <w:tcPr>
                  <w:tcW w:w="806" w:type="dxa"/>
                </w:tcPr>
                <w:p w14:paraId="65F63591">
                  <w:pPr>
                    <w:keepNext/>
                    <w:keepLines/>
                    <w:jc w:val="center"/>
                    <w:rPr>
                      <w:color w:val="auto"/>
                    </w:rPr>
                  </w:pPr>
                  <w:r>
                    <w:rPr>
                      <w:rFonts w:hint="eastAsia"/>
                      <w:color w:val="auto"/>
                    </w:rPr>
                    <w:t>符合</w:t>
                  </w:r>
                </w:p>
              </w:tc>
            </w:tr>
            <w:tr w14:paraId="4469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7C26806D">
                  <w:pPr>
                    <w:adjustRightInd w:val="0"/>
                    <w:snapToGrid w:val="0"/>
                    <w:jc w:val="center"/>
                    <w:rPr>
                      <w:color w:val="auto"/>
                    </w:rPr>
                  </w:pPr>
                  <w:r>
                    <w:rPr>
                      <w:color w:val="auto"/>
                      <w:kern w:val="0"/>
                      <w:szCs w:val="21"/>
                    </w:rPr>
                    <w:t>宜采用安装除尘装置，湿式作业，个体防护等措施，防治凿岩、铲装、运输等采矿作业中的粉尘污染</w:t>
                  </w:r>
                </w:p>
              </w:tc>
              <w:tc>
                <w:tcPr>
                  <w:tcW w:w="2450" w:type="dxa"/>
                  <w:vAlign w:val="center"/>
                </w:tcPr>
                <w:p w14:paraId="6C19C84F">
                  <w:pPr>
                    <w:adjustRightInd w:val="0"/>
                    <w:snapToGrid w:val="0"/>
                    <w:jc w:val="center"/>
                    <w:rPr>
                      <w:color w:val="auto"/>
                    </w:rPr>
                  </w:pPr>
                  <w:r>
                    <w:rPr>
                      <w:rFonts w:hint="eastAsia"/>
                      <w:color w:val="auto"/>
                      <w:kern w:val="0"/>
                      <w:szCs w:val="21"/>
                    </w:rPr>
                    <w:t>本</w:t>
                  </w:r>
                  <w:r>
                    <w:rPr>
                      <w:color w:val="auto"/>
                      <w:kern w:val="0"/>
                      <w:szCs w:val="21"/>
                    </w:rPr>
                    <w:t>项目</w:t>
                  </w:r>
                  <w:r>
                    <w:rPr>
                      <w:rFonts w:hint="eastAsia"/>
                      <w:color w:val="auto"/>
                      <w:kern w:val="0"/>
                      <w:szCs w:val="21"/>
                    </w:rPr>
                    <w:t>开采作业面及建筑用砂装卸过程中采用雾炮机水雾增湿除尘方式降尘；表土堆场洒水降尘、防尘网苫盖</w:t>
                  </w:r>
                  <w:r>
                    <w:rPr>
                      <w:color w:val="auto"/>
                      <w:kern w:val="0"/>
                      <w:szCs w:val="21"/>
                    </w:rPr>
                    <w:t>；</w:t>
                  </w:r>
                  <w:r>
                    <w:rPr>
                      <w:rFonts w:hint="eastAsia"/>
                      <w:color w:val="auto"/>
                      <w:kern w:val="0"/>
                      <w:szCs w:val="21"/>
                    </w:rPr>
                    <w:t>对车辆进行清洗，降低扬尘产生</w:t>
                  </w:r>
                  <w:r>
                    <w:rPr>
                      <w:rFonts w:hint="eastAsia"/>
                      <w:color w:val="auto"/>
                      <w:kern w:val="0"/>
                      <w:szCs w:val="21"/>
                      <w:lang w:eastAsia="zh-CN"/>
                    </w:rPr>
                    <w:t>；</w:t>
                  </w:r>
                  <w:r>
                    <w:rPr>
                      <w:rFonts w:hint="eastAsia"/>
                      <w:color w:val="auto"/>
                      <w:kern w:val="0"/>
                      <w:szCs w:val="21"/>
                    </w:rPr>
                    <w:t>道路洒水降尘、</w:t>
                  </w:r>
                  <w:r>
                    <w:rPr>
                      <w:color w:val="auto"/>
                      <w:kern w:val="0"/>
                      <w:szCs w:val="21"/>
                    </w:rPr>
                    <w:t>运输车辆覆盖</w:t>
                  </w:r>
                  <w:r>
                    <w:rPr>
                      <w:rFonts w:hint="eastAsia"/>
                      <w:color w:val="auto"/>
                      <w:kern w:val="0"/>
                      <w:szCs w:val="21"/>
                    </w:rPr>
                    <w:t>。</w:t>
                  </w:r>
                </w:p>
              </w:tc>
              <w:tc>
                <w:tcPr>
                  <w:tcW w:w="806" w:type="dxa"/>
                </w:tcPr>
                <w:p w14:paraId="34268280">
                  <w:pPr>
                    <w:keepNext/>
                    <w:keepLines/>
                    <w:jc w:val="center"/>
                    <w:rPr>
                      <w:color w:val="auto"/>
                    </w:rPr>
                  </w:pPr>
                  <w:r>
                    <w:rPr>
                      <w:rFonts w:hint="eastAsia"/>
                      <w:color w:val="auto"/>
                    </w:rPr>
                    <w:t>符合</w:t>
                  </w:r>
                </w:p>
              </w:tc>
            </w:tr>
            <w:tr w14:paraId="6C00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124E75DF">
                  <w:pPr>
                    <w:adjustRightInd w:val="0"/>
                    <w:snapToGrid w:val="0"/>
                    <w:jc w:val="center"/>
                    <w:rPr>
                      <w:color w:val="auto"/>
                    </w:rPr>
                  </w:pPr>
                  <w:r>
                    <w:rPr>
                      <w:color w:val="auto"/>
                      <w:kern w:val="0"/>
                      <w:szCs w:val="21"/>
                    </w:rPr>
                    <w:t>采矿活动所产生的固体废物，应使用专用场所堆放，并采取有效措施防止二次环境污染及诱发次生地质灾害</w:t>
                  </w:r>
                </w:p>
              </w:tc>
              <w:tc>
                <w:tcPr>
                  <w:tcW w:w="2450" w:type="dxa"/>
                  <w:vAlign w:val="center"/>
                </w:tcPr>
                <w:p w14:paraId="670CA1BC">
                  <w:pPr>
                    <w:adjustRightInd w:val="0"/>
                    <w:snapToGrid w:val="0"/>
                    <w:jc w:val="center"/>
                    <w:rPr>
                      <w:color w:val="auto"/>
                    </w:rPr>
                  </w:pPr>
                  <w:r>
                    <w:rPr>
                      <w:rFonts w:hint="eastAsia"/>
                      <w:color w:val="auto"/>
                      <w:kern w:val="0"/>
                      <w:szCs w:val="21"/>
                    </w:rPr>
                    <w:t>本</w:t>
                  </w:r>
                  <w:r>
                    <w:rPr>
                      <w:color w:val="auto"/>
                      <w:kern w:val="0"/>
                      <w:szCs w:val="21"/>
                    </w:rPr>
                    <w:t>项目运营期</w:t>
                  </w:r>
                  <w:r>
                    <w:rPr>
                      <w:rFonts w:hint="eastAsia"/>
                      <w:color w:val="auto"/>
                      <w:kern w:val="0"/>
                      <w:szCs w:val="21"/>
                    </w:rPr>
                    <w:t>剥离表土</w:t>
                  </w:r>
                  <w:r>
                    <w:rPr>
                      <w:color w:val="auto"/>
                      <w:kern w:val="0"/>
                      <w:szCs w:val="21"/>
                    </w:rPr>
                    <w:t>等固废</w:t>
                  </w:r>
                  <w:r>
                    <w:rPr>
                      <w:rFonts w:hint="eastAsia"/>
                      <w:color w:val="auto"/>
                      <w:kern w:val="0"/>
                      <w:szCs w:val="21"/>
                    </w:rPr>
                    <w:t>用于回填现有采坑。</w:t>
                  </w:r>
                </w:p>
              </w:tc>
              <w:tc>
                <w:tcPr>
                  <w:tcW w:w="806" w:type="dxa"/>
                </w:tcPr>
                <w:p w14:paraId="6AA58C33">
                  <w:pPr>
                    <w:keepNext/>
                    <w:keepLines/>
                    <w:jc w:val="center"/>
                    <w:rPr>
                      <w:color w:val="auto"/>
                    </w:rPr>
                  </w:pPr>
                  <w:r>
                    <w:rPr>
                      <w:rFonts w:hint="eastAsia"/>
                      <w:color w:val="auto"/>
                    </w:rPr>
                    <w:t>符合</w:t>
                  </w:r>
                </w:p>
              </w:tc>
            </w:tr>
          </w:tbl>
          <w:p w14:paraId="68FE671F">
            <w:pPr>
              <w:pStyle w:val="60"/>
              <w:tabs>
                <w:tab w:val="left" w:pos="4584"/>
              </w:tabs>
              <w:ind w:firstLine="480" w:firstLineChars="200"/>
              <w:rPr>
                <w:bCs/>
                <w:color w:val="auto"/>
                <w:kern w:val="2"/>
              </w:rPr>
            </w:pPr>
            <w:r>
              <w:rPr>
                <w:rFonts w:hint="eastAsia"/>
                <w:bCs/>
                <w:color w:val="auto"/>
                <w:kern w:val="2"/>
              </w:rPr>
              <w:t>综上所述，本项目符合《矿山生态环境保护与污染防治技术政策》（环发〔</w:t>
            </w:r>
            <w:r>
              <w:rPr>
                <w:bCs/>
                <w:color w:val="auto"/>
                <w:kern w:val="2"/>
              </w:rPr>
              <w:t>2005</w:t>
            </w:r>
            <w:r>
              <w:rPr>
                <w:rFonts w:hint="eastAsia"/>
                <w:bCs/>
                <w:color w:val="auto"/>
                <w:kern w:val="2"/>
              </w:rPr>
              <w:t>〕</w:t>
            </w:r>
            <w:r>
              <w:rPr>
                <w:bCs/>
                <w:color w:val="auto"/>
                <w:kern w:val="2"/>
              </w:rPr>
              <w:t>109</w:t>
            </w:r>
            <w:r>
              <w:rPr>
                <w:rFonts w:hint="eastAsia"/>
                <w:bCs/>
                <w:color w:val="auto"/>
                <w:kern w:val="2"/>
              </w:rPr>
              <w:t>号）的相关要求。</w:t>
            </w:r>
          </w:p>
          <w:p w14:paraId="02C70BF9">
            <w:pPr>
              <w:pStyle w:val="60"/>
              <w:tabs>
                <w:tab w:val="left" w:pos="4584"/>
              </w:tabs>
              <w:ind w:firstLine="0" w:firstLineChars="0"/>
              <w:rPr>
                <w:b/>
                <w:bCs/>
                <w:color w:val="auto"/>
                <w:kern w:val="2"/>
              </w:rPr>
            </w:pPr>
            <w:r>
              <w:rPr>
                <w:rFonts w:hint="eastAsia"/>
                <w:b/>
                <w:bCs/>
                <w:snapToGrid/>
                <w:color w:val="auto"/>
                <w:kern w:val="2"/>
              </w:rPr>
              <w:t>3.4</w:t>
            </w:r>
            <w:r>
              <w:rPr>
                <w:b/>
                <w:bCs/>
                <w:snapToGrid/>
                <w:color w:val="auto"/>
                <w:kern w:val="2"/>
              </w:rPr>
              <w:t>与</w:t>
            </w:r>
            <w:r>
              <w:rPr>
                <w:b/>
                <w:bCs/>
                <w:color w:val="auto"/>
                <w:kern w:val="2"/>
              </w:rPr>
              <w:t>《砂石行业绿色矿山建设规范》（DZ/T0316-2018）符合性</w:t>
            </w:r>
            <w:r>
              <w:rPr>
                <w:rFonts w:hint="eastAsia"/>
                <w:b/>
                <w:bCs/>
                <w:color w:val="auto"/>
                <w:kern w:val="2"/>
              </w:rPr>
              <w:t>分析</w:t>
            </w:r>
          </w:p>
          <w:p w14:paraId="2922FEAA">
            <w:pPr>
              <w:pStyle w:val="60"/>
              <w:tabs>
                <w:tab w:val="left" w:pos="4584"/>
              </w:tabs>
              <w:ind w:firstLine="480" w:firstLineChars="200"/>
              <w:rPr>
                <w:bCs/>
                <w:color w:val="auto"/>
                <w:kern w:val="2"/>
              </w:rPr>
            </w:pPr>
            <w:r>
              <w:rPr>
                <w:rFonts w:hint="eastAsia"/>
                <w:bCs/>
                <w:color w:val="auto"/>
                <w:kern w:val="2"/>
              </w:rPr>
              <w:t>根据《砂石行业绿色矿山建设规范》（DZ/T0316-2018）建设指标要求，从矿区环境、资源开发利用方式、资源综合利用、节能减排、科技创新与数字化矿山、企业管理等多方面建设绿色矿山。本项目与《砂石行业绿色矿山建设规范》（DZ/T0316-2018）符合性分析见表1-8。</w:t>
            </w:r>
          </w:p>
          <w:p w14:paraId="3E9083DF">
            <w:pPr>
              <w:pStyle w:val="64"/>
              <w:outlineLvl w:val="9"/>
              <w:rPr>
                <w:rFonts w:hint="default"/>
                <w:b/>
                <w:bCs/>
                <w:color w:val="auto"/>
              </w:rPr>
            </w:pPr>
            <w:r>
              <w:rPr>
                <w:b/>
                <w:bCs/>
                <w:color w:val="auto"/>
              </w:rPr>
              <w:t>表1-8    《砂石行业绿色矿山建设规范》（DZ/T0316-2018）符合性分析表</w:t>
            </w:r>
          </w:p>
          <w:tbl>
            <w:tblPr>
              <w:tblStyle w:val="2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34"/>
              <w:gridCol w:w="2496"/>
              <w:gridCol w:w="2664"/>
              <w:gridCol w:w="769"/>
            </w:tblGrid>
            <w:tr w14:paraId="625B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Align w:val="center"/>
                </w:tcPr>
                <w:p w14:paraId="491FD0C3">
                  <w:pPr>
                    <w:jc w:val="center"/>
                    <w:rPr>
                      <w:rFonts w:cstheme="minorBidi"/>
                      <w:bCs/>
                      <w:color w:val="auto"/>
                      <w:kern w:val="44"/>
                      <w:szCs w:val="21"/>
                    </w:rPr>
                  </w:pPr>
                  <w:r>
                    <w:rPr>
                      <w:rFonts w:hint="eastAsia" w:cstheme="minorBidi"/>
                      <w:bCs/>
                      <w:color w:val="auto"/>
                      <w:kern w:val="44"/>
                      <w:szCs w:val="21"/>
                    </w:rPr>
                    <w:t>序号</w:t>
                  </w:r>
                </w:p>
              </w:tc>
              <w:tc>
                <w:tcPr>
                  <w:tcW w:w="634" w:type="dxa"/>
                  <w:vAlign w:val="center"/>
                </w:tcPr>
                <w:p w14:paraId="64989F01">
                  <w:pPr>
                    <w:jc w:val="center"/>
                    <w:rPr>
                      <w:rFonts w:cstheme="minorBidi"/>
                      <w:bCs/>
                      <w:color w:val="auto"/>
                      <w:kern w:val="44"/>
                      <w:szCs w:val="21"/>
                    </w:rPr>
                  </w:pPr>
                  <w:r>
                    <w:rPr>
                      <w:rFonts w:hint="eastAsia" w:cstheme="minorBidi"/>
                      <w:bCs/>
                      <w:color w:val="auto"/>
                      <w:kern w:val="44"/>
                      <w:szCs w:val="21"/>
                    </w:rPr>
                    <w:t>指标</w:t>
                  </w:r>
                </w:p>
              </w:tc>
              <w:tc>
                <w:tcPr>
                  <w:tcW w:w="2496" w:type="dxa"/>
                  <w:vAlign w:val="center"/>
                </w:tcPr>
                <w:p w14:paraId="4E18E538">
                  <w:pPr>
                    <w:jc w:val="center"/>
                    <w:rPr>
                      <w:rFonts w:cstheme="minorBidi"/>
                      <w:bCs/>
                      <w:color w:val="auto"/>
                      <w:kern w:val="44"/>
                      <w:szCs w:val="21"/>
                    </w:rPr>
                  </w:pPr>
                  <w:r>
                    <w:rPr>
                      <w:rFonts w:hint="eastAsia" w:cstheme="minorBidi"/>
                      <w:bCs/>
                      <w:color w:val="auto"/>
                      <w:kern w:val="44"/>
                      <w:szCs w:val="21"/>
                    </w:rPr>
                    <w:t>要求</w:t>
                  </w:r>
                </w:p>
              </w:tc>
              <w:tc>
                <w:tcPr>
                  <w:tcW w:w="2664" w:type="dxa"/>
                  <w:vAlign w:val="center"/>
                </w:tcPr>
                <w:p w14:paraId="2C1E78DA">
                  <w:pPr>
                    <w:jc w:val="center"/>
                    <w:rPr>
                      <w:rFonts w:cstheme="minorBidi"/>
                      <w:bCs/>
                      <w:color w:val="auto"/>
                      <w:kern w:val="44"/>
                      <w:szCs w:val="21"/>
                    </w:rPr>
                  </w:pPr>
                  <w:r>
                    <w:rPr>
                      <w:rFonts w:hint="eastAsia" w:cstheme="minorBidi"/>
                      <w:bCs/>
                      <w:color w:val="auto"/>
                      <w:kern w:val="44"/>
                      <w:szCs w:val="21"/>
                    </w:rPr>
                    <w:t>本项目</w:t>
                  </w:r>
                </w:p>
              </w:tc>
              <w:tc>
                <w:tcPr>
                  <w:tcW w:w="769" w:type="dxa"/>
                  <w:vAlign w:val="center"/>
                </w:tcPr>
                <w:p w14:paraId="280EFF11">
                  <w:pPr>
                    <w:jc w:val="center"/>
                    <w:rPr>
                      <w:rFonts w:cstheme="minorBidi"/>
                      <w:bCs/>
                      <w:color w:val="auto"/>
                      <w:kern w:val="44"/>
                      <w:szCs w:val="21"/>
                    </w:rPr>
                  </w:pPr>
                  <w:r>
                    <w:rPr>
                      <w:rFonts w:hint="eastAsia" w:cstheme="minorBidi"/>
                      <w:bCs/>
                      <w:color w:val="auto"/>
                      <w:kern w:val="44"/>
                      <w:szCs w:val="21"/>
                    </w:rPr>
                    <w:t>符合性</w:t>
                  </w:r>
                </w:p>
              </w:tc>
            </w:tr>
            <w:tr w14:paraId="29B3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06" w:type="dxa"/>
                  <w:vMerge w:val="restart"/>
                  <w:vAlign w:val="center"/>
                </w:tcPr>
                <w:p w14:paraId="7AD389AC">
                  <w:pPr>
                    <w:jc w:val="center"/>
                    <w:rPr>
                      <w:rFonts w:cstheme="minorBidi"/>
                      <w:bCs/>
                      <w:color w:val="auto"/>
                      <w:kern w:val="44"/>
                      <w:szCs w:val="21"/>
                    </w:rPr>
                  </w:pPr>
                  <w:r>
                    <w:rPr>
                      <w:rFonts w:hint="eastAsia" w:cstheme="minorBidi"/>
                      <w:bCs/>
                      <w:color w:val="auto"/>
                      <w:kern w:val="44"/>
                      <w:szCs w:val="21"/>
                    </w:rPr>
                    <w:t>1</w:t>
                  </w:r>
                </w:p>
              </w:tc>
              <w:tc>
                <w:tcPr>
                  <w:tcW w:w="634" w:type="dxa"/>
                  <w:vMerge w:val="restart"/>
                  <w:vAlign w:val="center"/>
                </w:tcPr>
                <w:p w14:paraId="205583AC">
                  <w:pPr>
                    <w:jc w:val="center"/>
                    <w:rPr>
                      <w:rFonts w:cstheme="minorBidi"/>
                      <w:bCs/>
                      <w:color w:val="auto"/>
                      <w:kern w:val="44"/>
                      <w:szCs w:val="21"/>
                    </w:rPr>
                  </w:pPr>
                  <w:r>
                    <w:rPr>
                      <w:rFonts w:cstheme="minorBidi"/>
                      <w:bCs/>
                      <w:color w:val="auto"/>
                      <w:kern w:val="44"/>
                      <w:szCs w:val="21"/>
                    </w:rPr>
                    <w:t>矿区环境</w:t>
                  </w:r>
                </w:p>
              </w:tc>
              <w:tc>
                <w:tcPr>
                  <w:tcW w:w="2496" w:type="dxa"/>
                  <w:vAlign w:val="center"/>
                </w:tcPr>
                <w:p w14:paraId="0BA91E73">
                  <w:pPr>
                    <w:jc w:val="center"/>
                    <w:rPr>
                      <w:rFonts w:cstheme="minorBidi"/>
                      <w:bCs/>
                      <w:color w:val="auto"/>
                      <w:kern w:val="44"/>
                      <w:szCs w:val="21"/>
                    </w:rPr>
                  </w:pPr>
                  <w:r>
                    <w:rPr>
                      <w:rFonts w:hint="eastAsia" w:cstheme="minorBidi"/>
                      <w:bCs/>
                      <w:color w:val="auto"/>
                      <w:kern w:val="44"/>
                      <w:szCs w:val="21"/>
                    </w:rPr>
                    <w:t>1.1基本要求：（1）矿区功能分区布局合理；应绿化和美化矿区，使整体环境整洁美观°</w:t>
                  </w:r>
                </w:p>
                <w:p w14:paraId="7201E7C2">
                  <w:pPr>
                    <w:jc w:val="center"/>
                    <w:rPr>
                      <w:rFonts w:cstheme="minorBidi"/>
                      <w:bCs/>
                      <w:color w:val="auto"/>
                      <w:kern w:val="44"/>
                      <w:szCs w:val="21"/>
                    </w:rPr>
                  </w:pPr>
                  <w:r>
                    <w:rPr>
                      <w:rFonts w:hint="eastAsia" w:cstheme="minorBidi"/>
                      <w:bCs/>
                      <w:color w:val="auto"/>
                      <w:kern w:val="44"/>
                      <w:szCs w:val="21"/>
                    </w:rPr>
                    <w:t>（2）开采、生产、运输、贮存管理规范有序。</w:t>
                  </w:r>
                </w:p>
              </w:tc>
              <w:tc>
                <w:tcPr>
                  <w:tcW w:w="2664" w:type="dxa"/>
                  <w:vAlign w:val="center"/>
                </w:tcPr>
                <w:p w14:paraId="24B6C5CC">
                  <w:pPr>
                    <w:jc w:val="center"/>
                    <w:rPr>
                      <w:rFonts w:cstheme="minorBidi"/>
                      <w:bCs/>
                      <w:color w:val="auto"/>
                      <w:kern w:val="44"/>
                      <w:szCs w:val="21"/>
                    </w:rPr>
                  </w:pPr>
                  <w:r>
                    <w:rPr>
                      <w:rFonts w:hint="eastAsia" w:cstheme="minorBidi"/>
                      <w:bCs/>
                      <w:color w:val="auto"/>
                      <w:kern w:val="44"/>
                      <w:szCs w:val="21"/>
                    </w:rPr>
                    <w:t>本项目矿区、运输道路分区布局合理，生产、运输、贮存管理规范。</w:t>
                  </w:r>
                </w:p>
              </w:tc>
              <w:tc>
                <w:tcPr>
                  <w:tcW w:w="769" w:type="dxa"/>
                  <w:vAlign w:val="center"/>
                </w:tcPr>
                <w:p w14:paraId="12CEFC5A">
                  <w:pPr>
                    <w:jc w:val="center"/>
                    <w:rPr>
                      <w:rFonts w:cstheme="minorBidi"/>
                      <w:bCs/>
                      <w:color w:val="auto"/>
                      <w:kern w:val="44"/>
                      <w:szCs w:val="21"/>
                    </w:rPr>
                  </w:pPr>
                  <w:r>
                    <w:rPr>
                      <w:rFonts w:hint="eastAsia" w:cstheme="minorBidi"/>
                      <w:bCs/>
                      <w:color w:val="auto"/>
                      <w:kern w:val="44"/>
                      <w:szCs w:val="21"/>
                    </w:rPr>
                    <w:t>符合</w:t>
                  </w:r>
                </w:p>
              </w:tc>
            </w:tr>
            <w:tr w14:paraId="1CA6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Merge w:val="continue"/>
                  <w:vAlign w:val="center"/>
                </w:tcPr>
                <w:p w14:paraId="71323F8A">
                  <w:pPr>
                    <w:jc w:val="center"/>
                    <w:rPr>
                      <w:rFonts w:cstheme="minorBidi"/>
                      <w:bCs/>
                      <w:color w:val="auto"/>
                      <w:kern w:val="44"/>
                      <w:szCs w:val="21"/>
                    </w:rPr>
                  </w:pPr>
                </w:p>
              </w:tc>
              <w:tc>
                <w:tcPr>
                  <w:tcW w:w="634" w:type="dxa"/>
                  <w:vMerge w:val="continue"/>
                  <w:vAlign w:val="center"/>
                </w:tcPr>
                <w:p w14:paraId="2FBC82BA">
                  <w:pPr>
                    <w:jc w:val="center"/>
                    <w:rPr>
                      <w:rFonts w:cstheme="minorBidi"/>
                      <w:bCs/>
                      <w:color w:val="auto"/>
                      <w:kern w:val="44"/>
                      <w:szCs w:val="21"/>
                    </w:rPr>
                  </w:pPr>
                </w:p>
              </w:tc>
              <w:tc>
                <w:tcPr>
                  <w:tcW w:w="2496" w:type="dxa"/>
                  <w:vAlign w:val="center"/>
                </w:tcPr>
                <w:p w14:paraId="6DEFDB21">
                  <w:pPr>
                    <w:jc w:val="center"/>
                    <w:rPr>
                      <w:rFonts w:cstheme="minorBidi"/>
                      <w:bCs/>
                      <w:color w:val="auto"/>
                      <w:kern w:val="44"/>
                      <w:szCs w:val="21"/>
                    </w:rPr>
                  </w:pPr>
                  <w:r>
                    <w:rPr>
                      <w:rFonts w:hint="eastAsia" w:cstheme="minorBidi"/>
                      <w:bCs/>
                      <w:color w:val="auto"/>
                      <w:kern w:val="44"/>
                      <w:szCs w:val="21"/>
                    </w:rPr>
                    <w:t>1.2矿容矿貌：（1）矿区按生产区、办公区、生活区和生态区等功能分区，</w:t>
                  </w:r>
                </w:p>
                <w:p w14:paraId="25B67EB8">
                  <w:pPr>
                    <w:jc w:val="center"/>
                    <w:rPr>
                      <w:rFonts w:cstheme="minorBidi"/>
                      <w:bCs/>
                      <w:color w:val="auto"/>
                      <w:kern w:val="44"/>
                      <w:szCs w:val="21"/>
                    </w:rPr>
                  </w:pPr>
                  <w:r>
                    <w:rPr>
                      <w:rFonts w:hint="eastAsia" w:cstheme="minorBidi"/>
                      <w:bCs/>
                      <w:color w:val="auto"/>
                      <w:kern w:val="44"/>
                      <w:szCs w:val="21"/>
                    </w:rPr>
                    <w:t>备功能区应符合GB50187的规定；应运行有序、管理规范。</w:t>
                  </w:r>
                </w:p>
                <w:p w14:paraId="65282AE3">
                  <w:pPr>
                    <w:jc w:val="center"/>
                    <w:rPr>
                      <w:rFonts w:cstheme="minorBidi"/>
                      <w:bCs/>
                      <w:color w:val="auto"/>
                      <w:kern w:val="44"/>
                      <w:szCs w:val="21"/>
                    </w:rPr>
                  </w:pPr>
                  <w:r>
                    <w:rPr>
                      <w:rFonts w:hint="eastAsia" w:cstheme="minorBidi"/>
                      <w:bCs/>
                      <w:color w:val="auto"/>
                      <w:kern w:val="44"/>
                      <w:szCs w:val="21"/>
                    </w:rPr>
                    <w:t>（2）矿区道路、供水、供电、卫生、环保等配套设施齐全；在生产区应设置线路示意牌、简介牌、岗位技术操作规程等标牌，标牌符合GB/T13306</w:t>
                  </w:r>
                </w:p>
                <w:p w14:paraId="510242B2">
                  <w:pPr>
                    <w:jc w:val="center"/>
                    <w:rPr>
                      <w:rFonts w:cstheme="minorBidi"/>
                      <w:bCs/>
                      <w:color w:val="auto"/>
                      <w:kern w:val="44"/>
                      <w:szCs w:val="21"/>
                    </w:rPr>
                  </w:pPr>
                  <w:r>
                    <w:rPr>
                      <w:rFonts w:hint="eastAsia" w:cstheme="minorBidi"/>
                      <w:bCs/>
                      <w:color w:val="auto"/>
                      <w:kern w:val="44"/>
                      <w:szCs w:val="21"/>
                    </w:rPr>
                    <w:t>的规定。</w:t>
                  </w:r>
                </w:p>
                <w:p w14:paraId="5EC586A5">
                  <w:pPr>
                    <w:jc w:val="center"/>
                    <w:rPr>
                      <w:rFonts w:cstheme="minorBidi"/>
                      <w:bCs/>
                      <w:color w:val="auto"/>
                      <w:kern w:val="44"/>
                      <w:szCs w:val="21"/>
                    </w:rPr>
                  </w:pPr>
                  <w:r>
                    <w:rPr>
                      <w:rFonts w:hint="eastAsia" w:cstheme="minorBidi"/>
                      <w:bCs/>
                      <w:color w:val="auto"/>
                      <w:kern w:val="44"/>
                      <w:szCs w:val="21"/>
                    </w:rPr>
                    <w:t>（3）矿山生产过程中应</w:t>
                  </w:r>
                  <w:r>
                    <w:rPr>
                      <w:rFonts w:hint="eastAsia" w:cstheme="minorBidi"/>
                      <w:bCs/>
                      <w:color w:val="auto"/>
                      <w:kern w:val="44"/>
                      <w:szCs w:val="21"/>
                      <w:lang w:eastAsia="zh-CN"/>
                    </w:rPr>
                    <w:t>采取</w:t>
                  </w:r>
                  <w:r>
                    <w:rPr>
                      <w:rFonts w:hint="eastAsia" w:cstheme="minorBidi"/>
                      <w:bCs/>
                      <w:color w:val="auto"/>
                      <w:kern w:val="44"/>
                      <w:szCs w:val="21"/>
                    </w:rPr>
                    <w:t>喷雾、喷洒水或生物纳膜、加装除尘设备等措施处理粉尘，应对输送系统、生产线、料库等</w:t>
                  </w:r>
                  <w:r>
                    <w:rPr>
                      <w:rFonts w:hint="eastAsia" w:cstheme="minorBidi"/>
                      <w:bCs/>
                      <w:color w:val="auto"/>
                      <w:kern w:val="44"/>
                      <w:szCs w:val="21"/>
                      <w:lang w:eastAsia="zh-CN"/>
                    </w:rPr>
                    <w:t>采取</w:t>
                  </w:r>
                  <w:r>
                    <w:rPr>
                      <w:rFonts w:hint="eastAsia" w:cstheme="minorBidi"/>
                      <w:bCs/>
                      <w:color w:val="auto"/>
                      <w:kern w:val="44"/>
                      <w:szCs w:val="21"/>
                    </w:rPr>
                    <w:t>有效措施进行抑尘，做好</w:t>
                  </w:r>
                </w:p>
                <w:p w14:paraId="5ACB5BEE">
                  <w:pPr>
                    <w:jc w:val="center"/>
                    <w:rPr>
                      <w:rFonts w:cstheme="minorBidi"/>
                      <w:bCs/>
                      <w:color w:val="auto"/>
                      <w:kern w:val="44"/>
                      <w:szCs w:val="21"/>
                    </w:rPr>
                  </w:pPr>
                  <w:r>
                    <w:rPr>
                      <w:rFonts w:hint="eastAsia" w:cstheme="minorBidi"/>
                      <w:bCs/>
                      <w:color w:val="auto"/>
                      <w:kern w:val="44"/>
                      <w:szCs w:val="21"/>
                    </w:rPr>
                    <w:t>车辆保洁，车辆驶离矿区必须冲洗，严禁运料遗撒和带泥上路，保持矿区及周边环境卫生。</w:t>
                  </w:r>
                </w:p>
                <w:p w14:paraId="46929A31">
                  <w:pPr>
                    <w:jc w:val="center"/>
                    <w:rPr>
                      <w:rFonts w:cstheme="minorBidi"/>
                      <w:bCs/>
                      <w:color w:val="auto"/>
                      <w:kern w:val="44"/>
                      <w:szCs w:val="21"/>
                    </w:rPr>
                  </w:pPr>
                  <w:r>
                    <w:rPr>
                      <w:rFonts w:hint="eastAsia" w:cstheme="minorBidi"/>
                      <w:bCs/>
                      <w:color w:val="auto"/>
                      <w:kern w:val="44"/>
                      <w:szCs w:val="21"/>
                    </w:rPr>
                    <w:t>（4）应采用合理有效的技术措施对高噪声设备进行降噪处理。</w:t>
                  </w:r>
                </w:p>
                <w:p w14:paraId="013236C0">
                  <w:pPr>
                    <w:jc w:val="center"/>
                    <w:rPr>
                      <w:rFonts w:cstheme="minorBidi"/>
                      <w:bCs/>
                      <w:color w:val="auto"/>
                      <w:kern w:val="44"/>
                      <w:szCs w:val="21"/>
                    </w:rPr>
                  </w:pPr>
                  <w:r>
                    <w:rPr>
                      <w:rFonts w:hint="eastAsia" w:cstheme="minorBidi"/>
                      <w:bCs/>
                      <w:color w:val="auto"/>
                      <w:kern w:val="44"/>
                      <w:szCs w:val="21"/>
                    </w:rPr>
                    <w:t>（5）矿区开采面、作业平台应干净整洁规范美观。</w:t>
                  </w:r>
                </w:p>
              </w:tc>
              <w:tc>
                <w:tcPr>
                  <w:tcW w:w="2664" w:type="dxa"/>
                  <w:vAlign w:val="center"/>
                </w:tcPr>
                <w:p w14:paraId="7E6B1B45">
                  <w:pPr>
                    <w:jc w:val="center"/>
                    <w:rPr>
                      <w:rFonts w:cstheme="minorBidi"/>
                      <w:bCs/>
                      <w:color w:val="auto"/>
                      <w:kern w:val="44"/>
                      <w:szCs w:val="21"/>
                    </w:rPr>
                  </w:pPr>
                  <w:r>
                    <w:rPr>
                      <w:rFonts w:hint="eastAsia" w:cstheme="minorBidi"/>
                      <w:bCs/>
                      <w:color w:val="auto"/>
                      <w:kern w:val="44"/>
                      <w:szCs w:val="21"/>
                    </w:rPr>
                    <w:t>矿区进行了功能分区，生产后按要求设置相应的管理机构及管理制度；矿区道</w:t>
                  </w:r>
                </w:p>
                <w:p w14:paraId="612FFD0C">
                  <w:pPr>
                    <w:jc w:val="center"/>
                    <w:rPr>
                      <w:rFonts w:cstheme="minorBidi"/>
                      <w:bCs/>
                      <w:color w:val="auto"/>
                      <w:kern w:val="44"/>
                      <w:szCs w:val="21"/>
                    </w:rPr>
                  </w:pPr>
                  <w:r>
                    <w:rPr>
                      <w:rFonts w:hint="eastAsia" w:cstheme="minorBidi"/>
                      <w:bCs/>
                      <w:color w:val="auto"/>
                      <w:kern w:val="44"/>
                      <w:szCs w:val="21"/>
                    </w:rPr>
                    <w:t>路、供水、环保配套设施齐全，设置安全标志和指示牌；矿区开采作业面及建筑用砂装卸过程中采用雾炮机水雾增湿除尘方式降尘；表土堆场、运输道路采取洒水降尘方式</w:t>
                  </w:r>
                  <w:r>
                    <w:rPr>
                      <w:rFonts w:hint="eastAsia" w:cstheme="minorBidi"/>
                      <w:bCs/>
                      <w:color w:val="auto"/>
                      <w:kern w:val="44"/>
                      <w:szCs w:val="21"/>
                      <w:lang w:eastAsia="zh-CN"/>
                    </w:rPr>
                    <w:t>；</w:t>
                  </w:r>
                  <w:r>
                    <w:rPr>
                      <w:rFonts w:hint="eastAsia" w:cstheme="minorBidi"/>
                      <w:bCs/>
                      <w:color w:val="auto"/>
                      <w:kern w:val="44"/>
                      <w:szCs w:val="21"/>
                    </w:rPr>
                    <w:t>车辆清洗废水经沉淀池处理后用于车辆清洗</w:t>
                  </w:r>
                  <w:r>
                    <w:rPr>
                      <w:rFonts w:hint="eastAsia" w:cstheme="minorBidi"/>
                      <w:bCs/>
                      <w:color w:val="auto"/>
                      <w:kern w:val="44"/>
                      <w:szCs w:val="21"/>
                      <w:lang w:eastAsia="zh-CN"/>
                    </w:rPr>
                    <w:t>；</w:t>
                  </w:r>
                  <w:r>
                    <w:rPr>
                      <w:color w:val="auto"/>
                      <w:spacing w:val="-2"/>
                      <w:szCs w:val="21"/>
                    </w:rPr>
                    <w:t>矿区</w:t>
                  </w:r>
                  <w:r>
                    <w:rPr>
                      <w:rFonts w:hint="eastAsia"/>
                      <w:color w:val="auto"/>
                      <w:spacing w:val="-2"/>
                      <w:szCs w:val="21"/>
                    </w:rPr>
                    <w:t>不设办公生活区，运营期设1处环保厕所</w:t>
                  </w:r>
                  <w:r>
                    <w:rPr>
                      <w:rFonts w:hint="eastAsia"/>
                      <w:color w:val="auto"/>
                      <w:spacing w:val="-2"/>
                      <w:szCs w:val="21"/>
                      <w:lang w:val="en-US" w:eastAsia="zh-CN"/>
                    </w:rPr>
                    <w:t>和1座防渗化粪池</w:t>
                  </w:r>
                  <w:r>
                    <w:rPr>
                      <w:rFonts w:hint="eastAsia"/>
                      <w:color w:val="auto"/>
                      <w:spacing w:val="-2"/>
                      <w:szCs w:val="21"/>
                    </w:rPr>
                    <w:t>，定期由吸污车拉运至奇台县污水处理厂进一步处理。</w:t>
                  </w:r>
                  <w:r>
                    <w:rPr>
                      <w:rFonts w:hint="eastAsia" w:cstheme="minorBidi"/>
                      <w:bCs/>
                      <w:color w:val="auto"/>
                      <w:kern w:val="44"/>
                      <w:szCs w:val="21"/>
                    </w:rPr>
                    <w:t>弃土及时回填，废气、噪声经处理后排放符合要求。开采后及时对矿区作业平台进行清理，保持整洁美观。</w:t>
                  </w:r>
                </w:p>
              </w:tc>
              <w:tc>
                <w:tcPr>
                  <w:tcW w:w="769" w:type="dxa"/>
                  <w:vAlign w:val="center"/>
                </w:tcPr>
                <w:p w14:paraId="090B96D8">
                  <w:pPr>
                    <w:jc w:val="center"/>
                    <w:rPr>
                      <w:rFonts w:cstheme="minorBidi"/>
                      <w:bCs/>
                      <w:color w:val="auto"/>
                      <w:kern w:val="44"/>
                      <w:szCs w:val="21"/>
                    </w:rPr>
                  </w:pPr>
                  <w:r>
                    <w:rPr>
                      <w:rFonts w:hint="eastAsia" w:cstheme="minorBidi"/>
                      <w:bCs/>
                      <w:color w:val="auto"/>
                      <w:kern w:val="44"/>
                      <w:szCs w:val="21"/>
                    </w:rPr>
                    <w:t>符合</w:t>
                  </w:r>
                </w:p>
              </w:tc>
            </w:tr>
            <w:tr w14:paraId="09E1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3EBBD3C4">
                  <w:pPr>
                    <w:jc w:val="center"/>
                    <w:rPr>
                      <w:rFonts w:cstheme="minorBidi"/>
                      <w:bCs/>
                      <w:color w:val="auto"/>
                      <w:kern w:val="44"/>
                      <w:szCs w:val="21"/>
                    </w:rPr>
                  </w:pPr>
                </w:p>
              </w:tc>
              <w:tc>
                <w:tcPr>
                  <w:tcW w:w="634" w:type="dxa"/>
                  <w:vMerge w:val="continue"/>
                  <w:vAlign w:val="center"/>
                </w:tcPr>
                <w:p w14:paraId="46B7D447">
                  <w:pPr>
                    <w:jc w:val="center"/>
                    <w:rPr>
                      <w:rFonts w:cstheme="minorBidi"/>
                      <w:bCs/>
                      <w:color w:val="auto"/>
                      <w:kern w:val="44"/>
                      <w:szCs w:val="21"/>
                    </w:rPr>
                  </w:pPr>
                </w:p>
              </w:tc>
              <w:tc>
                <w:tcPr>
                  <w:tcW w:w="2496" w:type="dxa"/>
                  <w:vAlign w:val="center"/>
                </w:tcPr>
                <w:p w14:paraId="15578BFA">
                  <w:pPr>
                    <w:jc w:val="center"/>
                    <w:rPr>
                      <w:rFonts w:cstheme="minorBidi"/>
                      <w:bCs/>
                      <w:color w:val="auto"/>
                      <w:kern w:val="44"/>
                      <w:szCs w:val="21"/>
                    </w:rPr>
                  </w:pPr>
                  <w:r>
                    <w:rPr>
                      <w:rFonts w:hint="eastAsia" w:cstheme="minorBidi"/>
                      <w:bCs/>
                      <w:color w:val="auto"/>
                      <w:kern w:val="44"/>
                      <w:szCs w:val="21"/>
                    </w:rPr>
                    <w:t>1.3（1）矿区绿化应与周边自然环境和景观相协调，绿化植物搭配合理，矿区绿化覆盖率应达到100%。</w:t>
                  </w:r>
                </w:p>
                <w:p w14:paraId="5AA1A3AD">
                  <w:pPr>
                    <w:jc w:val="center"/>
                    <w:rPr>
                      <w:rFonts w:cstheme="minorBidi"/>
                      <w:bCs/>
                      <w:color w:val="auto"/>
                      <w:kern w:val="44"/>
                      <w:szCs w:val="21"/>
                    </w:rPr>
                  </w:pPr>
                  <w:r>
                    <w:rPr>
                      <w:rFonts w:hint="eastAsia" w:cstheme="minorBidi"/>
                      <w:bCs/>
                      <w:color w:val="auto"/>
                      <w:kern w:val="44"/>
                      <w:szCs w:val="21"/>
                    </w:rPr>
                    <w:t>（2）应对排土场进行整理、复垦及绿化，在矿区专用道路两侧因地制宜地设置隔离绿化带。</w:t>
                  </w:r>
                </w:p>
              </w:tc>
              <w:tc>
                <w:tcPr>
                  <w:tcW w:w="2664" w:type="dxa"/>
                  <w:vAlign w:val="center"/>
                </w:tcPr>
                <w:p w14:paraId="061103FC">
                  <w:pPr>
                    <w:jc w:val="center"/>
                    <w:rPr>
                      <w:rFonts w:cstheme="minorBidi"/>
                      <w:bCs/>
                      <w:color w:val="auto"/>
                      <w:kern w:val="44"/>
                      <w:szCs w:val="21"/>
                    </w:rPr>
                  </w:pPr>
                  <w:r>
                    <w:rPr>
                      <w:rFonts w:cstheme="minorBidi"/>
                      <w:bCs/>
                      <w:color w:val="auto"/>
                      <w:kern w:val="44"/>
                      <w:szCs w:val="21"/>
                    </w:rPr>
                    <w:t>根据开采进度，对开采区域逐步复垦绿化，对空出的场地进行平整，对边坡进行修坡整饰，然后进行覆土种草，并进行养护，确保草的正常生长。</w:t>
                  </w:r>
                </w:p>
              </w:tc>
              <w:tc>
                <w:tcPr>
                  <w:tcW w:w="769" w:type="dxa"/>
                  <w:vAlign w:val="center"/>
                </w:tcPr>
                <w:p w14:paraId="55D28FBF">
                  <w:pPr>
                    <w:jc w:val="center"/>
                    <w:rPr>
                      <w:rFonts w:cstheme="minorBidi"/>
                      <w:bCs/>
                      <w:color w:val="auto"/>
                      <w:kern w:val="44"/>
                      <w:szCs w:val="21"/>
                    </w:rPr>
                  </w:pPr>
                  <w:r>
                    <w:rPr>
                      <w:rFonts w:hint="eastAsia" w:cstheme="minorBidi"/>
                      <w:bCs/>
                      <w:color w:val="auto"/>
                      <w:kern w:val="44"/>
                      <w:szCs w:val="21"/>
                    </w:rPr>
                    <w:t>符合</w:t>
                  </w:r>
                </w:p>
              </w:tc>
            </w:tr>
            <w:tr w14:paraId="5343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27CE0112">
                  <w:pPr>
                    <w:jc w:val="center"/>
                    <w:rPr>
                      <w:rFonts w:cstheme="minorBidi"/>
                      <w:bCs/>
                      <w:color w:val="auto"/>
                      <w:kern w:val="44"/>
                      <w:szCs w:val="21"/>
                    </w:rPr>
                  </w:pPr>
                  <w:r>
                    <w:rPr>
                      <w:rFonts w:hint="eastAsia" w:cstheme="minorBidi"/>
                      <w:bCs/>
                      <w:color w:val="auto"/>
                      <w:kern w:val="44"/>
                      <w:szCs w:val="21"/>
                    </w:rPr>
                    <w:t>2</w:t>
                  </w:r>
                </w:p>
              </w:tc>
              <w:tc>
                <w:tcPr>
                  <w:tcW w:w="634" w:type="dxa"/>
                  <w:vMerge w:val="restart"/>
                  <w:vAlign w:val="center"/>
                </w:tcPr>
                <w:p w14:paraId="250BE662">
                  <w:pPr>
                    <w:jc w:val="center"/>
                    <w:rPr>
                      <w:rFonts w:cstheme="minorBidi"/>
                      <w:bCs/>
                      <w:color w:val="auto"/>
                      <w:kern w:val="44"/>
                      <w:szCs w:val="21"/>
                    </w:rPr>
                  </w:pPr>
                  <w:r>
                    <w:rPr>
                      <w:rFonts w:cstheme="minorBidi"/>
                      <w:bCs/>
                      <w:color w:val="auto"/>
                      <w:kern w:val="44"/>
                      <w:szCs w:val="21"/>
                    </w:rPr>
                    <w:t>资源开发方式</w:t>
                  </w:r>
                </w:p>
              </w:tc>
              <w:tc>
                <w:tcPr>
                  <w:tcW w:w="2496" w:type="dxa"/>
                  <w:vAlign w:val="center"/>
                </w:tcPr>
                <w:p w14:paraId="54920515">
                  <w:pPr>
                    <w:jc w:val="center"/>
                    <w:rPr>
                      <w:rFonts w:cstheme="minorBidi"/>
                      <w:bCs/>
                      <w:color w:val="auto"/>
                      <w:kern w:val="44"/>
                      <w:szCs w:val="21"/>
                    </w:rPr>
                  </w:pPr>
                  <w:r>
                    <w:rPr>
                      <w:rFonts w:hint="eastAsia" w:cstheme="minorBidi"/>
                      <w:bCs/>
                      <w:color w:val="auto"/>
                      <w:kern w:val="44"/>
                      <w:szCs w:val="21"/>
                    </w:rPr>
                    <w:t>2.1基本要求（1）资源开发应与环境保护、资源保护、城乡建设相协调，最大限度减少对自然环境的扰动和破坏，选择资源节约型、环境友好型开发方式。</w:t>
                  </w:r>
                </w:p>
                <w:p w14:paraId="00D9DB69">
                  <w:pPr>
                    <w:jc w:val="center"/>
                    <w:rPr>
                      <w:rFonts w:cstheme="minorBidi"/>
                      <w:bCs/>
                      <w:color w:val="auto"/>
                      <w:kern w:val="44"/>
                      <w:szCs w:val="21"/>
                    </w:rPr>
                  </w:pPr>
                  <w:r>
                    <w:rPr>
                      <w:rFonts w:hint="eastAsia" w:cstheme="minorBidi"/>
                      <w:bCs/>
                      <w:color w:val="auto"/>
                      <w:kern w:val="44"/>
                      <w:szCs w:val="21"/>
                    </w:rPr>
                    <w:t>（2）采用先进的工艺技术和设备，做到绿色开采、绿色生产、绿色贮存、绿色运输。</w:t>
                  </w:r>
                </w:p>
                <w:p w14:paraId="40C30A62">
                  <w:pPr>
                    <w:jc w:val="center"/>
                    <w:rPr>
                      <w:rFonts w:cstheme="minorBidi"/>
                      <w:bCs/>
                      <w:color w:val="auto"/>
                      <w:kern w:val="44"/>
                      <w:szCs w:val="21"/>
                    </w:rPr>
                  </w:pPr>
                  <w:r>
                    <w:rPr>
                      <w:rFonts w:hint="eastAsia" w:cstheme="minorBidi"/>
                      <w:bCs/>
                      <w:color w:val="auto"/>
                      <w:kern w:val="44"/>
                      <w:szCs w:val="21"/>
                    </w:rPr>
                    <w:t>（3）应贯彻“边开采、边恢复”的原则，及时治理恢复矿山地质环境，复垦矿山压占和损毁土地。治理率和复垦率应达到矿石地质环境保护与土地复垦的要求。</w:t>
                  </w:r>
                </w:p>
              </w:tc>
              <w:tc>
                <w:tcPr>
                  <w:tcW w:w="2664" w:type="dxa"/>
                  <w:vAlign w:val="center"/>
                </w:tcPr>
                <w:p w14:paraId="15723722">
                  <w:pPr>
                    <w:jc w:val="center"/>
                    <w:rPr>
                      <w:rFonts w:cstheme="minorBidi"/>
                      <w:bCs/>
                      <w:color w:val="auto"/>
                      <w:kern w:val="44"/>
                      <w:szCs w:val="21"/>
                    </w:rPr>
                  </w:pPr>
                  <w:r>
                    <w:rPr>
                      <w:rFonts w:cstheme="minorBidi"/>
                      <w:bCs/>
                      <w:color w:val="auto"/>
                      <w:kern w:val="44"/>
                      <w:szCs w:val="21"/>
                    </w:rPr>
                    <w:t>本项目矿产资源开发符合环境保护、城乡建设相关规划；选择的开采顺序、开采</w:t>
                  </w:r>
                </w:p>
                <w:p w14:paraId="59B9D703">
                  <w:pPr>
                    <w:jc w:val="center"/>
                    <w:rPr>
                      <w:rFonts w:cstheme="minorBidi"/>
                      <w:bCs/>
                      <w:color w:val="auto"/>
                      <w:kern w:val="44"/>
                      <w:szCs w:val="21"/>
                    </w:rPr>
                  </w:pPr>
                  <w:r>
                    <w:rPr>
                      <w:rFonts w:cstheme="minorBidi"/>
                      <w:bCs/>
                      <w:color w:val="auto"/>
                      <w:kern w:val="44"/>
                      <w:szCs w:val="21"/>
                    </w:rPr>
                    <w:t>方式、开采方法合理：贯彻了“边开采、边恢复”的原则，及时治理恢复矿山地</w:t>
                  </w:r>
                </w:p>
                <w:p w14:paraId="497A68C1">
                  <w:pPr>
                    <w:jc w:val="center"/>
                    <w:rPr>
                      <w:rFonts w:cstheme="minorBidi"/>
                      <w:bCs/>
                      <w:color w:val="auto"/>
                      <w:kern w:val="44"/>
                      <w:szCs w:val="21"/>
                    </w:rPr>
                  </w:pPr>
                  <w:r>
                    <w:rPr>
                      <w:rFonts w:cstheme="minorBidi"/>
                      <w:bCs/>
                      <w:color w:val="auto"/>
                      <w:kern w:val="44"/>
                      <w:szCs w:val="21"/>
                    </w:rPr>
                    <w:t>质环境，矿山占用土地和损毁土地治理率和复垦率达到矿山地质环境保护与土地复垦方案的要求</w:t>
                  </w:r>
                  <w:r>
                    <w:rPr>
                      <w:rFonts w:hint="eastAsia" w:cstheme="minorBidi"/>
                      <w:bCs/>
                      <w:color w:val="auto"/>
                      <w:kern w:val="44"/>
                      <w:szCs w:val="21"/>
                    </w:rPr>
                    <w:t>。</w:t>
                  </w:r>
                </w:p>
              </w:tc>
              <w:tc>
                <w:tcPr>
                  <w:tcW w:w="769" w:type="dxa"/>
                  <w:vAlign w:val="center"/>
                </w:tcPr>
                <w:p w14:paraId="781185B5">
                  <w:pPr>
                    <w:jc w:val="center"/>
                    <w:rPr>
                      <w:rFonts w:cstheme="minorBidi"/>
                      <w:bCs/>
                      <w:color w:val="auto"/>
                      <w:kern w:val="44"/>
                      <w:szCs w:val="21"/>
                    </w:rPr>
                  </w:pPr>
                  <w:r>
                    <w:rPr>
                      <w:rFonts w:hint="eastAsia" w:cstheme="minorBidi"/>
                      <w:bCs/>
                      <w:color w:val="auto"/>
                      <w:kern w:val="44"/>
                      <w:szCs w:val="21"/>
                    </w:rPr>
                    <w:t>符合</w:t>
                  </w:r>
                </w:p>
              </w:tc>
            </w:tr>
            <w:tr w14:paraId="7EF4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5C34A57A">
                  <w:pPr>
                    <w:jc w:val="center"/>
                    <w:rPr>
                      <w:rFonts w:cstheme="minorBidi"/>
                      <w:bCs/>
                      <w:color w:val="auto"/>
                      <w:kern w:val="44"/>
                      <w:szCs w:val="21"/>
                    </w:rPr>
                  </w:pPr>
                </w:p>
              </w:tc>
              <w:tc>
                <w:tcPr>
                  <w:tcW w:w="634" w:type="dxa"/>
                  <w:vMerge w:val="continue"/>
                  <w:vAlign w:val="center"/>
                </w:tcPr>
                <w:p w14:paraId="6ABD2B0F">
                  <w:pPr>
                    <w:jc w:val="center"/>
                    <w:rPr>
                      <w:rFonts w:cstheme="minorBidi"/>
                      <w:bCs/>
                      <w:color w:val="auto"/>
                      <w:kern w:val="44"/>
                      <w:szCs w:val="21"/>
                    </w:rPr>
                  </w:pPr>
                </w:p>
              </w:tc>
              <w:tc>
                <w:tcPr>
                  <w:tcW w:w="2496" w:type="dxa"/>
                  <w:vAlign w:val="center"/>
                </w:tcPr>
                <w:p w14:paraId="7629D44F">
                  <w:pPr>
                    <w:jc w:val="center"/>
                    <w:rPr>
                      <w:rFonts w:cstheme="minorBidi"/>
                      <w:bCs/>
                      <w:color w:val="auto"/>
                      <w:kern w:val="44"/>
                      <w:szCs w:val="21"/>
                    </w:rPr>
                  </w:pPr>
                  <w:r>
                    <w:rPr>
                      <w:rFonts w:hint="eastAsia" w:cstheme="minorBidi"/>
                      <w:bCs/>
                      <w:color w:val="auto"/>
                      <w:kern w:val="44"/>
                      <w:szCs w:val="21"/>
                    </w:rPr>
                    <w:t>2.2（1）应做好矿石中长期开采规划和短期开采计划的编制，采场工作</w:t>
                  </w:r>
                  <w:r>
                    <w:rPr>
                      <w:rFonts w:hint="eastAsia" w:cstheme="minorBidi"/>
                      <w:bCs/>
                      <w:color w:val="auto"/>
                      <w:kern w:val="44"/>
                      <w:szCs w:val="21"/>
                      <w:lang w:val="en-US" w:eastAsia="zh-CN"/>
                    </w:rPr>
                    <w:t>面</w:t>
                  </w:r>
                  <w:r>
                    <w:rPr>
                      <w:rFonts w:hint="eastAsia" w:cstheme="minorBidi"/>
                      <w:bCs/>
                      <w:color w:val="auto"/>
                      <w:kern w:val="44"/>
                      <w:szCs w:val="21"/>
                    </w:rPr>
                    <w:t>推进均衡有序。</w:t>
                  </w:r>
                </w:p>
                <w:p w14:paraId="3DC2D030">
                  <w:pPr>
                    <w:jc w:val="center"/>
                    <w:rPr>
                      <w:rFonts w:cstheme="minorBidi"/>
                      <w:bCs/>
                      <w:color w:val="auto"/>
                      <w:kern w:val="44"/>
                      <w:szCs w:val="21"/>
                    </w:rPr>
                  </w:pPr>
                  <w:r>
                    <w:rPr>
                      <w:rFonts w:hint="eastAsia" w:cstheme="minorBidi"/>
                      <w:bCs/>
                      <w:color w:val="auto"/>
                      <w:kern w:val="44"/>
                      <w:szCs w:val="21"/>
                    </w:rPr>
                    <w:t>（2）采场准备应遵循采剥并举、剥离先行的原则，最大限度保留原生自然环境，减少环境扰动</w:t>
                  </w:r>
                </w:p>
                <w:p w14:paraId="75B99415">
                  <w:pPr>
                    <w:jc w:val="center"/>
                    <w:rPr>
                      <w:rFonts w:cstheme="minorBidi"/>
                      <w:bCs/>
                      <w:color w:val="auto"/>
                      <w:kern w:val="44"/>
                      <w:szCs w:val="21"/>
                    </w:rPr>
                  </w:pPr>
                  <w:r>
                    <w:rPr>
                      <w:rFonts w:hint="eastAsia" w:cstheme="minorBidi"/>
                      <w:bCs/>
                      <w:color w:val="auto"/>
                      <w:kern w:val="44"/>
                      <w:szCs w:val="21"/>
                    </w:rPr>
                    <w:t>（3）排土场应通过勘测选择地质条件稳定的场所，避免占压可采矿量，并方便未来矿区进行环境恢复治理和土地复垦时取用。</w:t>
                  </w:r>
                </w:p>
              </w:tc>
              <w:tc>
                <w:tcPr>
                  <w:tcW w:w="2664" w:type="dxa"/>
                  <w:vAlign w:val="center"/>
                </w:tcPr>
                <w:p w14:paraId="6B72D0E1">
                  <w:pPr>
                    <w:jc w:val="center"/>
                    <w:rPr>
                      <w:rFonts w:cstheme="minorBidi"/>
                      <w:bCs/>
                      <w:color w:val="auto"/>
                      <w:kern w:val="44"/>
                      <w:szCs w:val="21"/>
                    </w:rPr>
                  </w:pPr>
                  <w:r>
                    <w:rPr>
                      <w:rFonts w:cstheme="minorBidi"/>
                      <w:bCs/>
                      <w:color w:val="auto"/>
                      <w:kern w:val="44"/>
                      <w:szCs w:val="21"/>
                    </w:rPr>
                    <w:t>本项目已委托专业单位按相关要求进行开采设计，做好开采规划；本项目为露</w:t>
                  </w:r>
                </w:p>
                <w:p w14:paraId="2EC42D44">
                  <w:pPr>
                    <w:jc w:val="center"/>
                    <w:rPr>
                      <w:rFonts w:cstheme="minorBidi"/>
                      <w:bCs/>
                      <w:color w:val="auto"/>
                      <w:kern w:val="44"/>
                      <w:szCs w:val="21"/>
                    </w:rPr>
                  </w:pPr>
                  <w:r>
                    <w:rPr>
                      <w:rFonts w:cstheme="minorBidi"/>
                      <w:bCs/>
                      <w:color w:val="auto"/>
                      <w:kern w:val="44"/>
                      <w:szCs w:val="21"/>
                    </w:rPr>
                    <w:t>天开采，根据开采利用方案，本项目表土堆场设置</w:t>
                  </w:r>
                  <w:r>
                    <w:rPr>
                      <w:rFonts w:hint="eastAsia" w:cstheme="minorBidi"/>
                      <w:bCs/>
                      <w:color w:val="auto"/>
                      <w:kern w:val="44"/>
                      <w:szCs w:val="21"/>
                    </w:rPr>
                    <w:t>矿区</w:t>
                  </w:r>
                  <w:r>
                    <w:rPr>
                      <w:rFonts w:cstheme="minorBidi"/>
                      <w:bCs/>
                      <w:color w:val="auto"/>
                      <w:kern w:val="44"/>
                      <w:szCs w:val="21"/>
                    </w:rPr>
                    <w:t>内，地质条件稳定，剥离表土用于土地复垦。</w:t>
                  </w:r>
                </w:p>
              </w:tc>
              <w:tc>
                <w:tcPr>
                  <w:tcW w:w="769" w:type="dxa"/>
                  <w:vAlign w:val="center"/>
                </w:tcPr>
                <w:p w14:paraId="37096857">
                  <w:pPr>
                    <w:jc w:val="center"/>
                    <w:rPr>
                      <w:rFonts w:cstheme="minorBidi"/>
                      <w:bCs/>
                      <w:color w:val="auto"/>
                      <w:kern w:val="44"/>
                      <w:szCs w:val="21"/>
                    </w:rPr>
                  </w:pPr>
                  <w:r>
                    <w:rPr>
                      <w:rFonts w:hint="eastAsia" w:cstheme="minorBidi"/>
                      <w:bCs/>
                      <w:color w:val="auto"/>
                      <w:kern w:val="44"/>
                      <w:szCs w:val="21"/>
                    </w:rPr>
                    <w:t>符合</w:t>
                  </w:r>
                </w:p>
              </w:tc>
            </w:tr>
            <w:tr w14:paraId="3AEA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06" w:type="dxa"/>
                  <w:vMerge w:val="continue"/>
                  <w:vAlign w:val="center"/>
                </w:tcPr>
                <w:p w14:paraId="0800CD04">
                  <w:pPr>
                    <w:jc w:val="center"/>
                    <w:rPr>
                      <w:rFonts w:cstheme="minorBidi"/>
                      <w:bCs/>
                      <w:color w:val="auto"/>
                      <w:kern w:val="44"/>
                      <w:szCs w:val="21"/>
                    </w:rPr>
                  </w:pPr>
                </w:p>
              </w:tc>
              <w:tc>
                <w:tcPr>
                  <w:tcW w:w="634" w:type="dxa"/>
                  <w:vMerge w:val="continue"/>
                  <w:vAlign w:val="center"/>
                </w:tcPr>
                <w:p w14:paraId="21C5D25E">
                  <w:pPr>
                    <w:jc w:val="center"/>
                    <w:rPr>
                      <w:rFonts w:cstheme="minorBidi"/>
                      <w:bCs/>
                      <w:color w:val="auto"/>
                      <w:kern w:val="44"/>
                      <w:szCs w:val="21"/>
                    </w:rPr>
                  </w:pPr>
                </w:p>
              </w:tc>
              <w:tc>
                <w:tcPr>
                  <w:tcW w:w="2496" w:type="dxa"/>
                  <w:vAlign w:val="center"/>
                </w:tcPr>
                <w:p w14:paraId="3D2437AA">
                  <w:pPr>
                    <w:rPr>
                      <w:rFonts w:cstheme="minorBidi"/>
                      <w:bCs/>
                      <w:color w:val="auto"/>
                      <w:kern w:val="44"/>
                      <w:szCs w:val="21"/>
                    </w:rPr>
                  </w:pPr>
                  <w:r>
                    <w:rPr>
                      <w:rFonts w:hint="eastAsia" w:cstheme="minorBidi"/>
                      <w:bCs/>
                      <w:color w:val="auto"/>
                      <w:kern w:val="44"/>
                      <w:szCs w:val="21"/>
                    </w:rPr>
                    <w:t>2.3绿色生产</w:t>
                  </w:r>
                </w:p>
                <w:p w14:paraId="31785498">
                  <w:pPr>
                    <w:jc w:val="center"/>
                    <w:rPr>
                      <w:rFonts w:cstheme="minorBidi"/>
                      <w:bCs/>
                      <w:color w:val="auto"/>
                      <w:kern w:val="44"/>
                      <w:szCs w:val="21"/>
                    </w:rPr>
                  </w:pPr>
                  <w:r>
                    <w:rPr>
                      <w:rFonts w:hint="eastAsia" w:cstheme="minorBidi"/>
                      <w:bCs/>
                      <w:color w:val="auto"/>
                      <w:kern w:val="44"/>
                      <w:szCs w:val="21"/>
                    </w:rPr>
                    <w:t>（1）生产线设计应符合GB51186的要求。</w:t>
                  </w:r>
                </w:p>
                <w:p w14:paraId="70520AE8">
                  <w:pPr>
                    <w:jc w:val="center"/>
                    <w:rPr>
                      <w:rFonts w:cstheme="minorBidi"/>
                      <w:bCs/>
                      <w:color w:val="auto"/>
                      <w:kern w:val="44"/>
                      <w:szCs w:val="21"/>
                    </w:rPr>
                  </w:pPr>
                  <w:r>
                    <w:rPr>
                      <w:rFonts w:hint="eastAsia" w:cstheme="minorBidi"/>
                      <w:bCs/>
                      <w:color w:val="auto"/>
                      <w:kern w:val="44"/>
                      <w:szCs w:val="21"/>
                    </w:rPr>
                    <w:t>（2）应根据母岩材质性能、产品结构、产能要求等因素选择先进工艺和设备，配置与生产规模和工艺相符的辅助设施，合理规划堆料、装卸以及设备检修维护场地。根据原料品质分级利用砂石资源，做到优质优用，提高砂石产品的成品率。</w:t>
                  </w:r>
                </w:p>
                <w:p w14:paraId="16794F42">
                  <w:pPr>
                    <w:jc w:val="center"/>
                    <w:rPr>
                      <w:rFonts w:cstheme="minorBidi"/>
                      <w:bCs/>
                      <w:color w:val="auto"/>
                      <w:kern w:val="44"/>
                      <w:szCs w:val="21"/>
                    </w:rPr>
                  </w:pPr>
                  <w:r>
                    <w:rPr>
                      <w:rFonts w:hint="eastAsia" w:cstheme="minorBidi"/>
                      <w:bCs/>
                      <w:color w:val="auto"/>
                      <w:kern w:val="44"/>
                      <w:szCs w:val="21"/>
                    </w:rPr>
                    <w:t>（3）干法生产应配备高效除尘设备，并保持与生产设备同步运行。湿法生产应配置泥粉和水分离、废水处理和循环使用系统。生产加工车间的产尘点要封闭。</w:t>
                  </w:r>
                </w:p>
                <w:p w14:paraId="46E25CE2">
                  <w:pPr>
                    <w:jc w:val="center"/>
                    <w:rPr>
                      <w:color w:val="auto"/>
                    </w:rPr>
                  </w:pPr>
                  <w:r>
                    <w:rPr>
                      <w:rFonts w:hint="eastAsia" w:cstheme="minorBidi"/>
                      <w:bCs/>
                      <w:color w:val="auto"/>
                      <w:kern w:val="44"/>
                      <w:szCs w:val="21"/>
                    </w:rPr>
                    <w:t>（4）合理设计工艺布置，控制噪声传播。砂石骨料成品堆场（库）应地面硬化，分类或分仓储存。</w:t>
                  </w:r>
                </w:p>
              </w:tc>
              <w:tc>
                <w:tcPr>
                  <w:tcW w:w="2664" w:type="dxa"/>
                  <w:vAlign w:val="center"/>
                </w:tcPr>
                <w:p w14:paraId="751235FF">
                  <w:pPr>
                    <w:jc w:val="center"/>
                    <w:rPr>
                      <w:rFonts w:cstheme="minorBidi"/>
                      <w:bCs/>
                      <w:color w:val="auto"/>
                      <w:kern w:val="44"/>
                      <w:szCs w:val="21"/>
                    </w:rPr>
                  </w:pPr>
                  <w:r>
                    <w:rPr>
                      <w:rFonts w:cstheme="minorBidi"/>
                      <w:bCs/>
                      <w:color w:val="auto"/>
                      <w:kern w:val="44"/>
                      <w:szCs w:val="21"/>
                    </w:rPr>
                    <w:t>生产区按照节能、环保、安全、高效的理念合理布局，选用先进的生产工艺，矿区</w:t>
                  </w:r>
                </w:p>
                <w:p w14:paraId="56AE670E">
                  <w:pPr>
                    <w:jc w:val="center"/>
                    <w:rPr>
                      <w:rFonts w:cstheme="minorBidi"/>
                      <w:bCs/>
                      <w:color w:val="auto"/>
                      <w:kern w:val="44"/>
                      <w:szCs w:val="21"/>
                    </w:rPr>
                  </w:pPr>
                  <w:r>
                    <w:rPr>
                      <w:rFonts w:cstheme="minorBidi"/>
                      <w:bCs/>
                      <w:color w:val="auto"/>
                      <w:kern w:val="44"/>
                      <w:szCs w:val="21"/>
                    </w:rPr>
                    <w:t>设备噪声选用低噪声设备，对于高噪声设备采用减震等措施减少噪声产生。矿</w:t>
                  </w:r>
                </w:p>
                <w:p w14:paraId="7BB461D1">
                  <w:pPr>
                    <w:jc w:val="center"/>
                    <w:rPr>
                      <w:rFonts w:cstheme="minorBidi"/>
                      <w:bCs/>
                      <w:color w:val="auto"/>
                      <w:kern w:val="44"/>
                      <w:szCs w:val="21"/>
                    </w:rPr>
                  </w:pPr>
                  <w:r>
                    <w:rPr>
                      <w:rFonts w:cstheme="minorBidi"/>
                      <w:bCs/>
                      <w:color w:val="auto"/>
                      <w:kern w:val="44"/>
                      <w:szCs w:val="21"/>
                    </w:rPr>
                    <w:t>区地面采用碎石覆盖进行硬化。</w:t>
                  </w:r>
                </w:p>
              </w:tc>
              <w:tc>
                <w:tcPr>
                  <w:tcW w:w="769" w:type="dxa"/>
                  <w:vAlign w:val="center"/>
                </w:tcPr>
                <w:p w14:paraId="5219980B">
                  <w:pPr>
                    <w:jc w:val="center"/>
                    <w:rPr>
                      <w:rFonts w:cstheme="minorBidi"/>
                      <w:bCs/>
                      <w:color w:val="auto"/>
                      <w:kern w:val="44"/>
                      <w:szCs w:val="21"/>
                    </w:rPr>
                  </w:pPr>
                  <w:r>
                    <w:rPr>
                      <w:rFonts w:hint="eastAsia" w:cstheme="minorBidi"/>
                      <w:bCs/>
                      <w:color w:val="auto"/>
                      <w:kern w:val="44"/>
                      <w:szCs w:val="21"/>
                    </w:rPr>
                    <w:t>符合</w:t>
                  </w:r>
                </w:p>
              </w:tc>
            </w:tr>
            <w:tr w14:paraId="2918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06" w:type="dxa"/>
                  <w:vMerge w:val="continue"/>
                  <w:vAlign w:val="center"/>
                </w:tcPr>
                <w:p w14:paraId="5BF14383">
                  <w:pPr>
                    <w:jc w:val="center"/>
                    <w:rPr>
                      <w:rFonts w:cstheme="minorBidi"/>
                      <w:bCs/>
                      <w:color w:val="auto"/>
                      <w:kern w:val="44"/>
                      <w:szCs w:val="21"/>
                    </w:rPr>
                  </w:pPr>
                </w:p>
              </w:tc>
              <w:tc>
                <w:tcPr>
                  <w:tcW w:w="634" w:type="dxa"/>
                  <w:vMerge w:val="continue"/>
                  <w:vAlign w:val="center"/>
                </w:tcPr>
                <w:p w14:paraId="51B7EB28">
                  <w:pPr>
                    <w:jc w:val="center"/>
                    <w:rPr>
                      <w:rFonts w:cstheme="minorBidi"/>
                      <w:bCs/>
                      <w:color w:val="auto"/>
                      <w:kern w:val="44"/>
                      <w:szCs w:val="21"/>
                    </w:rPr>
                  </w:pPr>
                </w:p>
              </w:tc>
              <w:tc>
                <w:tcPr>
                  <w:tcW w:w="2496" w:type="dxa"/>
                  <w:vAlign w:val="center"/>
                </w:tcPr>
                <w:p w14:paraId="17C52CF5">
                  <w:pPr>
                    <w:jc w:val="center"/>
                    <w:rPr>
                      <w:rFonts w:cstheme="minorBidi"/>
                      <w:bCs/>
                      <w:color w:val="auto"/>
                      <w:kern w:val="44"/>
                      <w:szCs w:val="21"/>
                    </w:rPr>
                  </w:pPr>
                  <w:r>
                    <w:rPr>
                      <w:rFonts w:hint="eastAsia" w:cstheme="minorBidi"/>
                      <w:bCs/>
                      <w:color w:val="auto"/>
                      <w:kern w:val="44"/>
                      <w:szCs w:val="21"/>
                    </w:rPr>
                    <w:t>2.4绿色运输</w:t>
                  </w:r>
                </w:p>
                <w:p w14:paraId="025A7B2A">
                  <w:pPr>
                    <w:jc w:val="center"/>
                    <w:rPr>
                      <w:rFonts w:cstheme="minorBidi"/>
                      <w:bCs/>
                      <w:color w:val="auto"/>
                      <w:kern w:val="44"/>
                      <w:szCs w:val="21"/>
                    </w:rPr>
                  </w:pPr>
                  <w:r>
                    <w:rPr>
                      <w:rFonts w:hint="eastAsia" w:cstheme="minorBidi"/>
                      <w:bCs/>
                      <w:color w:val="auto"/>
                      <w:kern w:val="44"/>
                      <w:szCs w:val="21"/>
                    </w:rPr>
                    <w:t>矿石的运输方式应结合矿山地形地质条件、岩石特性、开采方案、运输强度等因素选择运输方案，宜推进清洁能源和新能源运输工具在矿山运输中的应用。</w:t>
                  </w:r>
                </w:p>
              </w:tc>
              <w:tc>
                <w:tcPr>
                  <w:tcW w:w="2664" w:type="dxa"/>
                  <w:vAlign w:val="center"/>
                </w:tcPr>
                <w:p w14:paraId="2D26FC46">
                  <w:pPr>
                    <w:jc w:val="center"/>
                    <w:rPr>
                      <w:rFonts w:cstheme="minorBidi"/>
                      <w:bCs/>
                      <w:color w:val="auto"/>
                      <w:kern w:val="44"/>
                      <w:szCs w:val="21"/>
                    </w:rPr>
                  </w:pPr>
                  <w:r>
                    <w:rPr>
                      <w:rFonts w:cstheme="minorBidi"/>
                      <w:bCs/>
                      <w:color w:val="auto"/>
                      <w:kern w:val="44"/>
                      <w:szCs w:val="21"/>
                    </w:rPr>
                    <w:t>项目原料运输严禁超速超载运输，运输前对原料进行洒水减少运输扬尘产生；</w:t>
                  </w:r>
                  <w:r>
                    <w:rPr>
                      <w:rFonts w:hint="eastAsia" w:cstheme="minorBidi"/>
                      <w:bCs/>
                      <w:color w:val="auto"/>
                      <w:kern w:val="44"/>
                      <w:szCs w:val="21"/>
                    </w:rPr>
                    <w:t>对车辆进行清洗，降低扬尘产生</w:t>
                  </w:r>
                  <w:r>
                    <w:rPr>
                      <w:rFonts w:hint="eastAsia" w:cstheme="minorBidi"/>
                      <w:bCs/>
                      <w:color w:val="auto"/>
                      <w:kern w:val="44"/>
                      <w:szCs w:val="21"/>
                      <w:lang w:eastAsia="zh-CN"/>
                    </w:rPr>
                    <w:t>；</w:t>
                  </w:r>
                  <w:r>
                    <w:rPr>
                      <w:rFonts w:cstheme="minorBidi"/>
                      <w:bCs/>
                      <w:color w:val="auto"/>
                      <w:kern w:val="44"/>
                      <w:szCs w:val="21"/>
                    </w:rPr>
                    <w:t>产品运输时采用篷布遮盖，并洒水降尘，严禁超速超载。</w:t>
                  </w:r>
                </w:p>
              </w:tc>
              <w:tc>
                <w:tcPr>
                  <w:tcW w:w="769" w:type="dxa"/>
                  <w:vAlign w:val="center"/>
                </w:tcPr>
                <w:p w14:paraId="4BA8E2F8">
                  <w:pPr>
                    <w:jc w:val="center"/>
                    <w:rPr>
                      <w:rFonts w:cstheme="minorBidi"/>
                      <w:bCs/>
                      <w:color w:val="auto"/>
                      <w:kern w:val="44"/>
                      <w:szCs w:val="21"/>
                    </w:rPr>
                  </w:pPr>
                  <w:r>
                    <w:rPr>
                      <w:rFonts w:hint="eastAsia" w:cstheme="minorBidi"/>
                      <w:bCs/>
                      <w:color w:val="auto"/>
                      <w:kern w:val="44"/>
                      <w:szCs w:val="21"/>
                    </w:rPr>
                    <w:t>符合</w:t>
                  </w:r>
                </w:p>
              </w:tc>
            </w:tr>
            <w:tr w14:paraId="7A16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1D9A477D">
                  <w:pPr>
                    <w:jc w:val="center"/>
                    <w:rPr>
                      <w:rFonts w:cstheme="minorBidi"/>
                      <w:bCs/>
                      <w:color w:val="auto"/>
                      <w:kern w:val="44"/>
                      <w:szCs w:val="21"/>
                    </w:rPr>
                  </w:pPr>
                </w:p>
              </w:tc>
              <w:tc>
                <w:tcPr>
                  <w:tcW w:w="634" w:type="dxa"/>
                  <w:vMerge w:val="continue"/>
                  <w:vAlign w:val="center"/>
                </w:tcPr>
                <w:p w14:paraId="42B55323">
                  <w:pPr>
                    <w:jc w:val="center"/>
                    <w:rPr>
                      <w:rFonts w:cstheme="minorBidi"/>
                      <w:bCs/>
                      <w:color w:val="auto"/>
                      <w:kern w:val="44"/>
                      <w:szCs w:val="21"/>
                    </w:rPr>
                  </w:pPr>
                </w:p>
              </w:tc>
              <w:tc>
                <w:tcPr>
                  <w:tcW w:w="2496" w:type="dxa"/>
                  <w:vAlign w:val="center"/>
                </w:tcPr>
                <w:p w14:paraId="41433F8E">
                  <w:pPr>
                    <w:jc w:val="center"/>
                    <w:rPr>
                      <w:rFonts w:cstheme="minorBidi"/>
                      <w:bCs/>
                      <w:color w:val="auto"/>
                      <w:kern w:val="44"/>
                      <w:szCs w:val="21"/>
                    </w:rPr>
                  </w:pPr>
                  <w:r>
                    <w:rPr>
                      <w:rFonts w:hint="eastAsia" w:cstheme="minorBidi"/>
                      <w:bCs/>
                      <w:color w:val="auto"/>
                      <w:kern w:val="44"/>
                      <w:szCs w:val="21"/>
                    </w:rPr>
                    <w:t>2.5矿区生态环境保护（1）认真落实矿山地质环境保护与土地复垦方案的要求：a）露天采场、矿区专用道路矿山工业场地、排土场等生态环境保护与恢复治理，应符合相关规定。</w:t>
                  </w:r>
                </w:p>
                <w:p w14:paraId="4BE9FC42">
                  <w:pPr>
                    <w:jc w:val="center"/>
                    <w:rPr>
                      <w:rFonts w:cstheme="minorBidi"/>
                      <w:bCs/>
                      <w:color w:val="auto"/>
                      <w:kern w:val="44"/>
                      <w:szCs w:val="21"/>
                    </w:rPr>
                  </w:pPr>
                  <w:r>
                    <w:rPr>
                      <w:rFonts w:hint="eastAsia" w:cstheme="minorBidi"/>
                      <w:bCs/>
                      <w:color w:val="auto"/>
                      <w:kern w:val="44"/>
                      <w:szCs w:val="21"/>
                    </w:rPr>
                    <w:t>b）土地复垦质量应符合TD/T1036的规定。</w:t>
                  </w:r>
                </w:p>
                <w:p w14:paraId="6A7F495D">
                  <w:pPr>
                    <w:jc w:val="center"/>
                    <w:rPr>
                      <w:rFonts w:cstheme="minorBidi"/>
                      <w:bCs/>
                      <w:color w:val="auto"/>
                      <w:kern w:val="44"/>
                      <w:szCs w:val="21"/>
                    </w:rPr>
                  </w:pPr>
                  <w:r>
                    <w:rPr>
                      <w:rFonts w:hint="eastAsia" w:cstheme="minorBidi"/>
                      <w:bCs/>
                      <w:color w:val="auto"/>
                      <w:kern w:val="44"/>
                      <w:szCs w:val="21"/>
                    </w:rPr>
                    <w:t>c）恢复治理后的各类场地应与周边自然环境和景观相协调；恢复土地基本功能，因地制宜实现土地可持续利用；区域整体生态功能得到保护和恢复。</w:t>
                  </w:r>
                </w:p>
                <w:p w14:paraId="302E6960">
                  <w:pPr>
                    <w:jc w:val="center"/>
                    <w:rPr>
                      <w:rFonts w:cstheme="minorBidi"/>
                      <w:bCs/>
                      <w:color w:val="auto"/>
                      <w:kern w:val="44"/>
                      <w:szCs w:val="21"/>
                    </w:rPr>
                  </w:pPr>
                  <w:r>
                    <w:rPr>
                      <w:rFonts w:hint="eastAsia" w:cstheme="minorBidi"/>
                      <w:bCs/>
                      <w:color w:val="auto"/>
                      <w:kern w:val="44"/>
                      <w:szCs w:val="21"/>
                    </w:rPr>
                    <w:t>（2）应建立环境监测机制，配备专职管理人员和监测人员。</w:t>
                  </w:r>
                </w:p>
              </w:tc>
              <w:tc>
                <w:tcPr>
                  <w:tcW w:w="2664" w:type="dxa"/>
                  <w:vAlign w:val="center"/>
                </w:tcPr>
                <w:p w14:paraId="6BCE1377">
                  <w:pPr>
                    <w:jc w:val="center"/>
                    <w:rPr>
                      <w:rFonts w:cstheme="minorBidi"/>
                      <w:bCs/>
                      <w:color w:val="auto"/>
                      <w:kern w:val="44"/>
                      <w:szCs w:val="21"/>
                    </w:rPr>
                  </w:pPr>
                  <w:r>
                    <w:rPr>
                      <w:rFonts w:cstheme="minorBidi"/>
                      <w:bCs/>
                      <w:color w:val="auto"/>
                      <w:kern w:val="44"/>
                      <w:szCs w:val="21"/>
                    </w:rPr>
                    <w:t>项目已编制矿产资源开发利用与生态保护修复方案，按照矿石地质环境保护与土地复垦方案进行了环境治理和土地复垦，建立了责任机制，将治理和复垦与生产建设活动统一部署、统筹实施，制定年度计划，及时完成地质环境治理和土地复垦。委托第三方机构定期环境监测。</w:t>
                  </w:r>
                </w:p>
              </w:tc>
              <w:tc>
                <w:tcPr>
                  <w:tcW w:w="769" w:type="dxa"/>
                  <w:vAlign w:val="center"/>
                </w:tcPr>
                <w:p w14:paraId="5BCD9D43">
                  <w:pPr>
                    <w:jc w:val="center"/>
                    <w:rPr>
                      <w:rFonts w:cstheme="minorBidi"/>
                      <w:bCs/>
                      <w:color w:val="auto"/>
                      <w:kern w:val="44"/>
                      <w:szCs w:val="21"/>
                    </w:rPr>
                  </w:pPr>
                  <w:r>
                    <w:rPr>
                      <w:rFonts w:hint="eastAsia" w:cstheme="minorBidi"/>
                      <w:bCs/>
                      <w:color w:val="auto"/>
                      <w:kern w:val="44"/>
                      <w:szCs w:val="21"/>
                    </w:rPr>
                    <w:t>符合</w:t>
                  </w:r>
                </w:p>
              </w:tc>
            </w:tr>
            <w:tr w14:paraId="0088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5DE34061">
                  <w:pPr>
                    <w:jc w:val="center"/>
                    <w:rPr>
                      <w:rFonts w:cstheme="minorBidi"/>
                      <w:bCs/>
                      <w:color w:val="auto"/>
                      <w:kern w:val="44"/>
                      <w:szCs w:val="21"/>
                    </w:rPr>
                  </w:pPr>
                  <w:r>
                    <w:rPr>
                      <w:rFonts w:hint="eastAsia" w:cstheme="minorBidi"/>
                      <w:bCs/>
                      <w:color w:val="auto"/>
                      <w:kern w:val="44"/>
                      <w:szCs w:val="21"/>
                    </w:rPr>
                    <w:t>3</w:t>
                  </w:r>
                </w:p>
              </w:tc>
              <w:tc>
                <w:tcPr>
                  <w:tcW w:w="634" w:type="dxa"/>
                  <w:vMerge w:val="restart"/>
                  <w:vAlign w:val="center"/>
                </w:tcPr>
                <w:p w14:paraId="7229B774">
                  <w:pPr>
                    <w:jc w:val="center"/>
                    <w:rPr>
                      <w:rFonts w:cstheme="minorBidi"/>
                      <w:bCs/>
                      <w:color w:val="auto"/>
                      <w:kern w:val="44"/>
                      <w:szCs w:val="21"/>
                    </w:rPr>
                  </w:pPr>
                  <w:r>
                    <w:rPr>
                      <w:rFonts w:cstheme="minorBidi"/>
                      <w:bCs/>
                      <w:color w:val="auto"/>
                      <w:kern w:val="44"/>
                      <w:szCs w:val="21"/>
                    </w:rPr>
                    <w:t>资源综合利用</w:t>
                  </w:r>
                </w:p>
              </w:tc>
              <w:tc>
                <w:tcPr>
                  <w:tcW w:w="2496" w:type="dxa"/>
                  <w:vAlign w:val="center"/>
                </w:tcPr>
                <w:p w14:paraId="456FE4C3">
                  <w:pPr>
                    <w:jc w:val="center"/>
                    <w:rPr>
                      <w:rFonts w:cstheme="minorBidi"/>
                      <w:bCs/>
                      <w:color w:val="auto"/>
                      <w:kern w:val="44"/>
                      <w:szCs w:val="21"/>
                    </w:rPr>
                  </w:pPr>
                  <w:r>
                    <w:rPr>
                      <w:rFonts w:hint="eastAsia" w:cstheme="minorBidi"/>
                      <w:bCs/>
                      <w:color w:val="auto"/>
                      <w:kern w:val="44"/>
                      <w:szCs w:val="21"/>
                    </w:rPr>
                    <w:t>3.1基本要求</w:t>
                  </w:r>
                </w:p>
                <w:p w14:paraId="70A7DDFC">
                  <w:pPr>
                    <w:jc w:val="center"/>
                    <w:rPr>
                      <w:rFonts w:cstheme="minorBidi"/>
                      <w:bCs/>
                      <w:color w:val="auto"/>
                      <w:kern w:val="44"/>
                      <w:szCs w:val="21"/>
                    </w:rPr>
                  </w:pPr>
                  <w:r>
                    <w:rPr>
                      <w:rFonts w:cstheme="minorBidi"/>
                      <w:bCs/>
                      <w:color w:val="auto"/>
                      <w:kern w:val="44"/>
                      <w:szCs w:val="21"/>
                    </w:rPr>
                    <w:t>应按照减量化、资源化、再利用的原则，对砂石生产工艺合理优化设计，提高成品率；充分利用石粉、泥粉等加工副产品，提高资源综合利用水平。</w:t>
                  </w:r>
                </w:p>
              </w:tc>
              <w:tc>
                <w:tcPr>
                  <w:tcW w:w="2664" w:type="dxa"/>
                  <w:vAlign w:val="center"/>
                </w:tcPr>
                <w:p w14:paraId="72FC01E2">
                  <w:pPr>
                    <w:jc w:val="center"/>
                    <w:rPr>
                      <w:rFonts w:cstheme="minorBidi"/>
                      <w:bCs/>
                      <w:color w:val="auto"/>
                      <w:kern w:val="44"/>
                      <w:szCs w:val="21"/>
                    </w:rPr>
                  </w:pPr>
                  <w:r>
                    <w:rPr>
                      <w:rFonts w:cstheme="minorBidi"/>
                      <w:bCs/>
                      <w:color w:val="auto"/>
                      <w:kern w:val="44"/>
                      <w:szCs w:val="21"/>
                    </w:rPr>
                    <w:t>本项目按照减量化、资源化再利用的原则，采用先进的生产线及设备，产生的废 物合理处置，项目生产采用的设备和生产技术符合相关要求。</w:t>
                  </w:r>
                </w:p>
              </w:tc>
              <w:tc>
                <w:tcPr>
                  <w:tcW w:w="769" w:type="dxa"/>
                  <w:vAlign w:val="center"/>
                </w:tcPr>
                <w:p w14:paraId="48E12653">
                  <w:pPr>
                    <w:jc w:val="center"/>
                    <w:rPr>
                      <w:rFonts w:cstheme="minorBidi"/>
                      <w:bCs/>
                      <w:color w:val="auto"/>
                      <w:kern w:val="44"/>
                      <w:szCs w:val="21"/>
                    </w:rPr>
                  </w:pPr>
                  <w:r>
                    <w:rPr>
                      <w:rFonts w:hint="eastAsia" w:cstheme="minorBidi"/>
                      <w:bCs/>
                      <w:color w:val="auto"/>
                      <w:kern w:val="44"/>
                      <w:szCs w:val="21"/>
                    </w:rPr>
                    <w:t>符合</w:t>
                  </w:r>
                </w:p>
              </w:tc>
            </w:tr>
            <w:tr w14:paraId="1A0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Merge w:val="continue"/>
                  <w:vAlign w:val="center"/>
                </w:tcPr>
                <w:p w14:paraId="7FA5C199">
                  <w:pPr>
                    <w:jc w:val="center"/>
                    <w:rPr>
                      <w:rFonts w:cstheme="minorBidi"/>
                      <w:bCs/>
                      <w:color w:val="auto"/>
                      <w:kern w:val="44"/>
                      <w:szCs w:val="21"/>
                    </w:rPr>
                  </w:pPr>
                </w:p>
              </w:tc>
              <w:tc>
                <w:tcPr>
                  <w:tcW w:w="634" w:type="dxa"/>
                  <w:vMerge w:val="continue"/>
                  <w:vAlign w:val="center"/>
                </w:tcPr>
                <w:p w14:paraId="1501053E">
                  <w:pPr>
                    <w:jc w:val="center"/>
                    <w:rPr>
                      <w:rFonts w:cstheme="minorBidi"/>
                      <w:bCs/>
                      <w:color w:val="auto"/>
                      <w:kern w:val="44"/>
                      <w:szCs w:val="21"/>
                    </w:rPr>
                  </w:pPr>
                </w:p>
              </w:tc>
              <w:tc>
                <w:tcPr>
                  <w:tcW w:w="2496" w:type="dxa"/>
                  <w:vAlign w:val="center"/>
                </w:tcPr>
                <w:p w14:paraId="6332E7E0">
                  <w:pPr>
                    <w:jc w:val="center"/>
                    <w:rPr>
                      <w:rFonts w:cstheme="minorBidi"/>
                      <w:bCs/>
                      <w:color w:val="auto"/>
                      <w:kern w:val="44"/>
                      <w:szCs w:val="21"/>
                    </w:rPr>
                  </w:pPr>
                  <w:r>
                    <w:rPr>
                      <w:rFonts w:hint="eastAsia" w:cstheme="minorBidi"/>
                      <w:bCs/>
                      <w:color w:val="auto"/>
                      <w:kern w:val="44"/>
                      <w:szCs w:val="21"/>
                    </w:rPr>
                    <w:t>3.2表土和渣土利用</w:t>
                  </w:r>
                </w:p>
                <w:p w14:paraId="32F659BD">
                  <w:pPr>
                    <w:jc w:val="center"/>
                    <w:rPr>
                      <w:rFonts w:cstheme="minorBidi"/>
                      <w:bCs/>
                      <w:color w:val="auto"/>
                      <w:kern w:val="44"/>
                      <w:szCs w:val="21"/>
                    </w:rPr>
                  </w:pPr>
                  <w:r>
                    <w:rPr>
                      <w:rFonts w:hint="eastAsia" w:cstheme="minorBidi"/>
                      <w:bCs/>
                      <w:color w:val="auto"/>
                      <w:kern w:val="44"/>
                      <w:szCs w:val="21"/>
                    </w:rPr>
                    <w:t>排土场堆放的剥离表土或筛分后的渣土，宜用于环境治理、土地复垦和生态修复。</w:t>
                  </w:r>
                </w:p>
                <w:p w14:paraId="2FDD6793">
                  <w:pPr>
                    <w:jc w:val="center"/>
                    <w:rPr>
                      <w:rFonts w:cstheme="minorBidi"/>
                      <w:bCs/>
                      <w:color w:val="auto"/>
                      <w:kern w:val="44"/>
                      <w:szCs w:val="21"/>
                    </w:rPr>
                  </w:pPr>
                </w:p>
              </w:tc>
              <w:tc>
                <w:tcPr>
                  <w:tcW w:w="2664" w:type="dxa"/>
                  <w:vAlign w:val="center"/>
                </w:tcPr>
                <w:p w14:paraId="5BDB49EB">
                  <w:pPr>
                    <w:jc w:val="center"/>
                    <w:rPr>
                      <w:rFonts w:cstheme="minorBidi"/>
                      <w:bCs/>
                      <w:color w:val="auto"/>
                      <w:kern w:val="44"/>
                      <w:szCs w:val="21"/>
                    </w:rPr>
                  </w:pPr>
                  <w:r>
                    <w:rPr>
                      <w:rFonts w:cstheme="minorBidi"/>
                      <w:bCs/>
                      <w:color w:val="auto"/>
                      <w:kern w:val="44"/>
                      <w:szCs w:val="21"/>
                    </w:rPr>
                    <w:t>矿区设置表土堆场，剥离表土已临时堆存，定期清理，用于土地复垦和生态修复。</w:t>
                  </w:r>
                </w:p>
              </w:tc>
              <w:tc>
                <w:tcPr>
                  <w:tcW w:w="769" w:type="dxa"/>
                  <w:vAlign w:val="center"/>
                </w:tcPr>
                <w:p w14:paraId="06AF9C35">
                  <w:pPr>
                    <w:jc w:val="center"/>
                    <w:rPr>
                      <w:rFonts w:cstheme="minorBidi"/>
                      <w:bCs/>
                      <w:color w:val="auto"/>
                      <w:kern w:val="44"/>
                      <w:szCs w:val="21"/>
                    </w:rPr>
                  </w:pPr>
                  <w:r>
                    <w:rPr>
                      <w:rFonts w:hint="eastAsia" w:cstheme="minorBidi"/>
                      <w:bCs/>
                      <w:color w:val="auto"/>
                      <w:kern w:val="44"/>
                      <w:szCs w:val="21"/>
                    </w:rPr>
                    <w:t>符合</w:t>
                  </w:r>
                </w:p>
              </w:tc>
            </w:tr>
            <w:tr w14:paraId="6774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06" w:type="dxa"/>
                  <w:vMerge w:val="continue"/>
                  <w:vAlign w:val="center"/>
                </w:tcPr>
                <w:p w14:paraId="4DE27286">
                  <w:pPr>
                    <w:jc w:val="center"/>
                    <w:rPr>
                      <w:rFonts w:cstheme="minorBidi"/>
                      <w:bCs/>
                      <w:color w:val="auto"/>
                      <w:kern w:val="44"/>
                      <w:szCs w:val="21"/>
                    </w:rPr>
                  </w:pPr>
                </w:p>
              </w:tc>
              <w:tc>
                <w:tcPr>
                  <w:tcW w:w="634" w:type="dxa"/>
                  <w:vMerge w:val="continue"/>
                  <w:vAlign w:val="center"/>
                </w:tcPr>
                <w:p w14:paraId="03506AE1">
                  <w:pPr>
                    <w:jc w:val="center"/>
                    <w:rPr>
                      <w:rFonts w:cstheme="minorBidi"/>
                      <w:bCs/>
                      <w:color w:val="auto"/>
                      <w:kern w:val="44"/>
                      <w:szCs w:val="21"/>
                    </w:rPr>
                  </w:pPr>
                </w:p>
              </w:tc>
              <w:tc>
                <w:tcPr>
                  <w:tcW w:w="2496" w:type="dxa"/>
                  <w:vAlign w:val="center"/>
                </w:tcPr>
                <w:p w14:paraId="3F20F84E">
                  <w:pPr>
                    <w:jc w:val="center"/>
                    <w:rPr>
                      <w:rFonts w:cstheme="minorBidi"/>
                      <w:bCs/>
                      <w:color w:val="auto"/>
                      <w:kern w:val="44"/>
                      <w:szCs w:val="21"/>
                    </w:rPr>
                  </w:pPr>
                  <w:r>
                    <w:rPr>
                      <w:rFonts w:hint="eastAsia" w:cstheme="minorBidi"/>
                      <w:bCs/>
                      <w:color w:val="auto"/>
                      <w:kern w:val="44"/>
                      <w:szCs w:val="21"/>
                    </w:rPr>
                    <w:t>3.3废水利用</w:t>
                  </w:r>
                </w:p>
                <w:p w14:paraId="6EE29583">
                  <w:pPr>
                    <w:jc w:val="center"/>
                    <w:rPr>
                      <w:rFonts w:cstheme="minorBidi"/>
                      <w:bCs/>
                      <w:color w:val="auto"/>
                      <w:kern w:val="44"/>
                      <w:szCs w:val="21"/>
                    </w:rPr>
                  </w:pPr>
                  <w:r>
                    <w:rPr>
                      <w:rFonts w:hint="eastAsia" w:cstheme="minorBidi"/>
                      <w:bCs/>
                      <w:color w:val="auto"/>
                      <w:kern w:val="44"/>
                      <w:szCs w:val="21"/>
                    </w:rPr>
                    <w:t>应配备完善的生产废水处理系统，经过固液分离处理后的清水应100%循环利用。</w:t>
                  </w:r>
                </w:p>
              </w:tc>
              <w:tc>
                <w:tcPr>
                  <w:tcW w:w="2664" w:type="dxa"/>
                  <w:vAlign w:val="center"/>
                </w:tcPr>
                <w:p w14:paraId="058EB6E2">
                  <w:pPr>
                    <w:jc w:val="center"/>
                    <w:rPr>
                      <w:rFonts w:cstheme="minorBidi"/>
                      <w:bCs/>
                      <w:color w:val="auto"/>
                      <w:kern w:val="44"/>
                      <w:szCs w:val="21"/>
                    </w:rPr>
                  </w:pPr>
                  <w:r>
                    <w:rPr>
                      <w:rFonts w:cstheme="minorBidi"/>
                      <w:bCs/>
                      <w:color w:val="auto"/>
                      <w:kern w:val="44"/>
                      <w:szCs w:val="21"/>
                    </w:rPr>
                    <w:t>本项目</w:t>
                  </w:r>
                  <w:r>
                    <w:rPr>
                      <w:rFonts w:hint="eastAsia" w:cstheme="minorBidi"/>
                      <w:bCs/>
                      <w:color w:val="auto"/>
                      <w:kern w:val="44"/>
                      <w:szCs w:val="21"/>
                    </w:rPr>
                    <w:t>无生产废水产生。</w:t>
                  </w:r>
                </w:p>
              </w:tc>
              <w:tc>
                <w:tcPr>
                  <w:tcW w:w="769" w:type="dxa"/>
                  <w:vAlign w:val="center"/>
                </w:tcPr>
                <w:p w14:paraId="4F0AABFB">
                  <w:pPr>
                    <w:jc w:val="center"/>
                    <w:rPr>
                      <w:rFonts w:cstheme="minorBidi"/>
                      <w:bCs/>
                      <w:color w:val="auto"/>
                      <w:kern w:val="44"/>
                      <w:szCs w:val="21"/>
                    </w:rPr>
                  </w:pPr>
                  <w:r>
                    <w:rPr>
                      <w:rFonts w:hint="eastAsia" w:cstheme="minorBidi"/>
                      <w:bCs/>
                      <w:color w:val="auto"/>
                      <w:kern w:val="44"/>
                      <w:szCs w:val="21"/>
                    </w:rPr>
                    <w:t>符合</w:t>
                  </w:r>
                </w:p>
              </w:tc>
            </w:tr>
            <w:tr w14:paraId="0CF0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7F10D152">
                  <w:pPr>
                    <w:jc w:val="center"/>
                    <w:rPr>
                      <w:rFonts w:cstheme="minorBidi"/>
                      <w:bCs/>
                      <w:color w:val="auto"/>
                      <w:kern w:val="44"/>
                      <w:szCs w:val="21"/>
                    </w:rPr>
                  </w:pPr>
                  <w:r>
                    <w:rPr>
                      <w:rFonts w:hint="eastAsia" w:cstheme="minorBidi"/>
                      <w:bCs/>
                      <w:color w:val="auto"/>
                      <w:kern w:val="44"/>
                      <w:szCs w:val="21"/>
                    </w:rPr>
                    <w:t>4</w:t>
                  </w:r>
                </w:p>
              </w:tc>
              <w:tc>
                <w:tcPr>
                  <w:tcW w:w="634" w:type="dxa"/>
                  <w:vMerge w:val="restart"/>
                  <w:vAlign w:val="center"/>
                </w:tcPr>
                <w:p w14:paraId="433B3FC2">
                  <w:pPr>
                    <w:jc w:val="center"/>
                    <w:rPr>
                      <w:rFonts w:cstheme="minorBidi"/>
                      <w:bCs/>
                      <w:color w:val="auto"/>
                      <w:kern w:val="44"/>
                      <w:szCs w:val="21"/>
                    </w:rPr>
                  </w:pPr>
                  <w:r>
                    <w:rPr>
                      <w:rFonts w:cstheme="minorBidi"/>
                      <w:bCs/>
                      <w:color w:val="auto"/>
                      <w:kern w:val="44"/>
                      <w:szCs w:val="21"/>
                    </w:rPr>
                    <w:t>节能减排</w:t>
                  </w:r>
                </w:p>
              </w:tc>
              <w:tc>
                <w:tcPr>
                  <w:tcW w:w="2496" w:type="dxa"/>
                  <w:vAlign w:val="center"/>
                </w:tcPr>
                <w:p w14:paraId="5309D0D0">
                  <w:pPr>
                    <w:jc w:val="center"/>
                    <w:rPr>
                      <w:rFonts w:cstheme="minorBidi"/>
                      <w:bCs/>
                      <w:color w:val="auto"/>
                      <w:kern w:val="44"/>
                      <w:szCs w:val="21"/>
                    </w:rPr>
                  </w:pPr>
                  <w:r>
                    <w:rPr>
                      <w:rFonts w:hint="eastAsia" w:cstheme="minorBidi"/>
                      <w:bCs/>
                      <w:color w:val="auto"/>
                      <w:kern w:val="44"/>
                      <w:szCs w:val="21"/>
                    </w:rPr>
                    <w:t>4.1基本要求</w:t>
                  </w:r>
                </w:p>
                <w:p w14:paraId="3A9CA583">
                  <w:pPr>
                    <w:jc w:val="center"/>
                    <w:rPr>
                      <w:rFonts w:cstheme="minorBidi"/>
                      <w:bCs/>
                      <w:color w:val="auto"/>
                      <w:kern w:val="44"/>
                      <w:szCs w:val="21"/>
                    </w:rPr>
                  </w:pPr>
                  <w:r>
                    <w:rPr>
                      <w:rFonts w:hint="eastAsia" w:cstheme="minorBidi"/>
                      <w:bCs/>
                      <w:color w:val="auto"/>
                      <w:kern w:val="44"/>
                      <w:szCs w:val="21"/>
                    </w:rPr>
                    <w:t>建立能耗核算体系，采取节能减排措施，降低砂石生产能耗和设备损耗，“三废”排放达到生态环境保护的</w:t>
                  </w:r>
                  <w:r>
                    <w:rPr>
                      <w:rFonts w:hint="eastAsia" w:cstheme="minorBidi"/>
                      <w:bCs/>
                      <w:color w:val="auto"/>
                      <w:kern w:val="44"/>
                      <w:szCs w:val="21"/>
                      <w:lang w:eastAsia="zh-CN"/>
                    </w:rPr>
                    <w:t>有关</w:t>
                  </w:r>
                  <w:r>
                    <w:rPr>
                      <w:rFonts w:hint="eastAsia" w:cstheme="minorBidi"/>
                      <w:bCs/>
                      <w:color w:val="auto"/>
                      <w:kern w:val="44"/>
                      <w:szCs w:val="21"/>
                    </w:rPr>
                    <w:t>标准、规定和要求。</w:t>
                  </w:r>
                </w:p>
              </w:tc>
              <w:tc>
                <w:tcPr>
                  <w:tcW w:w="2664" w:type="dxa"/>
                  <w:vAlign w:val="center"/>
                </w:tcPr>
                <w:p w14:paraId="26866649">
                  <w:pPr>
                    <w:jc w:val="center"/>
                    <w:rPr>
                      <w:rFonts w:cstheme="minorBidi"/>
                      <w:bCs/>
                      <w:color w:val="auto"/>
                      <w:kern w:val="44"/>
                      <w:szCs w:val="21"/>
                    </w:rPr>
                  </w:pPr>
                  <w:r>
                    <w:rPr>
                      <w:rFonts w:cstheme="minorBidi"/>
                      <w:bCs/>
                      <w:color w:val="auto"/>
                      <w:kern w:val="44"/>
                      <w:szCs w:val="21"/>
                    </w:rPr>
                    <w:t>矿山正式运营后按要求建立生产全过程能耗核算体系，采取节能减排措施</w:t>
                  </w:r>
                </w:p>
              </w:tc>
              <w:tc>
                <w:tcPr>
                  <w:tcW w:w="769" w:type="dxa"/>
                  <w:vAlign w:val="center"/>
                </w:tcPr>
                <w:p w14:paraId="0D0ED43E">
                  <w:pPr>
                    <w:jc w:val="center"/>
                    <w:rPr>
                      <w:rFonts w:cstheme="minorBidi"/>
                      <w:bCs/>
                      <w:color w:val="auto"/>
                      <w:kern w:val="44"/>
                      <w:szCs w:val="21"/>
                    </w:rPr>
                  </w:pPr>
                  <w:r>
                    <w:rPr>
                      <w:rFonts w:hint="eastAsia" w:cstheme="minorBidi"/>
                      <w:bCs/>
                      <w:color w:val="auto"/>
                      <w:kern w:val="44"/>
                      <w:szCs w:val="21"/>
                    </w:rPr>
                    <w:t>符合</w:t>
                  </w:r>
                </w:p>
              </w:tc>
            </w:tr>
            <w:tr w14:paraId="6461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13BB9920">
                  <w:pPr>
                    <w:jc w:val="center"/>
                    <w:rPr>
                      <w:rFonts w:cstheme="minorBidi"/>
                      <w:bCs/>
                      <w:color w:val="auto"/>
                      <w:kern w:val="44"/>
                      <w:szCs w:val="21"/>
                    </w:rPr>
                  </w:pPr>
                </w:p>
              </w:tc>
              <w:tc>
                <w:tcPr>
                  <w:tcW w:w="634" w:type="dxa"/>
                  <w:vMerge w:val="continue"/>
                  <w:vAlign w:val="center"/>
                </w:tcPr>
                <w:p w14:paraId="1EEE1A3F">
                  <w:pPr>
                    <w:jc w:val="center"/>
                    <w:rPr>
                      <w:rFonts w:cstheme="minorBidi"/>
                      <w:bCs/>
                      <w:color w:val="auto"/>
                      <w:kern w:val="44"/>
                      <w:szCs w:val="21"/>
                    </w:rPr>
                  </w:pPr>
                </w:p>
              </w:tc>
              <w:tc>
                <w:tcPr>
                  <w:tcW w:w="2496" w:type="dxa"/>
                  <w:vAlign w:val="center"/>
                </w:tcPr>
                <w:p w14:paraId="2F71B084">
                  <w:pPr>
                    <w:jc w:val="center"/>
                    <w:rPr>
                      <w:rFonts w:cstheme="minorBidi"/>
                      <w:bCs/>
                      <w:color w:val="auto"/>
                      <w:kern w:val="44"/>
                      <w:szCs w:val="21"/>
                    </w:rPr>
                  </w:pPr>
                  <w:r>
                    <w:rPr>
                      <w:rFonts w:hint="eastAsia" w:cstheme="minorBidi"/>
                      <w:bCs/>
                      <w:color w:val="auto"/>
                      <w:kern w:val="44"/>
                      <w:szCs w:val="21"/>
                    </w:rPr>
                    <w:t>4.2节能降耗</w:t>
                  </w:r>
                </w:p>
                <w:p w14:paraId="378D7253">
                  <w:pPr>
                    <w:jc w:val="center"/>
                    <w:rPr>
                      <w:rFonts w:cstheme="minorBidi"/>
                      <w:bCs/>
                      <w:color w:val="auto"/>
                      <w:kern w:val="44"/>
                      <w:szCs w:val="21"/>
                    </w:rPr>
                  </w:pPr>
                  <w:r>
                    <w:rPr>
                      <w:rFonts w:hint="eastAsia" w:cstheme="minorBidi"/>
                      <w:bCs/>
                      <w:color w:val="auto"/>
                      <w:kern w:val="44"/>
                      <w:szCs w:val="21"/>
                    </w:rPr>
                    <w:t>（1）应建立矿山开采、砂石生产、产品运输全过程能耗核算体系，各工艺电力消耗、油（气）消耗、水消耗宜进行单独核算。</w:t>
                  </w:r>
                </w:p>
                <w:p w14:paraId="4867A0BC">
                  <w:pPr>
                    <w:jc w:val="center"/>
                    <w:rPr>
                      <w:rFonts w:cstheme="minorBidi"/>
                      <w:bCs/>
                      <w:color w:val="auto"/>
                      <w:kern w:val="44"/>
                      <w:szCs w:val="21"/>
                    </w:rPr>
                  </w:pPr>
                  <w:r>
                    <w:rPr>
                      <w:rFonts w:hint="eastAsia" w:cstheme="minorBidi"/>
                      <w:bCs/>
                      <w:color w:val="auto"/>
                      <w:kern w:val="44"/>
                      <w:szCs w:val="21"/>
                    </w:rPr>
                    <w:t>（2）宜选用高效、智能、绿色、环保的技术和设备，降低单位电耗。</w:t>
                  </w:r>
                </w:p>
                <w:p w14:paraId="4A8E2A2F">
                  <w:pPr>
                    <w:jc w:val="center"/>
                    <w:rPr>
                      <w:rFonts w:cstheme="minorBidi"/>
                      <w:bCs/>
                      <w:color w:val="auto"/>
                      <w:kern w:val="44"/>
                      <w:szCs w:val="21"/>
                    </w:rPr>
                  </w:pPr>
                  <w:r>
                    <w:rPr>
                      <w:rFonts w:hint="eastAsia" w:cstheme="minorBidi"/>
                      <w:bCs/>
                      <w:color w:val="auto"/>
                      <w:kern w:val="44"/>
                      <w:szCs w:val="21"/>
                    </w:rPr>
                    <w:t>（3）应推广使用矿山凿岩穿孔新工艺，降低能耗，提高安全。</w:t>
                  </w:r>
                </w:p>
                <w:p w14:paraId="4AF51767">
                  <w:pPr>
                    <w:jc w:val="center"/>
                    <w:rPr>
                      <w:rFonts w:cstheme="minorBidi"/>
                      <w:bCs/>
                      <w:color w:val="auto"/>
                      <w:kern w:val="44"/>
                      <w:szCs w:val="21"/>
                    </w:rPr>
                  </w:pPr>
                  <w:r>
                    <w:rPr>
                      <w:rFonts w:hint="eastAsia" w:cstheme="minorBidi"/>
                      <w:bCs/>
                      <w:color w:val="auto"/>
                      <w:kern w:val="44"/>
                      <w:szCs w:val="21"/>
                    </w:rPr>
                    <w:t>（4）利用新技术、新工艺、新设备和新材料，减少破碎设备磨损件单位损耗。</w:t>
                  </w:r>
                </w:p>
                <w:p w14:paraId="378FAB73">
                  <w:pPr>
                    <w:jc w:val="center"/>
                    <w:rPr>
                      <w:rFonts w:cstheme="minorBidi"/>
                      <w:bCs/>
                      <w:color w:val="auto"/>
                      <w:kern w:val="44"/>
                      <w:szCs w:val="21"/>
                    </w:rPr>
                  </w:pPr>
                  <w:r>
                    <w:rPr>
                      <w:rFonts w:hint="eastAsia" w:cstheme="minorBidi"/>
                      <w:bCs/>
                      <w:color w:val="auto"/>
                      <w:kern w:val="44"/>
                      <w:szCs w:val="21"/>
                    </w:rPr>
                    <w:t>（5）宜采用长距离皮带运输方式，促进节能减排。</w:t>
                  </w:r>
                </w:p>
                <w:p w14:paraId="1DB13D3C">
                  <w:pPr>
                    <w:jc w:val="center"/>
                    <w:rPr>
                      <w:rFonts w:cstheme="minorBidi"/>
                      <w:bCs/>
                      <w:color w:val="auto"/>
                      <w:kern w:val="44"/>
                      <w:szCs w:val="21"/>
                    </w:rPr>
                  </w:pPr>
                  <w:r>
                    <w:rPr>
                      <w:rFonts w:hint="eastAsia" w:cstheme="minorBidi"/>
                      <w:bCs/>
                      <w:color w:val="auto"/>
                      <w:kern w:val="44"/>
                      <w:szCs w:val="21"/>
                    </w:rPr>
                    <w:t>（6）对于落差较大的矿区，推广使用下行皮带势能发电技术。</w:t>
                  </w:r>
                </w:p>
                <w:p w14:paraId="3386F433">
                  <w:pPr>
                    <w:jc w:val="center"/>
                    <w:rPr>
                      <w:rFonts w:cstheme="minorBidi"/>
                      <w:bCs/>
                      <w:color w:val="auto"/>
                      <w:kern w:val="44"/>
                      <w:szCs w:val="21"/>
                    </w:rPr>
                  </w:pPr>
                  <w:r>
                    <w:rPr>
                      <w:rFonts w:hint="eastAsia" w:cstheme="minorBidi"/>
                      <w:bCs/>
                      <w:color w:val="auto"/>
                      <w:kern w:val="44"/>
                      <w:szCs w:val="21"/>
                    </w:rPr>
                    <w:t>（7）单位产品能耗指标处于行业先进水平。</w:t>
                  </w:r>
                </w:p>
              </w:tc>
              <w:tc>
                <w:tcPr>
                  <w:tcW w:w="2664" w:type="dxa"/>
                  <w:vAlign w:val="center"/>
                </w:tcPr>
                <w:p w14:paraId="5B53145A">
                  <w:pPr>
                    <w:jc w:val="center"/>
                    <w:rPr>
                      <w:rFonts w:cstheme="minorBidi"/>
                      <w:bCs/>
                      <w:color w:val="auto"/>
                      <w:kern w:val="44"/>
                      <w:szCs w:val="21"/>
                    </w:rPr>
                  </w:pPr>
                  <w:r>
                    <w:rPr>
                      <w:rFonts w:cstheme="minorBidi"/>
                      <w:bCs/>
                      <w:color w:val="auto"/>
                      <w:kern w:val="44"/>
                      <w:szCs w:val="21"/>
                    </w:rPr>
                    <w:t>矿山开采所采用设备均为目前国内比较先进的通用设备。矿山正式运营后采</w:t>
                  </w:r>
                </w:p>
                <w:p w14:paraId="1D40BA02">
                  <w:pPr>
                    <w:jc w:val="center"/>
                    <w:rPr>
                      <w:rFonts w:cstheme="minorBidi"/>
                      <w:bCs/>
                      <w:color w:val="auto"/>
                      <w:kern w:val="44"/>
                      <w:szCs w:val="21"/>
                    </w:rPr>
                  </w:pPr>
                  <w:r>
                    <w:rPr>
                      <w:rFonts w:cstheme="minorBidi"/>
                      <w:bCs/>
                      <w:color w:val="auto"/>
                      <w:kern w:val="44"/>
                      <w:szCs w:val="21"/>
                    </w:rPr>
                    <w:t>用先进设备及工艺</w:t>
                  </w:r>
                  <w:r>
                    <w:rPr>
                      <w:rFonts w:hint="eastAsia" w:cstheme="minorBidi"/>
                      <w:bCs/>
                      <w:color w:val="auto"/>
                      <w:kern w:val="44"/>
                      <w:szCs w:val="21"/>
                    </w:rPr>
                    <w:t>。</w:t>
                  </w:r>
                </w:p>
              </w:tc>
              <w:tc>
                <w:tcPr>
                  <w:tcW w:w="769" w:type="dxa"/>
                  <w:vAlign w:val="center"/>
                </w:tcPr>
                <w:p w14:paraId="572C9520">
                  <w:pPr>
                    <w:jc w:val="center"/>
                    <w:rPr>
                      <w:rFonts w:cstheme="minorBidi"/>
                      <w:bCs/>
                      <w:color w:val="auto"/>
                      <w:kern w:val="44"/>
                      <w:szCs w:val="21"/>
                    </w:rPr>
                  </w:pPr>
                  <w:r>
                    <w:rPr>
                      <w:rFonts w:hint="eastAsia" w:cstheme="minorBidi"/>
                      <w:bCs/>
                      <w:color w:val="auto"/>
                      <w:kern w:val="44"/>
                      <w:szCs w:val="21"/>
                    </w:rPr>
                    <w:t>符合</w:t>
                  </w:r>
                </w:p>
              </w:tc>
            </w:tr>
            <w:tr w14:paraId="19A3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1549DD71">
                  <w:pPr>
                    <w:jc w:val="center"/>
                    <w:rPr>
                      <w:rFonts w:cstheme="minorBidi"/>
                      <w:bCs/>
                      <w:color w:val="auto"/>
                      <w:kern w:val="44"/>
                      <w:szCs w:val="21"/>
                    </w:rPr>
                  </w:pPr>
                </w:p>
              </w:tc>
              <w:tc>
                <w:tcPr>
                  <w:tcW w:w="634" w:type="dxa"/>
                  <w:vMerge w:val="continue"/>
                  <w:vAlign w:val="center"/>
                </w:tcPr>
                <w:p w14:paraId="4DC0EE86">
                  <w:pPr>
                    <w:jc w:val="center"/>
                    <w:rPr>
                      <w:rFonts w:cstheme="minorBidi"/>
                      <w:bCs/>
                      <w:color w:val="auto"/>
                      <w:kern w:val="44"/>
                      <w:szCs w:val="21"/>
                    </w:rPr>
                  </w:pPr>
                </w:p>
              </w:tc>
              <w:tc>
                <w:tcPr>
                  <w:tcW w:w="2496" w:type="dxa"/>
                  <w:vAlign w:val="center"/>
                </w:tcPr>
                <w:p w14:paraId="7D8B668A">
                  <w:pPr>
                    <w:jc w:val="center"/>
                    <w:rPr>
                      <w:rFonts w:cstheme="minorBidi"/>
                      <w:bCs/>
                      <w:color w:val="auto"/>
                      <w:kern w:val="44"/>
                      <w:szCs w:val="21"/>
                    </w:rPr>
                  </w:pPr>
                  <w:r>
                    <w:rPr>
                      <w:rFonts w:hint="eastAsia" w:cstheme="minorBidi"/>
                      <w:bCs/>
                      <w:color w:val="auto"/>
                      <w:kern w:val="44"/>
                      <w:szCs w:val="21"/>
                    </w:rPr>
                    <w:t>4.3粉尘排放</w:t>
                  </w:r>
                </w:p>
                <w:p w14:paraId="67E9B07F">
                  <w:pPr>
                    <w:jc w:val="center"/>
                    <w:rPr>
                      <w:rFonts w:cstheme="minorBidi"/>
                      <w:bCs/>
                      <w:color w:val="auto"/>
                      <w:kern w:val="44"/>
                      <w:szCs w:val="21"/>
                    </w:rPr>
                  </w:pPr>
                  <w:r>
                    <w:rPr>
                      <w:rFonts w:hint="eastAsia" w:cstheme="minorBidi"/>
                      <w:bCs/>
                      <w:color w:val="auto"/>
                      <w:kern w:val="44"/>
                      <w:szCs w:val="21"/>
                    </w:rPr>
                    <w:t>（1）矿石开采和砂石生产过程中的粉尘控制应遵循源头抑制、过程协同控制、末端监控、系统联动集成的治理思路，达</w:t>
                  </w:r>
                </w:p>
                <w:p w14:paraId="0B24D56D">
                  <w:pPr>
                    <w:jc w:val="center"/>
                    <w:rPr>
                      <w:rFonts w:cstheme="minorBidi"/>
                      <w:bCs/>
                      <w:color w:val="auto"/>
                      <w:kern w:val="44"/>
                      <w:szCs w:val="21"/>
                    </w:rPr>
                  </w:pPr>
                  <w:r>
                    <w:rPr>
                      <w:rFonts w:hint="eastAsia" w:cstheme="minorBidi"/>
                      <w:bCs/>
                      <w:color w:val="auto"/>
                      <w:kern w:val="44"/>
                      <w:szCs w:val="21"/>
                    </w:rPr>
                    <w:t>到环保节能和清洁生产的目的。</w:t>
                  </w:r>
                </w:p>
                <w:p w14:paraId="1F1C6F8C">
                  <w:pPr>
                    <w:jc w:val="center"/>
                    <w:rPr>
                      <w:rFonts w:cstheme="minorBidi"/>
                      <w:bCs/>
                      <w:color w:val="auto"/>
                      <w:kern w:val="44"/>
                      <w:szCs w:val="21"/>
                    </w:rPr>
                  </w:pPr>
                  <w:r>
                    <w:rPr>
                      <w:rFonts w:hint="eastAsia" w:cstheme="minorBidi"/>
                      <w:bCs/>
                      <w:color w:val="auto"/>
                      <w:kern w:val="44"/>
                      <w:szCs w:val="21"/>
                    </w:rPr>
                    <w:t>（2）矿区应配置洒水车、高压喷雾车等设备。</w:t>
                  </w:r>
                </w:p>
                <w:p w14:paraId="20F00323">
                  <w:pPr>
                    <w:jc w:val="center"/>
                    <w:rPr>
                      <w:rFonts w:cstheme="minorBidi"/>
                      <w:bCs/>
                      <w:color w:val="auto"/>
                      <w:kern w:val="44"/>
                      <w:szCs w:val="21"/>
                    </w:rPr>
                  </w:pPr>
                  <w:r>
                    <w:rPr>
                      <w:rFonts w:hint="eastAsia" w:cstheme="minorBidi"/>
                      <w:bCs/>
                      <w:color w:val="auto"/>
                      <w:kern w:val="44"/>
                      <w:szCs w:val="21"/>
                    </w:rPr>
                    <w:t>（3）应在装载机、破碎机、筛分机、整形机、制砂机、输送机端口等连续产生粉尘部位安装高效除尘装置。</w:t>
                  </w:r>
                </w:p>
              </w:tc>
              <w:tc>
                <w:tcPr>
                  <w:tcW w:w="2664" w:type="dxa"/>
                  <w:vAlign w:val="center"/>
                </w:tcPr>
                <w:p w14:paraId="32B50ED0">
                  <w:pPr>
                    <w:jc w:val="center"/>
                    <w:rPr>
                      <w:rFonts w:cstheme="minorBidi"/>
                      <w:bCs/>
                      <w:color w:val="auto"/>
                      <w:kern w:val="44"/>
                      <w:szCs w:val="21"/>
                    </w:rPr>
                  </w:pPr>
                  <w:r>
                    <w:rPr>
                      <w:rFonts w:cstheme="minorBidi"/>
                      <w:bCs/>
                      <w:color w:val="auto"/>
                      <w:kern w:val="44"/>
                      <w:szCs w:val="21"/>
                    </w:rPr>
                    <w:t>矿石开采过程中采取相关抑尘措施后，粉尘达标排放，对周边环境影响较小；生产过程中建立监测计划，定期委托第三方机构进行监测。矿区</w:t>
                  </w:r>
                  <w:r>
                    <w:rPr>
                      <w:rFonts w:hint="eastAsia" w:cstheme="minorBidi"/>
                      <w:bCs/>
                      <w:color w:val="auto"/>
                      <w:kern w:val="44"/>
                      <w:szCs w:val="21"/>
                    </w:rPr>
                    <w:t>开采作业面及建筑用砂装卸过程中采用雾炮机水雾增湿除尘方式降尘，</w:t>
                  </w:r>
                  <w:r>
                    <w:rPr>
                      <w:rFonts w:cstheme="minorBidi"/>
                      <w:bCs/>
                      <w:color w:val="auto"/>
                      <w:kern w:val="44"/>
                      <w:szCs w:val="21"/>
                    </w:rPr>
                    <w:t>对</w:t>
                  </w:r>
                  <w:r>
                    <w:rPr>
                      <w:rFonts w:hint="eastAsia" w:cstheme="minorBidi"/>
                      <w:bCs/>
                      <w:color w:val="auto"/>
                      <w:kern w:val="44"/>
                      <w:szCs w:val="21"/>
                    </w:rPr>
                    <w:t>表土堆场</w:t>
                  </w:r>
                  <w:r>
                    <w:rPr>
                      <w:rFonts w:cstheme="minorBidi"/>
                      <w:bCs/>
                      <w:color w:val="auto"/>
                      <w:kern w:val="44"/>
                      <w:szCs w:val="21"/>
                    </w:rPr>
                    <w:t>、道路进行洒水降尘。</w:t>
                  </w:r>
                </w:p>
              </w:tc>
              <w:tc>
                <w:tcPr>
                  <w:tcW w:w="769" w:type="dxa"/>
                  <w:vAlign w:val="center"/>
                </w:tcPr>
                <w:p w14:paraId="670604C5">
                  <w:pPr>
                    <w:jc w:val="center"/>
                    <w:rPr>
                      <w:rFonts w:cstheme="minorBidi"/>
                      <w:bCs/>
                      <w:color w:val="auto"/>
                      <w:kern w:val="44"/>
                      <w:szCs w:val="21"/>
                    </w:rPr>
                  </w:pPr>
                </w:p>
                <w:p w14:paraId="6CF1F725">
                  <w:pPr>
                    <w:pStyle w:val="7"/>
                    <w:rPr>
                      <w:color w:val="auto"/>
                    </w:rPr>
                  </w:pPr>
                  <w:r>
                    <w:rPr>
                      <w:rFonts w:ascii="Times New Roman" w:hAnsi="Times New Roman" w:cstheme="minorBidi"/>
                      <w:b w:val="0"/>
                      <w:color w:val="auto"/>
                      <w:kern w:val="44"/>
                      <w:sz w:val="21"/>
                      <w:szCs w:val="21"/>
                    </w:rPr>
                    <w:t>符合</w:t>
                  </w:r>
                </w:p>
              </w:tc>
            </w:tr>
            <w:tr w14:paraId="5CCB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24929F74">
                  <w:pPr>
                    <w:jc w:val="center"/>
                    <w:rPr>
                      <w:rFonts w:cstheme="minorBidi"/>
                      <w:bCs/>
                      <w:color w:val="auto"/>
                      <w:kern w:val="44"/>
                      <w:szCs w:val="21"/>
                    </w:rPr>
                  </w:pPr>
                </w:p>
              </w:tc>
              <w:tc>
                <w:tcPr>
                  <w:tcW w:w="634" w:type="dxa"/>
                  <w:vMerge w:val="continue"/>
                  <w:vAlign w:val="center"/>
                </w:tcPr>
                <w:p w14:paraId="27FBED39">
                  <w:pPr>
                    <w:jc w:val="center"/>
                    <w:rPr>
                      <w:rFonts w:cstheme="minorBidi"/>
                      <w:bCs/>
                      <w:color w:val="auto"/>
                      <w:kern w:val="44"/>
                      <w:szCs w:val="21"/>
                    </w:rPr>
                  </w:pPr>
                </w:p>
              </w:tc>
              <w:tc>
                <w:tcPr>
                  <w:tcW w:w="2496" w:type="dxa"/>
                  <w:vAlign w:val="center"/>
                </w:tcPr>
                <w:p w14:paraId="06C87382">
                  <w:pPr>
                    <w:jc w:val="center"/>
                    <w:rPr>
                      <w:rFonts w:cstheme="minorBidi"/>
                      <w:bCs/>
                      <w:color w:val="auto"/>
                      <w:kern w:val="44"/>
                      <w:szCs w:val="21"/>
                    </w:rPr>
                  </w:pPr>
                  <w:r>
                    <w:rPr>
                      <w:rFonts w:hint="eastAsia" w:cstheme="minorBidi"/>
                      <w:bCs/>
                      <w:color w:val="auto"/>
                      <w:kern w:val="44"/>
                      <w:szCs w:val="21"/>
                    </w:rPr>
                    <w:t>4.4污水排放</w:t>
                  </w:r>
                </w:p>
                <w:p w14:paraId="530406DC">
                  <w:pPr>
                    <w:jc w:val="center"/>
                    <w:rPr>
                      <w:rFonts w:cstheme="minorBidi"/>
                      <w:bCs/>
                      <w:color w:val="auto"/>
                      <w:kern w:val="44"/>
                      <w:szCs w:val="21"/>
                    </w:rPr>
                  </w:pPr>
                  <w:r>
                    <w:rPr>
                      <w:rFonts w:hint="eastAsia" w:cstheme="minorBidi"/>
                      <w:bCs/>
                      <w:color w:val="auto"/>
                      <w:kern w:val="44"/>
                      <w:szCs w:val="21"/>
                    </w:rPr>
                    <w:t>（1）矿区及厂区应建有雨水截（排）水沟和集水池，地表径流水经沉淀处理后达标排放。</w:t>
                  </w:r>
                </w:p>
                <w:p w14:paraId="5C880E72">
                  <w:pPr>
                    <w:jc w:val="center"/>
                    <w:rPr>
                      <w:rFonts w:cstheme="minorBidi"/>
                      <w:bCs/>
                      <w:color w:val="auto"/>
                      <w:kern w:val="44"/>
                      <w:szCs w:val="21"/>
                    </w:rPr>
                  </w:pPr>
                  <w:r>
                    <w:rPr>
                      <w:rFonts w:hint="eastAsia" w:cstheme="minorBidi"/>
                      <w:bCs/>
                      <w:color w:val="auto"/>
                      <w:kern w:val="44"/>
                      <w:szCs w:val="21"/>
                    </w:rPr>
                    <w:t>（2）矿区及厂区的生产排水、雨水和生活污水，应实现雨污分流、清污分流。</w:t>
                  </w:r>
                </w:p>
              </w:tc>
              <w:tc>
                <w:tcPr>
                  <w:tcW w:w="2664" w:type="dxa"/>
                  <w:vAlign w:val="center"/>
                </w:tcPr>
                <w:p w14:paraId="6A9F1429">
                  <w:pPr>
                    <w:jc w:val="center"/>
                    <w:rPr>
                      <w:rFonts w:cstheme="minorBidi"/>
                      <w:bCs/>
                      <w:color w:val="auto"/>
                      <w:kern w:val="44"/>
                      <w:szCs w:val="21"/>
                    </w:rPr>
                  </w:pPr>
                  <w:r>
                    <w:rPr>
                      <w:rFonts w:hint="eastAsia" w:cstheme="minorBidi"/>
                      <w:bCs/>
                      <w:color w:val="auto"/>
                      <w:kern w:val="44"/>
                      <w:szCs w:val="21"/>
                    </w:rPr>
                    <w:t>本项目无生产废水产生。车辆清洗废水经沉淀池处理后，用于车辆清洗</w:t>
                  </w:r>
                  <w:r>
                    <w:rPr>
                      <w:rFonts w:hint="eastAsia" w:cstheme="minorBidi"/>
                      <w:bCs/>
                      <w:color w:val="auto"/>
                      <w:kern w:val="44"/>
                      <w:szCs w:val="21"/>
                      <w:lang w:eastAsia="zh-CN"/>
                    </w:rPr>
                    <w:t>；</w:t>
                  </w:r>
                  <w:r>
                    <w:rPr>
                      <w:color w:val="auto"/>
                      <w:spacing w:val="-2"/>
                      <w:szCs w:val="21"/>
                    </w:rPr>
                    <w:t>矿区</w:t>
                  </w:r>
                  <w:r>
                    <w:rPr>
                      <w:rFonts w:hint="eastAsia"/>
                      <w:color w:val="auto"/>
                      <w:spacing w:val="-2"/>
                      <w:szCs w:val="21"/>
                    </w:rPr>
                    <w:t>不设办公生活区，运营期设1处环保厕所</w:t>
                  </w:r>
                  <w:r>
                    <w:rPr>
                      <w:rFonts w:hint="eastAsia"/>
                      <w:color w:val="auto"/>
                      <w:spacing w:val="-2"/>
                      <w:szCs w:val="21"/>
                      <w:lang w:val="en-US" w:eastAsia="zh-CN"/>
                    </w:rPr>
                    <w:t>和1座防渗化粪池</w:t>
                  </w:r>
                  <w:r>
                    <w:rPr>
                      <w:rFonts w:hint="eastAsia"/>
                      <w:color w:val="auto"/>
                      <w:spacing w:val="-2"/>
                      <w:szCs w:val="21"/>
                    </w:rPr>
                    <w:t>，定期由吸污车拉运至奇台县污水处理厂进一步处理。</w:t>
                  </w:r>
                </w:p>
              </w:tc>
              <w:tc>
                <w:tcPr>
                  <w:tcW w:w="769" w:type="dxa"/>
                  <w:vAlign w:val="center"/>
                </w:tcPr>
                <w:p w14:paraId="73D5668C">
                  <w:pPr>
                    <w:jc w:val="center"/>
                    <w:rPr>
                      <w:rFonts w:cstheme="minorBidi"/>
                      <w:bCs/>
                      <w:color w:val="auto"/>
                      <w:kern w:val="44"/>
                      <w:szCs w:val="21"/>
                    </w:rPr>
                  </w:pPr>
                  <w:r>
                    <w:rPr>
                      <w:rFonts w:hint="eastAsia" w:cstheme="minorBidi"/>
                      <w:bCs/>
                      <w:color w:val="auto"/>
                      <w:kern w:val="44"/>
                      <w:szCs w:val="21"/>
                    </w:rPr>
                    <w:t>符合</w:t>
                  </w:r>
                </w:p>
              </w:tc>
            </w:tr>
          </w:tbl>
          <w:p w14:paraId="18487639">
            <w:pPr>
              <w:pStyle w:val="60"/>
              <w:tabs>
                <w:tab w:val="left" w:pos="4584"/>
              </w:tabs>
              <w:rPr>
                <w:bCs/>
                <w:color w:val="auto"/>
                <w:kern w:val="2"/>
              </w:rPr>
            </w:pPr>
          </w:p>
          <w:p w14:paraId="2EEC2A32">
            <w:pPr>
              <w:pStyle w:val="60"/>
              <w:tabs>
                <w:tab w:val="left" w:pos="4584"/>
              </w:tabs>
              <w:ind w:firstLine="480" w:firstLineChars="200"/>
              <w:rPr>
                <w:color w:val="auto"/>
              </w:rPr>
            </w:pPr>
            <w:r>
              <w:rPr>
                <w:bCs/>
                <w:color w:val="auto"/>
                <w:kern w:val="2"/>
              </w:rPr>
              <w:t>因此</w:t>
            </w:r>
            <w:r>
              <w:rPr>
                <w:rFonts w:hint="eastAsia"/>
                <w:bCs/>
                <w:color w:val="auto"/>
                <w:kern w:val="2"/>
              </w:rPr>
              <w:t>，本项目</w:t>
            </w:r>
            <w:r>
              <w:rPr>
                <w:bCs/>
                <w:color w:val="auto"/>
                <w:kern w:val="2"/>
              </w:rPr>
              <w:t>符合</w:t>
            </w:r>
            <w:r>
              <w:rPr>
                <w:rFonts w:hint="eastAsia"/>
                <w:bCs/>
                <w:color w:val="auto"/>
                <w:kern w:val="2"/>
              </w:rPr>
              <w:t>《砂石行业绿色矿山建设规范》（DZ/T0316-2018）中相关</w:t>
            </w:r>
            <w:r>
              <w:rPr>
                <w:bCs/>
                <w:color w:val="auto"/>
                <w:kern w:val="2"/>
              </w:rPr>
              <w:t>要求。</w:t>
            </w:r>
          </w:p>
          <w:p w14:paraId="351B9090">
            <w:pPr>
              <w:pStyle w:val="60"/>
              <w:tabs>
                <w:tab w:val="left" w:pos="4584"/>
              </w:tabs>
              <w:ind w:firstLine="0" w:firstLineChars="0"/>
              <w:rPr>
                <w:b/>
                <w:bCs/>
                <w:snapToGrid/>
                <w:color w:val="auto"/>
                <w:kern w:val="2"/>
              </w:rPr>
            </w:pPr>
            <w:r>
              <w:rPr>
                <w:rFonts w:hint="eastAsia"/>
                <w:b/>
                <w:bCs/>
                <w:snapToGrid/>
                <w:color w:val="auto"/>
                <w:kern w:val="2"/>
              </w:rPr>
              <w:t>3.5与《关于加快推进露天矿山综合整治工作实施意见的函》的符合性分析</w:t>
            </w:r>
          </w:p>
          <w:p w14:paraId="7D85BA54">
            <w:pPr>
              <w:pStyle w:val="60"/>
              <w:tabs>
                <w:tab w:val="left" w:pos="4584"/>
              </w:tabs>
              <w:ind w:firstLine="480" w:firstLineChars="200"/>
              <w:rPr>
                <w:snapToGrid/>
                <w:color w:val="auto"/>
                <w:kern w:val="2"/>
              </w:rPr>
            </w:pPr>
            <w:r>
              <w:rPr>
                <w:rFonts w:hint="eastAsia"/>
                <w:snapToGrid/>
                <w:color w:val="auto"/>
                <w:kern w:val="2"/>
              </w:rPr>
              <w:t>本项目与《关于加快推进露天矿山综合整治工作实施意见的函》（自然资办函〔2019〕819号）符合性分析详见表1-9。</w:t>
            </w:r>
          </w:p>
          <w:p w14:paraId="0E4A1670">
            <w:pPr>
              <w:pStyle w:val="64"/>
              <w:outlineLvl w:val="9"/>
              <w:rPr>
                <w:rFonts w:hint="default"/>
                <w:b/>
                <w:bCs/>
                <w:color w:val="auto"/>
              </w:rPr>
            </w:pPr>
            <w:r>
              <w:rPr>
                <w:rFonts w:hint="default"/>
                <w:b/>
                <w:bCs/>
                <w:color w:val="auto"/>
              </w:rPr>
              <w:t>表</w:t>
            </w:r>
            <w:r>
              <w:rPr>
                <w:b/>
                <w:bCs/>
                <w:color w:val="auto"/>
              </w:rPr>
              <w:t>1-9</w:t>
            </w:r>
            <w:r>
              <w:rPr>
                <w:rFonts w:hint="default"/>
                <w:b/>
                <w:bCs/>
                <w:color w:val="auto"/>
              </w:rPr>
              <w:t xml:space="preserve">   与自然资办函〔2019〕819号</w:t>
            </w:r>
            <w:r>
              <w:rPr>
                <w:b/>
                <w:bCs/>
                <w:color w:val="auto"/>
              </w:rPr>
              <w:t>文符合性分析一览表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2"/>
              <w:gridCol w:w="2607"/>
              <w:gridCol w:w="986"/>
            </w:tblGrid>
            <w:tr w14:paraId="0640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vAlign w:val="center"/>
                </w:tcPr>
                <w:p w14:paraId="4B4B8C25">
                  <w:pPr>
                    <w:adjustRightInd w:val="0"/>
                    <w:snapToGrid w:val="0"/>
                    <w:jc w:val="center"/>
                    <w:rPr>
                      <w:b/>
                      <w:bCs/>
                      <w:color w:val="auto"/>
                      <w:kern w:val="0"/>
                      <w:szCs w:val="21"/>
                    </w:rPr>
                  </w:pPr>
                  <w:r>
                    <w:rPr>
                      <w:rFonts w:hint="eastAsia"/>
                      <w:b/>
                      <w:bCs/>
                      <w:color w:val="auto"/>
                      <w:kern w:val="0"/>
                      <w:szCs w:val="21"/>
                    </w:rPr>
                    <w:t>文件要求</w:t>
                  </w:r>
                </w:p>
              </w:tc>
              <w:tc>
                <w:tcPr>
                  <w:tcW w:w="1781" w:type="pct"/>
                  <w:vAlign w:val="center"/>
                </w:tcPr>
                <w:p w14:paraId="2C4C4FE5">
                  <w:pPr>
                    <w:adjustRightInd w:val="0"/>
                    <w:snapToGrid w:val="0"/>
                    <w:jc w:val="center"/>
                    <w:rPr>
                      <w:b/>
                      <w:bCs/>
                      <w:color w:val="auto"/>
                      <w:kern w:val="0"/>
                      <w:szCs w:val="21"/>
                    </w:rPr>
                  </w:pPr>
                  <w:r>
                    <w:rPr>
                      <w:rFonts w:hint="eastAsia"/>
                      <w:b/>
                      <w:bCs/>
                      <w:color w:val="auto"/>
                      <w:kern w:val="0"/>
                      <w:szCs w:val="21"/>
                    </w:rPr>
                    <w:t>本项目情况</w:t>
                  </w:r>
                </w:p>
              </w:tc>
              <w:tc>
                <w:tcPr>
                  <w:tcW w:w="674" w:type="pct"/>
                  <w:vAlign w:val="center"/>
                </w:tcPr>
                <w:p w14:paraId="06A1BF9D">
                  <w:pPr>
                    <w:adjustRightInd w:val="0"/>
                    <w:snapToGrid w:val="0"/>
                    <w:jc w:val="center"/>
                    <w:rPr>
                      <w:b/>
                      <w:bCs/>
                      <w:color w:val="auto"/>
                      <w:kern w:val="0"/>
                      <w:szCs w:val="21"/>
                    </w:rPr>
                  </w:pPr>
                  <w:r>
                    <w:rPr>
                      <w:rFonts w:hint="eastAsia"/>
                      <w:b/>
                      <w:bCs/>
                      <w:color w:val="auto"/>
                      <w:kern w:val="0"/>
                      <w:szCs w:val="21"/>
                    </w:rPr>
                    <w:t>符合性</w:t>
                  </w:r>
                </w:p>
              </w:tc>
            </w:tr>
            <w:tr w14:paraId="7F8C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vAlign w:val="center"/>
                </w:tcPr>
                <w:p w14:paraId="7823D98B">
                  <w:pPr>
                    <w:adjustRightInd w:val="0"/>
                    <w:snapToGrid w:val="0"/>
                    <w:jc w:val="center"/>
                    <w:rPr>
                      <w:color w:val="auto"/>
                      <w:kern w:val="0"/>
                      <w:szCs w:val="21"/>
                    </w:rPr>
                  </w:pPr>
                  <w:r>
                    <w:rPr>
                      <w:rFonts w:hint="eastAsia"/>
                      <w:color w:val="auto"/>
                      <w:kern w:val="0"/>
                      <w:szCs w:val="21"/>
                    </w:rPr>
                    <w:t>“</w:t>
                  </w:r>
                  <w:r>
                    <w:rPr>
                      <w:color w:val="auto"/>
                      <w:kern w:val="0"/>
                      <w:szCs w:val="21"/>
                    </w:rPr>
                    <w:t>谁治理，边开采、边治理”原则，引导矿山按照绿色矿山建设行业标准，以环境影响报告书及批复、矿山地质环境保护与土地复垦方案等要求，开展生态修复。对责任主体灭失的露天矿山，按照“谁治理、谁受益”的原则，充分发挥财政资金的引导带动作用，大力探索构建“政府主导、政策扶持、社会参与、开发式治理、市场化运作”的矿山地质环境恢复和综合治理新模式，加快生态修复进度。</w:t>
                  </w:r>
                </w:p>
              </w:tc>
              <w:tc>
                <w:tcPr>
                  <w:tcW w:w="1781" w:type="pct"/>
                  <w:vAlign w:val="center"/>
                </w:tcPr>
                <w:p w14:paraId="125D9F70">
                  <w:pPr>
                    <w:adjustRightInd w:val="0"/>
                    <w:snapToGrid w:val="0"/>
                    <w:rPr>
                      <w:color w:val="auto"/>
                      <w:kern w:val="0"/>
                      <w:szCs w:val="21"/>
                    </w:rPr>
                  </w:pPr>
                  <w:r>
                    <w:rPr>
                      <w:rFonts w:hint="eastAsia"/>
                      <w:color w:val="auto"/>
                      <w:kern w:val="0"/>
                      <w:szCs w:val="21"/>
                    </w:rPr>
                    <w:t>本</w:t>
                  </w:r>
                  <w:r>
                    <w:rPr>
                      <w:color w:val="auto"/>
                      <w:kern w:val="0"/>
                      <w:szCs w:val="21"/>
                    </w:rPr>
                    <w:t>项目运营后采取边开采、边治理措施，开展生态修复。项目建设严格</w:t>
                  </w:r>
                  <w:r>
                    <w:rPr>
                      <w:rFonts w:hint="eastAsia"/>
                      <w:color w:val="auto"/>
                      <w:kern w:val="0"/>
                      <w:szCs w:val="21"/>
                    </w:rPr>
                    <w:t>按照</w:t>
                  </w:r>
                  <w:r>
                    <w:rPr>
                      <w:color w:val="auto"/>
                      <w:kern w:val="0"/>
                      <w:szCs w:val="21"/>
                    </w:rPr>
                    <w:t>《矿山生态环境保护与污染防治技术政策</w:t>
                  </w:r>
                  <w:r>
                    <w:rPr>
                      <w:rFonts w:hint="eastAsia"/>
                      <w:color w:val="auto"/>
                      <w:kern w:val="0"/>
                      <w:szCs w:val="21"/>
                    </w:rPr>
                    <w:t>》《</w:t>
                  </w:r>
                  <w:r>
                    <w:rPr>
                      <w:color w:val="auto"/>
                      <w:kern w:val="0"/>
                      <w:szCs w:val="21"/>
                    </w:rPr>
                    <w:t>矿山生态环境保护与恢复治理技术规范</w:t>
                  </w:r>
                  <w:r>
                    <w:rPr>
                      <w:rFonts w:hint="eastAsia"/>
                      <w:color w:val="auto"/>
                      <w:kern w:val="0"/>
                      <w:szCs w:val="21"/>
                    </w:rPr>
                    <w:t>》《</w:t>
                  </w:r>
                  <w:r>
                    <w:rPr>
                      <w:color w:val="auto"/>
                      <w:kern w:val="0"/>
                      <w:szCs w:val="21"/>
                    </w:rPr>
                    <w:t>砂石行业绿色矿山建设规范》等文件要求建设。</w:t>
                  </w:r>
                </w:p>
              </w:tc>
              <w:tc>
                <w:tcPr>
                  <w:tcW w:w="674" w:type="pct"/>
                  <w:vAlign w:val="center"/>
                </w:tcPr>
                <w:p w14:paraId="2CBA3B91">
                  <w:pPr>
                    <w:adjustRightInd w:val="0"/>
                    <w:snapToGrid w:val="0"/>
                    <w:jc w:val="center"/>
                    <w:rPr>
                      <w:color w:val="auto"/>
                      <w:kern w:val="0"/>
                      <w:szCs w:val="21"/>
                    </w:rPr>
                  </w:pPr>
                  <w:r>
                    <w:rPr>
                      <w:rFonts w:hint="eastAsia"/>
                      <w:color w:val="auto"/>
                      <w:kern w:val="0"/>
                      <w:szCs w:val="21"/>
                    </w:rPr>
                    <w:t>符合</w:t>
                  </w:r>
                </w:p>
              </w:tc>
            </w:tr>
            <w:tr w14:paraId="7FD1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vAlign w:val="center"/>
                </w:tcPr>
                <w:p w14:paraId="39D44C19">
                  <w:pPr>
                    <w:adjustRightInd w:val="0"/>
                    <w:snapToGrid w:val="0"/>
                    <w:jc w:val="center"/>
                    <w:rPr>
                      <w:color w:val="auto"/>
                      <w:kern w:val="0"/>
                      <w:szCs w:val="21"/>
                    </w:rPr>
                  </w:pPr>
                  <w:r>
                    <w:rPr>
                      <w:color w:val="auto"/>
                      <w:kern w:val="0"/>
                      <w:szCs w:val="21"/>
                    </w:rPr>
                    <w:t>严格控制新建露天矿山建设项目。严格贯彻国发〔2018〕22号文件有关要求，重点区域原则上禁止新建露天矿山建设项目，国发〔2018〕22号文件下发前环境影响评价文件已经批复的重点区域露天矿山，确需建设的，在严格落实生态环境保护、矿产资源规划和绿色矿山建设行业标准等要求前提下可继续批准建设。其他区域新建露天矿山建设项目，也应严格执行生态环境保护、矿产资源规划和绿色矿山建设行业标准等要求。</w:t>
                  </w:r>
                </w:p>
              </w:tc>
              <w:tc>
                <w:tcPr>
                  <w:tcW w:w="1781" w:type="pct"/>
                  <w:vAlign w:val="center"/>
                </w:tcPr>
                <w:p w14:paraId="20783DC4">
                  <w:pPr>
                    <w:adjustRightInd w:val="0"/>
                    <w:snapToGrid w:val="0"/>
                    <w:jc w:val="center"/>
                    <w:rPr>
                      <w:color w:val="auto"/>
                      <w:kern w:val="0"/>
                      <w:szCs w:val="21"/>
                    </w:rPr>
                  </w:pPr>
                  <w:r>
                    <w:rPr>
                      <w:rFonts w:hint="eastAsia"/>
                      <w:color w:val="auto"/>
                      <w:kern w:val="0"/>
                      <w:szCs w:val="21"/>
                    </w:rPr>
                    <w:t>本</w:t>
                  </w:r>
                  <w:r>
                    <w:rPr>
                      <w:color w:val="auto"/>
                      <w:kern w:val="0"/>
                      <w:szCs w:val="21"/>
                    </w:rPr>
                    <w:t>项目</w:t>
                  </w:r>
                  <w:r>
                    <w:rPr>
                      <w:rFonts w:hint="eastAsia"/>
                      <w:color w:val="auto"/>
                      <w:kern w:val="0"/>
                      <w:szCs w:val="21"/>
                    </w:rPr>
                    <w:t>不属于重点区域禁止露天开采的项目，</w:t>
                  </w:r>
                  <w:r>
                    <w:rPr>
                      <w:color w:val="auto"/>
                      <w:kern w:val="0"/>
                      <w:szCs w:val="21"/>
                    </w:rPr>
                    <w:t>建设严格</w:t>
                  </w:r>
                  <w:r>
                    <w:rPr>
                      <w:rFonts w:hint="eastAsia"/>
                      <w:color w:val="auto"/>
                      <w:kern w:val="0"/>
                      <w:szCs w:val="21"/>
                      <w:lang w:eastAsia="zh-CN"/>
                    </w:rPr>
                    <w:t>按照</w:t>
                  </w:r>
                  <w:r>
                    <w:rPr>
                      <w:color w:val="auto"/>
                      <w:kern w:val="0"/>
                      <w:szCs w:val="21"/>
                    </w:rPr>
                    <w:t>《矿山生态环境保护与污染防治技术政策</w:t>
                  </w:r>
                  <w:r>
                    <w:rPr>
                      <w:rFonts w:hint="eastAsia"/>
                      <w:color w:val="auto"/>
                      <w:kern w:val="0"/>
                      <w:szCs w:val="21"/>
                    </w:rPr>
                    <w:t>》《</w:t>
                  </w:r>
                  <w:r>
                    <w:rPr>
                      <w:color w:val="auto"/>
                      <w:kern w:val="0"/>
                      <w:szCs w:val="21"/>
                    </w:rPr>
                    <w:t>矿山生态环境保护与恢复治理技术规范</w:t>
                  </w:r>
                  <w:r>
                    <w:rPr>
                      <w:rFonts w:hint="eastAsia"/>
                      <w:color w:val="auto"/>
                      <w:kern w:val="0"/>
                      <w:szCs w:val="21"/>
                    </w:rPr>
                    <w:t>》《</w:t>
                  </w:r>
                  <w:r>
                    <w:rPr>
                      <w:color w:val="auto"/>
                      <w:kern w:val="0"/>
                      <w:szCs w:val="21"/>
                    </w:rPr>
                    <w:t>砂石行业绿色矿山建设规范》等文件要求建设。</w:t>
                  </w:r>
                </w:p>
              </w:tc>
              <w:tc>
                <w:tcPr>
                  <w:tcW w:w="674" w:type="pct"/>
                  <w:vAlign w:val="center"/>
                </w:tcPr>
                <w:p w14:paraId="3FE64425">
                  <w:pPr>
                    <w:adjustRightInd w:val="0"/>
                    <w:snapToGrid w:val="0"/>
                    <w:jc w:val="center"/>
                    <w:rPr>
                      <w:color w:val="auto"/>
                      <w:kern w:val="0"/>
                      <w:szCs w:val="21"/>
                    </w:rPr>
                  </w:pPr>
                  <w:r>
                    <w:rPr>
                      <w:rFonts w:hint="eastAsia"/>
                      <w:color w:val="auto"/>
                      <w:kern w:val="0"/>
                      <w:szCs w:val="21"/>
                    </w:rPr>
                    <w:t>符合</w:t>
                  </w:r>
                </w:p>
              </w:tc>
            </w:tr>
          </w:tbl>
          <w:p w14:paraId="158F9C24">
            <w:pPr>
              <w:pStyle w:val="60"/>
              <w:tabs>
                <w:tab w:val="left" w:pos="4584"/>
              </w:tabs>
              <w:ind w:firstLine="480" w:firstLineChars="200"/>
              <w:rPr>
                <w:snapToGrid/>
                <w:color w:val="auto"/>
                <w:kern w:val="2"/>
              </w:rPr>
            </w:pPr>
            <w:r>
              <w:rPr>
                <w:rFonts w:hint="eastAsia"/>
                <w:snapToGrid/>
                <w:color w:val="auto"/>
                <w:kern w:val="2"/>
              </w:rPr>
              <w:t>综上所述，本项目建设</w:t>
            </w:r>
            <w:r>
              <w:rPr>
                <w:snapToGrid/>
                <w:color w:val="auto"/>
                <w:kern w:val="2"/>
              </w:rPr>
              <w:t>符合</w:t>
            </w:r>
            <w:r>
              <w:rPr>
                <w:rFonts w:hint="eastAsia"/>
                <w:snapToGrid/>
                <w:color w:val="auto"/>
                <w:kern w:val="2"/>
              </w:rPr>
              <w:t>《关于加快推进露天矿山综合整治工作实施意见的函》（自然资办函〔2019〕819号）中相关</w:t>
            </w:r>
            <w:r>
              <w:rPr>
                <w:snapToGrid/>
                <w:color w:val="auto"/>
                <w:kern w:val="2"/>
              </w:rPr>
              <w:t>要求。</w:t>
            </w:r>
          </w:p>
          <w:p w14:paraId="4165BD10">
            <w:pPr>
              <w:pStyle w:val="60"/>
              <w:tabs>
                <w:tab w:val="left" w:pos="4584"/>
              </w:tabs>
              <w:ind w:firstLine="0" w:firstLineChars="0"/>
              <w:rPr>
                <w:b/>
                <w:bCs/>
                <w:snapToGrid/>
                <w:color w:val="auto"/>
                <w:kern w:val="2"/>
              </w:rPr>
            </w:pPr>
            <w:r>
              <w:rPr>
                <w:rFonts w:hint="eastAsia"/>
                <w:b/>
                <w:bCs/>
                <w:snapToGrid/>
                <w:color w:val="auto"/>
                <w:kern w:val="2"/>
              </w:rPr>
              <w:t xml:space="preserve">3.6与《关于促进砂石行业健康有序发展的指导意见》（发改价格〔2020〕473号）等的符合性分析 </w:t>
            </w:r>
          </w:p>
          <w:p w14:paraId="7712DA30">
            <w:pPr>
              <w:pStyle w:val="60"/>
              <w:tabs>
                <w:tab w:val="left" w:pos="4584"/>
              </w:tabs>
              <w:ind w:firstLine="480" w:firstLineChars="200"/>
              <w:jc w:val="left"/>
              <w:rPr>
                <w:snapToGrid/>
                <w:color w:val="auto"/>
                <w:kern w:val="2"/>
              </w:rPr>
            </w:pPr>
            <w:r>
              <w:rPr>
                <w:rFonts w:hint="eastAsia"/>
                <w:snapToGrid/>
                <w:color w:val="auto"/>
                <w:kern w:val="2"/>
              </w:rPr>
              <w:t xml:space="preserve">文件要求：“优化机制砂石开发布局。在引导中小砂石企业合规生产的同时，通过市场化办法实现砂石矿山资源集约化、规模化开采，建设绿色矿山。” </w:t>
            </w:r>
          </w:p>
          <w:p w14:paraId="2949594D">
            <w:pPr>
              <w:pStyle w:val="60"/>
              <w:tabs>
                <w:tab w:val="left" w:pos="4584"/>
              </w:tabs>
              <w:ind w:firstLine="480" w:firstLineChars="200"/>
              <w:jc w:val="left"/>
              <w:rPr>
                <w:snapToGrid/>
                <w:color w:val="auto"/>
                <w:kern w:val="2"/>
              </w:rPr>
            </w:pPr>
            <w:r>
              <w:rPr>
                <w:rFonts w:hint="eastAsia"/>
                <w:snapToGrid/>
                <w:color w:val="auto"/>
                <w:kern w:val="2"/>
              </w:rPr>
              <w:t>本项目为规模化矿山，在矿山勘探、设计、建设、生产、闭坑等阶段遵循创建绿色矿山标准，实现开采方式科学化、资源利用高效化、企业管理规范化、生产工艺环保化、矿山环境生态化、矿山社区和谐化。</w:t>
            </w:r>
          </w:p>
          <w:p w14:paraId="7DF3AE2B">
            <w:pPr>
              <w:pStyle w:val="60"/>
              <w:tabs>
                <w:tab w:val="left" w:pos="4584"/>
              </w:tabs>
              <w:ind w:firstLine="480" w:firstLineChars="200"/>
              <w:jc w:val="left"/>
              <w:rPr>
                <w:snapToGrid/>
                <w:color w:val="auto"/>
                <w:kern w:val="2"/>
              </w:rPr>
            </w:pPr>
            <w:r>
              <w:rPr>
                <w:rFonts w:hint="eastAsia"/>
                <w:snapToGrid/>
                <w:color w:val="auto"/>
                <w:kern w:val="2"/>
              </w:rPr>
              <w:t>因此本项目</w:t>
            </w:r>
            <w:r>
              <w:rPr>
                <w:snapToGrid/>
                <w:color w:val="auto"/>
                <w:kern w:val="2"/>
              </w:rPr>
              <w:t>符合</w:t>
            </w:r>
            <w:r>
              <w:rPr>
                <w:rFonts w:hint="eastAsia"/>
                <w:snapToGrid/>
                <w:color w:val="auto"/>
                <w:kern w:val="2"/>
              </w:rPr>
              <w:t>《关于促进砂石行业健康有序发展的指导意见》（发改价格〔2020〕473号）中相关</w:t>
            </w:r>
            <w:r>
              <w:rPr>
                <w:snapToGrid/>
                <w:color w:val="auto"/>
                <w:kern w:val="2"/>
              </w:rPr>
              <w:t>要求。</w:t>
            </w:r>
          </w:p>
          <w:p w14:paraId="086DA79A">
            <w:pPr>
              <w:pStyle w:val="60"/>
              <w:tabs>
                <w:tab w:val="left" w:pos="4584"/>
              </w:tabs>
              <w:ind w:firstLine="0" w:firstLineChars="0"/>
              <w:rPr>
                <w:b/>
                <w:bCs/>
                <w:snapToGrid/>
                <w:color w:val="auto"/>
                <w:kern w:val="2"/>
              </w:rPr>
            </w:pPr>
            <w:r>
              <w:rPr>
                <w:rFonts w:hint="eastAsia"/>
                <w:b/>
                <w:bCs/>
                <w:snapToGrid/>
                <w:color w:val="auto"/>
                <w:kern w:val="2"/>
              </w:rPr>
              <w:t>3.7与《自然资源部关于规范和完善砂石开采管理的通知》符合性分析</w:t>
            </w:r>
          </w:p>
          <w:p w14:paraId="71C37BB6">
            <w:pPr>
              <w:pStyle w:val="60"/>
              <w:tabs>
                <w:tab w:val="left" w:pos="4584"/>
              </w:tabs>
              <w:ind w:firstLine="480" w:firstLineChars="200"/>
              <w:jc w:val="left"/>
              <w:rPr>
                <w:snapToGrid/>
                <w:color w:val="auto"/>
                <w:kern w:val="2"/>
              </w:rPr>
            </w:pPr>
            <w:r>
              <w:rPr>
                <w:rFonts w:hint="eastAsia"/>
                <w:snapToGrid/>
                <w:color w:val="auto"/>
                <w:kern w:val="2"/>
              </w:rPr>
              <w:t xml:space="preserve">根据自然资源部2023年4月10日发布的《自然资源部关于规范和完善砂石开采管理的通知》提出“非砂石类生产矿山在其矿区范围内按照矿山设计或开发利用方案，矿山剥离、井巷开拓、选矿产生的建筑用砂，应优先供该矿山井巷填充、修复治理及工程建设等综合利用，利用后仍有剩余的，由所在地的自然资源主管部门报县级以上地方人民政府组织纳入公共资源交易平台处置”“绿色矿山建设要求应纳入采矿权出让公告，并在采矿权出让合同中明确绿色矿山创建要求和违约责任。新建砂石矿山应按绿色矿山标准要求建设，正在生产的矿山应积极推进绿色矿山建设，明确改进期限，逐步达到绿色矿山要求。矿山企业应当认真履行矿山生态保护修复义务，将生态保护修复贯穿采矿活动全过程”。   </w:t>
            </w:r>
          </w:p>
          <w:p w14:paraId="736DDADE">
            <w:pPr>
              <w:pStyle w:val="60"/>
              <w:tabs>
                <w:tab w:val="left" w:pos="4584"/>
              </w:tabs>
              <w:ind w:firstLine="480" w:firstLineChars="200"/>
              <w:jc w:val="left"/>
              <w:rPr>
                <w:snapToGrid/>
                <w:color w:val="auto"/>
                <w:kern w:val="2"/>
              </w:rPr>
            </w:pPr>
            <w:r>
              <w:rPr>
                <w:rFonts w:hint="eastAsia"/>
                <w:snapToGrid/>
                <w:color w:val="auto"/>
                <w:kern w:val="2"/>
              </w:rPr>
              <w:t>本项目为建筑砂石开采，已按绿色矿山标准要求建设，矿山企业应认真履行矿山生态保护修复义务，将生态保护修复贯穿采矿活动全过程，因此，本项目符合《自然资源部关于规范和完善砂石开采管理的通知》。</w:t>
            </w:r>
          </w:p>
          <w:p w14:paraId="58726A43">
            <w:pPr>
              <w:pStyle w:val="60"/>
              <w:tabs>
                <w:tab w:val="left" w:pos="4584"/>
              </w:tabs>
              <w:ind w:firstLine="0" w:firstLineChars="0"/>
              <w:rPr>
                <w:b/>
                <w:bCs/>
                <w:snapToGrid/>
                <w:color w:val="auto"/>
                <w:kern w:val="2"/>
              </w:rPr>
            </w:pPr>
            <w:r>
              <w:rPr>
                <w:rFonts w:hint="eastAsia"/>
                <w:b/>
                <w:bCs/>
                <w:snapToGrid/>
                <w:color w:val="auto"/>
                <w:kern w:val="2"/>
              </w:rPr>
              <w:t>3.8</w:t>
            </w:r>
            <w:r>
              <w:rPr>
                <w:b/>
                <w:bCs/>
                <w:snapToGrid/>
                <w:color w:val="auto"/>
                <w:kern w:val="2"/>
              </w:rPr>
              <w:t>与《新疆维吾尔自治区大气污染防治条例》符合性</w:t>
            </w:r>
          </w:p>
          <w:p w14:paraId="386370AB">
            <w:pPr>
              <w:pStyle w:val="60"/>
              <w:tabs>
                <w:tab w:val="left" w:pos="4584"/>
              </w:tabs>
              <w:ind w:firstLine="480" w:firstLineChars="200"/>
              <w:jc w:val="left"/>
              <w:rPr>
                <w:snapToGrid/>
                <w:color w:val="auto"/>
                <w:kern w:val="2"/>
              </w:rPr>
            </w:pPr>
            <w:r>
              <w:rPr>
                <w:rFonts w:hint="eastAsia"/>
                <w:snapToGrid/>
                <w:color w:val="auto"/>
                <w:kern w:val="2"/>
              </w:rPr>
              <w:t>本项目运营期大气主要污染为粉尘，对照《新疆维吾尔自治区大气污染防治条例》中“第三章防治措施”中的“第四节扬尘污染防治”符合性分析见表1-10。</w:t>
            </w:r>
          </w:p>
          <w:p w14:paraId="59E63247">
            <w:pPr>
              <w:pStyle w:val="64"/>
              <w:outlineLvl w:val="9"/>
              <w:rPr>
                <w:rFonts w:hint="default"/>
                <w:b/>
                <w:bCs/>
                <w:color w:val="auto"/>
              </w:rPr>
            </w:pPr>
            <w:r>
              <w:rPr>
                <w:b/>
                <w:bCs/>
                <w:color w:val="auto"/>
              </w:rPr>
              <w:t>表1-10    与《新疆维吾尔自治区大气污染防治条例》符合性分析</w:t>
            </w:r>
          </w:p>
          <w:tbl>
            <w:tblPr>
              <w:tblStyle w:val="2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800"/>
              <w:gridCol w:w="2130"/>
              <w:gridCol w:w="878"/>
            </w:tblGrid>
            <w:tr w14:paraId="7DCC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6F23A5AE">
                  <w:pPr>
                    <w:jc w:val="center"/>
                    <w:rPr>
                      <w:rFonts w:cstheme="minorBidi"/>
                      <w:bCs/>
                      <w:color w:val="auto"/>
                      <w:kern w:val="44"/>
                    </w:rPr>
                  </w:pPr>
                  <w:r>
                    <w:rPr>
                      <w:rFonts w:hint="eastAsia" w:cstheme="minorBidi"/>
                      <w:bCs/>
                      <w:color w:val="auto"/>
                      <w:kern w:val="44"/>
                    </w:rPr>
                    <w:t>序号</w:t>
                  </w:r>
                </w:p>
              </w:tc>
              <w:tc>
                <w:tcPr>
                  <w:tcW w:w="2599" w:type="pct"/>
                  <w:vAlign w:val="center"/>
                </w:tcPr>
                <w:p w14:paraId="459806E3">
                  <w:pPr>
                    <w:jc w:val="center"/>
                    <w:rPr>
                      <w:rFonts w:cstheme="minorBidi"/>
                      <w:bCs/>
                      <w:color w:val="auto"/>
                      <w:kern w:val="44"/>
                    </w:rPr>
                  </w:pPr>
                  <w:r>
                    <w:rPr>
                      <w:rFonts w:hint="eastAsia" w:cstheme="minorBidi"/>
                      <w:bCs/>
                      <w:color w:val="auto"/>
                      <w:kern w:val="44"/>
                    </w:rPr>
                    <w:t>具体要求</w:t>
                  </w:r>
                </w:p>
              </w:tc>
              <w:tc>
                <w:tcPr>
                  <w:tcW w:w="1457" w:type="pct"/>
                  <w:vAlign w:val="center"/>
                </w:tcPr>
                <w:p w14:paraId="744D03E9">
                  <w:pPr>
                    <w:jc w:val="center"/>
                    <w:rPr>
                      <w:rFonts w:cstheme="minorBidi"/>
                      <w:bCs/>
                      <w:color w:val="auto"/>
                      <w:kern w:val="44"/>
                    </w:rPr>
                  </w:pPr>
                  <w:r>
                    <w:rPr>
                      <w:rFonts w:hint="eastAsia" w:cstheme="minorBidi"/>
                      <w:bCs/>
                      <w:color w:val="auto"/>
                      <w:kern w:val="44"/>
                    </w:rPr>
                    <w:t>本项目</w:t>
                  </w:r>
                </w:p>
              </w:tc>
              <w:tc>
                <w:tcPr>
                  <w:tcW w:w="601" w:type="pct"/>
                  <w:vAlign w:val="center"/>
                </w:tcPr>
                <w:p w14:paraId="499BEC7E">
                  <w:pPr>
                    <w:jc w:val="center"/>
                    <w:rPr>
                      <w:rFonts w:cstheme="minorBidi"/>
                      <w:bCs/>
                      <w:color w:val="auto"/>
                      <w:kern w:val="44"/>
                    </w:rPr>
                  </w:pPr>
                  <w:r>
                    <w:rPr>
                      <w:rFonts w:hint="eastAsia" w:cstheme="minorBidi"/>
                      <w:bCs/>
                      <w:color w:val="auto"/>
                      <w:kern w:val="44"/>
                    </w:rPr>
                    <w:t>符合性</w:t>
                  </w:r>
                </w:p>
              </w:tc>
            </w:tr>
            <w:tr w14:paraId="109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28381228">
                  <w:pPr>
                    <w:jc w:val="center"/>
                    <w:rPr>
                      <w:rFonts w:cstheme="minorBidi"/>
                      <w:bCs/>
                      <w:color w:val="auto"/>
                      <w:kern w:val="44"/>
                    </w:rPr>
                  </w:pPr>
                  <w:r>
                    <w:rPr>
                      <w:rFonts w:hint="eastAsia" w:cstheme="minorBidi"/>
                      <w:bCs/>
                      <w:color w:val="auto"/>
                      <w:kern w:val="44"/>
                    </w:rPr>
                    <w:t>1</w:t>
                  </w:r>
                </w:p>
              </w:tc>
              <w:tc>
                <w:tcPr>
                  <w:tcW w:w="2599" w:type="pct"/>
                  <w:vAlign w:val="center"/>
                </w:tcPr>
                <w:p w14:paraId="0A1D56FC">
                  <w:pPr>
                    <w:jc w:val="center"/>
                    <w:rPr>
                      <w:rFonts w:cstheme="minorBidi"/>
                      <w:bCs/>
                      <w:color w:val="auto"/>
                      <w:kern w:val="44"/>
                    </w:rPr>
                  </w:pPr>
                  <w:r>
                    <w:rPr>
                      <w:rFonts w:hint="eastAsia" w:cstheme="minorBidi"/>
                      <w:bCs/>
                      <w:color w:val="auto"/>
                      <w:kern w:val="44"/>
                    </w:rPr>
                    <w:t>第三十七条各级人民政府应当加强对建设施工、矿产资源开采、物料运输的扬尘和沙尘污染的治理，保持道路清洁、控制料堆和渣土堆放，科学合理扩大绿地、水面、湿地、地面铺装和防风固沙绿化面积，防治扬尘污染。</w:t>
                  </w:r>
                </w:p>
              </w:tc>
              <w:tc>
                <w:tcPr>
                  <w:tcW w:w="1457" w:type="pct"/>
                  <w:vAlign w:val="center"/>
                </w:tcPr>
                <w:p w14:paraId="229EBBD8">
                  <w:pPr>
                    <w:jc w:val="center"/>
                    <w:rPr>
                      <w:rFonts w:cstheme="minorBidi"/>
                      <w:bCs/>
                      <w:color w:val="auto"/>
                      <w:kern w:val="44"/>
                    </w:rPr>
                  </w:pPr>
                  <w:r>
                    <w:rPr>
                      <w:rFonts w:hint="eastAsia" w:cstheme="minorBidi"/>
                      <w:bCs/>
                      <w:color w:val="auto"/>
                      <w:kern w:val="44"/>
                    </w:rPr>
                    <w:t>环评要求对开采作业面及建筑用砂装卸过程中采用雾炮机水雾增湿除尘方式降尘，表土堆场、</w:t>
                  </w:r>
                  <w:r>
                    <w:rPr>
                      <w:rFonts w:hint="eastAsia" w:cstheme="minorBidi"/>
                      <w:bCs/>
                      <w:color w:val="auto"/>
                      <w:kern w:val="44"/>
                      <w:lang w:eastAsia="zh-CN"/>
                    </w:rPr>
                    <w:t>运输道</w:t>
                  </w:r>
                  <w:r>
                    <w:rPr>
                      <w:rFonts w:hint="eastAsia" w:cstheme="minorBidi"/>
                      <w:bCs/>
                      <w:color w:val="auto"/>
                      <w:kern w:val="44"/>
                    </w:rPr>
                    <w:t>进行洒水降尘、运输车辆篷布遮盖</w:t>
                  </w:r>
                  <w:r>
                    <w:rPr>
                      <w:rFonts w:hint="eastAsia" w:cstheme="minorBidi"/>
                      <w:bCs/>
                      <w:color w:val="auto"/>
                      <w:kern w:val="44"/>
                      <w:lang w:eastAsia="zh-CN"/>
                    </w:rPr>
                    <w:t>，对车辆进行清洗，降低扬尘产生</w:t>
                  </w:r>
                  <w:r>
                    <w:rPr>
                      <w:rFonts w:hint="eastAsia" w:cstheme="minorBidi"/>
                      <w:bCs/>
                      <w:color w:val="auto"/>
                      <w:kern w:val="44"/>
                    </w:rPr>
                    <w:t>等。</w:t>
                  </w:r>
                </w:p>
              </w:tc>
              <w:tc>
                <w:tcPr>
                  <w:tcW w:w="601" w:type="pct"/>
                  <w:vAlign w:val="center"/>
                </w:tcPr>
                <w:p w14:paraId="3E990D15">
                  <w:pPr>
                    <w:jc w:val="center"/>
                    <w:rPr>
                      <w:rFonts w:cstheme="minorBidi"/>
                      <w:bCs/>
                      <w:color w:val="auto"/>
                      <w:kern w:val="44"/>
                    </w:rPr>
                  </w:pPr>
                  <w:r>
                    <w:rPr>
                      <w:rFonts w:hint="eastAsia" w:cstheme="minorBidi"/>
                      <w:bCs/>
                      <w:color w:val="auto"/>
                      <w:kern w:val="44"/>
                    </w:rPr>
                    <w:t>符合</w:t>
                  </w:r>
                </w:p>
              </w:tc>
            </w:tr>
            <w:tr w14:paraId="5264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28C5F72C">
                  <w:pPr>
                    <w:jc w:val="center"/>
                    <w:rPr>
                      <w:rFonts w:cstheme="minorBidi"/>
                      <w:bCs/>
                      <w:color w:val="auto"/>
                      <w:kern w:val="44"/>
                    </w:rPr>
                  </w:pPr>
                  <w:r>
                    <w:rPr>
                      <w:rFonts w:hint="eastAsia" w:cstheme="minorBidi"/>
                      <w:bCs/>
                      <w:color w:val="auto"/>
                      <w:kern w:val="44"/>
                    </w:rPr>
                    <w:t>2</w:t>
                  </w:r>
                </w:p>
              </w:tc>
              <w:tc>
                <w:tcPr>
                  <w:tcW w:w="2599" w:type="pct"/>
                  <w:vAlign w:val="center"/>
                </w:tcPr>
                <w:p w14:paraId="4DA8112D">
                  <w:pPr>
                    <w:jc w:val="center"/>
                    <w:rPr>
                      <w:rFonts w:cstheme="minorBidi"/>
                      <w:bCs/>
                      <w:color w:val="auto"/>
                      <w:kern w:val="44"/>
                    </w:rPr>
                  </w:pPr>
                  <w:r>
                    <w:rPr>
                      <w:rFonts w:hint="eastAsia" w:cstheme="minorBidi"/>
                      <w:bCs/>
                      <w:color w:val="auto"/>
                      <w:kern w:val="44"/>
                    </w:rPr>
                    <w:t>第三十九条运输、处置建筑垃圾，应当经工程所在地的县（市、区）人民政府确定的监督管理部门同意，按照规定的运输时间、路线和要求清运到指定的场所处理；在场地内堆存的，应当有效覆盖。</w:t>
                  </w:r>
                </w:p>
              </w:tc>
              <w:tc>
                <w:tcPr>
                  <w:tcW w:w="1457" w:type="pct"/>
                  <w:vAlign w:val="center"/>
                </w:tcPr>
                <w:p w14:paraId="43A7BC0C">
                  <w:pPr>
                    <w:jc w:val="center"/>
                    <w:rPr>
                      <w:rFonts w:cstheme="minorBidi"/>
                      <w:bCs/>
                      <w:color w:val="auto"/>
                      <w:kern w:val="44"/>
                    </w:rPr>
                  </w:pPr>
                  <w:r>
                    <w:rPr>
                      <w:rFonts w:hint="eastAsia" w:cstheme="minorBidi"/>
                      <w:bCs/>
                      <w:color w:val="auto"/>
                      <w:kern w:val="44"/>
                    </w:rPr>
                    <w:t>施工单位承诺运输、处置建筑垃圾按当地管理要求；场地堆存物料加盖篷布。</w:t>
                  </w:r>
                </w:p>
              </w:tc>
              <w:tc>
                <w:tcPr>
                  <w:tcW w:w="601" w:type="pct"/>
                  <w:vAlign w:val="center"/>
                </w:tcPr>
                <w:p w14:paraId="14E5E3E4">
                  <w:pPr>
                    <w:jc w:val="center"/>
                    <w:rPr>
                      <w:rFonts w:cstheme="minorBidi"/>
                      <w:bCs/>
                      <w:color w:val="auto"/>
                      <w:kern w:val="44"/>
                    </w:rPr>
                  </w:pPr>
                  <w:r>
                    <w:rPr>
                      <w:rFonts w:hint="eastAsia" w:cstheme="minorBidi"/>
                      <w:bCs/>
                      <w:color w:val="auto"/>
                      <w:kern w:val="44"/>
                    </w:rPr>
                    <w:t>符合</w:t>
                  </w:r>
                </w:p>
              </w:tc>
            </w:tr>
            <w:tr w14:paraId="1D5E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6EB35CCC">
                  <w:pPr>
                    <w:jc w:val="center"/>
                    <w:rPr>
                      <w:rFonts w:cstheme="minorBidi"/>
                      <w:bCs/>
                      <w:color w:val="auto"/>
                      <w:kern w:val="44"/>
                    </w:rPr>
                  </w:pPr>
                  <w:r>
                    <w:rPr>
                      <w:rFonts w:hint="eastAsia" w:cstheme="minorBidi"/>
                      <w:bCs/>
                      <w:color w:val="auto"/>
                      <w:kern w:val="44"/>
                    </w:rPr>
                    <w:t>3</w:t>
                  </w:r>
                </w:p>
              </w:tc>
              <w:tc>
                <w:tcPr>
                  <w:tcW w:w="2599" w:type="pct"/>
                  <w:vAlign w:val="center"/>
                </w:tcPr>
                <w:p w14:paraId="71FBF7DD">
                  <w:pPr>
                    <w:jc w:val="center"/>
                    <w:rPr>
                      <w:rFonts w:cstheme="minorBidi"/>
                      <w:bCs/>
                      <w:color w:val="auto"/>
                      <w:kern w:val="44"/>
                    </w:rPr>
                  </w:pPr>
                  <w:r>
                    <w:rPr>
                      <w:rFonts w:hint="eastAsia" w:cstheme="minorBidi"/>
                      <w:bCs/>
                      <w:color w:val="auto"/>
                      <w:kern w:val="44"/>
                    </w:rPr>
                    <w:t>第四十三条贮存易产生扬尘的煤炭、煤矸石、煤渣、煤灰、水泥、石灰、石膏、砂土等物料的堆场应当密闭；不能密闭的，贮存单位或者个人应当采取下列防尘措施：（一）堆场的场坪、路面应当进行硬化处理，并保持路面整洁；（二）堆场周边应当配备高于堆存物料的围挡、防风抑尘网等设施；（三）按照物料类别采取相应的覆盖、喷淋和围挡等防风抑尘措施。露天装卸物料应当采取密闭或者喷淋等抑尘措施；输送的物料应当在装料、卸料处配备吸尘、喷淋等防尘设施。</w:t>
                  </w:r>
                </w:p>
              </w:tc>
              <w:tc>
                <w:tcPr>
                  <w:tcW w:w="1457" w:type="pct"/>
                  <w:vAlign w:val="center"/>
                </w:tcPr>
                <w:p w14:paraId="6A60DFEE">
                  <w:pPr>
                    <w:jc w:val="center"/>
                    <w:rPr>
                      <w:rFonts w:cstheme="minorBidi"/>
                      <w:bCs/>
                      <w:color w:val="auto"/>
                      <w:kern w:val="44"/>
                    </w:rPr>
                  </w:pPr>
                  <w:r>
                    <w:rPr>
                      <w:rFonts w:hint="eastAsia" w:cstheme="minorBidi"/>
                      <w:bCs/>
                      <w:color w:val="auto"/>
                      <w:kern w:val="44"/>
                    </w:rPr>
                    <w:t>开采作业面及建筑用砂装卸过程中采用雾炮机水雾增湿除尘方式降尘；表土堆场洒水降尘，防尘网苫盖，加强管理，规范作业等。</w:t>
                  </w:r>
                </w:p>
              </w:tc>
              <w:tc>
                <w:tcPr>
                  <w:tcW w:w="601" w:type="pct"/>
                  <w:vAlign w:val="center"/>
                </w:tcPr>
                <w:p w14:paraId="217B9709">
                  <w:pPr>
                    <w:jc w:val="center"/>
                    <w:rPr>
                      <w:rFonts w:cstheme="minorBidi"/>
                      <w:bCs/>
                      <w:color w:val="auto"/>
                      <w:kern w:val="44"/>
                    </w:rPr>
                  </w:pPr>
                  <w:r>
                    <w:rPr>
                      <w:rFonts w:hint="eastAsia" w:cstheme="minorBidi"/>
                      <w:bCs/>
                      <w:color w:val="auto"/>
                      <w:kern w:val="44"/>
                    </w:rPr>
                    <w:t>符合</w:t>
                  </w:r>
                </w:p>
              </w:tc>
            </w:tr>
            <w:tr w14:paraId="6CD8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3BEB7E5F">
                  <w:pPr>
                    <w:jc w:val="center"/>
                    <w:rPr>
                      <w:rFonts w:cstheme="minorBidi"/>
                      <w:bCs/>
                      <w:color w:val="auto"/>
                      <w:kern w:val="44"/>
                    </w:rPr>
                  </w:pPr>
                  <w:r>
                    <w:rPr>
                      <w:rFonts w:hint="eastAsia" w:cstheme="minorBidi"/>
                      <w:bCs/>
                      <w:color w:val="auto"/>
                      <w:kern w:val="44"/>
                    </w:rPr>
                    <w:t>4</w:t>
                  </w:r>
                </w:p>
              </w:tc>
              <w:tc>
                <w:tcPr>
                  <w:tcW w:w="2599" w:type="pct"/>
                  <w:vAlign w:val="center"/>
                </w:tcPr>
                <w:p w14:paraId="545BD2AF">
                  <w:pPr>
                    <w:jc w:val="center"/>
                    <w:rPr>
                      <w:rFonts w:cstheme="minorBidi"/>
                      <w:bCs/>
                      <w:color w:val="auto"/>
                      <w:kern w:val="44"/>
                    </w:rPr>
                  </w:pPr>
                  <w:r>
                    <w:rPr>
                      <w:rFonts w:ascii="sans-serif" w:hAnsi="sans-serif" w:eastAsia="sans-serif" w:cs="sans-serif"/>
                      <w:color w:val="auto"/>
                      <w:szCs w:val="21"/>
                      <w:shd w:val="clear" w:color="auto" w:fill="FFFFFF"/>
                    </w:rPr>
                    <w:t>第四十四条矿山开采产生的废石、废渣、泥</w:t>
                  </w:r>
                  <w:r>
                    <w:rPr>
                      <w:rFonts w:hint="eastAsia" w:ascii="sans-serif" w:hAnsi="sans-serif" w:eastAsia="sans-serif" w:cs="sans-serif"/>
                      <w:color w:val="auto"/>
                      <w:szCs w:val="21"/>
                      <w:shd w:val="clear" w:color="auto" w:fill="FFFFFF"/>
                    </w:rPr>
                    <w:t>土等应当堆放到专门存放地，并采取围挡、设置防尘网或者防尘布等防尘措施；施工便道应当硬化。在采石、采砂和其他矿产资源开采过程中，或者在停办、关闭矿山前，采矿权人应当整修被损坏的道路和露天采矿场的边坡、断面，恢复原有地貌，并按照规定处置矿山开采废弃物，防止扬尘污染。</w:t>
                  </w:r>
                </w:p>
              </w:tc>
              <w:tc>
                <w:tcPr>
                  <w:tcW w:w="1457" w:type="pct"/>
                  <w:vAlign w:val="center"/>
                </w:tcPr>
                <w:p w14:paraId="61AE6B0C">
                  <w:pPr>
                    <w:jc w:val="center"/>
                    <w:rPr>
                      <w:rFonts w:cstheme="minorBidi"/>
                      <w:bCs/>
                      <w:color w:val="auto"/>
                      <w:kern w:val="44"/>
                    </w:rPr>
                  </w:pPr>
                  <w:r>
                    <w:rPr>
                      <w:rFonts w:hint="eastAsia" w:cstheme="minorBidi"/>
                      <w:bCs/>
                      <w:color w:val="auto"/>
                      <w:kern w:val="44"/>
                    </w:rPr>
                    <w:t>开采作业面及建筑用砂装卸过程中采用雾炮机水雾增湿除尘方式降尘；表土堆场洒水降尘，防尘网苫盖</w:t>
                  </w:r>
                  <w:r>
                    <w:rPr>
                      <w:rFonts w:hint="eastAsia" w:ascii="sans-serif" w:hAnsi="sans-serif" w:cs="sans-serif"/>
                      <w:color w:val="auto"/>
                      <w:szCs w:val="21"/>
                      <w:shd w:val="clear" w:color="auto" w:fill="FFFFFF"/>
                    </w:rPr>
                    <w:t>。</w:t>
                  </w:r>
                  <w:r>
                    <w:rPr>
                      <w:rFonts w:hint="eastAsia" w:ascii="sans-serif" w:hAnsi="sans-serif" w:eastAsia="sans-serif" w:cs="sans-serif"/>
                      <w:color w:val="auto"/>
                      <w:szCs w:val="21"/>
                      <w:shd w:val="clear" w:color="auto" w:fill="FFFFFF"/>
                    </w:rPr>
                    <w:t>闭矿期</w:t>
                  </w:r>
                  <w:r>
                    <w:rPr>
                      <w:rFonts w:hint="eastAsia" w:ascii="sans-serif" w:hAnsi="sans-serif" w:cs="sans-serif"/>
                      <w:color w:val="auto"/>
                      <w:szCs w:val="21"/>
                      <w:shd w:val="clear" w:color="auto" w:fill="FFFFFF"/>
                    </w:rPr>
                    <w:t>将剥离表土</w:t>
                  </w:r>
                  <w:r>
                    <w:rPr>
                      <w:rFonts w:hint="eastAsia" w:ascii="sans-serif" w:hAnsi="sans-serif" w:eastAsia="sans-serif" w:cs="sans-serif"/>
                      <w:color w:val="auto"/>
                      <w:szCs w:val="21"/>
                      <w:shd w:val="clear" w:color="auto" w:fill="FFFFFF"/>
                    </w:rPr>
                    <w:t>用于采坑回填整治及土地复垦，并按要求编制矿产资源开发利用与生态保护修复方案。</w:t>
                  </w:r>
                </w:p>
              </w:tc>
              <w:tc>
                <w:tcPr>
                  <w:tcW w:w="601" w:type="pct"/>
                  <w:vAlign w:val="center"/>
                </w:tcPr>
                <w:p w14:paraId="7B4DA5A4">
                  <w:pPr>
                    <w:jc w:val="center"/>
                    <w:rPr>
                      <w:rFonts w:cstheme="minorBidi"/>
                      <w:bCs/>
                      <w:color w:val="auto"/>
                      <w:kern w:val="44"/>
                    </w:rPr>
                  </w:pPr>
                  <w:r>
                    <w:rPr>
                      <w:rFonts w:hint="eastAsia" w:cstheme="minorBidi"/>
                      <w:bCs/>
                      <w:color w:val="auto"/>
                      <w:kern w:val="44"/>
                    </w:rPr>
                    <w:t>符合</w:t>
                  </w:r>
                </w:p>
              </w:tc>
            </w:tr>
          </w:tbl>
          <w:p w14:paraId="462EE3A6">
            <w:pPr>
              <w:autoSpaceDE w:val="0"/>
              <w:autoSpaceDN w:val="0"/>
              <w:spacing w:line="360" w:lineRule="auto"/>
              <w:ind w:firstLine="480" w:firstLineChars="200"/>
              <w:rPr>
                <w:color w:val="auto"/>
                <w:sz w:val="24"/>
              </w:rPr>
            </w:pPr>
            <w:r>
              <w:rPr>
                <w:rFonts w:hint="eastAsia"/>
                <w:color w:val="auto"/>
                <w:sz w:val="24"/>
              </w:rPr>
              <w:t>综上所述，本项目</w:t>
            </w:r>
            <w:r>
              <w:rPr>
                <w:color w:val="auto"/>
                <w:sz w:val="24"/>
              </w:rPr>
              <w:t>符合</w:t>
            </w:r>
            <w:r>
              <w:rPr>
                <w:rFonts w:hint="eastAsia"/>
                <w:color w:val="auto"/>
                <w:sz w:val="24"/>
              </w:rPr>
              <w:t>《新疆维吾尔自治区大气污染防治条例》中相关</w:t>
            </w:r>
            <w:r>
              <w:rPr>
                <w:color w:val="auto"/>
                <w:sz w:val="24"/>
              </w:rPr>
              <w:t>要求。</w:t>
            </w:r>
          </w:p>
          <w:p w14:paraId="0FE03558">
            <w:pPr>
              <w:pStyle w:val="60"/>
              <w:tabs>
                <w:tab w:val="left" w:pos="4584"/>
              </w:tabs>
              <w:ind w:firstLine="0" w:firstLineChars="0"/>
              <w:rPr>
                <w:b/>
                <w:bCs/>
                <w:snapToGrid/>
                <w:color w:val="auto"/>
                <w:kern w:val="2"/>
              </w:rPr>
            </w:pPr>
            <w:r>
              <w:rPr>
                <w:rFonts w:hint="eastAsia"/>
                <w:b/>
                <w:bCs/>
                <w:snapToGrid/>
                <w:color w:val="auto"/>
                <w:kern w:val="2"/>
              </w:rPr>
              <w:t>3.9</w:t>
            </w:r>
            <w:r>
              <w:rPr>
                <w:b/>
                <w:bCs/>
                <w:snapToGrid/>
                <w:color w:val="auto"/>
                <w:kern w:val="2"/>
              </w:rPr>
              <w:t>与《</w:t>
            </w:r>
            <w:r>
              <w:rPr>
                <w:rFonts w:hint="eastAsia"/>
                <w:b/>
                <w:bCs/>
                <w:snapToGrid/>
                <w:color w:val="auto"/>
                <w:kern w:val="2"/>
              </w:rPr>
              <w:t>新疆维吾尔自治区重点行业生态环境准入条件（2024年）</w:t>
            </w:r>
            <w:r>
              <w:rPr>
                <w:b/>
                <w:bCs/>
                <w:snapToGrid/>
                <w:color w:val="auto"/>
                <w:kern w:val="2"/>
              </w:rPr>
              <w:t>》符合性</w:t>
            </w:r>
            <w:r>
              <w:rPr>
                <w:rFonts w:hint="eastAsia"/>
                <w:b/>
                <w:bCs/>
                <w:snapToGrid/>
                <w:color w:val="auto"/>
                <w:kern w:val="2"/>
              </w:rPr>
              <w:t>分析</w:t>
            </w:r>
          </w:p>
          <w:p w14:paraId="276B22DF">
            <w:pPr>
              <w:pStyle w:val="64"/>
              <w:outlineLvl w:val="9"/>
              <w:rPr>
                <w:rFonts w:hint="default"/>
                <w:b/>
                <w:bCs/>
                <w:color w:val="auto"/>
              </w:rPr>
            </w:pPr>
            <w:r>
              <w:rPr>
                <w:b/>
                <w:bCs/>
                <w:color w:val="auto"/>
              </w:rPr>
              <w:t>表1-11本项目与《新疆维吾尔自治区重点行业生态环境准入条件（2024年）》符合性分析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3492"/>
              <w:gridCol w:w="2206"/>
              <w:gridCol w:w="1116"/>
            </w:tblGrid>
            <w:tr w14:paraId="5168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54259DCD">
                  <w:pPr>
                    <w:jc w:val="center"/>
                    <w:rPr>
                      <w:rFonts w:cstheme="minorBidi"/>
                      <w:bCs/>
                      <w:color w:val="auto"/>
                      <w:kern w:val="44"/>
                      <w:szCs w:val="21"/>
                    </w:rPr>
                  </w:pPr>
                  <w:r>
                    <w:rPr>
                      <w:rFonts w:hint="eastAsia" w:cstheme="minorBidi"/>
                      <w:bCs/>
                      <w:color w:val="auto"/>
                      <w:kern w:val="44"/>
                      <w:szCs w:val="21"/>
                    </w:rPr>
                    <w:t>序号</w:t>
                  </w:r>
                </w:p>
              </w:tc>
              <w:tc>
                <w:tcPr>
                  <w:tcW w:w="2386" w:type="pct"/>
                  <w:vAlign w:val="center"/>
                </w:tcPr>
                <w:p w14:paraId="4223A4AE">
                  <w:pPr>
                    <w:jc w:val="center"/>
                    <w:rPr>
                      <w:rFonts w:cstheme="minorBidi"/>
                      <w:bCs/>
                      <w:color w:val="auto"/>
                      <w:kern w:val="44"/>
                      <w:szCs w:val="21"/>
                    </w:rPr>
                  </w:pPr>
                  <w:r>
                    <w:rPr>
                      <w:rFonts w:hint="eastAsia" w:cstheme="minorBidi"/>
                      <w:bCs/>
                      <w:color w:val="auto"/>
                      <w:kern w:val="44"/>
                      <w:szCs w:val="21"/>
                    </w:rPr>
                    <w:t>具体要求</w:t>
                  </w:r>
                </w:p>
              </w:tc>
              <w:tc>
                <w:tcPr>
                  <w:tcW w:w="1508" w:type="pct"/>
                  <w:vAlign w:val="center"/>
                </w:tcPr>
                <w:p w14:paraId="6C716D91">
                  <w:pPr>
                    <w:jc w:val="center"/>
                    <w:rPr>
                      <w:rFonts w:cstheme="minorBidi"/>
                      <w:bCs/>
                      <w:color w:val="auto"/>
                      <w:kern w:val="44"/>
                      <w:szCs w:val="21"/>
                    </w:rPr>
                  </w:pPr>
                  <w:r>
                    <w:rPr>
                      <w:rFonts w:hint="eastAsia" w:cstheme="minorBidi"/>
                      <w:bCs/>
                      <w:color w:val="auto"/>
                      <w:kern w:val="44"/>
                      <w:szCs w:val="21"/>
                    </w:rPr>
                    <w:t>本项目</w:t>
                  </w:r>
                </w:p>
              </w:tc>
              <w:tc>
                <w:tcPr>
                  <w:tcW w:w="763" w:type="pct"/>
                  <w:vAlign w:val="center"/>
                </w:tcPr>
                <w:p w14:paraId="56854305">
                  <w:pPr>
                    <w:jc w:val="center"/>
                    <w:rPr>
                      <w:rFonts w:cstheme="minorBidi"/>
                      <w:bCs/>
                      <w:color w:val="auto"/>
                      <w:kern w:val="44"/>
                      <w:szCs w:val="21"/>
                    </w:rPr>
                  </w:pPr>
                  <w:r>
                    <w:rPr>
                      <w:rFonts w:hint="eastAsia" w:cstheme="minorBidi"/>
                      <w:bCs/>
                      <w:color w:val="auto"/>
                      <w:kern w:val="44"/>
                      <w:szCs w:val="21"/>
                    </w:rPr>
                    <w:t>符合性分析</w:t>
                  </w:r>
                </w:p>
              </w:tc>
            </w:tr>
            <w:tr w14:paraId="3673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417233E0">
                  <w:pPr>
                    <w:jc w:val="center"/>
                    <w:rPr>
                      <w:rFonts w:cstheme="minorBidi"/>
                      <w:bCs/>
                      <w:color w:val="auto"/>
                      <w:kern w:val="44"/>
                      <w:szCs w:val="21"/>
                    </w:rPr>
                  </w:pPr>
                  <w:r>
                    <w:rPr>
                      <w:rFonts w:hint="eastAsia" w:cstheme="minorBidi"/>
                      <w:bCs/>
                      <w:color w:val="auto"/>
                      <w:kern w:val="44"/>
                      <w:szCs w:val="21"/>
                    </w:rPr>
                    <w:t>1</w:t>
                  </w:r>
                </w:p>
              </w:tc>
              <w:tc>
                <w:tcPr>
                  <w:tcW w:w="2386" w:type="pct"/>
                  <w:vAlign w:val="center"/>
                </w:tcPr>
                <w:p w14:paraId="553CFD27">
                  <w:pPr>
                    <w:rPr>
                      <w:rFonts w:cstheme="minorBidi"/>
                      <w:bCs/>
                      <w:color w:val="auto"/>
                      <w:kern w:val="44"/>
                      <w:szCs w:val="21"/>
                    </w:rPr>
                  </w:pPr>
                  <w:r>
                    <w:rPr>
                      <w:rFonts w:hint="eastAsia" w:cstheme="minorBidi"/>
                      <w:bCs/>
                      <w:color w:val="auto"/>
                      <w:kern w:val="44"/>
                      <w:szCs w:val="21"/>
                    </w:rPr>
                    <w:t>禁止在重要工业区、大型水利工程设施、城镇市政工程设施所在区域，军事管理区、机场、国防工程设施圈定的区域，高速公路、国道、省道等重要交通干线两侧用地外缘200m范围内（确有必要可根据实际情况论证），铁路线路两侧路堤坡脚、路堑坡顶、铁路桥梁外侧起各1000m范围内及在铁路隧道上方中心线两侧各1000m范围内建设非金属矿采矿项目。居民聚集区1km以内禁止石灰石开采。</w:t>
                  </w:r>
                </w:p>
              </w:tc>
              <w:tc>
                <w:tcPr>
                  <w:tcW w:w="1508" w:type="pct"/>
                  <w:vAlign w:val="center"/>
                </w:tcPr>
                <w:p w14:paraId="1FC8A6C6">
                  <w:pPr>
                    <w:jc w:val="center"/>
                    <w:rPr>
                      <w:rFonts w:cstheme="minorBidi"/>
                      <w:bCs/>
                      <w:color w:val="auto"/>
                      <w:kern w:val="44"/>
                      <w:szCs w:val="21"/>
                    </w:rPr>
                  </w:pPr>
                  <w:r>
                    <w:rPr>
                      <w:rFonts w:hint="eastAsia" w:cstheme="minorBidi"/>
                      <w:bCs/>
                      <w:color w:val="auto"/>
                      <w:kern w:val="44"/>
                      <w:szCs w:val="21"/>
                    </w:rPr>
                    <w:t>本项目为建筑用砂开采项目，</w:t>
                  </w:r>
                  <w:r>
                    <w:rPr>
                      <w:rFonts w:cstheme="minorBidi"/>
                      <w:bCs/>
                      <w:color w:val="auto"/>
                      <w:kern w:val="44"/>
                      <w:szCs w:val="21"/>
                    </w:rPr>
                    <w:t>本项目位于</w:t>
                  </w:r>
                  <w:r>
                    <w:rPr>
                      <w:rFonts w:hint="eastAsia" w:cstheme="minorBidi"/>
                      <w:bCs/>
                      <w:color w:val="auto"/>
                      <w:kern w:val="44"/>
                      <w:szCs w:val="21"/>
                    </w:rPr>
                    <w:t>奇台县三个庄子镇</w:t>
                  </w:r>
                  <w:r>
                    <w:rPr>
                      <w:rFonts w:cstheme="minorBidi"/>
                      <w:bCs/>
                      <w:color w:val="auto"/>
                      <w:kern w:val="44"/>
                      <w:szCs w:val="21"/>
                    </w:rPr>
                    <w:t>，距离</w:t>
                  </w:r>
                  <w:r>
                    <w:rPr>
                      <w:rFonts w:hint="eastAsia" w:cstheme="minorBidi"/>
                      <w:bCs/>
                      <w:color w:val="auto"/>
                      <w:kern w:val="44"/>
                      <w:szCs w:val="21"/>
                    </w:rPr>
                    <w:t>省道303北侧3km</w:t>
                  </w:r>
                  <w:r>
                    <w:rPr>
                      <w:rFonts w:cstheme="minorBidi"/>
                      <w:bCs/>
                      <w:color w:val="auto"/>
                      <w:kern w:val="44"/>
                      <w:szCs w:val="21"/>
                    </w:rPr>
                    <w:t>。</w:t>
                  </w:r>
                </w:p>
              </w:tc>
              <w:tc>
                <w:tcPr>
                  <w:tcW w:w="763" w:type="pct"/>
                  <w:vAlign w:val="center"/>
                </w:tcPr>
                <w:p w14:paraId="6FB2B917">
                  <w:pPr>
                    <w:jc w:val="center"/>
                    <w:rPr>
                      <w:rFonts w:cstheme="minorBidi"/>
                      <w:bCs/>
                      <w:color w:val="auto"/>
                      <w:kern w:val="44"/>
                      <w:szCs w:val="21"/>
                    </w:rPr>
                  </w:pPr>
                  <w:r>
                    <w:rPr>
                      <w:rFonts w:hint="eastAsia" w:cstheme="minorBidi"/>
                      <w:bCs/>
                      <w:color w:val="auto"/>
                      <w:kern w:val="44"/>
                      <w:szCs w:val="21"/>
                    </w:rPr>
                    <w:t>符合</w:t>
                  </w:r>
                </w:p>
              </w:tc>
            </w:tr>
            <w:tr w14:paraId="461C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0EA502A0">
                  <w:pPr>
                    <w:jc w:val="center"/>
                    <w:rPr>
                      <w:rFonts w:cstheme="minorBidi"/>
                      <w:bCs/>
                      <w:color w:val="auto"/>
                      <w:kern w:val="44"/>
                      <w:szCs w:val="21"/>
                    </w:rPr>
                  </w:pPr>
                  <w:r>
                    <w:rPr>
                      <w:rFonts w:hint="eastAsia" w:cstheme="minorBidi"/>
                      <w:bCs/>
                      <w:color w:val="auto"/>
                      <w:kern w:val="44"/>
                      <w:szCs w:val="21"/>
                    </w:rPr>
                    <w:t>2</w:t>
                  </w:r>
                </w:p>
              </w:tc>
              <w:tc>
                <w:tcPr>
                  <w:tcW w:w="2386" w:type="pct"/>
                  <w:vAlign w:val="center"/>
                </w:tcPr>
                <w:p w14:paraId="6B627E01">
                  <w:pPr>
                    <w:jc w:val="center"/>
                    <w:rPr>
                      <w:rFonts w:cstheme="minorBidi"/>
                      <w:bCs/>
                      <w:color w:val="auto"/>
                      <w:kern w:val="44"/>
                      <w:szCs w:val="21"/>
                    </w:rPr>
                  </w:pPr>
                  <w:r>
                    <w:rPr>
                      <w:rFonts w:hint="eastAsia" w:cstheme="minorBidi"/>
                      <w:bCs/>
                      <w:color w:val="auto"/>
                      <w:kern w:val="44"/>
                      <w:szCs w:val="21"/>
                    </w:rPr>
                    <w:t>河道范围及其附近的非金属矿采选项目应符合国家和自治区河道管理条例要求，具体根据矿产资源开发利用结论和环境影响评价结论管控。</w:t>
                  </w:r>
                </w:p>
              </w:tc>
              <w:tc>
                <w:tcPr>
                  <w:tcW w:w="1508" w:type="pct"/>
                  <w:vAlign w:val="center"/>
                </w:tcPr>
                <w:p w14:paraId="3C88C9F3">
                  <w:pPr>
                    <w:jc w:val="center"/>
                    <w:rPr>
                      <w:rFonts w:cstheme="minorBidi"/>
                      <w:bCs/>
                      <w:color w:val="auto"/>
                      <w:kern w:val="44"/>
                      <w:szCs w:val="21"/>
                    </w:rPr>
                  </w:pPr>
                  <w:r>
                    <w:rPr>
                      <w:rFonts w:hint="eastAsia"/>
                      <w:color w:val="auto"/>
                      <w:szCs w:val="21"/>
                    </w:rPr>
                    <w:t>本项目1km范围内无地表水，</w:t>
                  </w:r>
                  <w:r>
                    <w:rPr>
                      <w:rFonts w:hint="eastAsia" w:cstheme="minorBidi"/>
                      <w:bCs/>
                      <w:color w:val="auto"/>
                      <w:kern w:val="44"/>
                      <w:szCs w:val="21"/>
                    </w:rPr>
                    <w:t>本项目不涉及河道范围及附近采砂。</w:t>
                  </w:r>
                </w:p>
              </w:tc>
              <w:tc>
                <w:tcPr>
                  <w:tcW w:w="763" w:type="pct"/>
                  <w:vAlign w:val="center"/>
                </w:tcPr>
                <w:p w14:paraId="66B8442B">
                  <w:pPr>
                    <w:jc w:val="center"/>
                    <w:rPr>
                      <w:rFonts w:cstheme="minorBidi"/>
                      <w:bCs/>
                      <w:color w:val="auto"/>
                      <w:kern w:val="44"/>
                      <w:szCs w:val="21"/>
                    </w:rPr>
                  </w:pPr>
                  <w:r>
                    <w:rPr>
                      <w:rFonts w:hint="eastAsia" w:cstheme="minorBidi"/>
                      <w:bCs/>
                      <w:color w:val="auto"/>
                      <w:kern w:val="44"/>
                      <w:szCs w:val="21"/>
                    </w:rPr>
                    <w:t>符合</w:t>
                  </w:r>
                </w:p>
              </w:tc>
            </w:tr>
            <w:tr w14:paraId="1877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3FBBCEA5">
                  <w:pPr>
                    <w:jc w:val="center"/>
                    <w:rPr>
                      <w:rFonts w:cstheme="minorBidi"/>
                      <w:bCs/>
                      <w:color w:val="auto"/>
                      <w:kern w:val="44"/>
                      <w:szCs w:val="21"/>
                    </w:rPr>
                  </w:pPr>
                  <w:r>
                    <w:rPr>
                      <w:rFonts w:hint="eastAsia" w:cstheme="minorBidi"/>
                      <w:bCs/>
                      <w:color w:val="auto"/>
                      <w:kern w:val="44"/>
                      <w:szCs w:val="21"/>
                    </w:rPr>
                    <w:t>3</w:t>
                  </w:r>
                </w:p>
              </w:tc>
              <w:tc>
                <w:tcPr>
                  <w:tcW w:w="2386" w:type="pct"/>
                  <w:vAlign w:val="center"/>
                </w:tcPr>
                <w:p w14:paraId="22F36BCE">
                  <w:pPr>
                    <w:jc w:val="center"/>
                    <w:rPr>
                      <w:rFonts w:cstheme="minorBidi"/>
                      <w:bCs/>
                      <w:color w:val="auto"/>
                      <w:kern w:val="44"/>
                      <w:szCs w:val="21"/>
                    </w:rPr>
                  </w:pPr>
                  <w:r>
                    <w:rPr>
                      <w:rFonts w:hint="eastAsia" w:cstheme="minorBidi"/>
                      <w:bCs/>
                      <w:color w:val="auto"/>
                      <w:kern w:val="44"/>
                      <w:szCs w:val="21"/>
                    </w:rPr>
                    <w:t>矿石开采须采用湿式凿岩作业方式。矿石转运、破碎、筛分等粉尘产生工序，须配备抑尘、除尘设施，除尘效率不低于99%。矿石、废石堆场须采用洒水抑尘、设置围挡等无组织粉尘防治措施。大气污染物排放须满足《大气污染物综合排放标准》（GB16297）要求，具有行业排放标准的执行行业标准。</w:t>
                  </w:r>
                </w:p>
              </w:tc>
              <w:tc>
                <w:tcPr>
                  <w:tcW w:w="1508" w:type="pct"/>
                  <w:vAlign w:val="center"/>
                </w:tcPr>
                <w:p w14:paraId="6F7B8BD5">
                  <w:pPr>
                    <w:jc w:val="center"/>
                    <w:rPr>
                      <w:rFonts w:cstheme="minorBidi"/>
                      <w:bCs/>
                      <w:color w:val="auto"/>
                      <w:kern w:val="44"/>
                      <w:szCs w:val="21"/>
                    </w:rPr>
                  </w:pPr>
                  <w:r>
                    <w:rPr>
                      <w:rFonts w:hint="eastAsia" w:cstheme="minorBidi"/>
                      <w:bCs/>
                      <w:color w:val="auto"/>
                      <w:kern w:val="44"/>
                    </w:rPr>
                    <w:t>开采作业面及建筑用砂装卸过程中采用雾炮机水雾增湿除尘方式降尘；表土堆场、</w:t>
                  </w:r>
                  <w:r>
                    <w:rPr>
                      <w:rFonts w:hint="eastAsia" w:cstheme="minorBidi"/>
                      <w:bCs/>
                      <w:color w:val="auto"/>
                      <w:kern w:val="44"/>
                      <w:lang w:eastAsia="zh-CN"/>
                    </w:rPr>
                    <w:t>运输道</w:t>
                  </w:r>
                  <w:r>
                    <w:rPr>
                      <w:rFonts w:hint="eastAsia" w:cstheme="minorBidi"/>
                      <w:bCs/>
                      <w:color w:val="auto"/>
                      <w:kern w:val="44"/>
                    </w:rPr>
                    <w:t>洒水降尘，堆场采用防尘网苫盖；对车辆进行清洗，降低扬尘产生</w:t>
                  </w:r>
                  <w:r>
                    <w:rPr>
                      <w:rFonts w:hint="eastAsia" w:cstheme="minorBidi"/>
                      <w:bCs/>
                      <w:color w:val="auto"/>
                      <w:kern w:val="44"/>
                      <w:lang w:eastAsia="zh-CN"/>
                    </w:rPr>
                    <w:t>；</w:t>
                  </w:r>
                  <w:r>
                    <w:rPr>
                      <w:rFonts w:hint="eastAsia" w:cstheme="minorBidi"/>
                      <w:bCs/>
                      <w:color w:val="auto"/>
                      <w:kern w:val="44"/>
                      <w:szCs w:val="21"/>
                    </w:rPr>
                    <w:t>项目砂石矿运输车辆采用篷布遮盖，限速并严禁超载，厂界颗粒物排放满足《大气污染物综合排放标准》（GB16297-1996）要求</w:t>
                  </w:r>
                </w:p>
              </w:tc>
              <w:tc>
                <w:tcPr>
                  <w:tcW w:w="763" w:type="pct"/>
                  <w:vAlign w:val="center"/>
                </w:tcPr>
                <w:p w14:paraId="71B06DF3">
                  <w:pPr>
                    <w:jc w:val="center"/>
                    <w:rPr>
                      <w:rFonts w:cstheme="minorBidi"/>
                      <w:bCs/>
                      <w:color w:val="auto"/>
                      <w:kern w:val="44"/>
                      <w:szCs w:val="21"/>
                    </w:rPr>
                  </w:pPr>
                  <w:r>
                    <w:rPr>
                      <w:rFonts w:hint="eastAsia" w:cstheme="minorBidi"/>
                      <w:bCs/>
                      <w:color w:val="auto"/>
                      <w:kern w:val="44"/>
                      <w:szCs w:val="21"/>
                    </w:rPr>
                    <w:t>符合</w:t>
                  </w:r>
                </w:p>
              </w:tc>
            </w:tr>
            <w:tr w14:paraId="6156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2893DA05">
                  <w:pPr>
                    <w:jc w:val="center"/>
                    <w:rPr>
                      <w:rFonts w:cstheme="minorBidi"/>
                      <w:bCs/>
                      <w:color w:val="auto"/>
                      <w:kern w:val="44"/>
                      <w:szCs w:val="21"/>
                    </w:rPr>
                  </w:pPr>
                  <w:r>
                    <w:rPr>
                      <w:rFonts w:hint="eastAsia" w:cstheme="minorBidi"/>
                      <w:bCs/>
                      <w:color w:val="auto"/>
                      <w:kern w:val="44"/>
                      <w:szCs w:val="21"/>
                    </w:rPr>
                    <w:t>4</w:t>
                  </w:r>
                </w:p>
              </w:tc>
              <w:tc>
                <w:tcPr>
                  <w:tcW w:w="2386" w:type="pct"/>
                  <w:vAlign w:val="center"/>
                </w:tcPr>
                <w:p w14:paraId="4B1FB181">
                  <w:pPr>
                    <w:jc w:val="center"/>
                    <w:rPr>
                      <w:rFonts w:cstheme="minorBidi"/>
                      <w:bCs/>
                      <w:color w:val="auto"/>
                      <w:kern w:val="44"/>
                      <w:szCs w:val="21"/>
                    </w:rPr>
                  </w:pPr>
                  <w:r>
                    <w:rPr>
                      <w:rFonts w:hint="eastAsia" w:cstheme="minorBidi"/>
                      <w:bCs/>
                      <w:color w:val="auto"/>
                      <w:kern w:val="44"/>
                      <w:szCs w:val="21"/>
                    </w:rPr>
                    <w:t>严禁未经处理的采矿废水直接排放，禁止利用渗井、渗坑、裂隙和溶洞等排放废水。鼓励将矿坑水优先作为生产用水和辅助水源利用。在干旱缺水地区，鼓励将外排矿坑水处理达标后用于农林灌溉，生活污水处理达标后尽量综合利用，边远矿区的生活污水排放和综合利用可参照《农村生活污水处理排放标准》（DB65/4275）要求管控。</w:t>
                  </w:r>
                </w:p>
              </w:tc>
              <w:tc>
                <w:tcPr>
                  <w:tcW w:w="1508" w:type="pct"/>
                  <w:vAlign w:val="center"/>
                </w:tcPr>
                <w:p w14:paraId="19E98AD7">
                  <w:pPr>
                    <w:jc w:val="center"/>
                    <w:rPr>
                      <w:rFonts w:cstheme="minorBidi"/>
                      <w:bCs/>
                      <w:color w:val="auto"/>
                      <w:kern w:val="44"/>
                      <w:szCs w:val="21"/>
                    </w:rPr>
                  </w:pPr>
                  <w:r>
                    <w:rPr>
                      <w:rFonts w:hint="eastAsia" w:cstheme="minorBidi"/>
                      <w:bCs/>
                      <w:color w:val="auto"/>
                      <w:kern w:val="44"/>
                      <w:szCs w:val="21"/>
                    </w:rPr>
                    <w:t>本项目无生产废水产生；</w:t>
                  </w:r>
                  <w:r>
                    <w:rPr>
                      <w:rFonts w:hint="eastAsia"/>
                      <w:color w:val="auto"/>
                      <w:sz w:val="21"/>
                      <w:szCs w:val="21"/>
                      <w:lang w:val="en-US" w:eastAsia="zh-CN"/>
                    </w:rPr>
                    <w:t>车辆清洗废水经沉淀池处理后，用于车辆清洗</w:t>
                  </w:r>
                  <w:r>
                    <w:rPr>
                      <w:color w:val="auto"/>
                      <w:spacing w:val="-2"/>
                      <w:szCs w:val="21"/>
                    </w:rPr>
                    <w:t>矿区</w:t>
                  </w:r>
                  <w:r>
                    <w:rPr>
                      <w:rFonts w:hint="eastAsia"/>
                      <w:color w:val="auto"/>
                      <w:spacing w:val="-2"/>
                      <w:szCs w:val="21"/>
                    </w:rPr>
                    <w:t>不设办公生活区，运营期设1处环保厕所</w:t>
                  </w:r>
                  <w:r>
                    <w:rPr>
                      <w:rFonts w:hint="eastAsia"/>
                      <w:color w:val="auto"/>
                      <w:spacing w:val="-2"/>
                      <w:szCs w:val="21"/>
                      <w:lang w:val="en-US" w:eastAsia="zh-CN"/>
                    </w:rPr>
                    <w:t>和1座防渗化粪池</w:t>
                  </w:r>
                  <w:r>
                    <w:rPr>
                      <w:rFonts w:hint="eastAsia"/>
                      <w:color w:val="auto"/>
                      <w:spacing w:val="-2"/>
                      <w:szCs w:val="21"/>
                    </w:rPr>
                    <w:t>，定期由吸污车拉运至奇台县污水处理厂进一步处理</w:t>
                  </w:r>
                  <w:r>
                    <w:rPr>
                      <w:rFonts w:hint="eastAsia" w:cstheme="minorBidi"/>
                      <w:bCs/>
                      <w:color w:val="auto"/>
                      <w:kern w:val="44"/>
                      <w:szCs w:val="21"/>
                    </w:rPr>
                    <w:t>。</w:t>
                  </w:r>
                </w:p>
              </w:tc>
              <w:tc>
                <w:tcPr>
                  <w:tcW w:w="763" w:type="pct"/>
                  <w:vAlign w:val="center"/>
                </w:tcPr>
                <w:p w14:paraId="2F801FF1">
                  <w:pPr>
                    <w:jc w:val="center"/>
                    <w:rPr>
                      <w:rFonts w:cstheme="minorBidi"/>
                      <w:bCs/>
                      <w:color w:val="auto"/>
                      <w:kern w:val="44"/>
                      <w:szCs w:val="21"/>
                    </w:rPr>
                  </w:pPr>
                  <w:r>
                    <w:rPr>
                      <w:rFonts w:hint="eastAsia" w:cstheme="minorBidi"/>
                      <w:bCs/>
                      <w:color w:val="auto"/>
                      <w:kern w:val="44"/>
                      <w:szCs w:val="21"/>
                    </w:rPr>
                    <w:t>符合</w:t>
                  </w:r>
                </w:p>
              </w:tc>
            </w:tr>
            <w:tr w14:paraId="6FA2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3FF48F13">
                  <w:pPr>
                    <w:jc w:val="center"/>
                    <w:rPr>
                      <w:rFonts w:cstheme="minorBidi"/>
                      <w:bCs/>
                      <w:color w:val="auto"/>
                      <w:kern w:val="44"/>
                      <w:szCs w:val="21"/>
                    </w:rPr>
                  </w:pPr>
                  <w:r>
                    <w:rPr>
                      <w:rFonts w:hint="eastAsia" w:cstheme="minorBidi"/>
                      <w:bCs/>
                      <w:color w:val="auto"/>
                      <w:kern w:val="44"/>
                      <w:szCs w:val="21"/>
                    </w:rPr>
                    <w:t>5</w:t>
                  </w:r>
                </w:p>
              </w:tc>
              <w:tc>
                <w:tcPr>
                  <w:tcW w:w="2386" w:type="pct"/>
                  <w:vAlign w:val="center"/>
                </w:tcPr>
                <w:p w14:paraId="2421A931">
                  <w:pPr>
                    <w:jc w:val="center"/>
                    <w:rPr>
                      <w:rFonts w:cstheme="minorBidi"/>
                      <w:bCs/>
                      <w:color w:val="auto"/>
                      <w:kern w:val="44"/>
                      <w:szCs w:val="21"/>
                    </w:rPr>
                  </w:pPr>
                  <w:r>
                    <w:rPr>
                      <w:rFonts w:hint="eastAsia" w:cstheme="minorBidi"/>
                      <w:bCs/>
                      <w:color w:val="auto"/>
                      <w:kern w:val="44"/>
                      <w:szCs w:val="21"/>
                    </w:rPr>
                    <w:t>噪声排放执行《工业企业厂界环境噪声排放标准》(GB12348)。</w:t>
                  </w:r>
                </w:p>
              </w:tc>
              <w:tc>
                <w:tcPr>
                  <w:tcW w:w="1508" w:type="pct"/>
                  <w:vAlign w:val="center"/>
                </w:tcPr>
                <w:p w14:paraId="3A6475BF">
                  <w:pPr>
                    <w:jc w:val="center"/>
                    <w:rPr>
                      <w:rFonts w:cstheme="minorBidi"/>
                      <w:bCs/>
                      <w:color w:val="auto"/>
                      <w:kern w:val="44"/>
                      <w:szCs w:val="21"/>
                    </w:rPr>
                  </w:pPr>
                  <w:r>
                    <w:rPr>
                      <w:rFonts w:hint="eastAsia" w:cstheme="minorBidi"/>
                      <w:bCs/>
                      <w:color w:val="auto"/>
                      <w:kern w:val="44"/>
                      <w:szCs w:val="21"/>
                    </w:rPr>
                    <w:t>本项目厂界噪声均可满足《工业企业厂界环境噪声排放标准》(GB12348-2008)2类标准要求。</w:t>
                  </w:r>
                </w:p>
              </w:tc>
              <w:tc>
                <w:tcPr>
                  <w:tcW w:w="763" w:type="pct"/>
                  <w:vAlign w:val="center"/>
                </w:tcPr>
                <w:p w14:paraId="3B05FC06">
                  <w:pPr>
                    <w:jc w:val="center"/>
                    <w:rPr>
                      <w:rFonts w:cstheme="minorBidi"/>
                      <w:bCs/>
                      <w:color w:val="auto"/>
                      <w:kern w:val="44"/>
                      <w:szCs w:val="21"/>
                    </w:rPr>
                  </w:pPr>
                  <w:r>
                    <w:rPr>
                      <w:rFonts w:hint="eastAsia" w:cstheme="minorBidi"/>
                      <w:bCs/>
                      <w:color w:val="auto"/>
                      <w:kern w:val="44"/>
                      <w:szCs w:val="21"/>
                    </w:rPr>
                    <w:t>符合</w:t>
                  </w:r>
                </w:p>
              </w:tc>
            </w:tr>
            <w:tr w14:paraId="1017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4122C3CA">
                  <w:pPr>
                    <w:jc w:val="center"/>
                    <w:rPr>
                      <w:rFonts w:cstheme="minorBidi"/>
                      <w:bCs/>
                      <w:color w:val="auto"/>
                      <w:kern w:val="44"/>
                      <w:szCs w:val="21"/>
                    </w:rPr>
                  </w:pPr>
                  <w:r>
                    <w:rPr>
                      <w:rFonts w:hint="eastAsia" w:cstheme="minorBidi"/>
                      <w:bCs/>
                      <w:color w:val="auto"/>
                      <w:kern w:val="44"/>
                      <w:szCs w:val="21"/>
                    </w:rPr>
                    <w:t>6</w:t>
                  </w:r>
                </w:p>
              </w:tc>
              <w:tc>
                <w:tcPr>
                  <w:tcW w:w="2386" w:type="pct"/>
                  <w:vAlign w:val="center"/>
                </w:tcPr>
                <w:p w14:paraId="6DBDF3AC">
                  <w:pPr>
                    <w:jc w:val="center"/>
                    <w:rPr>
                      <w:rFonts w:cstheme="minorBidi"/>
                      <w:bCs/>
                      <w:color w:val="auto"/>
                      <w:kern w:val="44"/>
                      <w:szCs w:val="21"/>
                    </w:rPr>
                  </w:pPr>
                  <w:r>
                    <w:rPr>
                      <w:rFonts w:hint="eastAsia" w:cstheme="minorBidi"/>
                      <w:bCs/>
                      <w:color w:val="auto"/>
                      <w:kern w:val="44"/>
                      <w:szCs w:val="21"/>
                    </w:rPr>
                    <w:t>应对采矿废石等固体废物采取回填、筑路、制作建筑材料等方式资源综合利用，提高综合利用率。无法利用的必须使用专用场所堆放，并采取有效措施防止二次环境污染及诱发次生地质灾害，固体废物处置率100%。废石堆场按《一般工业固体废物贮存和填埋污染控制标准》</w:t>
                  </w:r>
                  <w:r>
                    <w:rPr>
                      <w:rFonts w:hint="eastAsia" w:cstheme="minorBidi"/>
                      <w:bCs/>
                      <w:color w:val="auto"/>
                      <w:kern w:val="44"/>
                      <w:szCs w:val="21"/>
                      <w:lang w:eastAsia="zh-CN"/>
                    </w:rPr>
                    <w:t>（</w:t>
                  </w:r>
                  <w:r>
                    <w:rPr>
                      <w:rFonts w:hint="eastAsia" w:cstheme="minorBidi"/>
                      <w:bCs/>
                      <w:color w:val="auto"/>
                      <w:kern w:val="44"/>
                      <w:szCs w:val="21"/>
                    </w:rPr>
                    <w:t>GB18599）要求建设。生活垃圾实现100%无害化处置。</w:t>
                  </w:r>
                </w:p>
              </w:tc>
              <w:tc>
                <w:tcPr>
                  <w:tcW w:w="1508" w:type="pct"/>
                  <w:vAlign w:val="center"/>
                </w:tcPr>
                <w:p w14:paraId="2B39FEC7">
                  <w:pPr>
                    <w:jc w:val="center"/>
                    <w:rPr>
                      <w:rFonts w:cstheme="minorBidi"/>
                      <w:bCs/>
                      <w:color w:val="auto"/>
                      <w:kern w:val="44"/>
                      <w:szCs w:val="21"/>
                    </w:rPr>
                  </w:pPr>
                  <w:r>
                    <w:rPr>
                      <w:rFonts w:hint="eastAsia" w:cstheme="minorBidi"/>
                      <w:bCs/>
                      <w:color w:val="auto"/>
                      <w:kern w:val="44"/>
                      <w:szCs w:val="21"/>
                    </w:rPr>
                    <w:t>项目仅为建筑用砂开采作业，不涉及洗选加工环节，在开采过程中仅会产生剥离表土，无采矿废石产生。剥离表土待闭矿期用于采坑回填。</w:t>
                  </w:r>
                </w:p>
              </w:tc>
              <w:tc>
                <w:tcPr>
                  <w:tcW w:w="763" w:type="pct"/>
                  <w:vAlign w:val="center"/>
                </w:tcPr>
                <w:p w14:paraId="6AEFE458">
                  <w:pPr>
                    <w:jc w:val="center"/>
                    <w:rPr>
                      <w:rFonts w:cstheme="minorBidi"/>
                      <w:bCs/>
                      <w:color w:val="auto"/>
                      <w:kern w:val="44"/>
                      <w:szCs w:val="21"/>
                    </w:rPr>
                  </w:pPr>
                  <w:r>
                    <w:rPr>
                      <w:rFonts w:hint="eastAsia" w:cstheme="minorBidi"/>
                      <w:bCs/>
                      <w:color w:val="auto"/>
                      <w:kern w:val="44"/>
                      <w:szCs w:val="21"/>
                    </w:rPr>
                    <w:t>符合</w:t>
                  </w:r>
                </w:p>
              </w:tc>
            </w:tr>
            <w:tr w14:paraId="0DB8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00BEA7D7">
                  <w:pPr>
                    <w:jc w:val="center"/>
                    <w:rPr>
                      <w:rFonts w:cstheme="minorBidi"/>
                      <w:bCs/>
                      <w:color w:val="auto"/>
                      <w:kern w:val="44"/>
                      <w:szCs w:val="21"/>
                    </w:rPr>
                  </w:pPr>
                  <w:r>
                    <w:rPr>
                      <w:rFonts w:hint="eastAsia" w:cstheme="minorBidi"/>
                      <w:bCs/>
                      <w:color w:val="auto"/>
                      <w:kern w:val="44"/>
                      <w:szCs w:val="21"/>
                    </w:rPr>
                    <w:t>7</w:t>
                  </w:r>
                </w:p>
              </w:tc>
              <w:tc>
                <w:tcPr>
                  <w:tcW w:w="2386" w:type="pct"/>
                  <w:vAlign w:val="center"/>
                </w:tcPr>
                <w:p w14:paraId="2D39A0B3">
                  <w:pPr>
                    <w:jc w:val="center"/>
                    <w:rPr>
                      <w:rFonts w:cstheme="minorBidi"/>
                      <w:bCs/>
                      <w:color w:val="auto"/>
                      <w:kern w:val="44"/>
                      <w:szCs w:val="21"/>
                    </w:rPr>
                  </w:pPr>
                  <w:r>
                    <w:rPr>
                      <w:rFonts w:hint="eastAsia" w:cstheme="minorBidi"/>
                      <w:bCs/>
                      <w:color w:val="auto"/>
                      <w:kern w:val="44"/>
                      <w:szCs w:val="21"/>
                    </w:rPr>
                    <w:t>新建、改（扩）建矿山应在矿山开采前完成《矿山生态环境保护与恢复治理方案》编制工作。位于荒漠和风沙区的矿产资源开发应尽可能避开易发生风蚀和生态退化地带；排土场、料场等场地应采取围挡和覆盖等防风蚀措施。水蚀敏感区矿产资源开发应科学设置露天采场、排土场及料场，并采取边坡防护、工程拦挡等水土保持措施。矿山生产过程中应采取复垦措施，对露天坑、废石场等永久性坡面进行稳定化处理，防止水土流失和滑坡。历史遗留矿山开采破坏土地复垦率达到45%以上，新建矿山应做到边开采、边复垦，破坏土地复垦率达到85%以上。</w:t>
                  </w:r>
                </w:p>
              </w:tc>
              <w:tc>
                <w:tcPr>
                  <w:tcW w:w="1508" w:type="pct"/>
                  <w:vAlign w:val="center"/>
                </w:tcPr>
                <w:p w14:paraId="16D6B259">
                  <w:pPr>
                    <w:jc w:val="center"/>
                    <w:rPr>
                      <w:rFonts w:cstheme="minorBidi"/>
                      <w:bCs/>
                      <w:color w:val="auto"/>
                      <w:kern w:val="44"/>
                      <w:szCs w:val="21"/>
                    </w:rPr>
                  </w:pPr>
                  <w:r>
                    <w:rPr>
                      <w:rFonts w:cstheme="minorBidi"/>
                      <w:bCs/>
                      <w:color w:val="auto"/>
                      <w:kern w:val="44"/>
                      <w:szCs w:val="21"/>
                    </w:rPr>
                    <w:t>本项目已编制《矿产资源开发利用与生态保护修复方案》</w:t>
                  </w:r>
                  <w:r>
                    <w:rPr>
                      <w:rFonts w:hint="eastAsia" w:cstheme="minorBidi"/>
                      <w:bCs/>
                      <w:color w:val="auto"/>
                      <w:kern w:val="44"/>
                      <w:szCs w:val="21"/>
                    </w:rPr>
                    <w:t>，并完成专家评审。闭矿后进行土地复垦，对矿区周边进行表土回填和迹地覆土恢复等措施</w:t>
                  </w:r>
                  <w:r>
                    <w:rPr>
                      <w:rFonts w:cstheme="minorBidi"/>
                      <w:bCs/>
                      <w:color w:val="auto"/>
                      <w:kern w:val="44"/>
                      <w:szCs w:val="21"/>
                    </w:rPr>
                    <w:t>。</w:t>
                  </w:r>
                </w:p>
              </w:tc>
              <w:tc>
                <w:tcPr>
                  <w:tcW w:w="763" w:type="pct"/>
                  <w:vAlign w:val="center"/>
                </w:tcPr>
                <w:p w14:paraId="4584AB9A">
                  <w:pPr>
                    <w:jc w:val="center"/>
                    <w:rPr>
                      <w:rFonts w:cstheme="minorBidi"/>
                      <w:bCs/>
                      <w:color w:val="auto"/>
                      <w:kern w:val="44"/>
                      <w:szCs w:val="21"/>
                    </w:rPr>
                  </w:pPr>
                  <w:r>
                    <w:rPr>
                      <w:rFonts w:hint="eastAsia" w:cstheme="minorBidi"/>
                      <w:bCs/>
                      <w:color w:val="auto"/>
                      <w:kern w:val="44"/>
                      <w:szCs w:val="21"/>
                    </w:rPr>
                    <w:t>符合</w:t>
                  </w:r>
                </w:p>
              </w:tc>
            </w:tr>
          </w:tbl>
          <w:p w14:paraId="6B184269">
            <w:pPr>
              <w:pStyle w:val="60"/>
              <w:tabs>
                <w:tab w:val="left" w:pos="4584"/>
              </w:tabs>
              <w:ind w:firstLine="480" w:firstLineChars="200"/>
              <w:rPr>
                <w:snapToGrid/>
                <w:color w:val="auto"/>
                <w:kern w:val="2"/>
              </w:rPr>
            </w:pPr>
            <w:r>
              <w:rPr>
                <w:rFonts w:hint="eastAsia"/>
                <w:snapToGrid/>
                <w:color w:val="auto"/>
                <w:kern w:val="2"/>
              </w:rPr>
              <w:t>综上所述，本项目建设符合《新疆维吾尔自治区重点行业生态环境准入条件（2024年）》中相关要求</w:t>
            </w:r>
            <w:r>
              <w:rPr>
                <w:snapToGrid/>
                <w:color w:val="auto"/>
                <w:kern w:val="2"/>
              </w:rPr>
              <w:t>。</w:t>
            </w:r>
          </w:p>
          <w:p w14:paraId="1CB89861">
            <w:pPr>
              <w:pStyle w:val="60"/>
              <w:tabs>
                <w:tab w:val="left" w:pos="4584"/>
              </w:tabs>
              <w:ind w:firstLine="0" w:firstLineChars="0"/>
              <w:rPr>
                <w:b/>
                <w:color w:val="auto"/>
                <w:kern w:val="2"/>
              </w:rPr>
            </w:pPr>
            <w:r>
              <w:rPr>
                <w:rFonts w:hint="eastAsia"/>
                <w:b/>
                <w:color w:val="auto"/>
                <w:kern w:val="2"/>
              </w:rPr>
              <w:t>3.10</w:t>
            </w:r>
            <w:r>
              <w:rPr>
                <w:b/>
                <w:color w:val="auto"/>
                <w:kern w:val="2"/>
              </w:rPr>
              <w:t>与《新疆维吾尔自治区矿产资源管理条例》符合性分析</w:t>
            </w:r>
          </w:p>
          <w:p w14:paraId="70BA79CE">
            <w:pPr>
              <w:pStyle w:val="60"/>
              <w:tabs>
                <w:tab w:val="left" w:pos="4584"/>
              </w:tabs>
              <w:ind w:firstLine="480" w:firstLineChars="200"/>
              <w:rPr>
                <w:bCs/>
                <w:color w:val="auto"/>
                <w:kern w:val="2"/>
              </w:rPr>
            </w:pPr>
            <w:r>
              <w:rPr>
                <w:rFonts w:hint="eastAsia"/>
                <w:bCs/>
                <w:color w:val="auto"/>
                <w:kern w:val="2"/>
              </w:rPr>
              <w:t>根据《新疆维吾尔自治区矿产资源管理条例》中提出：勘查、开采</w:t>
            </w:r>
          </w:p>
          <w:p w14:paraId="3CDFD95C">
            <w:pPr>
              <w:pStyle w:val="60"/>
              <w:tabs>
                <w:tab w:val="left" w:pos="4584"/>
              </w:tabs>
              <w:ind w:firstLine="0" w:firstLineChars="0"/>
              <w:rPr>
                <w:bCs/>
                <w:color w:val="auto"/>
                <w:kern w:val="2"/>
              </w:rPr>
            </w:pPr>
            <w:r>
              <w:rPr>
                <w:rFonts w:hint="eastAsia"/>
                <w:bCs/>
                <w:color w:val="auto"/>
                <w:kern w:val="2"/>
              </w:rPr>
              <w:t>矿产资源，应当加强水土保持、土地复垦和环境保护工作、加强地质环</w:t>
            </w:r>
          </w:p>
          <w:p w14:paraId="72A26C45">
            <w:pPr>
              <w:pStyle w:val="60"/>
              <w:tabs>
                <w:tab w:val="left" w:pos="4584"/>
              </w:tabs>
              <w:ind w:firstLine="0" w:firstLineChars="0"/>
              <w:rPr>
                <w:bCs/>
                <w:color w:val="auto"/>
                <w:kern w:val="2"/>
              </w:rPr>
            </w:pPr>
            <w:r>
              <w:rPr>
                <w:rFonts w:hint="eastAsia"/>
                <w:bCs/>
                <w:color w:val="auto"/>
                <w:kern w:val="2"/>
              </w:rPr>
              <w:t>境保护、监测和地质灾害的整治工作；勘查、开采矿产资源，应当依照</w:t>
            </w:r>
          </w:p>
          <w:p w14:paraId="5C2088B4">
            <w:pPr>
              <w:pStyle w:val="60"/>
              <w:tabs>
                <w:tab w:val="left" w:pos="4584"/>
              </w:tabs>
              <w:ind w:firstLine="0" w:firstLineChars="0"/>
              <w:rPr>
                <w:bCs/>
                <w:color w:val="auto"/>
                <w:kern w:val="2"/>
              </w:rPr>
            </w:pPr>
            <w:r>
              <w:rPr>
                <w:rFonts w:hint="eastAsia"/>
                <w:bCs/>
                <w:color w:val="auto"/>
                <w:kern w:val="2"/>
              </w:rPr>
              <w:t>国家和自治区有关规定申请登记，依法取得探矿权或者采矿权；勘查作</w:t>
            </w:r>
          </w:p>
          <w:p w14:paraId="6729421F">
            <w:pPr>
              <w:pStyle w:val="60"/>
              <w:tabs>
                <w:tab w:val="left" w:pos="4584"/>
              </w:tabs>
              <w:ind w:firstLine="0" w:firstLineChars="0"/>
              <w:rPr>
                <w:bCs/>
                <w:color w:val="auto"/>
                <w:kern w:val="2"/>
              </w:rPr>
            </w:pPr>
            <w:r>
              <w:rPr>
                <w:rFonts w:hint="eastAsia"/>
                <w:bCs/>
                <w:color w:val="auto"/>
                <w:kern w:val="2"/>
              </w:rPr>
              <w:t>业结束后，应当采取措施，防止水土流失，保护生态环境。开采矿产资</w:t>
            </w:r>
          </w:p>
          <w:p w14:paraId="34DA8C35">
            <w:pPr>
              <w:pStyle w:val="60"/>
              <w:tabs>
                <w:tab w:val="left" w:pos="4584"/>
              </w:tabs>
              <w:ind w:firstLine="0" w:firstLineChars="0"/>
              <w:rPr>
                <w:bCs/>
                <w:color w:val="auto"/>
                <w:kern w:val="2"/>
              </w:rPr>
            </w:pPr>
            <w:r>
              <w:rPr>
                <w:rFonts w:hint="eastAsia"/>
                <w:bCs/>
                <w:color w:val="auto"/>
                <w:kern w:val="2"/>
              </w:rPr>
              <w:t>源造成矿山地质环境、生态环境破坏的，应当治理恢复。</w:t>
            </w:r>
          </w:p>
          <w:p w14:paraId="1882A0B3">
            <w:pPr>
              <w:pStyle w:val="60"/>
              <w:tabs>
                <w:tab w:val="left" w:pos="4584"/>
              </w:tabs>
              <w:ind w:firstLine="480" w:firstLineChars="200"/>
              <w:rPr>
                <w:color w:val="auto"/>
              </w:rPr>
            </w:pPr>
            <w:r>
              <w:rPr>
                <w:rFonts w:hint="eastAsia"/>
                <w:bCs/>
                <w:color w:val="auto"/>
                <w:kern w:val="2"/>
              </w:rPr>
              <w:t>环评要求本项目做好土地复垦工作，并做到“边开采、边复垦”。表土</w:t>
            </w:r>
            <w:r>
              <w:rPr>
                <w:rFonts w:hint="eastAsia"/>
                <w:color w:val="auto"/>
                <w:sz w:val="24"/>
              </w:rPr>
              <w:t>堆场外修建截洪沟</w:t>
            </w:r>
            <w:r>
              <w:rPr>
                <w:rFonts w:hint="eastAsia"/>
                <w:color w:val="auto"/>
                <w:sz w:val="24"/>
                <w:lang w:eastAsia="zh-CN"/>
              </w:rPr>
              <w:t>、</w:t>
            </w:r>
            <w:r>
              <w:rPr>
                <w:rFonts w:hint="eastAsia"/>
                <w:color w:val="auto"/>
                <w:sz w:val="24"/>
              </w:rPr>
              <w:t>排水沟</w:t>
            </w:r>
            <w:r>
              <w:rPr>
                <w:rFonts w:hint="eastAsia"/>
                <w:bCs/>
                <w:color w:val="auto"/>
                <w:kern w:val="2"/>
                <w:lang w:eastAsia="zh-CN"/>
              </w:rPr>
              <w:t>，</w:t>
            </w:r>
            <w:r>
              <w:rPr>
                <w:rFonts w:hint="eastAsia"/>
                <w:bCs/>
                <w:color w:val="auto"/>
                <w:kern w:val="2"/>
              </w:rPr>
              <w:t>防止水土流失。本项目依法按照要求取得</w:t>
            </w:r>
            <w:r>
              <w:rPr>
                <w:rFonts w:hint="eastAsia"/>
                <w:bCs/>
                <w:color w:val="auto"/>
                <w:kern w:val="2"/>
                <w:lang w:eastAsia="zh-CN"/>
              </w:rPr>
              <w:t>采矿</w:t>
            </w:r>
            <w:r>
              <w:rPr>
                <w:rFonts w:hint="eastAsia"/>
                <w:bCs/>
                <w:color w:val="auto"/>
                <w:kern w:val="2"/>
              </w:rPr>
              <w:t>证许可证。项目符合《新疆维吾尔自治区矿产资源管理条例》提出的勘查、开采矿产资源，应当加强水土保持、土地复垦和环境保护工作的要求。</w:t>
            </w:r>
          </w:p>
          <w:p w14:paraId="554F4E68">
            <w:pPr>
              <w:pStyle w:val="60"/>
              <w:tabs>
                <w:tab w:val="left" w:pos="4584"/>
              </w:tabs>
              <w:ind w:firstLine="0" w:firstLineChars="0"/>
              <w:rPr>
                <w:b/>
                <w:color w:val="auto"/>
                <w:kern w:val="2"/>
              </w:rPr>
            </w:pPr>
            <w:r>
              <w:rPr>
                <w:rFonts w:hint="eastAsia"/>
                <w:b/>
                <w:color w:val="auto"/>
                <w:kern w:val="2"/>
              </w:rPr>
              <w:t>3.11</w:t>
            </w:r>
            <w:r>
              <w:rPr>
                <w:b/>
                <w:color w:val="auto"/>
                <w:kern w:val="2"/>
              </w:rPr>
              <w:t>与《工业料堆场扬尘整治规范》（DB65/T4061-2017）符合性分析</w:t>
            </w:r>
          </w:p>
          <w:p w14:paraId="5E7FCCD0">
            <w:pPr>
              <w:pStyle w:val="64"/>
              <w:outlineLvl w:val="9"/>
              <w:rPr>
                <w:rFonts w:hint="default"/>
                <w:b/>
                <w:bCs/>
                <w:color w:val="auto"/>
              </w:rPr>
            </w:pPr>
            <w:r>
              <w:rPr>
                <w:rFonts w:hint="default"/>
                <w:b/>
                <w:bCs/>
                <w:color w:val="auto"/>
              </w:rPr>
              <w:t>表</w:t>
            </w:r>
            <w:r>
              <w:rPr>
                <w:b/>
                <w:bCs/>
                <w:color w:val="auto"/>
              </w:rPr>
              <w:t>1-12</w:t>
            </w:r>
            <w:r>
              <w:rPr>
                <w:rFonts w:hint="default"/>
                <w:b/>
                <w:bCs/>
                <w:color w:val="auto"/>
              </w:rPr>
              <w:t xml:space="preserve">   与《工业料堆场扬尘整治规范》</w:t>
            </w:r>
            <w:r>
              <w:rPr>
                <w:b/>
                <w:bCs/>
                <w:color w:val="auto"/>
              </w:rPr>
              <w:t>符合性分析一览表</w:t>
            </w:r>
          </w:p>
          <w:tbl>
            <w:tblPr>
              <w:tblStyle w:val="2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1"/>
              <w:gridCol w:w="2862"/>
              <w:gridCol w:w="736"/>
            </w:tblGrid>
            <w:tr w14:paraId="16D8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67E12A04">
                  <w:pPr>
                    <w:adjustRightInd w:val="0"/>
                    <w:snapToGrid w:val="0"/>
                    <w:jc w:val="center"/>
                    <w:rPr>
                      <w:b/>
                      <w:bCs/>
                      <w:color w:val="auto"/>
                      <w:kern w:val="0"/>
                      <w:szCs w:val="21"/>
                    </w:rPr>
                  </w:pPr>
                  <w:r>
                    <w:rPr>
                      <w:rFonts w:hint="eastAsia"/>
                      <w:b/>
                      <w:bCs/>
                      <w:color w:val="auto"/>
                      <w:kern w:val="0"/>
                      <w:szCs w:val="21"/>
                    </w:rPr>
                    <w:t>文件要求</w:t>
                  </w:r>
                </w:p>
              </w:tc>
              <w:tc>
                <w:tcPr>
                  <w:tcW w:w="1996" w:type="pct"/>
                  <w:vAlign w:val="center"/>
                </w:tcPr>
                <w:p w14:paraId="4415CF38">
                  <w:pPr>
                    <w:adjustRightInd w:val="0"/>
                    <w:snapToGrid w:val="0"/>
                    <w:jc w:val="center"/>
                    <w:rPr>
                      <w:b/>
                      <w:bCs/>
                      <w:color w:val="auto"/>
                      <w:kern w:val="0"/>
                      <w:szCs w:val="21"/>
                    </w:rPr>
                  </w:pPr>
                  <w:r>
                    <w:rPr>
                      <w:rFonts w:hint="eastAsia"/>
                      <w:b/>
                      <w:bCs/>
                      <w:color w:val="auto"/>
                      <w:kern w:val="0"/>
                      <w:szCs w:val="21"/>
                    </w:rPr>
                    <w:t>本项目情况</w:t>
                  </w:r>
                </w:p>
              </w:tc>
              <w:tc>
                <w:tcPr>
                  <w:tcW w:w="513" w:type="pct"/>
                  <w:vAlign w:val="center"/>
                </w:tcPr>
                <w:p w14:paraId="13BB632D">
                  <w:pPr>
                    <w:adjustRightInd w:val="0"/>
                    <w:snapToGrid w:val="0"/>
                    <w:jc w:val="center"/>
                    <w:rPr>
                      <w:b/>
                      <w:bCs/>
                      <w:color w:val="auto"/>
                      <w:kern w:val="0"/>
                      <w:szCs w:val="21"/>
                    </w:rPr>
                  </w:pPr>
                  <w:r>
                    <w:rPr>
                      <w:rFonts w:hint="eastAsia"/>
                      <w:b/>
                      <w:bCs/>
                      <w:color w:val="auto"/>
                      <w:kern w:val="0"/>
                      <w:szCs w:val="21"/>
                    </w:rPr>
                    <w:t>符合性</w:t>
                  </w:r>
                </w:p>
              </w:tc>
            </w:tr>
            <w:tr w14:paraId="4341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0631C43A">
                  <w:pPr>
                    <w:adjustRightInd w:val="0"/>
                    <w:snapToGrid w:val="0"/>
                    <w:jc w:val="center"/>
                    <w:rPr>
                      <w:color w:val="auto"/>
                      <w:kern w:val="0"/>
                      <w:szCs w:val="21"/>
                    </w:rPr>
                  </w:pPr>
                  <w:r>
                    <w:rPr>
                      <w:rFonts w:hint="eastAsia"/>
                      <w:color w:val="auto"/>
                      <w:kern w:val="0"/>
                      <w:szCs w:val="21"/>
                    </w:rPr>
                    <w:t>5.1</w:t>
                  </w:r>
                  <w:r>
                    <w:rPr>
                      <w:color w:val="auto"/>
                      <w:kern w:val="0"/>
                      <w:szCs w:val="21"/>
                    </w:rPr>
                    <w:t>各企业应建立工业料堆场扬尘污染控制管理制度和工业料堆场作业相关操作规程，落实专人负责本单位的工业料堆场扬尘污染控制工作</w:t>
                  </w:r>
                </w:p>
              </w:tc>
              <w:tc>
                <w:tcPr>
                  <w:tcW w:w="1996" w:type="pct"/>
                  <w:vAlign w:val="center"/>
                </w:tcPr>
                <w:p w14:paraId="3E41939A">
                  <w:pPr>
                    <w:adjustRightInd w:val="0"/>
                    <w:snapToGrid w:val="0"/>
                    <w:jc w:val="center"/>
                    <w:rPr>
                      <w:color w:val="auto"/>
                      <w:kern w:val="0"/>
                      <w:szCs w:val="21"/>
                    </w:rPr>
                  </w:pPr>
                  <w:r>
                    <w:rPr>
                      <w:rFonts w:hint="eastAsia"/>
                      <w:color w:val="auto"/>
                      <w:kern w:val="0"/>
                      <w:szCs w:val="21"/>
                    </w:rPr>
                    <w:t>项目表土堆场采取防尘网苫盖、洒水降尘等措施，减少扬尘污染，安排了专业人员负责本单位堆场扬尘污染控制工作。</w:t>
                  </w:r>
                </w:p>
              </w:tc>
              <w:tc>
                <w:tcPr>
                  <w:tcW w:w="513" w:type="pct"/>
                  <w:vAlign w:val="center"/>
                </w:tcPr>
                <w:p w14:paraId="74C84D10">
                  <w:pPr>
                    <w:adjustRightInd w:val="0"/>
                    <w:snapToGrid w:val="0"/>
                    <w:jc w:val="center"/>
                    <w:rPr>
                      <w:color w:val="auto"/>
                      <w:kern w:val="0"/>
                      <w:szCs w:val="21"/>
                    </w:rPr>
                  </w:pPr>
                  <w:r>
                    <w:rPr>
                      <w:rFonts w:hint="eastAsia"/>
                      <w:color w:val="auto"/>
                      <w:kern w:val="0"/>
                      <w:szCs w:val="21"/>
                    </w:rPr>
                    <w:t>符合</w:t>
                  </w:r>
                </w:p>
              </w:tc>
            </w:tr>
            <w:tr w14:paraId="24DB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3E59E907">
                  <w:pPr>
                    <w:adjustRightInd w:val="0"/>
                    <w:snapToGrid w:val="0"/>
                    <w:jc w:val="center"/>
                    <w:rPr>
                      <w:color w:val="auto"/>
                      <w:kern w:val="0"/>
                      <w:szCs w:val="21"/>
                    </w:rPr>
                  </w:pPr>
                  <w:r>
                    <w:rPr>
                      <w:rFonts w:hint="eastAsia"/>
                      <w:color w:val="auto"/>
                      <w:kern w:val="0"/>
                      <w:szCs w:val="21"/>
                    </w:rPr>
                    <w:t>5.2</w:t>
                  </w:r>
                  <w:r>
                    <w:rPr>
                      <w:color w:val="auto"/>
                      <w:kern w:val="0"/>
                      <w:szCs w:val="21"/>
                    </w:rPr>
                    <w:t>工业料堆场及其扬尘污染防治工程的设计应符合GB18599、GB50406、GB50475、GB50483、GB8959、GB50541、HJ/T393、HG/T20568、HJ435和HJ434的规定。</w:t>
                  </w:r>
                </w:p>
              </w:tc>
              <w:tc>
                <w:tcPr>
                  <w:tcW w:w="1996" w:type="pct"/>
                  <w:vAlign w:val="center"/>
                </w:tcPr>
                <w:p w14:paraId="1A4D8684">
                  <w:pPr>
                    <w:adjustRightInd w:val="0"/>
                    <w:snapToGrid w:val="0"/>
                    <w:jc w:val="center"/>
                    <w:rPr>
                      <w:color w:val="auto"/>
                      <w:kern w:val="0"/>
                      <w:szCs w:val="21"/>
                    </w:rPr>
                  </w:pPr>
                  <w:r>
                    <w:rPr>
                      <w:rFonts w:hint="eastAsia"/>
                      <w:color w:val="auto"/>
                      <w:kern w:val="0"/>
                      <w:szCs w:val="21"/>
                    </w:rPr>
                    <w:t>项目表土堆场采取防尘网苫盖、洒水降尘等措施，减少扬尘污染。</w:t>
                  </w:r>
                </w:p>
              </w:tc>
              <w:tc>
                <w:tcPr>
                  <w:tcW w:w="513" w:type="pct"/>
                  <w:vAlign w:val="center"/>
                </w:tcPr>
                <w:p w14:paraId="2B2E28AE">
                  <w:pPr>
                    <w:adjustRightInd w:val="0"/>
                    <w:snapToGrid w:val="0"/>
                    <w:jc w:val="center"/>
                    <w:rPr>
                      <w:color w:val="auto"/>
                      <w:kern w:val="0"/>
                      <w:szCs w:val="21"/>
                    </w:rPr>
                  </w:pPr>
                </w:p>
              </w:tc>
            </w:tr>
            <w:tr w14:paraId="004A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11FB2756">
                  <w:pPr>
                    <w:adjustRightInd w:val="0"/>
                    <w:snapToGrid w:val="0"/>
                    <w:jc w:val="center"/>
                    <w:rPr>
                      <w:color w:val="auto"/>
                      <w:kern w:val="0"/>
                      <w:szCs w:val="21"/>
                    </w:rPr>
                  </w:pPr>
                  <w:r>
                    <w:rPr>
                      <w:rFonts w:hint="eastAsia"/>
                      <w:color w:val="auto"/>
                      <w:kern w:val="0"/>
                      <w:szCs w:val="21"/>
                    </w:rPr>
                    <w:t>5.8</w:t>
                  </w:r>
                  <w:r>
                    <w:rPr>
                      <w:color w:val="auto"/>
                      <w:kern w:val="0"/>
                      <w:szCs w:val="21"/>
                    </w:rPr>
                    <w:t>对工业料堆场内装卸、运输等作业过程中，易产生扬尘污染的物料必须采取封闭、遮盖、洒水降尘措施，密闭输送物料必须在装料、卸料处配备吸尘、喷淋防尘措施</w:t>
                  </w:r>
                </w:p>
              </w:tc>
              <w:tc>
                <w:tcPr>
                  <w:tcW w:w="1996" w:type="pct"/>
                  <w:vAlign w:val="center"/>
                </w:tcPr>
                <w:p w14:paraId="6B20D8B8">
                  <w:pPr>
                    <w:adjustRightInd w:val="0"/>
                    <w:snapToGrid w:val="0"/>
                    <w:jc w:val="center"/>
                    <w:rPr>
                      <w:color w:val="auto"/>
                      <w:kern w:val="0"/>
                      <w:szCs w:val="21"/>
                    </w:rPr>
                  </w:pPr>
                  <w:r>
                    <w:rPr>
                      <w:rFonts w:hint="eastAsia"/>
                      <w:color w:val="auto"/>
                      <w:kern w:val="0"/>
                      <w:szCs w:val="21"/>
                    </w:rPr>
                    <w:t>本项目采用降低落差，加强对车辆的管理，限定转运车辆在厂内的行驶速度，车辆运输过程加苫盖。</w:t>
                  </w:r>
                  <w:r>
                    <w:rPr>
                      <w:rFonts w:hint="eastAsia"/>
                      <w:color w:val="auto"/>
                      <w:kern w:val="0"/>
                      <w:szCs w:val="21"/>
                      <w:lang w:val="en-US" w:eastAsia="zh-CN"/>
                    </w:rPr>
                    <w:t>对车辆进行清洗，降低扬尘产生；</w:t>
                  </w:r>
                  <w:r>
                    <w:rPr>
                      <w:rFonts w:hint="eastAsia"/>
                      <w:color w:val="auto"/>
                      <w:kern w:val="0"/>
                      <w:szCs w:val="21"/>
                    </w:rPr>
                    <w:t>对车辆行驶的路面实施洒水抑尘等措施</w:t>
                  </w:r>
                </w:p>
              </w:tc>
              <w:tc>
                <w:tcPr>
                  <w:tcW w:w="513" w:type="pct"/>
                  <w:vAlign w:val="center"/>
                </w:tcPr>
                <w:p w14:paraId="6626F9D0">
                  <w:pPr>
                    <w:adjustRightInd w:val="0"/>
                    <w:snapToGrid w:val="0"/>
                    <w:jc w:val="center"/>
                    <w:rPr>
                      <w:color w:val="auto"/>
                      <w:kern w:val="0"/>
                      <w:szCs w:val="21"/>
                    </w:rPr>
                  </w:pPr>
                  <w:r>
                    <w:rPr>
                      <w:rFonts w:hint="eastAsia"/>
                      <w:color w:val="auto"/>
                      <w:kern w:val="0"/>
                      <w:szCs w:val="21"/>
                    </w:rPr>
                    <w:t>符合</w:t>
                  </w:r>
                </w:p>
              </w:tc>
            </w:tr>
            <w:tr w14:paraId="26AE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4457D250">
                  <w:pPr>
                    <w:adjustRightInd w:val="0"/>
                    <w:snapToGrid w:val="0"/>
                    <w:jc w:val="center"/>
                    <w:rPr>
                      <w:color w:val="auto"/>
                      <w:kern w:val="0"/>
                      <w:szCs w:val="21"/>
                    </w:rPr>
                  </w:pPr>
                  <w:r>
                    <w:rPr>
                      <w:rFonts w:hint="eastAsia"/>
                      <w:color w:val="auto"/>
                      <w:kern w:val="0"/>
                      <w:szCs w:val="21"/>
                    </w:rPr>
                    <w:t>5.9</w:t>
                  </w:r>
                  <w:r>
                    <w:rPr>
                      <w:color w:val="auto"/>
                      <w:kern w:val="0"/>
                      <w:szCs w:val="21"/>
                    </w:rPr>
                    <w:t>露天工业料堆场存放袋装、桶装及箱装件物品时，应加盖</w:t>
                  </w:r>
                  <w:r>
                    <w:rPr>
                      <w:rFonts w:hint="eastAsia"/>
                      <w:color w:val="auto"/>
                      <w:kern w:val="0"/>
                      <w:szCs w:val="21"/>
                    </w:rPr>
                    <w:t>篷布</w:t>
                  </w:r>
                  <w:r>
                    <w:rPr>
                      <w:color w:val="auto"/>
                      <w:kern w:val="0"/>
                      <w:szCs w:val="21"/>
                    </w:rPr>
                    <w:t>遮护</w:t>
                  </w:r>
                </w:p>
              </w:tc>
              <w:tc>
                <w:tcPr>
                  <w:tcW w:w="1996" w:type="pct"/>
                  <w:vAlign w:val="center"/>
                </w:tcPr>
                <w:p w14:paraId="782C2E16">
                  <w:pPr>
                    <w:adjustRightInd w:val="0"/>
                    <w:snapToGrid w:val="0"/>
                    <w:jc w:val="center"/>
                    <w:rPr>
                      <w:color w:val="auto"/>
                      <w:kern w:val="0"/>
                      <w:szCs w:val="21"/>
                    </w:rPr>
                  </w:pPr>
                  <w:r>
                    <w:rPr>
                      <w:rFonts w:hint="eastAsia"/>
                      <w:color w:val="auto"/>
                      <w:kern w:val="0"/>
                      <w:szCs w:val="21"/>
                    </w:rPr>
                    <w:t>本项目堆场采取洒水、实施苫盖等措施来抑制扬尘</w:t>
                  </w:r>
                </w:p>
              </w:tc>
              <w:tc>
                <w:tcPr>
                  <w:tcW w:w="513" w:type="pct"/>
                  <w:vAlign w:val="center"/>
                </w:tcPr>
                <w:p w14:paraId="51F10737">
                  <w:pPr>
                    <w:adjustRightInd w:val="0"/>
                    <w:snapToGrid w:val="0"/>
                    <w:jc w:val="center"/>
                    <w:rPr>
                      <w:color w:val="auto"/>
                      <w:kern w:val="0"/>
                      <w:szCs w:val="21"/>
                    </w:rPr>
                  </w:pPr>
                  <w:r>
                    <w:rPr>
                      <w:rFonts w:hint="eastAsia"/>
                      <w:color w:val="auto"/>
                      <w:kern w:val="0"/>
                      <w:szCs w:val="21"/>
                    </w:rPr>
                    <w:t>符合</w:t>
                  </w:r>
                </w:p>
              </w:tc>
            </w:tr>
            <w:tr w14:paraId="6718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146FA68D">
                  <w:pPr>
                    <w:adjustRightInd w:val="0"/>
                    <w:snapToGrid w:val="0"/>
                    <w:jc w:val="center"/>
                    <w:rPr>
                      <w:color w:val="auto"/>
                      <w:kern w:val="0"/>
                      <w:szCs w:val="21"/>
                    </w:rPr>
                  </w:pPr>
                  <w:r>
                    <w:rPr>
                      <w:rFonts w:hint="eastAsia"/>
                      <w:color w:val="auto"/>
                      <w:kern w:val="0"/>
                      <w:szCs w:val="21"/>
                    </w:rPr>
                    <w:t>5.11工业料堆场需设置料区和道路界限的标识线，对散落地面的物料等进行及时清理和清洗，保持道路干净、整洁，必须落实专人进行保洁工作，保持环境整洁。</w:t>
                  </w:r>
                </w:p>
              </w:tc>
              <w:tc>
                <w:tcPr>
                  <w:tcW w:w="1996" w:type="pct"/>
                  <w:vAlign w:val="center"/>
                </w:tcPr>
                <w:p w14:paraId="1A5527F2">
                  <w:pPr>
                    <w:adjustRightInd w:val="0"/>
                    <w:snapToGrid w:val="0"/>
                    <w:jc w:val="center"/>
                    <w:rPr>
                      <w:color w:val="auto"/>
                      <w:kern w:val="0"/>
                      <w:szCs w:val="21"/>
                    </w:rPr>
                  </w:pPr>
                  <w:r>
                    <w:rPr>
                      <w:rFonts w:hint="eastAsia"/>
                      <w:color w:val="auto"/>
                      <w:kern w:val="0"/>
                      <w:szCs w:val="21"/>
                    </w:rPr>
                    <w:t>项目设置表土堆场和道路界限的标识线，并对散落地面的物料进行及时清理和清扫，保持道路干净、整洁，并派专人进行保洁工作。</w:t>
                  </w:r>
                </w:p>
              </w:tc>
              <w:tc>
                <w:tcPr>
                  <w:tcW w:w="513" w:type="pct"/>
                  <w:vAlign w:val="center"/>
                </w:tcPr>
                <w:p w14:paraId="4FEA35A5">
                  <w:pPr>
                    <w:adjustRightInd w:val="0"/>
                    <w:snapToGrid w:val="0"/>
                    <w:jc w:val="center"/>
                    <w:rPr>
                      <w:color w:val="auto"/>
                      <w:kern w:val="0"/>
                      <w:szCs w:val="21"/>
                    </w:rPr>
                  </w:pPr>
                </w:p>
              </w:tc>
            </w:tr>
            <w:tr w14:paraId="3D00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4159AF4A">
                  <w:pPr>
                    <w:adjustRightInd w:val="0"/>
                    <w:snapToGrid w:val="0"/>
                    <w:jc w:val="center"/>
                    <w:rPr>
                      <w:color w:val="auto"/>
                      <w:kern w:val="0"/>
                      <w:szCs w:val="21"/>
                    </w:rPr>
                  </w:pPr>
                  <w:r>
                    <w:rPr>
                      <w:rFonts w:hint="eastAsia"/>
                      <w:color w:val="auto"/>
                      <w:kern w:val="0"/>
                      <w:szCs w:val="21"/>
                    </w:rPr>
                    <w:t>6.3.4对易产生扬尘的工业料堆场，可采用防尘网和防尘布覆盖。采用覆盖措施时，在非作业情况下覆盖率须达到100%。</w:t>
                  </w:r>
                </w:p>
              </w:tc>
              <w:tc>
                <w:tcPr>
                  <w:tcW w:w="1996" w:type="pct"/>
                  <w:vAlign w:val="center"/>
                </w:tcPr>
                <w:p w14:paraId="28A68BAA">
                  <w:pPr>
                    <w:adjustRightInd w:val="0"/>
                    <w:snapToGrid w:val="0"/>
                    <w:jc w:val="center"/>
                    <w:rPr>
                      <w:color w:val="auto"/>
                      <w:kern w:val="0"/>
                      <w:szCs w:val="21"/>
                    </w:rPr>
                  </w:pPr>
                  <w:r>
                    <w:rPr>
                      <w:rFonts w:hint="eastAsia"/>
                      <w:color w:val="auto"/>
                      <w:kern w:val="0"/>
                      <w:szCs w:val="21"/>
                    </w:rPr>
                    <w:t>表土堆场采取苫布遮盖，在非作业的情况下覆盖率达到100%。</w:t>
                  </w:r>
                </w:p>
              </w:tc>
              <w:tc>
                <w:tcPr>
                  <w:tcW w:w="513" w:type="pct"/>
                  <w:vAlign w:val="center"/>
                </w:tcPr>
                <w:p w14:paraId="1848D42C">
                  <w:pPr>
                    <w:adjustRightInd w:val="0"/>
                    <w:snapToGrid w:val="0"/>
                    <w:jc w:val="center"/>
                    <w:rPr>
                      <w:color w:val="auto"/>
                      <w:kern w:val="0"/>
                      <w:szCs w:val="21"/>
                    </w:rPr>
                  </w:pPr>
                  <w:r>
                    <w:rPr>
                      <w:rFonts w:hint="eastAsia"/>
                      <w:color w:val="auto"/>
                      <w:kern w:val="0"/>
                      <w:szCs w:val="21"/>
                    </w:rPr>
                    <w:t>符合</w:t>
                  </w:r>
                </w:p>
              </w:tc>
            </w:tr>
            <w:tr w14:paraId="40D0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536A8BB5">
                  <w:pPr>
                    <w:adjustRightInd w:val="0"/>
                    <w:snapToGrid w:val="0"/>
                    <w:jc w:val="center"/>
                    <w:rPr>
                      <w:color w:val="auto"/>
                      <w:kern w:val="0"/>
                      <w:szCs w:val="21"/>
                    </w:rPr>
                  </w:pPr>
                  <w:r>
                    <w:rPr>
                      <w:rFonts w:hint="eastAsia"/>
                      <w:color w:val="auto"/>
                      <w:kern w:val="0"/>
                      <w:szCs w:val="21"/>
                    </w:rPr>
                    <w:t>6.3.5对易产生扬尘的工业料堆场，采用喷水、洒水进行扬尘防治时，堆场表面含水率应大于堆场扬尘的极限值。对煤堆场，其表面含水率应不低于8%。</w:t>
                  </w:r>
                </w:p>
              </w:tc>
              <w:tc>
                <w:tcPr>
                  <w:tcW w:w="1996" w:type="pct"/>
                  <w:vAlign w:val="center"/>
                </w:tcPr>
                <w:p w14:paraId="397E74D9">
                  <w:pPr>
                    <w:adjustRightInd w:val="0"/>
                    <w:snapToGrid w:val="0"/>
                    <w:jc w:val="center"/>
                    <w:rPr>
                      <w:color w:val="auto"/>
                      <w:kern w:val="0"/>
                      <w:szCs w:val="21"/>
                    </w:rPr>
                  </w:pPr>
                  <w:r>
                    <w:rPr>
                      <w:rFonts w:hint="eastAsia"/>
                      <w:color w:val="auto"/>
                      <w:kern w:val="0"/>
                      <w:szCs w:val="21"/>
                    </w:rPr>
                    <w:t>表土堆场采用定期洒水的方式进行扬尘防治。</w:t>
                  </w:r>
                </w:p>
              </w:tc>
              <w:tc>
                <w:tcPr>
                  <w:tcW w:w="513" w:type="pct"/>
                  <w:vAlign w:val="center"/>
                </w:tcPr>
                <w:p w14:paraId="4355775B">
                  <w:pPr>
                    <w:adjustRightInd w:val="0"/>
                    <w:snapToGrid w:val="0"/>
                    <w:jc w:val="center"/>
                    <w:rPr>
                      <w:color w:val="auto"/>
                      <w:kern w:val="0"/>
                      <w:szCs w:val="21"/>
                    </w:rPr>
                  </w:pPr>
                  <w:r>
                    <w:rPr>
                      <w:rFonts w:hint="eastAsia"/>
                      <w:color w:val="auto"/>
                      <w:kern w:val="0"/>
                      <w:szCs w:val="21"/>
                    </w:rPr>
                    <w:t>符合</w:t>
                  </w:r>
                </w:p>
              </w:tc>
            </w:tr>
          </w:tbl>
          <w:p w14:paraId="243CAC6F">
            <w:pPr>
              <w:pStyle w:val="60"/>
              <w:tabs>
                <w:tab w:val="left" w:pos="4584"/>
              </w:tabs>
              <w:ind w:firstLine="480" w:firstLineChars="200"/>
              <w:rPr>
                <w:bCs/>
                <w:color w:val="auto"/>
                <w:kern w:val="2"/>
              </w:rPr>
            </w:pPr>
            <w:r>
              <w:rPr>
                <w:rFonts w:hint="eastAsia"/>
                <w:bCs/>
                <w:color w:val="auto"/>
                <w:kern w:val="2"/>
              </w:rPr>
              <w:t>综上所述，本项目堆场扬尘整治措施与《工业料堆场扬尘整治规范》（DB65/T4061-2017）相符。</w:t>
            </w:r>
          </w:p>
          <w:p w14:paraId="46AFDA57">
            <w:pPr>
              <w:pStyle w:val="60"/>
              <w:tabs>
                <w:tab w:val="left" w:pos="4584"/>
              </w:tabs>
              <w:ind w:firstLine="0" w:firstLineChars="0"/>
              <w:rPr>
                <w:b/>
                <w:bCs/>
                <w:color w:val="auto"/>
              </w:rPr>
            </w:pPr>
            <w:r>
              <w:rPr>
                <w:rFonts w:hint="eastAsia"/>
                <w:b/>
                <w:bCs/>
                <w:snapToGrid/>
                <w:color w:val="auto"/>
                <w:kern w:val="2"/>
              </w:rPr>
              <w:t>3.12与</w:t>
            </w:r>
            <w:r>
              <w:rPr>
                <w:rFonts w:hint="eastAsia"/>
                <w:b/>
                <w:bCs/>
                <w:color w:val="auto"/>
              </w:rPr>
              <w:t>《新疆生态环境保护“十四五”规划》符合性分析</w:t>
            </w:r>
          </w:p>
          <w:p w14:paraId="63582866">
            <w:pPr>
              <w:pStyle w:val="60"/>
              <w:tabs>
                <w:tab w:val="left" w:pos="4584"/>
              </w:tabs>
              <w:ind w:firstLine="480" w:firstLineChars="200"/>
              <w:rPr>
                <w:snapToGrid/>
                <w:color w:val="auto"/>
                <w:kern w:val="2"/>
              </w:rPr>
            </w:pPr>
            <w:r>
              <w:rPr>
                <w:rFonts w:hint="eastAsia"/>
                <w:snapToGrid/>
                <w:color w:val="auto"/>
                <w:kern w:val="2"/>
              </w:rPr>
              <w:t>文件中要求：“全面推进绿色矿山建设，规范绿色矿山第三方评估，推广矿产资源节约与综合利用先进技术。”“</w:t>
            </w:r>
            <w:r>
              <w:rPr>
                <w:snapToGrid/>
                <w:color w:val="auto"/>
                <w:kern w:val="2"/>
              </w:rPr>
              <w:t>推进扬尘精细化管控。全面推行绿色施工，城市建成区建筑工地扬尘防控标准化管理全覆盖；加强城市道路清扫保洁和洒水抑尘</w:t>
            </w:r>
            <w:r>
              <w:rPr>
                <w:rFonts w:hint="eastAsia"/>
                <w:snapToGrid/>
                <w:color w:val="auto"/>
                <w:kern w:val="2"/>
              </w:rPr>
              <w:t>，对</w:t>
            </w:r>
            <w:r>
              <w:rPr>
                <w:snapToGrid/>
                <w:color w:val="auto"/>
                <w:kern w:val="2"/>
              </w:rPr>
              <w:t>渣土车实施硬覆盖；推进低尘机械化作业水平，控制道路扬尘污染；强化非道路移动源综合治理；充分运用新型、高效的防尘、降尘、除尘技术，加强矿山粉尘治理。</w:t>
            </w:r>
            <w:r>
              <w:rPr>
                <w:rFonts w:hint="eastAsia"/>
                <w:snapToGrid/>
                <w:color w:val="auto"/>
                <w:kern w:val="2"/>
              </w:rPr>
              <w:t>”</w:t>
            </w:r>
          </w:p>
          <w:p w14:paraId="4812C75E">
            <w:pPr>
              <w:pStyle w:val="60"/>
              <w:tabs>
                <w:tab w:val="left" w:pos="4584"/>
              </w:tabs>
              <w:ind w:firstLine="480" w:firstLineChars="200"/>
              <w:rPr>
                <w:snapToGrid/>
                <w:color w:val="auto"/>
                <w:kern w:val="2"/>
              </w:rPr>
            </w:pPr>
            <w:r>
              <w:rPr>
                <w:bCs/>
                <w:color w:val="auto"/>
                <w:kern w:val="2"/>
              </w:rPr>
              <w:t>本项目开采过程造成生态环境破坏，</w:t>
            </w:r>
            <w:r>
              <w:rPr>
                <w:snapToGrid/>
                <w:color w:val="auto"/>
                <w:kern w:val="2"/>
              </w:rPr>
              <w:t>开采过程采取避免大风天气作业</w:t>
            </w:r>
            <w:r>
              <w:rPr>
                <w:rFonts w:hint="eastAsia"/>
                <w:snapToGrid/>
                <w:color w:val="auto"/>
                <w:kern w:val="2"/>
              </w:rPr>
              <w:t>，</w:t>
            </w:r>
            <w:r>
              <w:rPr>
                <w:rFonts w:hint="eastAsia" w:cstheme="minorBidi"/>
                <w:bCs/>
                <w:color w:val="auto"/>
                <w:kern w:val="44"/>
              </w:rPr>
              <w:t>开采作业面及建筑用砂装卸过程中采用雾炮机水雾增湿除尘方式降尘；表土堆场、运输道路洒水降尘，堆场采用防尘网苫盖</w:t>
            </w:r>
            <w:r>
              <w:rPr>
                <w:rFonts w:hint="eastAsia"/>
                <w:snapToGrid/>
                <w:color w:val="auto"/>
                <w:kern w:val="2"/>
              </w:rPr>
              <w:t>，</w:t>
            </w:r>
            <w:r>
              <w:rPr>
                <w:snapToGrid/>
                <w:color w:val="auto"/>
                <w:kern w:val="2"/>
              </w:rPr>
              <w:t>运输车辆按规定路线行驶措施</w:t>
            </w:r>
            <w:r>
              <w:rPr>
                <w:rFonts w:hint="eastAsia"/>
                <w:snapToGrid/>
                <w:color w:val="auto"/>
                <w:kern w:val="2"/>
              </w:rPr>
              <w:t>；对车辆进行清洗，降低扬尘产生</w:t>
            </w:r>
            <w:r>
              <w:rPr>
                <w:rFonts w:hint="eastAsia"/>
                <w:snapToGrid/>
                <w:color w:val="auto"/>
                <w:kern w:val="2"/>
                <w:lang w:eastAsia="zh-CN"/>
              </w:rPr>
              <w:t>。</w:t>
            </w:r>
            <w:r>
              <w:rPr>
                <w:snapToGrid/>
                <w:color w:val="auto"/>
                <w:kern w:val="2"/>
              </w:rPr>
              <w:t>开采完成的区域，通过边坡、断面防护，播撒草籽、恢复种植</w:t>
            </w:r>
            <w:r>
              <w:rPr>
                <w:rFonts w:hint="eastAsia"/>
                <w:color w:val="auto"/>
              </w:rPr>
              <w:t>当地常见草种</w:t>
            </w:r>
            <w:r>
              <w:rPr>
                <w:snapToGrid/>
                <w:color w:val="auto"/>
                <w:kern w:val="2"/>
              </w:rPr>
              <w:t>的措施进行生态恢复。</w:t>
            </w:r>
            <w:r>
              <w:rPr>
                <w:rFonts w:hint="eastAsia"/>
                <w:snapToGrid/>
                <w:color w:val="auto"/>
                <w:kern w:val="2"/>
              </w:rPr>
              <w:t>因此本项目建设</w:t>
            </w:r>
            <w:r>
              <w:rPr>
                <w:snapToGrid/>
                <w:color w:val="auto"/>
                <w:kern w:val="2"/>
              </w:rPr>
              <w:t>符合</w:t>
            </w:r>
            <w:r>
              <w:rPr>
                <w:rFonts w:hint="eastAsia"/>
                <w:snapToGrid/>
                <w:color w:val="auto"/>
                <w:kern w:val="2"/>
              </w:rPr>
              <w:t>《新疆生态环境保护“十四五”规划》中相关</w:t>
            </w:r>
            <w:r>
              <w:rPr>
                <w:snapToGrid/>
                <w:color w:val="auto"/>
                <w:kern w:val="2"/>
              </w:rPr>
              <w:t>要求。</w:t>
            </w:r>
          </w:p>
          <w:p w14:paraId="4D1EC500">
            <w:pPr>
              <w:pStyle w:val="60"/>
              <w:tabs>
                <w:tab w:val="left" w:pos="4584"/>
              </w:tabs>
              <w:ind w:firstLine="0" w:firstLineChars="0"/>
              <w:rPr>
                <w:snapToGrid/>
                <w:color w:val="auto"/>
                <w:kern w:val="2"/>
              </w:rPr>
            </w:pPr>
            <w:r>
              <w:rPr>
                <w:rFonts w:hint="eastAsia"/>
                <w:b/>
                <w:bCs/>
                <w:color w:val="auto"/>
                <w:lang w:val="en-US" w:eastAsia="zh-CN"/>
              </w:rPr>
              <w:t>4、与国务院关于印发《空气质量持续改善行动计划》的通知（国发〔</w:t>
            </w:r>
            <w:r>
              <w:rPr>
                <w:rFonts w:hint="default"/>
                <w:b/>
                <w:bCs/>
                <w:color w:val="auto"/>
                <w:lang w:val="en-US" w:eastAsia="zh-CN"/>
              </w:rPr>
              <w:t>2023</w:t>
            </w:r>
            <w:r>
              <w:rPr>
                <w:rFonts w:hint="eastAsia"/>
                <w:b/>
                <w:bCs/>
                <w:color w:val="auto"/>
                <w:lang w:val="en-US" w:eastAsia="zh-CN"/>
              </w:rPr>
              <w:t>〕</w:t>
            </w:r>
            <w:r>
              <w:rPr>
                <w:rFonts w:hint="default"/>
                <w:b/>
                <w:bCs/>
                <w:color w:val="auto"/>
                <w:lang w:val="en-US" w:eastAsia="zh-CN"/>
              </w:rPr>
              <w:t>24</w:t>
            </w:r>
            <w:r>
              <w:rPr>
                <w:rFonts w:hint="eastAsia"/>
                <w:b/>
                <w:bCs/>
                <w:color w:val="auto"/>
                <w:lang w:val="en-US" w:eastAsia="zh-CN"/>
              </w:rPr>
              <w:t>号）符合性分析</w:t>
            </w:r>
            <w:r>
              <w:rPr>
                <w:rFonts w:hint="eastAsia"/>
                <w:snapToGrid/>
                <w:color w:val="auto"/>
                <w:kern w:val="2"/>
                <w:lang w:val="en-US" w:eastAsia="zh-CN"/>
              </w:rPr>
              <w:t xml:space="preserve"> </w:t>
            </w:r>
          </w:p>
          <w:p w14:paraId="2A35D179">
            <w:pPr>
              <w:pStyle w:val="60"/>
              <w:tabs>
                <w:tab w:val="left" w:pos="4584"/>
              </w:tabs>
              <w:ind w:firstLine="480" w:firstLineChars="200"/>
              <w:rPr>
                <w:snapToGrid/>
                <w:color w:val="auto"/>
                <w:kern w:val="2"/>
              </w:rPr>
            </w:pPr>
            <w:r>
              <w:rPr>
                <w:rFonts w:hint="eastAsia"/>
                <w:snapToGrid/>
                <w:color w:val="auto"/>
                <w:kern w:val="2"/>
                <w:lang w:val="en-US" w:eastAsia="zh-CN"/>
              </w:rPr>
              <w:t>根据国务院关于印发《空气质量持续改善行动计划》的通知（国发</w:t>
            </w:r>
            <w:r>
              <w:rPr>
                <w:rFonts w:hint="default"/>
                <w:snapToGrid/>
                <w:color w:val="auto"/>
                <w:kern w:val="2"/>
                <w:lang w:val="en-US" w:eastAsia="zh-CN"/>
              </w:rPr>
              <w:t xml:space="preserve">[2023]24 </w:t>
            </w:r>
            <w:r>
              <w:rPr>
                <w:rFonts w:hint="eastAsia"/>
                <w:snapToGrid/>
                <w:color w:val="auto"/>
                <w:kern w:val="2"/>
                <w:lang w:val="en-US" w:eastAsia="zh-CN"/>
              </w:rPr>
              <w:t>号）中五、强化面源污染治理，提升精细化管理水平（十九）推进矿山生态环境综合整治。新建矿山原则上要同步建设铁路专用线或采用其他清洁运输方式。到</w:t>
            </w:r>
            <w:r>
              <w:rPr>
                <w:rFonts w:hint="default"/>
                <w:snapToGrid/>
                <w:color w:val="auto"/>
                <w:kern w:val="2"/>
                <w:lang w:val="en-US" w:eastAsia="zh-CN"/>
              </w:rPr>
              <w:t>2025</w:t>
            </w:r>
            <w:r>
              <w:rPr>
                <w:rFonts w:hint="eastAsia"/>
                <w:snapToGrid/>
                <w:color w:val="auto"/>
                <w:kern w:val="2"/>
                <w:lang w:val="en-US" w:eastAsia="zh-CN"/>
              </w:rPr>
              <w:t xml:space="preserve">年，京津冀及周边地区原则上不再新建露天矿山（省级矿产资源规划确定的重点开采区或经安全论证不宜采用地下开采方式的除外）。对限期整改仍不达标的矿山，根据安全生产、水土保持、生态环境等要求依法关闭。 </w:t>
            </w:r>
          </w:p>
          <w:p w14:paraId="12C082EC">
            <w:pPr>
              <w:pStyle w:val="60"/>
              <w:tabs>
                <w:tab w:val="left" w:pos="4584"/>
              </w:tabs>
              <w:ind w:firstLine="480" w:firstLineChars="200"/>
              <w:rPr>
                <w:snapToGrid/>
                <w:color w:val="auto"/>
                <w:kern w:val="2"/>
              </w:rPr>
            </w:pPr>
            <w:r>
              <w:rPr>
                <w:rFonts w:hint="eastAsia"/>
                <w:snapToGrid/>
                <w:color w:val="auto"/>
                <w:kern w:val="2"/>
                <w:lang w:val="en-US" w:eastAsia="zh-CN"/>
              </w:rPr>
              <w:t>本项目为新建矿山，位于新疆维吾尔自治区昌吉回族自治州奇台县三个庄子镇，不属于京津冀及周边地区，为露天开采，矿山建设符合昌吉州矿产资源总体规划，以绿色矿山为标准，已编制矿山地质环境保护与土地复垦方案，边开采、边恢复，闭矿期完成土地复垦。 综上，本项目符合《空气质量持续改善行动计划》的相关要求。</w:t>
            </w:r>
          </w:p>
          <w:p w14:paraId="39528EDE">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137733B9">
            <w:pPr>
              <w:autoSpaceDE w:val="0"/>
              <w:autoSpaceDN w:val="0"/>
              <w:adjustRightInd w:val="0"/>
              <w:snapToGrid w:val="0"/>
              <w:rPr>
                <w:rFonts w:hint="eastAsia" w:ascii="宋体" w:hAnsi="宋体" w:cs="宋体"/>
                <w:color w:val="auto"/>
                <w:kern w:val="0"/>
                <w:szCs w:val="21"/>
              </w:rPr>
            </w:pPr>
          </w:p>
        </w:tc>
      </w:tr>
    </w:tbl>
    <w:p w14:paraId="5A69CD32">
      <w:pPr>
        <w:spacing w:line="360" w:lineRule="auto"/>
        <w:rPr>
          <w:rFonts w:eastAsia="黑体"/>
          <w:color w:val="auto"/>
          <w:sz w:val="30"/>
        </w:rPr>
        <w:sectPr>
          <w:footerReference r:id="rId4" w:type="default"/>
          <w:pgSz w:w="11906" w:h="16838"/>
          <w:pgMar w:top="1701" w:right="1531" w:bottom="1701" w:left="1531" w:header="851" w:footer="1077" w:gutter="0"/>
          <w:pgNumType w:fmt="decimal"/>
          <w:cols w:space="720" w:num="1"/>
          <w:docGrid w:linePitch="312" w:charSpace="0"/>
        </w:sectPr>
      </w:pPr>
    </w:p>
    <w:p w14:paraId="1833A6E0">
      <w:pPr>
        <w:pStyle w:val="25"/>
        <w:jc w:val="center"/>
        <w:outlineLvl w:val="0"/>
        <w:rPr>
          <w:rFonts w:hint="eastAsia" w:ascii="黑体" w:hAnsi="黑体" w:eastAsia="黑体"/>
          <w:snapToGrid w:val="0"/>
          <w:color w:val="auto"/>
          <w:sz w:val="30"/>
          <w:szCs w:val="30"/>
        </w:rPr>
      </w:pPr>
      <w:bookmarkStart w:id="4" w:name="_Toc22030"/>
      <w:r>
        <w:rPr>
          <w:rFonts w:hint="eastAsia" w:ascii="黑体" w:hAnsi="黑体" w:eastAsia="黑体"/>
          <w:snapToGrid w:val="0"/>
          <w:color w:val="auto"/>
          <w:sz w:val="30"/>
          <w:szCs w:val="30"/>
        </w:rPr>
        <w:t>二、建设内容</w:t>
      </w:r>
      <w:bookmarkEnd w:id="4"/>
    </w:p>
    <w:tbl>
      <w:tblPr>
        <w:tblStyle w:val="28"/>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80"/>
      </w:tblGrid>
      <w:tr w14:paraId="17ADF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1" w:hRule="atLeast"/>
          <w:jc w:val="center"/>
        </w:trPr>
        <w:tc>
          <w:tcPr>
            <w:tcW w:w="710" w:type="dxa"/>
            <w:vAlign w:val="center"/>
          </w:tcPr>
          <w:p w14:paraId="1095A776">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地理位置</w:t>
            </w:r>
          </w:p>
        </w:tc>
        <w:tc>
          <w:tcPr>
            <w:tcW w:w="8380" w:type="dxa"/>
            <w:vAlign w:val="center"/>
          </w:tcPr>
          <w:p w14:paraId="5846034D">
            <w:pPr>
              <w:spacing w:line="360" w:lineRule="auto"/>
              <w:ind w:firstLine="480" w:firstLineChars="200"/>
              <w:rPr>
                <w:color w:val="auto"/>
                <w:sz w:val="24"/>
                <w:szCs w:val="28"/>
              </w:rPr>
            </w:pPr>
            <w:r>
              <w:rPr>
                <w:rFonts w:hint="eastAsia"/>
                <w:color w:val="auto"/>
                <w:sz w:val="24"/>
              </w:rPr>
              <w:t>本项目位于新疆维吾尔自治区昌吉回族自治州奇台县三个庄子镇青年村，</w:t>
            </w:r>
            <w:r>
              <w:rPr>
                <w:rFonts w:hint="eastAsia"/>
                <w:color w:val="auto"/>
                <w:sz w:val="24"/>
                <w:szCs w:val="28"/>
              </w:rPr>
              <w:t>矿区</w:t>
            </w:r>
            <w:r>
              <w:rPr>
                <w:rFonts w:hint="eastAsia"/>
                <w:bCs/>
                <w:color w:val="auto"/>
                <w:sz w:val="24"/>
              </w:rPr>
              <w:t>中心</w:t>
            </w:r>
            <w:r>
              <w:rPr>
                <w:color w:val="auto"/>
                <w:kern w:val="0"/>
                <w:sz w:val="24"/>
              </w:rPr>
              <w:t>地理坐标为：</w:t>
            </w:r>
            <w:r>
              <w:rPr>
                <w:rFonts w:hint="eastAsia"/>
                <w:color w:val="auto"/>
                <w:kern w:val="0"/>
                <w:sz w:val="24"/>
              </w:rPr>
              <w:t>E89°57′3.263″，N43°59′30.281″，矿区</w:t>
            </w:r>
            <w:r>
              <w:rPr>
                <w:rFonts w:hint="eastAsia"/>
                <w:color w:val="auto"/>
                <w:sz w:val="24"/>
                <w:szCs w:val="28"/>
              </w:rPr>
              <w:t>范围拐点坐标见表2-1。本项目自西北至东南方向有110kV输电线路跨越，为避让该输电线路，将输电线路沿线及两侧20m范围设为禁采区，禁采区北侧为规划1号露天采场，南侧为规划2号露天采场。规划1号露天采场东、西均为退耕还林地（人工种植梭梭），北侧为空地，西北方向140m处有1处零星养殖户，西侧320m处有2处零星住户，南侧为110kV输电线路；规划2号露天采场东、西侧为退耕还林地（人工种植梭梭），南侧为退耕还林地（人工种植梭梭）和</w:t>
            </w:r>
            <w:r>
              <w:rPr>
                <w:rFonts w:hint="eastAsia"/>
                <w:color w:val="auto"/>
                <w:sz w:val="24"/>
                <w:szCs w:val="28"/>
                <w:lang w:val="en-US" w:eastAsia="zh-CN"/>
              </w:rPr>
              <w:t>65m处</w:t>
            </w:r>
            <w:r>
              <w:rPr>
                <w:rFonts w:hint="eastAsia"/>
                <w:color w:val="auto"/>
                <w:sz w:val="24"/>
                <w:szCs w:val="28"/>
              </w:rPr>
              <w:t>养殖区，南侧740m处鑫明砂场、亿垒砂场、宏兴砂场。</w:t>
            </w:r>
          </w:p>
          <w:p w14:paraId="10F98BF9">
            <w:pPr>
              <w:spacing w:line="360" w:lineRule="auto"/>
              <w:ind w:firstLine="480" w:firstLineChars="200"/>
              <w:rPr>
                <w:color w:val="auto"/>
                <w:sz w:val="24"/>
                <w:szCs w:val="28"/>
              </w:rPr>
            </w:pPr>
            <w:r>
              <w:rPr>
                <w:rFonts w:hint="eastAsia"/>
                <w:color w:val="auto"/>
                <w:sz w:val="24"/>
                <w:szCs w:val="28"/>
              </w:rPr>
              <w:t>项目所在区域地理位置图见图2-1，项目区周边关系见图2-2。</w:t>
            </w:r>
          </w:p>
          <w:p w14:paraId="507B919E">
            <w:pPr>
              <w:pStyle w:val="64"/>
              <w:outlineLvl w:val="9"/>
              <w:rPr>
                <w:rFonts w:hint="default"/>
                <w:b/>
                <w:bCs/>
                <w:color w:val="auto"/>
                <w:lang w:val="zh-CN"/>
              </w:rPr>
            </w:pPr>
            <w:r>
              <w:rPr>
                <w:b/>
                <w:bCs/>
                <w:color w:val="auto"/>
                <w:lang w:val="zh-CN"/>
              </w:rPr>
              <w:t>表</w:t>
            </w:r>
            <w:r>
              <w:rPr>
                <w:b/>
                <w:bCs/>
                <w:color w:val="auto"/>
              </w:rPr>
              <w:t xml:space="preserve">2-1     </w:t>
            </w:r>
            <w:r>
              <w:rPr>
                <w:b/>
                <w:bCs/>
                <w:color w:val="auto"/>
                <w:lang w:val="zh-CN"/>
              </w:rPr>
              <w:t>矿区范围拐点坐标表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546"/>
              <w:gridCol w:w="1559"/>
              <w:gridCol w:w="2024"/>
              <w:gridCol w:w="2117"/>
            </w:tblGrid>
            <w:tr w14:paraId="7FB2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19" w:type="dxa"/>
                  <w:gridSpan w:val="5"/>
                </w:tcPr>
                <w:p w14:paraId="2F8E4326">
                  <w:pPr>
                    <w:pStyle w:val="92"/>
                    <w:jc w:val="center"/>
                    <w:rPr>
                      <w:color w:val="auto"/>
                      <w:szCs w:val="21"/>
                    </w:rPr>
                  </w:pPr>
                  <w:r>
                    <w:rPr>
                      <w:color w:val="auto"/>
                      <w:szCs w:val="21"/>
                    </w:rPr>
                    <w:t>拟设采矿权范围拐点坐标（CGCS2000坐标</w:t>
                  </w:r>
                  <w:r>
                    <w:rPr>
                      <w:rFonts w:hint="eastAsia"/>
                      <w:color w:val="auto"/>
                      <w:szCs w:val="21"/>
                    </w:rPr>
                    <w:t>，</w:t>
                  </w:r>
                  <w:r>
                    <w:rPr>
                      <w:color w:val="auto"/>
                      <w:szCs w:val="21"/>
                    </w:rPr>
                    <w:t>3度带）</w:t>
                  </w:r>
                </w:p>
              </w:tc>
            </w:tr>
            <w:tr w14:paraId="5F68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0C4BEA04">
                  <w:pPr>
                    <w:pStyle w:val="92"/>
                    <w:jc w:val="center"/>
                    <w:rPr>
                      <w:color w:val="auto"/>
                      <w:szCs w:val="21"/>
                    </w:rPr>
                  </w:pPr>
                  <w:r>
                    <w:rPr>
                      <w:color w:val="auto"/>
                      <w:szCs w:val="21"/>
                    </w:rPr>
                    <w:t>序号</w:t>
                  </w:r>
                </w:p>
              </w:tc>
              <w:tc>
                <w:tcPr>
                  <w:tcW w:w="1652" w:type="dxa"/>
                  <w:vAlign w:val="center"/>
                </w:tcPr>
                <w:p w14:paraId="575D4124">
                  <w:pPr>
                    <w:pStyle w:val="92"/>
                    <w:jc w:val="center"/>
                    <w:rPr>
                      <w:color w:val="auto"/>
                      <w:szCs w:val="21"/>
                    </w:rPr>
                  </w:pPr>
                  <w:r>
                    <w:rPr>
                      <w:color w:val="auto"/>
                      <w:szCs w:val="21"/>
                    </w:rPr>
                    <w:t>X</w:t>
                  </w:r>
                </w:p>
              </w:tc>
              <w:tc>
                <w:tcPr>
                  <w:tcW w:w="1666" w:type="dxa"/>
                  <w:vAlign w:val="center"/>
                </w:tcPr>
                <w:p w14:paraId="2F98E9EE">
                  <w:pPr>
                    <w:pStyle w:val="92"/>
                    <w:jc w:val="center"/>
                    <w:rPr>
                      <w:color w:val="auto"/>
                      <w:szCs w:val="21"/>
                    </w:rPr>
                  </w:pPr>
                  <w:r>
                    <w:rPr>
                      <w:color w:val="auto"/>
                      <w:szCs w:val="21"/>
                    </w:rPr>
                    <w:t>Y</w:t>
                  </w:r>
                </w:p>
              </w:tc>
              <w:tc>
                <w:tcPr>
                  <w:tcW w:w="2169" w:type="dxa"/>
                </w:tcPr>
                <w:p w14:paraId="18531FDD">
                  <w:pPr>
                    <w:pStyle w:val="92"/>
                    <w:jc w:val="center"/>
                    <w:rPr>
                      <w:color w:val="auto"/>
                      <w:szCs w:val="21"/>
                    </w:rPr>
                  </w:pPr>
                  <w:r>
                    <w:rPr>
                      <w:color w:val="auto"/>
                      <w:szCs w:val="21"/>
                    </w:rPr>
                    <w:t>E</w:t>
                  </w:r>
                </w:p>
              </w:tc>
              <w:tc>
                <w:tcPr>
                  <w:tcW w:w="2269" w:type="dxa"/>
                </w:tcPr>
                <w:p w14:paraId="47FA10F0">
                  <w:pPr>
                    <w:pStyle w:val="92"/>
                    <w:jc w:val="center"/>
                    <w:rPr>
                      <w:color w:val="auto"/>
                      <w:szCs w:val="21"/>
                    </w:rPr>
                  </w:pPr>
                  <w:r>
                    <w:rPr>
                      <w:color w:val="auto"/>
                      <w:szCs w:val="21"/>
                    </w:rPr>
                    <w:t>N</w:t>
                  </w:r>
                </w:p>
              </w:tc>
            </w:tr>
            <w:tr w14:paraId="163F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4EF8B88E">
                  <w:pPr>
                    <w:pStyle w:val="92"/>
                    <w:jc w:val="center"/>
                    <w:rPr>
                      <w:color w:val="auto"/>
                      <w:szCs w:val="21"/>
                    </w:rPr>
                  </w:pPr>
                  <w:r>
                    <w:rPr>
                      <w:color w:val="auto"/>
                      <w:szCs w:val="21"/>
                    </w:rPr>
                    <w:t>1</w:t>
                  </w:r>
                </w:p>
              </w:tc>
              <w:tc>
                <w:tcPr>
                  <w:tcW w:w="1652" w:type="dxa"/>
                  <w:vAlign w:val="center"/>
                </w:tcPr>
                <w:p w14:paraId="36CD0112">
                  <w:pPr>
                    <w:pStyle w:val="92"/>
                    <w:jc w:val="center"/>
                    <w:rPr>
                      <w:color w:val="auto"/>
                      <w:szCs w:val="21"/>
                    </w:rPr>
                  </w:pPr>
                  <w:r>
                    <w:rPr>
                      <w:color w:val="auto"/>
                      <w:szCs w:val="21"/>
                    </w:rPr>
                    <w:t>4873538.881</w:t>
                  </w:r>
                </w:p>
              </w:tc>
              <w:tc>
                <w:tcPr>
                  <w:tcW w:w="1666" w:type="dxa"/>
                  <w:vAlign w:val="center"/>
                </w:tcPr>
                <w:p w14:paraId="71AECF13">
                  <w:pPr>
                    <w:pStyle w:val="92"/>
                    <w:jc w:val="center"/>
                    <w:rPr>
                      <w:color w:val="auto"/>
                      <w:szCs w:val="21"/>
                    </w:rPr>
                  </w:pPr>
                  <w:r>
                    <w:rPr>
                      <w:color w:val="auto"/>
                      <w:szCs w:val="21"/>
                    </w:rPr>
                    <w:t>30495881.039</w:t>
                  </w:r>
                </w:p>
              </w:tc>
              <w:tc>
                <w:tcPr>
                  <w:tcW w:w="2169" w:type="dxa"/>
                  <w:vAlign w:val="center"/>
                </w:tcPr>
                <w:p w14:paraId="5A4B0D4D">
                  <w:pPr>
                    <w:pStyle w:val="92"/>
                    <w:jc w:val="center"/>
                    <w:rPr>
                      <w:color w:val="auto"/>
                      <w:szCs w:val="21"/>
                    </w:rPr>
                  </w:pPr>
                  <w:r>
                    <w:rPr>
                      <w:color w:val="auto"/>
                      <w:szCs w:val="21"/>
                    </w:rPr>
                    <w:t>89°56′55.135″</w:t>
                  </w:r>
                </w:p>
              </w:tc>
              <w:tc>
                <w:tcPr>
                  <w:tcW w:w="2269" w:type="dxa"/>
                  <w:vAlign w:val="center"/>
                </w:tcPr>
                <w:p w14:paraId="0C4A377D">
                  <w:pPr>
                    <w:pStyle w:val="92"/>
                    <w:jc w:val="center"/>
                    <w:rPr>
                      <w:color w:val="auto"/>
                      <w:szCs w:val="21"/>
                    </w:rPr>
                  </w:pPr>
                  <w:r>
                    <w:rPr>
                      <w:color w:val="auto"/>
                      <w:szCs w:val="21"/>
                    </w:rPr>
                    <w:t>43°59′50.774″</w:t>
                  </w:r>
                </w:p>
              </w:tc>
            </w:tr>
            <w:tr w14:paraId="54B5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1C65FD44">
                  <w:pPr>
                    <w:pStyle w:val="92"/>
                    <w:jc w:val="center"/>
                    <w:rPr>
                      <w:color w:val="auto"/>
                      <w:szCs w:val="21"/>
                    </w:rPr>
                  </w:pPr>
                  <w:r>
                    <w:rPr>
                      <w:color w:val="auto"/>
                      <w:szCs w:val="21"/>
                    </w:rPr>
                    <w:t>2</w:t>
                  </w:r>
                </w:p>
              </w:tc>
              <w:tc>
                <w:tcPr>
                  <w:tcW w:w="1652" w:type="dxa"/>
                  <w:vAlign w:val="center"/>
                </w:tcPr>
                <w:p w14:paraId="0FB1D3DA">
                  <w:pPr>
                    <w:pStyle w:val="92"/>
                    <w:jc w:val="center"/>
                    <w:rPr>
                      <w:color w:val="auto"/>
                      <w:szCs w:val="21"/>
                    </w:rPr>
                  </w:pPr>
                  <w:r>
                    <w:rPr>
                      <w:color w:val="auto"/>
                      <w:szCs w:val="21"/>
                    </w:rPr>
                    <w:t>4873532.727</w:t>
                  </w:r>
                </w:p>
              </w:tc>
              <w:tc>
                <w:tcPr>
                  <w:tcW w:w="1666" w:type="dxa"/>
                  <w:vAlign w:val="center"/>
                </w:tcPr>
                <w:p w14:paraId="341903E0">
                  <w:pPr>
                    <w:pStyle w:val="92"/>
                    <w:jc w:val="center"/>
                    <w:rPr>
                      <w:color w:val="auto"/>
                      <w:szCs w:val="21"/>
                    </w:rPr>
                  </w:pPr>
                  <w:r>
                    <w:rPr>
                      <w:color w:val="auto"/>
                      <w:szCs w:val="21"/>
                    </w:rPr>
                    <w:t>30496003.302</w:t>
                  </w:r>
                </w:p>
              </w:tc>
              <w:tc>
                <w:tcPr>
                  <w:tcW w:w="2169" w:type="dxa"/>
                  <w:vAlign w:val="center"/>
                </w:tcPr>
                <w:p w14:paraId="3EB66C43">
                  <w:pPr>
                    <w:pStyle w:val="92"/>
                    <w:jc w:val="center"/>
                    <w:rPr>
                      <w:color w:val="auto"/>
                      <w:szCs w:val="21"/>
                    </w:rPr>
                  </w:pPr>
                  <w:r>
                    <w:rPr>
                      <w:color w:val="auto"/>
                      <w:szCs w:val="21"/>
                    </w:rPr>
                    <w:t>89°57′00.619″</w:t>
                  </w:r>
                </w:p>
              </w:tc>
              <w:tc>
                <w:tcPr>
                  <w:tcW w:w="2269" w:type="dxa"/>
                  <w:vAlign w:val="center"/>
                </w:tcPr>
                <w:p w14:paraId="77640F8B">
                  <w:pPr>
                    <w:pStyle w:val="92"/>
                    <w:jc w:val="center"/>
                    <w:rPr>
                      <w:color w:val="auto"/>
                      <w:szCs w:val="21"/>
                    </w:rPr>
                  </w:pPr>
                  <w:r>
                    <w:rPr>
                      <w:color w:val="auto"/>
                      <w:szCs w:val="21"/>
                    </w:rPr>
                    <w:t>43°59′50.577″</w:t>
                  </w:r>
                </w:p>
              </w:tc>
            </w:tr>
            <w:tr w14:paraId="687D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4675F344">
                  <w:pPr>
                    <w:pStyle w:val="92"/>
                    <w:jc w:val="center"/>
                    <w:rPr>
                      <w:color w:val="auto"/>
                      <w:szCs w:val="21"/>
                    </w:rPr>
                  </w:pPr>
                  <w:r>
                    <w:rPr>
                      <w:color w:val="auto"/>
                      <w:szCs w:val="21"/>
                    </w:rPr>
                    <w:t>3</w:t>
                  </w:r>
                </w:p>
              </w:tc>
              <w:tc>
                <w:tcPr>
                  <w:tcW w:w="1652" w:type="dxa"/>
                  <w:vAlign w:val="center"/>
                </w:tcPr>
                <w:p w14:paraId="36023F7C">
                  <w:pPr>
                    <w:pStyle w:val="92"/>
                    <w:jc w:val="center"/>
                    <w:rPr>
                      <w:color w:val="auto"/>
                      <w:szCs w:val="21"/>
                    </w:rPr>
                  </w:pPr>
                  <w:r>
                    <w:rPr>
                      <w:color w:val="auto"/>
                      <w:szCs w:val="21"/>
                    </w:rPr>
                    <w:t>4873156.108</w:t>
                  </w:r>
                </w:p>
              </w:tc>
              <w:tc>
                <w:tcPr>
                  <w:tcW w:w="1666" w:type="dxa"/>
                  <w:vAlign w:val="center"/>
                </w:tcPr>
                <w:p w14:paraId="0F4A5257">
                  <w:pPr>
                    <w:pStyle w:val="92"/>
                    <w:jc w:val="center"/>
                    <w:rPr>
                      <w:color w:val="auto"/>
                      <w:szCs w:val="21"/>
                    </w:rPr>
                  </w:pPr>
                  <w:r>
                    <w:rPr>
                      <w:color w:val="auto"/>
                      <w:szCs w:val="21"/>
                    </w:rPr>
                    <w:t>30496026.710</w:t>
                  </w:r>
                </w:p>
              </w:tc>
              <w:tc>
                <w:tcPr>
                  <w:tcW w:w="2169" w:type="dxa"/>
                  <w:vAlign w:val="center"/>
                </w:tcPr>
                <w:p w14:paraId="3145825D">
                  <w:pPr>
                    <w:pStyle w:val="92"/>
                    <w:jc w:val="center"/>
                    <w:rPr>
                      <w:color w:val="auto"/>
                      <w:szCs w:val="21"/>
                    </w:rPr>
                  </w:pPr>
                  <w:r>
                    <w:rPr>
                      <w:color w:val="auto"/>
                      <w:szCs w:val="21"/>
                    </w:rPr>
                    <w:t>89°57′01.681″</w:t>
                  </w:r>
                </w:p>
              </w:tc>
              <w:tc>
                <w:tcPr>
                  <w:tcW w:w="2269" w:type="dxa"/>
                  <w:vAlign w:val="center"/>
                </w:tcPr>
                <w:p w14:paraId="52A6EA73">
                  <w:pPr>
                    <w:pStyle w:val="92"/>
                    <w:jc w:val="center"/>
                    <w:rPr>
                      <w:color w:val="auto"/>
                      <w:szCs w:val="21"/>
                    </w:rPr>
                  </w:pPr>
                  <w:r>
                    <w:rPr>
                      <w:color w:val="auto"/>
                      <w:szCs w:val="21"/>
                    </w:rPr>
                    <w:t>43°59′38.376″</w:t>
                  </w:r>
                </w:p>
              </w:tc>
            </w:tr>
            <w:tr w14:paraId="172E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20988A3D">
                  <w:pPr>
                    <w:pStyle w:val="92"/>
                    <w:jc w:val="center"/>
                    <w:rPr>
                      <w:color w:val="auto"/>
                      <w:szCs w:val="21"/>
                    </w:rPr>
                  </w:pPr>
                  <w:r>
                    <w:rPr>
                      <w:color w:val="auto"/>
                      <w:szCs w:val="21"/>
                    </w:rPr>
                    <w:t>4</w:t>
                  </w:r>
                </w:p>
              </w:tc>
              <w:tc>
                <w:tcPr>
                  <w:tcW w:w="1652" w:type="dxa"/>
                  <w:vAlign w:val="center"/>
                </w:tcPr>
                <w:p w14:paraId="16FC0999">
                  <w:pPr>
                    <w:pStyle w:val="92"/>
                    <w:jc w:val="center"/>
                    <w:rPr>
                      <w:color w:val="auto"/>
                      <w:szCs w:val="21"/>
                    </w:rPr>
                  </w:pPr>
                  <w:r>
                    <w:rPr>
                      <w:color w:val="auto"/>
                      <w:szCs w:val="21"/>
                    </w:rPr>
                    <w:t>4873155.882</w:t>
                  </w:r>
                </w:p>
              </w:tc>
              <w:tc>
                <w:tcPr>
                  <w:tcW w:w="1666" w:type="dxa"/>
                  <w:vAlign w:val="center"/>
                </w:tcPr>
                <w:p w14:paraId="5E08F857">
                  <w:pPr>
                    <w:pStyle w:val="92"/>
                    <w:jc w:val="center"/>
                    <w:rPr>
                      <w:color w:val="auto"/>
                      <w:szCs w:val="21"/>
                    </w:rPr>
                  </w:pPr>
                  <w:r>
                    <w:rPr>
                      <w:color w:val="auto"/>
                      <w:szCs w:val="21"/>
                    </w:rPr>
                    <w:t>30496056.559</w:t>
                  </w:r>
                </w:p>
              </w:tc>
              <w:tc>
                <w:tcPr>
                  <w:tcW w:w="2169" w:type="dxa"/>
                  <w:vAlign w:val="center"/>
                </w:tcPr>
                <w:p w14:paraId="192BFF91">
                  <w:pPr>
                    <w:pStyle w:val="92"/>
                    <w:jc w:val="center"/>
                    <w:rPr>
                      <w:color w:val="auto"/>
                      <w:szCs w:val="21"/>
                    </w:rPr>
                  </w:pPr>
                  <w:r>
                    <w:rPr>
                      <w:color w:val="auto"/>
                      <w:szCs w:val="21"/>
                    </w:rPr>
                    <w:t>89°57′03.021″</w:t>
                  </w:r>
                </w:p>
              </w:tc>
              <w:tc>
                <w:tcPr>
                  <w:tcW w:w="2269" w:type="dxa"/>
                  <w:vAlign w:val="center"/>
                </w:tcPr>
                <w:p w14:paraId="47F82EF9">
                  <w:pPr>
                    <w:pStyle w:val="92"/>
                    <w:jc w:val="center"/>
                    <w:rPr>
                      <w:color w:val="auto"/>
                      <w:szCs w:val="21"/>
                    </w:rPr>
                  </w:pPr>
                  <w:r>
                    <w:rPr>
                      <w:color w:val="auto"/>
                      <w:szCs w:val="21"/>
                    </w:rPr>
                    <w:t>43°59′38.365″</w:t>
                  </w:r>
                </w:p>
              </w:tc>
            </w:tr>
            <w:tr w14:paraId="5A0C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7CD56FFA">
                  <w:pPr>
                    <w:pStyle w:val="92"/>
                    <w:jc w:val="center"/>
                    <w:rPr>
                      <w:color w:val="auto"/>
                      <w:szCs w:val="21"/>
                    </w:rPr>
                  </w:pPr>
                  <w:r>
                    <w:rPr>
                      <w:color w:val="auto"/>
                      <w:szCs w:val="21"/>
                    </w:rPr>
                    <w:t>5</w:t>
                  </w:r>
                </w:p>
              </w:tc>
              <w:tc>
                <w:tcPr>
                  <w:tcW w:w="1652" w:type="dxa"/>
                  <w:vAlign w:val="center"/>
                </w:tcPr>
                <w:p w14:paraId="2335BA11">
                  <w:pPr>
                    <w:pStyle w:val="92"/>
                    <w:jc w:val="center"/>
                    <w:rPr>
                      <w:color w:val="auto"/>
                      <w:szCs w:val="21"/>
                    </w:rPr>
                  </w:pPr>
                  <w:r>
                    <w:rPr>
                      <w:color w:val="auto"/>
                      <w:szCs w:val="21"/>
                    </w:rPr>
                    <w:t>4872856.045</w:t>
                  </w:r>
                </w:p>
              </w:tc>
              <w:tc>
                <w:tcPr>
                  <w:tcW w:w="1666" w:type="dxa"/>
                  <w:vAlign w:val="center"/>
                </w:tcPr>
                <w:p w14:paraId="5F2FD58C">
                  <w:pPr>
                    <w:pStyle w:val="92"/>
                    <w:jc w:val="center"/>
                    <w:rPr>
                      <w:color w:val="auto"/>
                      <w:szCs w:val="21"/>
                    </w:rPr>
                  </w:pPr>
                  <w:r>
                    <w:rPr>
                      <w:color w:val="auto"/>
                      <w:szCs w:val="21"/>
                    </w:rPr>
                    <w:t>30496087.223</w:t>
                  </w:r>
                </w:p>
              </w:tc>
              <w:tc>
                <w:tcPr>
                  <w:tcW w:w="2169" w:type="dxa"/>
                  <w:vAlign w:val="center"/>
                </w:tcPr>
                <w:p w14:paraId="49203E9D">
                  <w:pPr>
                    <w:pStyle w:val="92"/>
                    <w:jc w:val="center"/>
                    <w:rPr>
                      <w:color w:val="auto"/>
                      <w:szCs w:val="21"/>
                    </w:rPr>
                  </w:pPr>
                  <w:r>
                    <w:rPr>
                      <w:color w:val="auto"/>
                      <w:szCs w:val="21"/>
                    </w:rPr>
                    <w:t>89°57′04.406″</w:t>
                  </w:r>
                </w:p>
              </w:tc>
              <w:tc>
                <w:tcPr>
                  <w:tcW w:w="2269" w:type="dxa"/>
                  <w:vAlign w:val="center"/>
                </w:tcPr>
                <w:p w14:paraId="750EF64E">
                  <w:pPr>
                    <w:pStyle w:val="92"/>
                    <w:jc w:val="center"/>
                    <w:rPr>
                      <w:color w:val="auto"/>
                      <w:szCs w:val="21"/>
                    </w:rPr>
                  </w:pPr>
                  <w:r>
                    <w:rPr>
                      <w:color w:val="auto"/>
                      <w:szCs w:val="21"/>
                    </w:rPr>
                    <w:t>43°59′28.656″</w:t>
                  </w:r>
                </w:p>
              </w:tc>
            </w:tr>
            <w:tr w14:paraId="4405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1CC4683A">
                  <w:pPr>
                    <w:pStyle w:val="92"/>
                    <w:jc w:val="center"/>
                    <w:rPr>
                      <w:color w:val="auto"/>
                      <w:szCs w:val="21"/>
                    </w:rPr>
                  </w:pPr>
                  <w:r>
                    <w:rPr>
                      <w:color w:val="auto"/>
                      <w:szCs w:val="21"/>
                    </w:rPr>
                    <w:t>6</w:t>
                  </w:r>
                </w:p>
              </w:tc>
              <w:tc>
                <w:tcPr>
                  <w:tcW w:w="1652" w:type="dxa"/>
                  <w:vAlign w:val="center"/>
                </w:tcPr>
                <w:p w14:paraId="35DF47BF">
                  <w:pPr>
                    <w:pStyle w:val="92"/>
                    <w:jc w:val="center"/>
                    <w:rPr>
                      <w:color w:val="auto"/>
                      <w:szCs w:val="21"/>
                    </w:rPr>
                  </w:pPr>
                  <w:r>
                    <w:rPr>
                      <w:color w:val="auto"/>
                      <w:szCs w:val="21"/>
                    </w:rPr>
                    <w:t>4872675.483</w:t>
                  </w:r>
                </w:p>
              </w:tc>
              <w:tc>
                <w:tcPr>
                  <w:tcW w:w="1666" w:type="dxa"/>
                  <w:vAlign w:val="center"/>
                </w:tcPr>
                <w:p w14:paraId="51D03996">
                  <w:pPr>
                    <w:pStyle w:val="92"/>
                    <w:jc w:val="center"/>
                    <w:rPr>
                      <w:color w:val="auto"/>
                      <w:szCs w:val="21"/>
                    </w:rPr>
                  </w:pPr>
                  <w:r>
                    <w:rPr>
                      <w:color w:val="auto"/>
                      <w:szCs w:val="21"/>
                    </w:rPr>
                    <w:t>30496376.362</w:t>
                  </w:r>
                </w:p>
              </w:tc>
              <w:tc>
                <w:tcPr>
                  <w:tcW w:w="2169" w:type="dxa"/>
                  <w:vAlign w:val="center"/>
                </w:tcPr>
                <w:p w14:paraId="3C3E091B">
                  <w:pPr>
                    <w:pStyle w:val="92"/>
                    <w:jc w:val="center"/>
                    <w:rPr>
                      <w:color w:val="auto"/>
                      <w:szCs w:val="21"/>
                    </w:rPr>
                  </w:pPr>
                  <w:r>
                    <w:rPr>
                      <w:color w:val="auto"/>
                      <w:szCs w:val="21"/>
                    </w:rPr>
                    <w:t>89°57′17.380″</w:t>
                  </w:r>
                </w:p>
              </w:tc>
              <w:tc>
                <w:tcPr>
                  <w:tcW w:w="2269" w:type="dxa"/>
                  <w:vAlign w:val="center"/>
                </w:tcPr>
                <w:p w14:paraId="32F033F1">
                  <w:pPr>
                    <w:pStyle w:val="92"/>
                    <w:jc w:val="center"/>
                    <w:rPr>
                      <w:color w:val="auto"/>
                      <w:szCs w:val="21"/>
                    </w:rPr>
                  </w:pPr>
                  <w:r>
                    <w:rPr>
                      <w:color w:val="auto"/>
                      <w:szCs w:val="21"/>
                    </w:rPr>
                    <w:t>43°59′22.813″</w:t>
                  </w:r>
                </w:p>
              </w:tc>
            </w:tr>
            <w:tr w14:paraId="57AB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1DD7E1A8">
                  <w:pPr>
                    <w:pStyle w:val="92"/>
                    <w:jc w:val="center"/>
                    <w:rPr>
                      <w:color w:val="auto"/>
                      <w:szCs w:val="21"/>
                    </w:rPr>
                  </w:pPr>
                  <w:r>
                    <w:rPr>
                      <w:color w:val="auto"/>
                      <w:szCs w:val="21"/>
                    </w:rPr>
                    <w:t>7</w:t>
                  </w:r>
                </w:p>
              </w:tc>
              <w:tc>
                <w:tcPr>
                  <w:tcW w:w="1652" w:type="dxa"/>
                  <w:vAlign w:val="center"/>
                </w:tcPr>
                <w:p w14:paraId="7DF899FB">
                  <w:pPr>
                    <w:pStyle w:val="92"/>
                    <w:jc w:val="center"/>
                    <w:rPr>
                      <w:color w:val="auto"/>
                      <w:szCs w:val="21"/>
                    </w:rPr>
                  </w:pPr>
                  <w:r>
                    <w:rPr>
                      <w:color w:val="auto"/>
                      <w:szCs w:val="21"/>
                    </w:rPr>
                    <w:t>4872470.898</w:t>
                  </w:r>
                </w:p>
              </w:tc>
              <w:tc>
                <w:tcPr>
                  <w:tcW w:w="1666" w:type="dxa"/>
                  <w:vAlign w:val="center"/>
                </w:tcPr>
                <w:p w14:paraId="45383BFA">
                  <w:pPr>
                    <w:pStyle w:val="92"/>
                    <w:jc w:val="center"/>
                    <w:rPr>
                      <w:color w:val="auto"/>
                      <w:szCs w:val="21"/>
                    </w:rPr>
                  </w:pPr>
                  <w:r>
                    <w:rPr>
                      <w:color w:val="auto"/>
                      <w:szCs w:val="21"/>
                    </w:rPr>
                    <w:t>30496398.467</w:t>
                  </w:r>
                </w:p>
              </w:tc>
              <w:tc>
                <w:tcPr>
                  <w:tcW w:w="2169" w:type="dxa"/>
                  <w:vAlign w:val="center"/>
                </w:tcPr>
                <w:p w14:paraId="1961C129">
                  <w:pPr>
                    <w:pStyle w:val="92"/>
                    <w:jc w:val="center"/>
                    <w:rPr>
                      <w:color w:val="auto"/>
                      <w:szCs w:val="21"/>
                    </w:rPr>
                  </w:pPr>
                  <w:r>
                    <w:rPr>
                      <w:color w:val="auto"/>
                      <w:szCs w:val="21"/>
                    </w:rPr>
                    <w:t>89°57′18.381″</w:t>
                  </w:r>
                </w:p>
              </w:tc>
              <w:tc>
                <w:tcPr>
                  <w:tcW w:w="2269" w:type="dxa"/>
                  <w:vAlign w:val="center"/>
                </w:tcPr>
                <w:p w14:paraId="563C057B">
                  <w:pPr>
                    <w:pStyle w:val="92"/>
                    <w:jc w:val="center"/>
                    <w:rPr>
                      <w:color w:val="auto"/>
                      <w:szCs w:val="21"/>
                    </w:rPr>
                  </w:pPr>
                  <w:r>
                    <w:rPr>
                      <w:color w:val="auto"/>
                      <w:szCs w:val="21"/>
                    </w:rPr>
                    <w:t>43°59′16.184″</w:t>
                  </w:r>
                </w:p>
              </w:tc>
            </w:tr>
            <w:tr w14:paraId="5E40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591345F4">
                  <w:pPr>
                    <w:pStyle w:val="92"/>
                    <w:jc w:val="center"/>
                    <w:rPr>
                      <w:color w:val="auto"/>
                      <w:szCs w:val="21"/>
                    </w:rPr>
                  </w:pPr>
                  <w:r>
                    <w:rPr>
                      <w:color w:val="auto"/>
                      <w:szCs w:val="21"/>
                    </w:rPr>
                    <w:t>8</w:t>
                  </w:r>
                </w:p>
              </w:tc>
              <w:tc>
                <w:tcPr>
                  <w:tcW w:w="1652" w:type="dxa"/>
                  <w:vAlign w:val="center"/>
                </w:tcPr>
                <w:p w14:paraId="536F9A0D">
                  <w:pPr>
                    <w:pStyle w:val="92"/>
                    <w:jc w:val="center"/>
                    <w:rPr>
                      <w:color w:val="auto"/>
                      <w:szCs w:val="21"/>
                    </w:rPr>
                  </w:pPr>
                  <w:r>
                    <w:rPr>
                      <w:color w:val="auto"/>
                      <w:szCs w:val="21"/>
                    </w:rPr>
                    <w:t>4872500.930</w:t>
                  </w:r>
                </w:p>
              </w:tc>
              <w:tc>
                <w:tcPr>
                  <w:tcW w:w="1666" w:type="dxa"/>
                  <w:vAlign w:val="center"/>
                </w:tcPr>
                <w:p w14:paraId="7B75BA96">
                  <w:pPr>
                    <w:pStyle w:val="92"/>
                    <w:jc w:val="center"/>
                    <w:rPr>
                      <w:color w:val="auto"/>
                      <w:szCs w:val="21"/>
                    </w:rPr>
                  </w:pPr>
                  <w:r>
                    <w:rPr>
                      <w:color w:val="auto"/>
                      <w:szCs w:val="21"/>
                    </w:rPr>
                    <w:t>30495810.993</w:t>
                  </w:r>
                </w:p>
              </w:tc>
              <w:tc>
                <w:tcPr>
                  <w:tcW w:w="2169" w:type="dxa"/>
                  <w:vAlign w:val="center"/>
                </w:tcPr>
                <w:p w14:paraId="6E8412D6">
                  <w:pPr>
                    <w:pStyle w:val="92"/>
                    <w:jc w:val="center"/>
                    <w:rPr>
                      <w:color w:val="auto"/>
                      <w:szCs w:val="21"/>
                    </w:rPr>
                  </w:pPr>
                  <w:r>
                    <w:rPr>
                      <w:color w:val="auto"/>
                      <w:szCs w:val="21"/>
                    </w:rPr>
                    <w:t>89°56′52.020″</w:t>
                  </w:r>
                </w:p>
              </w:tc>
              <w:tc>
                <w:tcPr>
                  <w:tcW w:w="2269" w:type="dxa"/>
                  <w:vAlign w:val="center"/>
                </w:tcPr>
                <w:p w14:paraId="5BD38FCE">
                  <w:pPr>
                    <w:pStyle w:val="92"/>
                    <w:jc w:val="center"/>
                    <w:rPr>
                      <w:color w:val="auto"/>
                      <w:szCs w:val="21"/>
                    </w:rPr>
                  </w:pPr>
                  <w:r>
                    <w:rPr>
                      <w:color w:val="auto"/>
                      <w:szCs w:val="21"/>
                    </w:rPr>
                    <w:t>43°59′17.144″</w:t>
                  </w:r>
                </w:p>
              </w:tc>
            </w:tr>
            <w:tr w14:paraId="68E1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741D8576">
                  <w:pPr>
                    <w:pStyle w:val="92"/>
                    <w:jc w:val="center"/>
                    <w:rPr>
                      <w:color w:val="auto"/>
                      <w:szCs w:val="21"/>
                    </w:rPr>
                  </w:pPr>
                  <w:r>
                    <w:rPr>
                      <w:color w:val="auto"/>
                      <w:szCs w:val="21"/>
                    </w:rPr>
                    <w:t>9</w:t>
                  </w:r>
                </w:p>
              </w:tc>
              <w:tc>
                <w:tcPr>
                  <w:tcW w:w="1652" w:type="dxa"/>
                  <w:vAlign w:val="center"/>
                </w:tcPr>
                <w:p w14:paraId="2B96005F">
                  <w:pPr>
                    <w:pStyle w:val="92"/>
                    <w:jc w:val="center"/>
                    <w:rPr>
                      <w:color w:val="auto"/>
                      <w:szCs w:val="21"/>
                    </w:rPr>
                  </w:pPr>
                  <w:r>
                    <w:rPr>
                      <w:color w:val="auto"/>
                      <w:szCs w:val="21"/>
                    </w:rPr>
                    <w:t>4872994.902</w:t>
                  </w:r>
                </w:p>
              </w:tc>
              <w:tc>
                <w:tcPr>
                  <w:tcW w:w="1666" w:type="dxa"/>
                  <w:vAlign w:val="center"/>
                </w:tcPr>
                <w:p w14:paraId="349903C5">
                  <w:pPr>
                    <w:pStyle w:val="92"/>
                    <w:jc w:val="center"/>
                    <w:rPr>
                      <w:color w:val="auto"/>
                      <w:szCs w:val="21"/>
                    </w:rPr>
                  </w:pPr>
                  <w:r>
                    <w:rPr>
                      <w:color w:val="auto"/>
                      <w:szCs w:val="21"/>
                    </w:rPr>
                    <w:t>30495844.335</w:t>
                  </w:r>
                </w:p>
              </w:tc>
              <w:tc>
                <w:tcPr>
                  <w:tcW w:w="2169" w:type="dxa"/>
                  <w:vAlign w:val="center"/>
                </w:tcPr>
                <w:p w14:paraId="6D326C70">
                  <w:pPr>
                    <w:pStyle w:val="92"/>
                    <w:jc w:val="center"/>
                    <w:rPr>
                      <w:color w:val="auto"/>
                      <w:szCs w:val="21"/>
                    </w:rPr>
                  </w:pPr>
                  <w:r>
                    <w:rPr>
                      <w:color w:val="auto"/>
                      <w:szCs w:val="21"/>
                    </w:rPr>
                    <w:t>89°56′53.495″</w:t>
                  </w:r>
                </w:p>
              </w:tc>
              <w:tc>
                <w:tcPr>
                  <w:tcW w:w="2269" w:type="dxa"/>
                  <w:vAlign w:val="center"/>
                </w:tcPr>
                <w:p w14:paraId="4276F6A7">
                  <w:pPr>
                    <w:pStyle w:val="92"/>
                    <w:jc w:val="center"/>
                    <w:rPr>
                      <w:color w:val="auto"/>
                      <w:szCs w:val="21"/>
                    </w:rPr>
                  </w:pPr>
                  <w:r>
                    <w:rPr>
                      <w:color w:val="auto"/>
                      <w:szCs w:val="21"/>
                    </w:rPr>
                    <w:t>43°59′33.148″</w:t>
                  </w:r>
                </w:p>
              </w:tc>
            </w:tr>
            <w:tr w14:paraId="43A8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25C00089">
                  <w:pPr>
                    <w:pStyle w:val="92"/>
                    <w:jc w:val="center"/>
                    <w:rPr>
                      <w:color w:val="auto"/>
                      <w:szCs w:val="21"/>
                    </w:rPr>
                  </w:pPr>
                  <w:r>
                    <w:rPr>
                      <w:color w:val="auto"/>
                      <w:szCs w:val="21"/>
                    </w:rPr>
                    <w:t>10</w:t>
                  </w:r>
                </w:p>
              </w:tc>
              <w:tc>
                <w:tcPr>
                  <w:tcW w:w="1652" w:type="dxa"/>
                  <w:vAlign w:val="center"/>
                </w:tcPr>
                <w:p w14:paraId="51E1576B">
                  <w:pPr>
                    <w:pStyle w:val="92"/>
                    <w:jc w:val="center"/>
                    <w:rPr>
                      <w:color w:val="auto"/>
                      <w:szCs w:val="21"/>
                    </w:rPr>
                  </w:pPr>
                  <w:r>
                    <w:rPr>
                      <w:color w:val="auto"/>
                      <w:szCs w:val="21"/>
                    </w:rPr>
                    <w:t>4872994.938</w:t>
                  </w:r>
                </w:p>
              </w:tc>
              <w:tc>
                <w:tcPr>
                  <w:tcW w:w="1666" w:type="dxa"/>
                  <w:vAlign w:val="center"/>
                </w:tcPr>
                <w:p w14:paraId="4CE380EE">
                  <w:pPr>
                    <w:pStyle w:val="92"/>
                    <w:jc w:val="center"/>
                    <w:rPr>
                      <w:color w:val="auto"/>
                      <w:szCs w:val="21"/>
                    </w:rPr>
                  </w:pPr>
                  <w:r>
                    <w:rPr>
                      <w:color w:val="auto"/>
                      <w:szCs w:val="21"/>
                    </w:rPr>
                    <w:t>30495885.293</w:t>
                  </w:r>
                </w:p>
              </w:tc>
              <w:tc>
                <w:tcPr>
                  <w:tcW w:w="2169" w:type="dxa"/>
                  <w:vAlign w:val="center"/>
                </w:tcPr>
                <w:p w14:paraId="4ED61B3A">
                  <w:pPr>
                    <w:pStyle w:val="92"/>
                    <w:jc w:val="center"/>
                    <w:rPr>
                      <w:color w:val="auto"/>
                      <w:szCs w:val="21"/>
                    </w:rPr>
                  </w:pPr>
                  <w:r>
                    <w:rPr>
                      <w:color w:val="auto"/>
                      <w:szCs w:val="21"/>
                    </w:rPr>
                    <w:t>89°56′55.340″</w:t>
                  </w:r>
                </w:p>
              </w:tc>
              <w:tc>
                <w:tcPr>
                  <w:tcW w:w="2269" w:type="dxa"/>
                  <w:vAlign w:val="center"/>
                </w:tcPr>
                <w:p w14:paraId="06DF6813">
                  <w:pPr>
                    <w:pStyle w:val="92"/>
                    <w:jc w:val="center"/>
                    <w:rPr>
                      <w:color w:val="auto"/>
                      <w:szCs w:val="21"/>
                    </w:rPr>
                  </w:pPr>
                  <w:r>
                    <w:rPr>
                      <w:color w:val="auto"/>
                      <w:szCs w:val="21"/>
                    </w:rPr>
                    <w:t>43°59′33.151″</w:t>
                  </w:r>
                </w:p>
              </w:tc>
            </w:tr>
            <w:tr w14:paraId="0714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2C665727">
                  <w:pPr>
                    <w:pStyle w:val="92"/>
                    <w:jc w:val="center"/>
                    <w:rPr>
                      <w:color w:val="auto"/>
                      <w:szCs w:val="21"/>
                    </w:rPr>
                  </w:pPr>
                  <w:r>
                    <w:rPr>
                      <w:color w:val="auto"/>
                      <w:szCs w:val="21"/>
                    </w:rPr>
                    <w:t>11</w:t>
                  </w:r>
                </w:p>
              </w:tc>
              <w:tc>
                <w:tcPr>
                  <w:tcW w:w="1652" w:type="dxa"/>
                  <w:vAlign w:val="center"/>
                </w:tcPr>
                <w:p w14:paraId="6D2A3B79">
                  <w:pPr>
                    <w:pStyle w:val="92"/>
                    <w:jc w:val="center"/>
                    <w:rPr>
                      <w:color w:val="auto"/>
                      <w:szCs w:val="21"/>
                    </w:rPr>
                  </w:pPr>
                  <w:r>
                    <w:rPr>
                      <w:color w:val="auto"/>
                      <w:szCs w:val="21"/>
                    </w:rPr>
                    <w:t>4873058.842</w:t>
                  </w:r>
                </w:p>
              </w:tc>
              <w:tc>
                <w:tcPr>
                  <w:tcW w:w="1666" w:type="dxa"/>
                  <w:vAlign w:val="center"/>
                </w:tcPr>
                <w:p w14:paraId="083875AA">
                  <w:pPr>
                    <w:pStyle w:val="92"/>
                    <w:jc w:val="center"/>
                    <w:rPr>
                      <w:color w:val="auto"/>
                      <w:szCs w:val="21"/>
                    </w:rPr>
                  </w:pPr>
                  <w:r>
                    <w:rPr>
                      <w:color w:val="auto"/>
                      <w:szCs w:val="21"/>
                    </w:rPr>
                    <w:t>30495885.380</w:t>
                  </w:r>
                </w:p>
              </w:tc>
              <w:tc>
                <w:tcPr>
                  <w:tcW w:w="2169" w:type="dxa"/>
                  <w:vAlign w:val="center"/>
                </w:tcPr>
                <w:p w14:paraId="7906B307">
                  <w:pPr>
                    <w:pStyle w:val="92"/>
                    <w:jc w:val="center"/>
                    <w:rPr>
                      <w:color w:val="auto"/>
                      <w:szCs w:val="21"/>
                    </w:rPr>
                  </w:pPr>
                  <w:r>
                    <w:rPr>
                      <w:color w:val="auto"/>
                      <w:szCs w:val="21"/>
                    </w:rPr>
                    <w:t>89°56′55.335″</w:t>
                  </w:r>
                </w:p>
              </w:tc>
              <w:tc>
                <w:tcPr>
                  <w:tcW w:w="2269" w:type="dxa"/>
                  <w:vAlign w:val="center"/>
                </w:tcPr>
                <w:p w14:paraId="110EFD32">
                  <w:pPr>
                    <w:pStyle w:val="92"/>
                    <w:jc w:val="center"/>
                    <w:rPr>
                      <w:color w:val="auto"/>
                      <w:szCs w:val="21"/>
                    </w:rPr>
                  </w:pPr>
                  <w:r>
                    <w:rPr>
                      <w:color w:val="auto"/>
                      <w:szCs w:val="21"/>
                    </w:rPr>
                    <w:t>43°59′35.222″</w:t>
                  </w:r>
                </w:p>
              </w:tc>
            </w:tr>
            <w:tr w14:paraId="127F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29FB4F7E">
                  <w:pPr>
                    <w:pStyle w:val="92"/>
                    <w:jc w:val="center"/>
                    <w:rPr>
                      <w:color w:val="auto"/>
                      <w:szCs w:val="21"/>
                    </w:rPr>
                  </w:pPr>
                  <w:r>
                    <w:rPr>
                      <w:color w:val="auto"/>
                      <w:szCs w:val="21"/>
                    </w:rPr>
                    <w:t>12</w:t>
                  </w:r>
                </w:p>
              </w:tc>
              <w:tc>
                <w:tcPr>
                  <w:tcW w:w="1652" w:type="dxa"/>
                  <w:vAlign w:val="center"/>
                </w:tcPr>
                <w:p w14:paraId="29255D15">
                  <w:pPr>
                    <w:pStyle w:val="92"/>
                    <w:jc w:val="center"/>
                    <w:rPr>
                      <w:color w:val="auto"/>
                      <w:szCs w:val="21"/>
                    </w:rPr>
                  </w:pPr>
                  <w:r>
                    <w:rPr>
                      <w:color w:val="auto"/>
                      <w:szCs w:val="21"/>
                    </w:rPr>
                    <w:t>4873080.956</w:t>
                  </w:r>
                </w:p>
              </w:tc>
              <w:tc>
                <w:tcPr>
                  <w:tcW w:w="1666" w:type="dxa"/>
                  <w:vAlign w:val="center"/>
                </w:tcPr>
                <w:p w14:paraId="1970ACF9">
                  <w:pPr>
                    <w:pStyle w:val="92"/>
                    <w:jc w:val="center"/>
                    <w:rPr>
                      <w:color w:val="auto"/>
                      <w:szCs w:val="21"/>
                    </w:rPr>
                  </w:pPr>
                  <w:r>
                    <w:rPr>
                      <w:color w:val="auto"/>
                      <w:szCs w:val="21"/>
                    </w:rPr>
                    <w:t>30495850.117</w:t>
                  </w:r>
                </w:p>
              </w:tc>
              <w:tc>
                <w:tcPr>
                  <w:tcW w:w="2169" w:type="dxa"/>
                  <w:vAlign w:val="center"/>
                </w:tcPr>
                <w:p w14:paraId="12A884BB">
                  <w:pPr>
                    <w:pStyle w:val="92"/>
                    <w:jc w:val="center"/>
                    <w:rPr>
                      <w:color w:val="auto"/>
                      <w:szCs w:val="21"/>
                    </w:rPr>
                  </w:pPr>
                  <w:r>
                    <w:rPr>
                      <w:color w:val="auto"/>
                      <w:szCs w:val="21"/>
                    </w:rPr>
                    <w:t>89°56′53.757″</w:t>
                  </w:r>
                </w:p>
              </w:tc>
              <w:tc>
                <w:tcPr>
                  <w:tcW w:w="2269" w:type="dxa"/>
                  <w:vAlign w:val="center"/>
                </w:tcPr>
                <w:p w14:paraId="65F8BD38">
                  <w:pPr>
                    <w:pStyle w:val="92"/>
                    <w:jc w:val="center"/>
                    <w:rPr>
                      <w:color w:val="auto"/>
                      <w:szCs w:val="21"/>
                    </w:rPr>
                  </w:pPr>
                  <w:r>
                    <w:rPr>
                      <w:color w:val="auto"/>
                      <w:szCs w:val="21"/>
                    </w:rPr>
                    <w:t>43°59′35.941″</w:t>
                  </w:r>
                </w:p>
              </w:tc>
            </w:tr>
            <w:tr w14:paraId="2CF3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19" w:type="dxa"/>
                  <w:gridSpan w:val="5"/>
                </w:tcPr>
                <w:p w14:paraId="507B803F">
                  <w:pPr>
                    <w:pStyle w:val="92"/>
                    <w:jc w:val="center"/>
                    <w:rPr>
                      <w:color w:val="auto"/>
                      <w:szCs w:val="21"/>
                    </w:rPr>
                  </w:pPr>
                  <w:r>
                    <w:rPr>
                      <w:color w:val="auto"/>
                      <w:szCs w:val="21"/>
                    </w:rPr>
                    <w:t>禁采区范围拐点坐标（CGCS2000坐标</w:t>
                  </w:r>
                  <w:r>
                    <w:rPr>
                      <w:rFonts w:hint="eastAsia"/>
                      <w:color w:val="auto"/>
                      <w:szCs w:val="21"/>
                    </w:rPr>
                    <w:t>，</w:t>
                  </w:r>
                  <w:r>
                    <w:rPr>
                      <w:color w:val="auto"/>
                      <w:szCs w:val="21"/>
                    </w:rPr>
                    <w:t>3度带）</w:t>
                  </w:r>
                </w:p>
              </w:tc>
            </w:tr>
            <w:tr w14:paraId="10ED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1E50A348">
                  <w:pPr>
                    <w:pStyle w:val="92"/>
                    <w:jc w:val="center"/>
                    <w:rPr>
                      <w:color w:val="auto"/>
                      <w:szCs w:val="21"/>
                    </w:rPr>
                  </w:pPr>
                  <w:r>
                    <w:rPr>
                      <w:color w:val="auto"/>
                      <w:szCs w:val="21"/>
                    </w:rPr>
                    <w:t>1</w:t>
                  </w:r>
                </w:p>
              </w:tc>
              <w:tc>
                <w:tcPr>
                  <w:tcW w:w="1652" w:type="dxa"/>
                  <w:vAlign w:val="center"/>
                </w:tcPr>
                <w:p w14:paraId="1694C079">
                  <w:pPr>
                    <w:pStyle w:val="92"/>
                    <w:jc w:val="center"/>
                    <w:rPr>
                      <w:color w:val="auto"/>
                      <w:szCs w:val="21"/>
                    </w:rPr>
                  </w:pPr>
                  <w:r>
                    <w:rPr>
                      <w:color w:val="auto"/>
                      <w:szCs w:val="21"/>
                    </w:rPr>
                    <w:t>4872994.917</w:t>
                  </w:r>
                </w:p>
              </w:tc>
              <w:tc>
                <w:tcPr>
                  <w:tcW w:w="1666" w:type="dxa"/>
                  <w:vAlign w:val="center"/>
                </w:tcPr>
                <w:p w14:paraId="63A8A817">
                  <w:pPr>
                    <w:pStyle w:val="92"/>
                    <w:jc w:val="center"/>
                    <w:rPr>
                      <w:color w:val="auto"/>
                      <w:szCs w:val="21"/>
                    </w:rPr>
                  </w:pPr>
                  <w:r>
                    <w:rPr>
                      <w:color w:val="auto"/>
                      <w:szCs w:val="21"/>
                    </w:rPr>
                    <w:t>30495865.904</w:t>
                  </w:r>
                </w:p>
              </w:tc>
              <w:tc>
                <w:tcPr>
                  <w:tcW w:w="2169" w:type="dxa"/>
                  <w:vAlign w:val="center"/>
                </w:tcPr>
                <w:p w14:paraId="584554CB">
                  <w:pPr>
                    <w:pStyle w:val="92"/>
                    <w:jc w:val="center"/>
                    <w:rPr>
                      <w:color w:val="auto"/>
                      <w:szCs w:val="21"/>
                    </w:rPr>
                  </w:pPr>
                  <w:r>
                    <w:rPr>
                      <w:color w:val="auto"/>
                      <w:szCs w:val="21"/>
                    </w:rPr>
                    <w:t>89°56′54.469″</w:t>
                  </w:r>
                </w:p>
              </w:tc>
              <w:tc>
                <w:tcPr>
                  <w:tcW w:w="2269" w:type="dxa"/>
                  <w:vAlign w:val="center"/>
                </w:tcPr>
                <w:p w14:paraId="76D2D2CC">
                  <w:pPr>
                    <w:pStyle w:val="92"/>
                    <w:jc w:val="center"/>
                    <w:rPr>
                      <w:color w:val="auto"/>
                      <w:szCs w:val="21"/>
                    </w:rPr>
                  </w:pPr>
                  <w:r>
                    <w:rPr>
                      <w:color w:val="auto"/>
                      <w:szCs w:val="21"/>
                    </w:rPr>
                    <w:t>43°59′33.150″</w:t>
                  </w:r>
                </w:p>
              </w:tc>
            </w:tr>
            <w:tr w14:paraId="4F5E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10E77247">
                  <w:pPr>
                    <w:pStyle w:val="92"/>
                    <w:jc w:val="center"/>
                    <w:rPr>
                      <w:color w:val="auto"/>
                      <w:szCs w:val="21"/>
                    </w:rPr>
                  </w:pPr>
                  <w:r>
                    <w:rPr>
                      <w:color w:val="auto"/>
                      <w:szCs w:val="21"/>
                    </w:rPr>
                    <w:t>2</w:t>
                  </w:r>
                </w:p>
              </w:tc>
              <w:tc>
                <w:tcPr>
                  <w:tcW w:w="1652" w:type="dxa"/>
                  <w:vAlign w:val="center"/>
                </w:tcPr>
                <w:p w14:paraId="1A17C458">
                  <w:pPr>
                    <w:pStyle w:val="92"/>
                    <w:jc w:val="center"/>
                    <w:rPr>
                      <w:color w:val="auto"/>
                      <w:szCs w:val="21"/>
                    </w:rPr>
                  </w:pPr>
                  <w:r>
                    <w:rPr>
                      <w:color w:val="auto"/>
                      <w:szCs w:val="21"/>
                    </w:rPr>
                    <w:t>4872994.917</w:t>
                  </w:r>
                </w:p>
              </w:tc>
              <w:tc>
                <w:tcPr>
                  <w:tcW w:w="1666" w:type="dxa"/>
                  <w:vAlign w:val="center"/>
                </w:tcPr>
                <w:p w14:paraId="1CD42070">
                  <w:pPr>
                    <w:pStyle w:val="92"/>
                    <w:jc w:val="center"/>
                    <w:rPr>
                      <w:color w:val="auto"/>
                      <w:szCs w:val="21"/>
                    </w:rPr>
                  </w:pPr>
                  <w:r>
                    <w:rPr>
                      <w:color w:val="auto"/>
                      <w:szCs w:val="21"/>
                    </w:rPr>
                    <w:t>30495885.333</w:t>
                  </w:r>
                </w:p>
              </w:tc>
              <w:tc>
                <w:tcPr>
                  <w:tcW w:w="2169" w:type="dxa"/>
                  <w:vAlign w:val="center"/>
                </w:tcPr>
                <w:p w14:paraId="10ED3292">
                  <w:pPr>
                    <w:pStyle w:val="92"/>
                    <w:jc w:val="center"/>
                    <w:rPr>
                      <w:color w:val="auto"/>
                      <w:szCs w:val="21"/>
                    </w:rPr>
                  </w:pPr>
                  <w:r>
                    <w:rPr>
                      <w:color w:val="auto"/>
                      <w:szCs w:val="21"/>
                    </w:rPr>
                    <w:t>89°56′55.340″</w:t>
                  </w:r>
                </w:p>
              </w:tc>
              <w:tc>
                <w:tcPr>
                  <w:tcW w:w="2269" w:type="dxa"/>
                  <w:vAlign w:val="center"/>
                </w:tcPr>
                <w:p w14:paraId="76B9C242">
                  <w:pPr>
                    <w:pStyle w:val="92"/>
                    <w:jc w:val="center"/>
                    <w:rPr>
                      <w:color w:val="auto"/>
                      <w:szCs w:val="21"/>
                    </w:rPr>
                  </w:pPr>
                  <w:r>
                    <w:rPr>
                      <w:color w:val="auto"/>
                      <w:szCs w:val="21"/>
                    </w:rPr>
                    <w:t>43°59′33.151″</w:t>
                  </w:r>
                </w:p>
              </w:tc>
            </w:tr>
            <w:tr w14:paraId="7E9F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718F450B">
                  <w:pPr>
                    <w:pStyle w:val="92"/>
                    <w:jc w:val="center"/>
                    <w:rPr>
                      <w:color w:val="auto"/>
                      <w:szCs w:val="21"/>
                    </w:rPr>
                  </w:pPr>
                  <w:r>
                    <w:rPr>
                      <w:color w:val="auto"/>
                      <w:szCs w:val="21"/>
                    </w:rPr>
                    <w:t>3</w:t>
                  </w:r>
                </w:p>
              </w:tc>
              <w:tc>
                <w:tcPr>
                  <w:tcW w:w="1652" w:type="dxa"/>
                  <w:vAlign w:val="center"/>
                </w:tcPr>
                <w:p w14:paraId="2058BE52">
                  <w:pPr>
                    <w:pStyle w:val="92"/>
                    <w:jc w:val="center"/>
                    <w:rPr>
                      <w:color w:val="auto"/>
                      <w:szCs w:val="21"/>
                    </w:rPr>
                  </w:pPr>
                  <w:r>
                    <w:rPr>
                      <w:color w:val="auto"/>
                      <w:szCs w:val="21"/>
                    </w:rPr>
                    <w:t>4873058.774</w:t>
                  </w:r>
                </w:p>
              </w:tc>
              <w:tc>
                <w:tcPr>
                  <w:tcW w:w="1666" w:type="dxa"/>
                  <w:vAlign w:val="center"/>
                </w:tcPr>
                <w:p w14:paraId="078A0511">
                  <w:pPr>
                    <w:pStyle w:val="92"/>
                    <w:jc w:val="center"/>
                    <w:rPr>
                      <w:color w:val="auto"/>
                      <w:szCs w:val="21"/>
                    </w:rPr>
                  </w:pPr>
                  <w:r>
                    <w:rPr>
                      <w:color w:val="auto"/>
                      <w:szCs w:val="21"/>
                    </w:rPr>
                    <w:t>30495885.345</w:t>
                  </w:r>
                </w:p>
              </w:tc>
              <w:tc>
                <w:tcPr>
                  <w:tcW w:w="2169" w:type="dxa"/>
                  <w:vAlign w:val="center"/>
                </w:tcPr>
                <w:p w14:paraId="54F11645">
                  <w:pPr>
                    <w:pStyle w:val="92"/>
                    <w:jc w:val="center"/>
                    <w:rPr>
                      <w:color w:val="auto"/>
                      <w:szCs w:val="21"/>
                    </w:rPr>
                  </w:pPr>
                  <w:r>
                    <w:rPr>
                      <w:color w:val="auto"/>
                      <w:szCs w:val="21"/>
                    </w:rPr>
                    <w:t>89°56′55.335″</w:t>
                  </w:r>
                </w:p>
              </w:tc>
              <w:tc>
                <w:tcPr>
                  <w:tcW w:w="2269" w:type="dxa"/>
                  <w:vAlign w:val="center"/>
                </w:tcPr>
                <w:p w14:paraId="3FF03EA4">
                  <w:pPr>
                    <w:pStyle w:val="92"/>
                    <w:jc w:val="center"/>
                    <w:rPr>
                      <w:color w:val="auto"/>
                      <w:szCs w:val="21"/>
                    </w:rPr>
                  </w:pPr>
                  <w:r>
                    <w:rPr>
                      <w:color w:val="auto"/>
                      <w:szCs w:val="21"/>
                    </w:rPr>
                    <w:t>43°59′35.222″</w:t>
                  </w:r>
                </w:p>
              </w:tc>
            </w:tr>
            <w:tr w14:paraId="492A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58E58611">
                  <w:pPr>
                    <w:pStyle w:val="92"/>
                    <w:jc w:val="center"/>
                    <w:rPr>
                      <w:color w:val="auto"/>
                      <w:szCs w:val="21"/>
                    </w:rPr>
                  </w:pPr>
                  <w:r>
                    <w:rPr>
                      <w:color w:val="auto"/>
                      <w:szCs w:val="21"/>
                    </w:rPr>
                    <w:t>4</w:t>
                  </w:r>
                </w:p>
              </w:tc>
              <w:tc>
                <w:tcPr>
                  <w:tcW w:w="1652" w:type="dxa"/>
                  <w:vAlign w:val="center"/>
                </w:tcPr>
                <w:p w14:paraId="785530C9">
                  <w:pPr>
                    <w:pStyle w:val="92"/>
                    <w:jc w:val="center"/>
                    <w:rPr>
                      <w:color w:val="auto"/>
                      <w:szCs w:val="21"/>
                    </w:rPr>
                  </w:pPr>
                  <w:r>
                    <w:rPr>
                      <w:color w:val="auto"/>
                      <w:szCs w:val="21"/>
                    </w:rPr>
                    <w:t>4872937.228</w:t>
                  </w:r>
                </w:p>
              </w:tc>
              <w:tc>
                <w:tcPr>
                  <w:tcW w:w="1666" w:type="dxa"/>
                  <w:vAlign w:val="center"/>
                </w:tcPr>
                <w:p w14:paraId="773D7D76">
                  <w:pPr>
                    <w:pStyle w:val="92"/>
                    <w:jc w:val="center"/>
                    <w:rPr>
                      <w:color w:val="auto"/>
                      <w:szCs w:val="21"/>
                    </w:rPr>
                  </w:pPr>
                  <w:r>
                    <w:rPr>
                      <w:color w:val="auto"/>
                      <w:szCs w:val="21"/>
                    </w:rPr>
                    <w:t>30496078.928</w:t>
                  </w:r>
                </w:p>
              </w:tc>
              <w:tc>
                <w:tcPr>
                  <w:tcW w:w="2169" w:type="dxa"/>
                  <w:vAlign w:val="center"/>
                </w:tcPr>
                <w:p w14:paraId="0D030E2F">
                  <w:pPr>
                    <w:pStyle w:val="92"/>
                    <w:jc w:val="center"/>
                    <w:rPr>
                      <w:color w:val="auto"/>
                      <w:szCs w:val="21"/>
                    </w:rPr>
                  </w:pPr>
                  <w:r>
                    <w:rPr>
                      <w:color w:val="auto"/>
                      <w:szCs w:val="21"/>
                    </w:rPr>
                    <w:t>89°57′04.027″</w:t>
                  </w:r>
                </w:p>
              </w:tc>
              <w:tc>
                <w:tcPr>
                  <w:tcW w:w="2269" w:type="dxa"/>
                  <w:vAlign w:val="center"/>
                </w:tcPr>
                <w:p w14:paraId="4943CD5B">
                  <w:pPr>
                    <w:pStyle w:val="92"/>
                    <w:jc w:val="center"/>
                    <w:rPr>
                      <w:color w:val="auto"/>
                      <w:szCs w:val="21"/>
                    </w:rPr>
                  </w:pPr>
                  <w:r>
                    <w:rPr>
                      <w:color w:val="auto"/>
                      <w:szCs w:val="21"/>
                    </w:rPr>
                    <w:t>43°59′31.284″</w:t>
                  </w:r>
                </w:p>
              </w:tc>
            </w:tr>
            <w:tr w14:paraId="00B7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3" w:type="dxa"/>
                </w:tcPr>
                <w:p w14:paraId="6BCDD313">
                  <w:pPr>
                    <w:pStyle w:val="92"/>
                    <w:jc w:val="center"/>
                    <w:rPr>
                      <w:color w:val="auto"/>
                      <w:szCs w:val="21"/>
                    </w:rPr>
                  </w:pPr>
                  <w:r>
                    <w:rPr>
                      <w:color w:val="auto"/>
                      <w:szCs w:val="21"/>
                    </w:rPr>
                    <w:t>5</w:t>
                  </w:r>
                </w:p>
              </w:tc>
              <w:tc>
                <w:tcPr>
                  <w:tcW w:w="1652" w:type="dxa"/>
                  <w:vAlign w:val="center"/>
                </w:tcPr>
                <w:p w14:paraId="522776E3">
                  <w:pPr>
                    <w:pStyle w:val="92"/>
                    <w:jc w:val="center"/>
                    <w:rPr>
                      <w:color w:val="auto"/>
                      <w:szCs w:val="21"/>
                    </w:rPr>
                  </w:pPr>
                  <w:r>
                    <w:rPr>
                      <w:color w:val="auto"/>
                      <w:szCs w:val="21"/>
                    </w:rPr>
                    <w:t>4872855.992</w:t>
                  </w:r>
                </w:p>
              </w:tc>
              <w:tc>
                <w:tcPr>
                  <w:tcW w:w="1666" w:type="dxa"/>
                  <w:vAlign w:val="center"/>
                </w:tcPr>
                <w:p w14:paraId="4F08CD63">
                  <w:pPr>
                    <w:pStyle w:val="92"/>
                    <w:jc w:val="center"/>
                    <w:rPr>
                      <w:color w:val="auto"/>
                      <w:szCs w:val="21"/>
                    </w:rPr>
                  </w:pPr>
                  <w:r>
                    <w:rPr>
                      <w:color w:val="auto"/>
                      <w:szCs w:val="21"/>
                    </w:rPr>
                    <w:t>30496087.249</w:t>
                  </w:r>
                </w:p>
              </w:tc>
              <w:tc>
                <w:tcPr>
                  <w:tcW w:w="2169" w:type="dxa"/>
                  <w:vAlign w:val="center"/>
                </w:tcPr>
                <w:p w14:paraId="1FBC3086">
                  <w:pPr>
                    <w:pStyle w:val="92"/>
                    <w:jc w:val="center"/>
                    <w:rPr>
                      <w:color w:val="auto"/>
                      <w:szCs w:val="21"/>
                    </w:rPr>
                  </w:pPr>
                  <w:r>
                    <w:rPr>
                      <w:color w:val="auto"/>
                      <w:szCs w:val="21"/>
                    </w:rPr>
                    <w:t>89°57′04.406″</w:t>
                  </w:r>
                </w:p>
              </w:tc>
              <w:tc>
                <w:tcPr>
                  <w:tcW w:w="2269" w:type="dxa"/>
                  <w:vAlign w:val="center"/>
                </w:tcPr>
                <w:p w14:paraId="119E4B31">
                  <w:pPr>
                    <w:pStyle w:val="92"/>
                    <w:jc w:val="center"/>
                    <w:rPr>
                      <w:color w:val="auto"/>
                      <w:szCs w:val="21"/>
                    </w:rPr>
                  </w:pPr>
                  <w:r>
                    <w:rPr>
                      <w:color w:val="auto"/>
                      <w:szCs w:val="21"/>
                    </w:rPr>
                    <w:t>43°59′28.656″</w:t>
                  </w:r>
                </w:p>
              </w:tc>
            </w:tr>
          </w:tbl>
          <w:p w14:paraId="12393C83">
            <w:pPr>
              <w:rPr>
                <w:b/>
                <w:bCs/>
                <w:color w:val="auto"/>
                <w:lang w:val="zh-CN"/>
              </w:rPr>
            </w:pPr>
          </w:p>
          <w:p w14:paraId="38D327E3">
            <w:pPr>
              <w:pStyle w:val="16"/>
              <w:rPr>
                <w:rFonts w:hint="eastAsia" w:ascii="宋体" w:hAnsi="宋体" w:cs="宋体"/>
                <w:color w:val="auto"/>
                <w:szCs w:val="21"/>
              </w:rPr>
            </w:pPr>
          </w:p>
        </w:tc>
      </w:tr>
      <w:tr w14:paraId="04945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20" w:hRule="atLeast"/>
          <w:jc w:val="center"/>
        </w:trPr>
        <w:tc>
          <w:tcPr>
            <w:tcW w:w="710" w:type="dxa"/>
            <w:vAlign w:val="center"/>
          </w:tcPr>
          <w:p w14:paraId="0872F076">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项目组成及规模</w:t>
            </w:r>
          </w:p>
        </w:tc>
        <w:tc>
          <w:tcPr>
            <w:tcW w:w="8380" w:type="dxa"/>
            <w:vAlign w:val="center"/>
          </w:tcPr>
          <w:p w14:paraId="3C7F9989">
            <w:pPr>
              <w:numPr>
                <w:ilvl w:val="0"/>
                <w:numId w:val="5"/>
              </w:numPr>
              <w:adjustRightInd w:val="0"/>
              <w:snapToGrid w:val="0"/>
              <w:spacing w:line="360" w:lineRule="auto"/>
              <w:jc w:val="left"/>
              <w:rPr>
                <w:b/>
                <w:bCs/>
                <w:color w:val="auto"/>
                <w:sz w:val="24"/>
                <w:szCs w:val="32"/>
              </w:rPr>
            </w:pPr>
            <w:r>
              <w:rPr>
                <w:rFonts w:hint="eastAsia"/>
                <w:b/>
                <w:bCs/>
                <w:color w:val="auto"/>
                <w:sz w:val="24"/>
                <w:szCs w:val="32"/>
              </w:rPr>
              <w:t>项目基本概况</w:t>
            </w:r>
          </w:p>
          <w:p w14:paraId="0631FF3B">
            <w:pPr>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 xml:space="preserve">）项目名称：奇台县三个庄子镇CS07建筑用砂场建设项目                      </w:t>
            </w:r>
          </w:p>
          <w:p w14:paraId="47192179">
            <w:pPr>
              <w:spacing w:line="360" w:lineRule="auto"/>
              <w:ind w:firstLine="480" w:firstLineChars="200"/>
              <w:rPr>
                <w:color w:val="auto"/>
                <w:sz w:val="24"/>
              </w:rPr>
            </w:pPr>
            <w:r>
              <w:rPr>
                <w:rFonts w:hint="eastAsia"/>
                <w:color w:val="auto"/>
                <w:sz w:val="24"/>
              </w:rPr>
              <w:t>（</w:t>
            </w:r>
            <w:r>
              <w:rPr>
                <w:color w:val="auto"/>
                <w:sz w:val="24"/>
              </w:rPr>
              <w:t>2</w:t>
            </w:r>
            <w:r>
              <w:rPr>
                <w:rFonts w:hint="eastAsia"/>
                <w:color w:val="auto"/>
                <w:sz w:val="24"/>
              </w:rPr>
              <w:t xml:space="preserve">）建设单位：奇台县金奇瀚宇矿业有限责任公司 </w:t>
            </w:r>
          </w:p>
          <w:p w14:paraId="2A25EAC9">
            <w:pPr>
              <w:spacing w:line="360" w:lineRule="auto"/>
              <w:ind w:firstLine="480" w:firstLineChars="200"/>
              <w:rPr>
                <w:color w:val="auto"/>
                <w:sz w:val="24"/>
              </w:rPr>
            </w:pPr>
            <w:r>
              <w:rPr>
                <w:rFonts w:hint="eastAsia"/>
                <w:color w:val="auto"/>
                <w:sz w:val="24"/>
              </w:rPr>
              <w:t>（</w:t>
            </w:r>
            <w:r>
              <w:rPr>
                <w:color w:val="auto"/>
                <w:sz w:val="24"/>
              </w:rPr>
              <w:t>3</w:t>
            </w:r>
            <w:r>
              <w:rPr>
                <w:rFonts w:hint="eastAsia"/>
                <w:color w:val="auto"/>
                <w:sz w:val="24"/>
              </w:rPr>
              <w:t xml:space="preserve">）建设性质：新建 </w:t>
            </w:r>
          </w:p>
          <w:p w14:paraId="0BACF3F8">
            <w:pPr>
              <w:spacing w:line="360" w:lineRule="auto"/>
              <w:ind w:firstLine="480" w:firstLineChars="200"/>
              <w:rPr>
                <w:color w:val="auto"/>
                <w:sz w:val="24"/>
              </w:rPr>
            </w:pPr>
            <w:r>
              <w:rPr>
                <w:rFonts w:hint="eastAsia"/>
                <w:color w:val="auto"/>
                <w:sz w:val="24"/>
              </w:rPr>
              <w:t>（4）矿区面积：划定矿区范围面积0.3018</w:t>
            </w:r>
            <w:r>
              <w:rPr>
                <w:color w:val="auto"/>
                <w:sz w:val="24"/>
              </w:rPr>
              <w:t>km</w:t>
            </w:r>
            <w:r>
              <w:rPr>
                <w:color w:val="auto"/>
                <w:sz w:val="24"/>
                <w:vertAlign w:val="superscript"/>
              </w:rPr>
              <w:t>2</w:t>
            </w:r>
            <w:r>
              <w:rPr>
                <w:rFonts w:hint="eastAsia"/>
                <w:color w:val="auto"/>
                <w:sz w:val="24"/>
              </w:rPr>
              <w:t xml:space="preserve">。 </w:t>
            </w:r>
          </w:p>
          <w:p w14:paraId="0518277F">
            <w:pPr>
              <w:spacing w:line="360" w:lineRule="auto"/>
              <w:ind w:firstLine="480" w:firstLineChars="200"/>
              <w:rPr>
                <w:color w:val="auto"/>
                <w:sz w:val="24"/>
              </w:rPr>
            </w:pPr>
            <w:r>
              <w:rPr>
                <w:rFonts w:hint="eastAsia"/>
                <w:color w:val="auto"/>
                <w:sz w:val="24"/>
              </w:rPr>
              <w:t>（5）项目规模：开采规模为50万m</w:t>
            </w:r>
            <w:r>
              <w:rPr>
                <w:rFonts w:hint="eastAsia"/>
                <w:color w:val="auto"/>
                <w:sz w:val="24"/>
                <w:vertAlign w:val="superscript"/>
              </w:rPr>
              <w:t>3</w:t>
            </w:r>
            <w:r>
              <w:rPr>
                <w:color w:val="auto"/>
                <w:sz w:val="24"/>
              </w:rPr>
              <w:t>/a</w:t>
            </w:r>
            <w:r>
              <w:rPr>
                <w:rFonts w:hint="eastAsia"/>
                <w:color w:val="auto"/>
                <w:sz w:val="24"/>
              </w:rPr>
              <w:t xml:space="preserve">建筑用砂。 </w:t>
            </w:r>
          </w:p>
          <w:p w14:paraId="0AAFE1AC">
            <w:pPr>
              <w:spacing w:line="360" w:lineRule="auto"/>
              <w:ind w:firstLine="480" w:firstLineChars="200"/>
              <w:rPr>
                <w:color w:val="auto"/>
                <w:sz w:val="24"/>
              </w:rPr>
            </w:pPr>
            <w:r>
              <w:rPr>
                <w:rFonts w:hint="eastAsia"/>
                <w:color w:val="auto"/>
                <w:sz w:val="24"/>
              </w:rPr>
              <w:t xml:space="preserve">（6）服务年限：矿山服务年限为6.47年。 </w:t>
            </w:r>
          </w:p>
          <w:p w14:paraId="18712F3F">
            <w:pPr>
              <w:spacing w:line="360" w:lineRule="auto"/>
              <w:ind w:firstLine="480" w:firstLineChars="200"/>
              <w:rPr>
                <w:color w:val="auto"/>
                <w:sz w:val="24"/>
              </w:rPr>
            </w:pPr>
            <w:r>
              <w:rPr>
                <w:rFonts w:hint="eastAsia"/>
                <w:color w:val="auto"/>
                <w:sz w:val="24"/>
              </w:rPr>
              <w:t xml:space="preserve">（7）开采方式及开拓方案：矿山采用凹陷露天开采方式，开拓方案为公路开拓汽车运输。 </w:t>
            </w:r>
          </w:p>
          <w:p w14:paraId="492E3A5C">
            <w:pPr>
              <w:spacing w:line="360" w:lineRule="auto"/>
              <w:ind w:firstLine="480" w:firstLineChars="200"/>
              <w:rPr>
                <w:color w:val="auto"/>
                <w:sz w:val="24"/>
              </w:rPr>
            </w:pPr>
            <w:r>
              <w:rPr>
                <w:rFonts w:hint="eastAsia"/>
                <w:color w:val="auto"/>
                <w:sz w:val="24"/>
              </w:rPr>
              <w:t xml:space="preserve">（8）采矿方法：采用自上而下组合台阶式采矿方法。 </w:t>
            </w:r>
          </w:p>
          <w:p w14:paraId="0D81B74A">
            <w:pPr>
              <w:spacing w:line="360" w:lineRule="auto"/>
              <w:ind w:firstLine="480" w:firstLineChars="200"/>
              <w:rPr>
                <w:color w:val="auto"/>
                <w:sz w:val="24"/>
              </w:rPr>
            </w:pPr>
            <w:r>
              <w:rPr>
                <w:rFonts w:hint="eastAsia"/>
                <w:color w:val="auto"/>
                <w:sz w:val="24"/>
              </w:rPr>
              <w:t xml:space="preserve">（9）项目投资：矿山总投资2000万元，全部由企业自筹解决。 </w:t>
            </w:r>
          </w:p>
          <w:p w14:paraId="44613985">
            <w:pPr>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0）项目劳动定员及工作制度：项目劳动定员为20人，年工作</w:t>
            </w:r>
            <w:r>
              <w:rPr>
                <w:color w:val="auto"/>
                <w:sz w:val="24"/>
              </w:rPr>
              <w:t>2</w:t>
            </w:r>
            <w:r>
              <w:rPr>
                <w:rFonts w:hint="eastAsia"/>
                <w:color w:val="auto"/>
                <w:sz w:val="24"/>
              </w:rPr>
              <w:t>5</w:t>
            </w:r>
            <w:r>
              <w:rPr>
                <w:color w:val="auto"/>
                <w:sz w:val="24"/>
              </w:rPr>
              <w:t>0</w:t>
            </w:r>
            <w:r>
              <w:rPr>
                <w:rFonts w:hint="eastAsia"/>
                <w:color w:val="auto"/>
                <w:sz w:val="24"/>
              </w:rPr>
              <w:t>天，每天一班，每班工作</w:t>
            </w:r>
            <w:r>
              <w:rPr>
                <w:color w:val="auto"/>
                <w:sz w:val="24"/>
              </w:rPr>
              <w:t>8</w:t>
            </w:r>
            <w:r>
              <w:rPr>
                <w:rFonts w:hint="eastAsia"/>
                <w:color w:val="auto"/>
                <w:sz w:val="24"/>
              </w:rPr>
              <w:t>小时。</w:t>
            </w:r>
          </w:p>
          <w:p w14:paraId="60E88087">
            <w:pPr>
              <w:numPr>
                <w:ilvl w:val="0"/>
                <w:numId w:val="5"/>
              </w:numPr>
              <w:adjustRightInd w:val="0"/>
              <w:snapToGrid w:val="0"/>
              <w:spacing w:line="360" w:lineRule="auto"/>
              <w:jc w:val="left"/>
              <w:rPr>
                <w:b/>
                <w:bCs/>
                <w:color w:val="auto"/>
                <w:sz w:val="24"/>
                <w:szCs w:val="32"/>
              </w:rPr>
            </w:pPr>
            <w:r>
              <w:rPr>
                <w:rFonts w:hint="eastAsia"/>
                <w:b/>
                <w:bCs/>
                <w:color w:val="auto"/>
                <w:sz w:val="24"/>
                <w:szCs w:val="32"/>
              </w:rPr>
              <w:t>项目组成</w:t>
            </w:r>
          </w:p>
          <w:p w14:paraId="52979362">
            <w:pPr>
              <w:spacing w:line="360" w:lineRule="auto"/>
              <w:ind w:firstLine="480" w:firstLineChars="200"/>
              <w:rPr>
                <w:color w:val="auto"/>
                <w:sz w:val="24"/>
              </w:rPr>
            </w:pPr>
            <w:r>
              <w:rPr>
                <w:rFonts w:hint="eastAsia"/>
                <w:color w:val="auto"/>
                <w:sz w:val="24"/>
              </w:rPr>
              <w:t>本项目矿区面积0.3018km</w:t>
            </w:r>
            <w:r>
              <w:rPr>
                <w:rFonts w:hint="eastAsia"/>
                <w:color w:val="auto"/>
                <w:sz w:val="24"/>
                <w:vertAlign w:val="superscript"/>
              </w:rPr>
              <w:t>2</w:t>
            </w:r>
            <w:r>
              <w:rPr>
                <w:rFonts w:hint="eastAsia"/>
                <w:color w:val="auto"/>
                <w:sz w:val="24"/>
              </w:rPr>
              <w:t>，主要建设内容包括：主体工程（露天采矿区）、储运工程（矿区道路、表土堆放场）、公用工程、环保工程。</w:t>
            </w:r>
          </w:p>
          <w:p w14:paraId="1BFDF65D">
            <w:pPr>
              <w:spacing w:line="360" w:lineRule="auto"/>
              <w:ind w:firstLine="480" w:firstLineChars="200"/>
              <w:rPr>
                <w:color w:val="auto"/>
                <w:sz w:val="24"/>
              </w:rPr>
            </w:pPr>
            <w:r>
              <w:rPr>
                <w:rFonts w:hint="eastAsia"/>
                <w:color w:val="auto"/>
                <w:sz w:val="24"/>
              </w:rPr>
              <w:t>本项目仅为建筑用砂开采作业，不涉及洗选加工环节，矿区不设工业广场及建筑用砂临时堆放场，开采的建筑用砂外售当地砂石料企业自行分级加工，不在矿区堆存。</w:t>
            </w:r>
          </w:p>
          <w:p w14:paraId="78E10681">
            <w:pPr>
              <w:spacing w:line="360" w:lineRule="auto"/>
              <w:ind w:firstLine="480" w:firstLineChars="200"/>
              <w:rPr>
                <w:color w:val="auto"/>
                <w:sz w:val="24"/>
              </w:rPr>
            </w:pPr>
            <w:r>
              <w:rPr>
                <w:rFonts w:hint="eastAsia"/>
                <w:color w:val="auto"/>
                <w:sz w:val="24"/>
              </w:rPr>
              <w:t>主要工程组成见下表。</w:t>
            </w:r>
          </w:p>
          <w:p w14:paraId="6BC36FF5">
            <w:pPr>
              <w:pStyle w:val="64"/>
              <w:outlineLvl w:val="9"/>
              <w:rPr>
                <w:rFonts w:hint="default"/>
                <w:b/>
                <w:bCs/>
                <w:color w:val="auto"/>
                <w:lang w:val="zh-CN"/>
              </w:rPr>
            </w:pPr>
            <w:r>
              <w:rPr>
                <w:b/>
                <w:bCs/>
                <w:color w:val="auto"/>
                <w:lang w:val="zh-CN"/>
              </w:rPr>
              <w:t>表</w:t>
            </w:r>
            <w:r>
              <w:rPr>
                <w:b/>
                <w:bCs/>
                <w:color w:val="auto"/>
              </w:rPr>
              <w:t xml:space="preserve">2-2   </w:t>
            </w:r>
            <w:r>
              <w:rPr>
                <w:b/>
                <w:bCs/>
                <w:color w:val="auto"/>
                <w:lang w:val="zh-CN"/>
              </w:rPr>
              <w:t xml:space="preserve"> 工程组成表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7"/>
              <w:gridCol w:w="1381"/>
              <w:gridCol w:w="6036"/>
            </w:tblGrid>
            <w:tr w14:paraId="1B5E0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Align w:val="center"/>
                </w:tcPr>
                <w:p w14:paraId="43AAF5D3">
                  <w:pPr>
                    <w:adjustRightInd w:val="0"/>
                    <w:snapToGrid w:val="0"/>
                    <w:jc w:val="center"/>
                    <w:rPr>
                      <w:color w:val="auto"/>
                      <w:szCs w:val="21"/>
                      <w:lang w:val="zh-CN"/>
                    </w:rPr>
                  </w:pPr>
                  <w:r>
                    <w:rPr>
                      <w:color w:val="auto"/>
                      <w:szCs w:val="21"/>
                      <w:lang w:val="zh-CN"/>
                    </w:rPr>
                    <w:t>分类</w:t>
                  </w:r>
                </w:p>
              </w:tc>
              <w:tc>
                <w:tcPr>
                  <w:tcW w:w="1381" w:type="dxa"/>
                  <w:vAlign w:val="center"/>
                </w:tcPr>
                <w:p w14:paraId="10A5882E">
                  <w:pPr>
                    <w:adjustRightInd w:val="0"/>
                    <w:snapToGrid w:val="0"/>
                    <w:jc w:val="center"/>
                    <w:rPr>
                      <w:color w:val="auto"/>
                      <w:szCs w:val="21"/>
                      <w:lang w:val="zh-CN"/>
                    </w:rPr>
                  </w:pPr>
                  <w:r>
                    <w:rPr>
                      <w:color w:val="auto"/>
                      <w:szCs w:val="21"/>
                      <w:lang w:val="zh-CN"/>
                    </w:rPr>
                    <w:t>工程名称</w:t>
                  </w:r>
                </w:p>
              </w:tc>
              <w:tc>
                <w:tcPr>
                  <w:tcW w:w="6036" w:type="dxa"/>
                  <w:vAlign w:val="center"/>
                </w:tcPr>
                <w:p w14:paraId="39660F19">
                  <w:pPr>
                    <w:adjustRightInd w:val="0"/>
                    <w:snapToGrid w:val="0"/>
                    <w:jc w:val="center"/>
                    <w:rPr>
                      <w:color w:val="auto"/>
                      <w:szCs w:val="21"/>
                      <w:lang w:val="zh-CN"/>
                    </w:rPr>
                  </w:pPr>
                  <w:r>
                    <w:rPr>
                      <w:color w:val="auto"/>
                      <w:szCs w:val="21"/>
                      <w:lang w:val="zh-CN"/>
                    </w:rPr>
                    <w:t>工程内容</w:t>
                  </w:r>
                </w:p>
              </w:tc>
            </w:tr>
            <w:tr w14:paraId="010B6F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tcBorders>
                    <w:bottom w:val="single" w:color="auto" w:sz="4" w:space="0"/>
                  </w:tcBorders>
                  <w:vAlign w:val="center"/>
                </w:tcPr>
                <w:p w14:paraId="019A72CF">
                  <w:pPr>
                    <w:adjustRightInd w:val="0"/>
                    <w:snapToGrid w:val="0"/>
                    <w:jc w:val="center"/>
                    <w:rPr>
                      <w:color w:val="auto"/>
                      <w:szCs w:val="21"/>
                      <w:lang w:val="zh-CN"/>
                    </w:rPr>
                  </w:pPr>
                  <w:r>
                    <w:rPr>
                      <w:color w:val="auto"/>
                      <w:szCs w:val="21"/>
                      <w:lang w:val="zh-CN"/>
                    </w:rPr>
                    <w:t>主体工程</w:t>
                  </w:r>
                </w:p>
              </w:tc>
              <w:tc>
                <w:tcPr>
                  <w:tcW w:w="1381" w:type="dxa"/>
                  <w:vAlign w:val="center"/>
                </w:tcPr>
                <w:p w14:paraId="1D3314E4">
                  <w:pPr>
                    <w:adjustRightInd w:val="0"/>
                    <w:snapToGrid w:val="0"/>
                    <w:jc w:val="center"/>
                    <w:rPr>
                      <w:color w:val="auto"/>
                      <w:szCs w:val="21"/>
                      <w:lang w:val="zh-CN"/>
                    </w:rPr>
                  </w:pPr>
                  <w:r>
                    <w:rPr>
                      <w:color w:val="auto"/>
                      <w:szCs w:val="21"/>
                    </w:rPr>
                    <w:t>露天采场</w:t>
                  </w:r>
                </w:p>
              </w:tc>
              <w:tc>
                <w:tcPr>
                  <w:tcW w:w="6036" w:type="dxa"/>
                  <w:vAlign w:val="center"/>
                </w:tcPr>
                <w:p w14:paraId="4BB53051">
                  <w:pPr>
                    <w:adjustRightInd w:val="0"/>
                    <w:snapToGrid w:val="0"/>
                    <w:rPr>
                      <w:color w:val="auto"/>
                      <w:szCs w:val="21"/>
                      <w:lang w:val="zh-CN"/>
                    </w:rPr>
                  </w:pPr>
                  <w:r>
                    <w:rPr>
                      <w:color w:val="auto"/>
                      <w:szCs w:val="21"/>
                      <w:lang w:val="zh-CN"/>
                    </w:rPr>
                    <w:t>建设规模</w:t>
                  </w:r>
                  <w:r>
                    <w:rPr>
                      <w:color w:val="auto"/>
                      <w:szCs w:val="21"/>
                    </w:rPr>
                    <w:t>50万</w:t>
                  </w:r>
                  <w:r>
                    <w:rPr>
                      <w:color w:val="auto"/>
                      <w:szCs w:val="21"/>
                      <w:lang w:val="zh-CN"/>
                    </w:rPr>
                    <w:t>m</w:t>
                  </w:r>
                  <w:r>
                    <w:rPr>
                      <w:color w:val="auto"/>
                      <w:szCs w:val="21"/>
                      <w:vertAlign w:val="superscript"/>
                      <w:lang w:val="zh-CN"/>
                    </w:rPr>
                    <w:t>3</w:t>
                  </w:r>
                  <w:r>
                    <w:rPr>
                      <w:color w:val="auto"/>
                      <w:szCs w:val="21"/>
                      <w:lang w:val="zh-CN"/>
                    </w:rPr>
                    <w:t>/a，</w:t>
                  </w:r>
                  <w:r>
                    <w:rPr>
                      <w:color w:val="auto"/>
                      <w:szCs w:val="21"/>
                    </w:rPr>
                    <w:t>开采深度</w:t>
                  </w:r>
                  <w:r>
                    <w:rPr>
                      <w:color w:val="auto"/>
                      <w:szCs w:val="21"/>
                      <w:lang w:val="zh-CN"/>
                    </w:rPr>
                    <w:t>+9</w:t>
                  </w:r>
                  <w:r>
                    <w:rPr>
                      <w:color w:val="auto"/>
                      <w:szCs w:val="21"/>
                    </w:rPr>
                    <w:t>22</w:t>
                  </w:r>
                  <w:r>
                    <w:rPr>
                      <w:color w:val="auto"/>
                      <w:szCs w:val="21"/>
                      <w:lang w:val="zh-CN"/>
                    </w:rPr>
                    <w:t>.00至+8</w:t>
                  </w:r>
                  <w:r>
                    <w:rPr>
                      <w:color w:val="auto"/>
                      <w:szCs w:val="21"/>
                    </w:rPr>
                    <w:t>99</w:t>
                  </w:r>
                  <w:r>
                    <w:rPr>
                      <w:color w:val="auto"/>
                      <w:szCs w:val="21"/>
                      <w:lang w:val="zh-CN"/>
                    </w:rPr>
                    <w:t>.00m</w:t>
                  </w:r>
                  <w:r>
                    <w:rPr>
                      <w:rFonts w:hint="eastAsia"/>
                      <w:color w:val="auto"/>
                      <w:szCs w:val="21"/>
                      <w:lang w:val="zh-CN"/>
                    </w:rPr>
                    <w:t>。规划1号露天采场</w:t>
                  </w:r>
                  <w:r>
                    <w:rPr>
                      <w:rFonts w:hint="eastAsia"/>
                      <w:color w:val="auto"/>
                      <w:szCs w:val="21"/>
                    </w:rPr>
                    <w:t>占地面积86900m</w:t>
                  </w:r>
                  <w:r>
                    <w:rPr>
                      <w:rFonts w:hint="eastAsia"/>
                      <w:color w:val="auto"/>
                      <w:szCs w:val="21"/>
                      <w:vertAlign w:val="superscript"/>
                    </w:rPr>
                    <w:t>2</w:t>
                  </w:r>
                  <w:r>
                    <w:rPr>
                      <w:rFonts w:hint="eastAsia"/>
                      <w:color w:val="auto"/>
                      <w:szCs w:val="21"/>
                    </w:rPr>
                    <w:t>，规划2号露天采场</w:t>
                  </w:r>
                  <w:r>
                    <w:rPr>
                      <w:color w:val="auto"/>
                      <w:szCs w:val="21"/>
                      <w:lang w:val="zh-CN"/>
                    </w:rPr>
                    <w:t>占地面积</w:t>
                  </w:r>
                  <w:r>
                    <w:rPr>
                      <w:rFonts w:hint="eastAsia"/>
                      <w:color w:val="auto"/>
                      <w:szCs w:val="21"/>
                    </w:rPr>
                    <w:t>199700m</w:t>
                  </w:r>
                  <w:r>
                    <w:rPr>
                      <w:rFonts w:hint="eastAsia"/>
                      <w:color w:val="auto"/>
                      <w:szCs w:val="21"/>
                      <w:vertAlign w:val="superscript"/>
                    </w:rPr>
                    <w:t>2</w:t>
                  </w:r>
                  <w:r>
                    <w:rPr>
                      <w:rFonts w:hint="eastAsia"/>
                      <w:color w:val="auto"/>
                      <w:szCs w:val="21"/>
                    </w:rPr>
                    <w:t>，</w:t>
                  </w:r>
                  <w:r>
                    <w:rPr>
                      <w:color w:val="auto"/>
                      <w:szCs w:val="21"/>
                      <w:lang w:val="zh-CN"/>
                    </w:rPr>
                    <w:t>采用自上而下组合台阶式采矿方法</w:t>
                  </w:r>
                </w:p>
              </w:tc>
            </w:tr>
            <w:tr w14:paraId="37C566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restart"/>
                  <w:tcBorders>
                    <w:top w:val="single" w:color="auto" w:sz="4" w:space="0"/>
                  </w:tcBorders>
                  <w:vAlign w:val="center"/>
                </w:tcPr>
                <w:p w14:paraId="2EBAA7DB">
                  <w:pPr>
                    <w:adjustRightInd w:val="0"/>
                    <w:snapToGrid w:val="0"/>
                    <w:jc w:val="center"/>
                    <w:rPr>
                      <w:color w:val="auto"/>
                      <w:szCs w:val="21"/>
                    </w:rPr>
                  </w:pPr>
                  <w:r>
                    <w:rPr>
                      <w:color w:val="auto"/>
                      <w:szCs w:val="21"/>
                    </w:rPr>
                    <w:t>储运工程</w:t>
                  </w:r>
                </w:p>
              </w:tc>
              <w:tc>
                <w:tcPr>
                  <w:tcW w:w="1381" w:type="dxa"/>
                  <w:vAlign w:val="center"/>
                </w:tcPr>
                <w:p w14:paraId="49C65B32">
                  <w:pPr>
                    <w:adjustRightInd w:val="0"/>
                    <w:snapToGrid w:val="0"/>
                    <w:jc w:val="center"/>
                    <w:rPr>
                      <w:color w:val="auto"/>
                      <w:szCs w:val="21"/>
                    </w:rPr>
                  </w:pPr>
                  <w:r>
                    <w:rPr>
                      <w:color w:val="auto"/>
                      <w:szCs w:val="21"/>
                    </w:rPr>
                    <w:t>表土堆场</w:t>
                  </w:r>
                </w:p>
              </w:tc>
              <w:tc>
                <w:tcPr>
                  <w:tcW w:w="6036" w:type="dxa"/>
                  <w:vAlign w:val="center"/>
                </w:tcPr>
                <w:p w14:paraId="59A55BF3">
                  <w:pPr>
                    <w:adjustRightInd w:val="0"/>
                    <w:snapToGrid w:val="0"/>
                    <w:rPr>
                      <w:color w:val="auto"/>
                      <w:szCs w:val="21"/>
                    </w:rPr>
                  </w:pPr>
                  <w:r>
                    <w:rPr>
                      <w:rFonts w:hint="eastAsia"/>
                      <w:color w:val="auto"/>
                      <w:szCs w:val="21"/>
                      <w:lang w:val="en-US" w:eastAsia="zh-CN"/>
                    </w:rPr>
                    <w:t>本项目开采要求边开采边回填，</w:t>
                  </w:r>
                  <w:r>
                    <w:rPr>
                      <w:color w:val="auto"/>
                      <w:szCs w:val="21"/>
                    </w:rPr>
                    <w:t>规划1号露天采场</w:t>
                  </w:r>
                  <w:r>
                    <w:rPr>
                      <w:rFonts w:hint="eastAsia"/>
                      <w:color w:val="auto"/>
                      <w:szCs w:val="21"/>
                      <w:lang w:val="en-US" w:eastAsia="zh-CN"/>
                    </w:rPr>
                    <w:t>表土堆场面积按1500m</w:t>
                  </w:r>
                  <w:r>
                    <w:rPr>
                      <w:rFonts w:hint="eastAsia"/>
                      <w:color w:val="auto"/>
                      <w:szCs w:val="21"/>
                      <w:vertAlign w:val="superscript"/>
                      <w:lang w:val="en-US" w:eastAsia="zh-CN"/>
                    </w:rPr>
                    <w:t>2</w:t>
                  </w:r>
                  <w:r>
                    <w:rPr>
                      <w:rFonts w:hint="eastAsia"/>
                      <w:color w:val="auto"/>
                      <w:szCs w:val="21"/>
                      <w:lang w:val="en-US" w:eastAsia="zh-CN"/>
                    </w:rPr>
                    <w:t>设计</w:t>
                  </w:r>
                  <w:r>
                    <w:rPr>
                      <w:rFonts w:hint="eastAsia"/>
                      <w:color w:val="auto"/>
                      <w:szCs w:val="21"/>
                    </w:rPr>
                    <w:t>，</w:t>
                  </w:r>
                  <w:r>
                    <w:rPr>
                      <w:color w:val="auto"/>
                      <w:szCs w:val="21"/>
                    </w:rPr>
                    <w:t>规划</w:t>
                  </w:r>
                  <w:r>
                    <w:rPr>
                      <w:rFonts w:hint="eastAsia"/>
                      <w:color w:val="auto"/>
                      <w:szCs w:val="21"/>
                      <w:lang w:val="en-US" w:eastAsia="zh-CN"/>
                    </w:rPr>
                    <w:t>2</w:t>
                  </w:r>
                  <w:r>
                    <w:rPr>
                      <w:color w:val="auto"/>
                      <w:szCs w:val="21"/>
                    </w:rPr>
                    <w:t>号露天采场</w:t>
                  </w:r>
                  <w:r>
                    <w:rPr>
                      <w:rFonts w:hint="eastAsia"/>
                      <w:color w:val="auto"/>
                      <w:szCs w:val="21"/>
                      <w:lang w:val="en-US" w:eastAsia="zh-CN"/>
                    </w:rPr>
                    <w:t>表土堆场面积按3000m</w:t>
                  </w:r>
                  <w:r>
                    <w:rPr>
                      <w:rFonts w:hint="eastAsia"/>
                      <w:color w:val="auto"/>
                      <w:szCs w:val="21"/>
                      <w:vertAlign w:val="superscript"/>
                      <w:lang w:val="en-US" w:eastAsia="zh-CN"/>
                    </w:rPr>
                    <w:t>2</w:t>
                  </w:r>
                  <w:r>
                    <w:rPr>
                      <w:rFonts w:hint="eastAsia"/>
                      <w:color w:val="auto"/>
                      <w:szCs w:val="21"/>
                      <w:lang w:val="en-US" w:eastAsia="zh-CN"/>
                    </w:rPr>
                    <w:t>设计</w:t>
                  </w:r>
                  <w:r>
                    <w:rPr>
                      <w:rFonts w:hint="eastAsia"/>
                      <w:color w:val="auto"/>
                      <w:szCs w:val="21"/>
                    </w:rPr>
                    <w:t>，表土堆场</w:t>
                  </w:r>
                  <w:r>
                    <w:rPr>
                      <w:color w:val="auto"/>
                      <w:szCs w:val="21"/>
                    </w:rPr>
                    <w:t>主要用来堆放开采区剥离的表土，露天堆放，采用洒水、防尘网苫盖等措施。</w:t>
                  </w:r>
                </w:p>
              </w:tc>
            </w:tr>
            <w:tr w14:paraId="5C931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2AE9B6DA">
                  <w:pPr>
                    <w:adjustRightInd w:val="0"/>
                    <w:snapToGrid w:val="0"/>
                    <w:jc w:val="center"/>
                    <w:rPr>
                      <w:color w:val="auto"/>
                      <w:szCs w:val="21"/>
                      <w:lang w:val="zh-CN"/>
                    </w:rPr>
                  </w:pPr>
                </w:p>
              </w:tc>
              <w:tc>
                <w:tcPr>
                  <w:tcW w:w="1381" w:type="dxa"/>
                  <w:vAlign w:val="center"/>
                </w:tcPr>
                <w:p w14:paraId="63189BC4">
                  <w:pPr>
                    <w:pStyle w:val="59"/>
                    <w:rPr>
                      <w:rFonts w:ascii="Times New Roman" w:hAnsi="Times New Roman" w:cs="Times New Roman"/>
                      <w:color w:val="auto"/>
                      <w:szCs w:val="21"/>
                    </w:rPr>
                  </w:pPr>
                  <w:r>
                    <w:rPr>
                      <w:rFonts w:ascii="Times New Roman" w:hAnsi="Times New Roman" w:cs="Times New Roman"/>
                      <w:color w:val="auto"/>
                      <w:szCs w:val="21"/>
                    </w:rPr>
                    <w:t>矿区道路</w:t>
                  </w:r>
                </w:p>
              </w:tc>
              <w:tc>
                <w:tcPr>
                  <w:tcW w:w="6036" w:type="dxa"/>
                  <w:vAlign w:val="center"/>
                </w:tcPr>
                <w:p w14:paraId="421C8E7C">
                  <w:pPr>
                    <w:pStyle w:val="59"/>
                    <w:jc w:val="both"/>
                    <w:rPr>
                      <w:rFonts w:ascii="Times New Roman" w:hAnsi="Times New Roman" w:cs="Times New Roman"/>
                      <w:color w:val="auto"/>
                      <w:szCs w:val="21"/>
                    </w:rPr>
                  </w:pPr>
                  <w:r>
                    <w:rPr>
                      <w:rFonts w:ascii="Times New Roman" w:hAnsi="Times New Roman" w:cs="Times New Roman"/>
                      <w:color w:val="auto"/>
                      <w:szCs w:val="21"/>
                    </w:rPr>
                    <w:t>全长1</w:t>
                  </w:r>
                  <w:r>
                    <w:rPr>
                      <w:rFonts w:hint="eastAsia" w:ascii="Times New Roman" w:hAnsi="Times New Roman" w:cs="Times New Roman"/>
                      <w:color w:val="auto"/>
                      <w:szCs w:val="21"/>
                    </w:rPr>
                    <w:t>000</w:t>
                  </w:r>
                  <w:r>
                    <w:rPr>
                      <w:rFonts w:ascii="Times New Roman" w:hAnsi="Times New Roman" w:cs="Times New Roman"/>
                      <w:color w:val="auto"/>
                      <w:szCs w:val="21"/>
                    </w:rPr>
                    <w:t>m，</w:t>
                  </w:r>
                  <w:r>
                    <w:rPr>
                      <w:rFonts w:hint="eastAsia" w:ascii="Times New Roman" w:hAnsi="Times New Roman" w:cs="Times New Roman"/>
                      <w:color w:val="auto"/>
                      <w:szCs w:val="21"/>
                    </w:rPr>
                    <w:t>砂石路面</w:t>
                  </w:r>
                  <w:r>
                    <w:rPr>
                      <w:rFonts w:ascii="Times New Roman" w:hAnsi="Times New Roman" w:cs="Times New Roman"/>
                      <w:color w:val="auto"/>
                      <w:szCs w:val="21"/>
                    </w:rPr>
                    <w:t>，运输道路路基宽6m，路面4m，占地面积</w:t>
                  </w:r>
                  <w:r>
                    <w:rPr>
                      <w:rFonts w:hint="eastAsia" w:ascii="Times New Roman" w:hAnsi="Times New Roman" w:cs="Times New Roman"/>
                      <w:color w:val="auto"/>
                      <w:szCs w:val="21"/>
                    </w:rPr>
                    <w:t>6000</w:t>
                  </w:r>
                  <w:r>
                    <w:rPr>
                      <w:rFonts w:ascii="Times New Roman" w:hAnsi="Times New Roman" w:cs="Times New Roman"/>
                      <w:color w:val="auto"/>
                      <w:szCs w:val="21"/>
                    </w:rPr>
                    <w:t>m</w:t>
                  </w:r>
                  <w:r>
                    <w:rPr>
                      <w:rFonts w:ascii="Times New Roman" w:hAnsi="Times New Roman" w:cs="Times New Roman"/>
                      <w:color w:val="auto"/>
                      <w:szCs w:val="21"/>
                      <w:vertAlign w:val="superscript"/>
                    </w:rPr>
                    <w:t>2</w:t>
                  </w:r>
                </w:p>
              </w:tc>
            </w:tr>
            <w:tr w14:paraId="1A827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restart"/>
                  <w:vAlign w:val="center"/>
                </w:tcPr>
                <w:p w14:paraId="11880F1C">
                  <w:pPr>
                    <w:adjustRightInd w:val="0"/>
                    <w:snapToGrid w:val="0"/>
                    <w:jc w:val="center"/>
                    <w:rPr>
                      <w:color w:val="auto"/>
                      <w:szCs w:val="21"/>
                    </w:rPr>
                  </w:pPr>
                  <w:r>
                    <w:rPr>
                      <w:color w:val="auto"/>
                      <w:szCs w:val="21"/>
                    </w:rPr>
                    <w:t>公用工程</w:t>
                  </w:r>
                </w:p>
              </w:tc>
              <w:tc>
                <w:tcPr>
                  <w:tcW w:w="1381" w:type="dxa"/>
                  <w:vAlign w:val="center"/>
                </w:tcPr>
                <w:p w14:paraId="2BB86D41">
                  <w:pPr>
                    <w:pStyle w:val="59"/>
                    <w:rPr>
                      <w:rFonts w:ascii="Times New Roman" w:hAnsi="Times New Roman" w:cs="Times New Roman"/>
                      <w:color w:val="auto"/>
                      <w:szCs w:val="21"/>
                    </w:rPr>
                  </w:pPr>
                  <w:r>
                    <w:rPr>
                      <w:rFonts w:ascii="Times New Roman" w:hAnsi="Times New Roman" w:cs="Times New Roman"/>
                      <w:color w:val="auto"/>
                      <w:szCs w:val="21"/>
                    </w:rPr>
                    <w:t>给水</w:t>
                  </w:r>
                </w:p>
              </w:tc>
              <w:tc>
                <w:tcPr>
                  <w:tcW w:w="6036" w:type="dxa"/>
                  <w:tcBorders>
                    <w:top w:val="single" w:color="auto" w:sz="4" w:space="0"/>
                    <w:bottom w:val="single" w:color="auto" w:sz="4" w:space="0"/>
                  </w:tcBorders>
                  <w:vAlign w:val="center"/>
                </w:tcPr>
                <w:p w14:paraId="024B2A64">
                  <w:pPr>
                    <w:autoSpaceDE w:val="0"/>
                    <w:autoSpaceDN w:val="0"/>
                    <w:adjustRightInd w:val="0"/>
                    <w:rPr>
                      <w:rFonts w:hint="default" w:eastAsia="宋体"/>
                      <w:color w:val="auto"/>
                      <w:spacing w:val="-2"/>
                      <w:szCs w:val="21"/>
                      <w:lang w:val="en-US" w:eastAsia="zh-CN"/>
                    </w:rPr>
                  </w:pPr>
                  <w:r>
                    <w:rPr>
                      <w:color w:val="auto"/>
                      <w:szCs w:val="21"/>
                    </w:rPr>
                    <w:t>矿区用水主要为矿区开采作业抑尘用水、道路洒水抑尘用水</w:t>
                  </w:r>
                  <w:r>
                    <w:rPr>
                      <w:rFonts w:hint="eastAsia"/>
                      <w:color w:val="auto"/>
                      <w:szCs w:val="21"/>
                      <w:lang w:val="en-US" w:eastAsia="zh-CN"/>
                    </w:rPr>
                    <w:t>和车辆清洗用水</w:t>
                  </w:r>
                  <w:r>
                    <w:rPr>
                      <w:rFonts w:hint="eastAsia"/>
                      <w:color w:val="auto"/>
                      <w:szCs w:val="21"/>
                    </w:rPr>
                    <w:t>，</w:t>
                  </w:r>
                  <w:r>
                    <w:rPr>
                      <w:color w:val="auto"/>
                      <w:szCs w:val="21"/>
                    </w:rPr>
                    <w:t>主要靠汽车拉运至矿区蓄水池（</w:t>
                  </w:r>
                  <w:r>
                    <w:rPr>
                      <w:rFonts w:hint="eastAsia"/>
                      <w:color w:val="auto"/>
                      <w:szCs w:val="21"/>
                    </w:rPr>
                    <w:t>2座</w:t>
                  </w:r>
                  <w:r>
                    <w:rPr>
                      <w:color w:val="auto"/>
                      <w:szCs w:val="21"/>
                    </w:rPr>
                    <w:t>100m</w:t>
                  </w:r>
                  <w:r>
                    <w:rPr>
                      <w:color w:val="auto"/>
                      <w:szCs w:val="21"/>
                      <w:vertAlign w:val="superscript"/>
                    </w:rPr>
                    <w:t>3</w:t>
                  </w:r>
                  <w:r>
                    <w:rPr>
                      <w:color w:val="auto"/>
                      <w:szCs w:val="21"/>
                    </w:rPr>
                    <w:t>）</w:t>
                  </w:r>
                  <w:r>
                    <w:rPr>
                      <w:rFonts w:hint="eastAsia"/>
                      <w:color w:val="auto"/>
                      <w:szCs w:val="21"/>
                      <w:lang w:eastAsia="zh-CN"/>
                    </w:rPr>
                    <w:t>，</w:t>
                  </w:r>
                  <w:r>
                    <w:rPr>
                      <w:rFonts w:hint="eastAsia"/>
                      <w:color w:val="auto"/>
                      <w:szCs w:val="21"/>
                      <w:lang w:val="en-US" w:eastAsia="zh-CN"/>
                    </w:rPr>
                    <w:t>矿区设10m</w:t>
                  </w:r>
                  <w:r>
                    <w:rPr>
                      <w:rFonts w:hint="eastAsia"/>
                      <w:color w:val="auto"/>
                      <w:szCs w:val="21"/>
                      <w:vertAlign w:val="superscript"/>
                      <w:lang w:val="en-US" w:eastAsia="zh-CN"/>
                    </w:rPr>
                    <w:t>3</w:t>
                  </w:r>
                  <w:r>
                    <w:rPr>
                      <w:rFonts w:hint="eastAsia"/>
                      <w:color w:val="auto"/>
                      <w:szCs w:val="21"/>
                      <w:lang w:eastAsia="zh-CN"/>
                    </w:rPr>
                    <w:t>沉淀池，</w:t>
                  </w:r>
                  <w:r>
                    <w:rPr>
                      <w:rFonts w:hint="eastAsia"/>
                      <w:color w:val="auto"/>
                      <w:szCs w:val="21"/>
                      <w:lang w:val="en-US" w:eastAsia="zh-CN"/>
                    </w:rPr>
                    <w:t>用于车辆</w:t>
                  </w:r>
                  <w:r>
                    <w:rPr>
                      <w:rFonts w:hint="eastAsia"/>
                      <w:color w:val="auto"/>
                      <w:szCs w:val="21"/>
                      <w:lang w:eastAsia="zh-CN"/>
                    </w:rPr>
                    <w:t>清洗。</w:t>
                  </w:r>
                </w:p>
              </w:tc>
            </w:tr>
            <w:tr w14:paraId="4662FA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19D4CE9B">
                  <w:pPr>
                    <w:adjustRightInd w:val="0"/>
                    <w:snapToGrid w:val="0"/>
                    <w:jc w:val="center"/>
                    <w:rPr>
                      <w:color w:val="auto"/>
                      <w:szCs w:val="21"/>
                      <w:lang w:val="zh-CN"/>
                    </w:rPr>
                  </w:pPr>
                </w:p>
              </w:tc>
              <w:tc>
                <w:tcPr>
                  <w:tcW w:w="1381" w:type="dxa"/>
                  <w:vAlign w:val="center"/>
                </w:tcPr>
                <w:p w14:paraId="1406D2B3">
                  <w:pPr>
                    <w:pStyle w:val="59"/>
                    <w:rPr>
                      <w:rFonts w:ascii="Times New Roman" w:hAnsi="Times New Roman" w:cs="Times New Roman"/>
                      <w:color w:val="auto"/>
                      <w:szCs w:val="21"/>
                    </w:rPr>
                  </w:pPr>
                  <w:r>
                    <w:rPr>
                      <w:rFonts w:ascii="Times New Roman" w:hAnsi="Times New Roman" w:cs="Times New Roman"/>
                      <w:color w:val="auto"/>
                      <w:szCs w:val="21"/>
                    </w:rPr>
                    <w:t>排水</w:t>
                  </w:r>
                </w:p>
              </w:tc>
              <w:tc>
                <w:tcPr>
                  <w:tcW w:w="6036" w:type="dxa"/>
                  <w:tcBorders>
                    <w:top w:val="single" w:color="auto" w:sz="4" w:space="0"/>
                    <w:bottom w:val="single" w:color="auto" w:sz="4" w:space="0"/>
                  </w:tcBorders>
                  <w:vAlign w:val="center"/>
                </w:tcPr>
                <w:p w14:paraId="64CDCDF4">
                  <w:pPr>
                    <w:autoSpaceDE w:val="0"/>
                    <w:autoSpaceDN w:val="0"/>
                    <w:adjustRightInd w:val="0"/>
                    <w:rPr>
                      <w:color w:val="auto"/>
                      <w:spacing w:val="-2"/>
                      <w:szCs w:val="21"/>
                    </w:rPr>
                  </w:pPr>
                  <w:r>
                    <w:rPr>
                      <w:color w:val="auto"/>
                      <w:spacing w:val="-2"/>
                      <w:szCs w:val="21"/>
                    </w:rPr>
                    <w:t>矿区</w:t>
                  </w:r>
                  <w:r>
                    <w:rPr>
                      <w:rFonts w:hint="eastAsia"/>
                      <w:color w:val="auto"/>
                      <w:spacing w:val="-2"/>
                      <w:szCs w:val="21"/>
                    </w:rPr>
                    <w:t>不设办公生活区，运营期设1处环保厕所</w:t>
                  </w:r>
                  <w:r>
                    <w:rPr>
                      <w:rFonts w:hint="eastAsia"/>
                      <w:color w:val="auto"/>
                      <w:spacing w:val="-2"/>
                      <w:szCs w:val="21"/>
                      <w:lang w:eastAsia="zh-CN"/>
                    </w:rPr>
                    <w:t>、</w:t>
                  </w:r>
                  <w:r>
                    <w:rPr>
                      <w:rFonts w:hint="eastAsia"/>
                      <w:color w:val="auto"/>
                      <w:spacing w:val="-2"/>
                      <w:szCs w:val="21"/>
                      <w:lang w:val="en-US" w:eastAsia="zh-CN"/>
                    </w:rPr>
                    <w:t>1座防渗化粪池（15m</w:t>
                  </w:r>
                  <w:r>
                    <w:rPr>
                      <w:rFonts w:hint="eastAsia"/>
                      <w:color w:val="auto"/>
                      <w:spacing w:val="-2"/>
                      <w:szCs w:val="21"/>
                      <w:vertAlign w:val="superscript"/>
                      <w:lang w:val="en-US" w:eastAsia="zh-CN"/>
                    </w:rPr>
                    <w:t>3</w:t>
                  </w:r>
                  <w:r>
                    <w:rPr>
                      <w:rFonts w:hint="eastAsia"/>
                      <w:color w:val="auto"/>
                      <w:spacing w:val="-2"/>
                      <w:szCs w:val="21"/>
                      <w:lang w:val="en-US" w:eastAsia="zh-CN"/>
                    </w:rPr>
                    <w:t>）</w:t>
                  </w:r>
                  <w:r>
                    <w:rPr>
                      <w:rFonts w:hint="eastAsia"/>
                      <w:color w:val="auto"/>
                      <w:spacing w:val="-2"/>
                      <w:szCs w:val="21"/>
                    </w:rPr>
                    <w:t>。</w:t>
                  </w:r>
                </w:p>
              </w:tc>
            </w:tr>
            <w:tr w14:paraId="301DD5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5E416EE0">
                  <w:pPr>
                    <w:adjustRightInd w:val="0"/>
                    <w:snapToGrid w:val="0"/>
                    <w:jc w:val="center"/>
                    <w:rPr>
                      <w:color w:val="auto"/>
                      <w:szCs w:val="21"/>
                      <w:lang w:val="zh-CN"/>
                    </w:rPr>
                  </w:pPr>
                </w:p>
              </w:tc>
              <w:tc>
                <w:tcPr>
                  <w:tcW w:w="1381" w:type="dxa"/>
                  <w:vAlign w:val="center"/>
                </w:tcPr>
                <w:p w14:paraId="0F476F3B">
                  <w:pPr>
                    <w:pStyle w:val="59"/>
                    <w:rPr>
                      <w:rFonts w:ascii="Times New Roman" w:hAnsi="Times New Roman" w:cs="Times New Roman"/>
                      <w:color w:val="auto"/>
                      <w:szCs w:val="21"/>
                    </w:rPr>
                  </w:pPr>
                  <w:r>
                    <w:rPr>
                      <w:rFonts w:ascii="Times New Roman" w:hAnsi="Times New Roman" w:cs="Times New Roman"/>
                      <w:color w:val="auto"/>
                      <w:szCs w:val="21"/>
                    </w:rPr>
                    <w:t>供电</w:t>
                  </w:r>
                </w:p>
              </w:tc>
              <w:tc>
                <w:tcPr>
                  <w:tcW w:w="6036" w:type="dxa"/>
                  <w:tcBorders>
                    <w:top w:val="single" w:color="auto" w:sz="4" w:space="0"/>
                    <w:bottom w:val="single" w:color="auto" w:sz="4" w:space="0"/>
                  </w:tcBorders>
                  <w:vAlign w:val="center"/>
                </w:tcPr>
                <w:p w14:paraId="4282D478">
                  <w:pPr>
                    <w:autoSpaceDE w:val="0"/>
                    <w:autoSpaceDN w:val="0"/>
                    <w:adjustRightInd w:val="0"/>
                    <w:rPr>
                      <w:color w:val="auto"/>
                      <w:spacing w:val="-2"/>
                      <w:szCs w:val="21"/>
                    </w:rPr>
                  </w:pPr>
                  <w:r>
                    <w:rPr>
                      <w:color w:val="auto"/>
                      <w:szCs w:val="21"/>
                    </w:rPr>
                    <w:t>矿山采场无电动设备，每天工作1班，夜晚不生产，不设照明。</w:t>
                  </w:r>
                </w:p>
              </w:tc>
            </w:tr>
            <w:tr w14:paraId="668393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restart"/>
                  <w:vAlign w:val="center"/>
                </w:tcPr>
                <w:p w14:paraId="0398AF98">
                  <w:pPr>
                    <w:adjustRightInd w:val="0"/>
                    <w:snapToGrid w:val="0"/>
                    <w:jc w:val="center"/>
                    <w:rPr>
                      <w:color w:val="auto"/>
                      <w:szCs w:val="21"/>
                    </w:rPr>
                  </w:pPr>
                  <w:r>
                    <w:rPr>
                      <w:color w:val="auto"/>
                      <w:szCs w:val="21"/>
                    </w:rPr>
                    <w:t>环保工程</w:t>
                  </w:r>
                </w:p>
              </w:tc>
              <w:tc>
                <w:tcPr>
                  <w:tcW w:w="1381" w:type="dxa"/>
                  <w:vAlign w:val="center"/>
                </w:tcPr>
                <w:p w14:paraId="13951F9B">
                  <w:pPr>
                    <w:pStyle w:val="59"/>
                    <w:rPr>
                      <w:rFonts w:ascii="Times New Roman" w:hAnsi="Times New Roman" w:cs="Times New Roman"/>
                      <w:color w:val="auto"/>
                      <w:szCs w:val="21"/>
                    </w:rPr>
                  </w:pPr>
                  <w:r>
                    <w:rPr>
                      <w:rFonts w:ascii="Times New Roman" w:hAnsi="Times New Roman" w:cs="Times New Roman"/>
                      <w:color w:val="auto"/>
                      <w:szCs w:val="21"/>
                    </w:rPr>
                    <w:t>废气</w:t>
                  </w:r>
                </w:p>
              </w:tc>
              <w:tc>
                <w:tcPr>
                  <w:tcW w:w="6036" w:type="dxa"/>
                  <w:tcBorders>
                    <w:top w:val="single" w:color="auto" w:sz="4" w:space="0"/>
                    <w:bottom w:val="single" w:color="auto" w:sz="4" w:space="0"/>
                  </w:tcBorders>
                  <w:vAlign w:val="center"/>
                </w:tcPr>
                <w:p w14:paraId="5AEA386D">
                  <w:pPr>
                    <w:autoSpaceDE w:val="0"/>
                    <w:autoSpaceDN w:val="0"/>
                    <w:adjustRightInd w:val="0"/>
                    <w:rPr>
                      <w:color w:val="auto"/>
                      <w:spacing w:val="-2"/>
                      <w:szCs w:val="21"/>
                    </w:rPr>
                  </w:pPr>
                  <w:r>
                    <w:rPr>
                      <w:rFonts w:hint="eastAsia" w:cstheme="minorBidi"/>
                      <w:bCs/>
                      <w:color w:val="auto"/>
                      <w:kern w:val="44"/>
                    </w:rPr>
                    <w:t>开采作业面及建筑用砂装卸过程中采用雾炮机水雾增湿除尘方式降尘；开采至矿区边界时，在靠近养殖区一侧设置围挡措施；表土堆场、运输道路洒水降尘，堆场采用防尘网苫盖；对车辆进行清洗，降低扬尘产生</w:t>
                  </w:r>
                  <w:r>
                    <w:rPr>
                      <w:rFonts w:hint="eastAsia" w:cstheme="minorBidi"/>
                      <w:bCs/>
                      <w:color w:val="auto"/>
                      <w:kern w:val="44"/>
                      <w:lang w:eastAsia="zh-CN"/>
                    </w:rPr>
                    <w:t>；</w:t>
                  </w:r>
                  <w:r>
                    <w:rPr>
                      <w:rFonts w:hint="eastAsia" w:cstheme="minorBidi"/>
                      <w:bCs/>
                      <w:color w:val="auto"/>
                      <w:kern w:val="44"/>
                      <w:szCs w:val="21"/>
                    </w:rPr>
                    <w:t>项目砂石矿运输车辆采用篷布遮盖，</w:t>
                  </w:r>
                  <w:r>
                    <w:rPr>
                      <w:color w:val="auto"/>
                      <w:szCs w:val="21"/>
                    </w:rPr>
                    <w:t>控制运输车辆行驶速度及装载量，减少物料转运环节，缩短物料运输距离，严禁在大风及暴雨天气进行物料采装、运输等。</w:t>
                  </w:r>
                </w:p>
              </w:tc>
            </w:tr>
            <w:tr w14:paraId="16C55D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7FC802A7">
                  <w:pPr>
                    <w:adjustRightInd w:val="0"/>
                    <w:snapToGrid w:val="0"/>
                    <w:jc w:val="center"/>
                    <w:rPr>
                      <w:color w:val="auto"/>
                      <w:szCs w:val="21"/>
                    </w:rPr>
                  </w:pPr>
                  <w:r>
                    <w:rPr>
                      <w:rFonts w:hint="eastAsia"/>
                      <w:color w:val="auto"/>
                      <w:szCs w:val="21"/>
                    </w:rPr>
                    <w:t>废水</w:t>
                  </w:r>
                </w:p>
              </w:tc>
              <w:tc>
                <w:tcPr>
                  <w:tcW w:w="1381" w:type="dxa"/>
                  <w:vAlign w:val="center"/>
                </w:tcPr>
                <w:p w14:paraId="2C1618B2">
                  <w:pPr>
                    <w:pStyle w:val="59"/>
                    <w:rPr>
                      <w:rFonts w:ascii="Times New Roman" w:hAnsi="Times New Roman" w:cs="Times New Roman"/>
                      <w:color w:val="auto"/>
                      <w:szCs w:val="21"/>
                    </w:rPr>
                  </w:pPr>
                  <w:r>
                    <w:rPr>
                      <w:rFonts w:hint="eastAsia" w:ascii="Times New Roman" w:hAnsi="Times New Roman" w:cs="Times New Roman"/>
                      <w:color w:val="auto"/>
                      <w:szCs w:val="21"/>
                    </w:rPr>
                    <w:t>废水</w:t>
                  </w:r>
                </w:p>
              </w:tc>
              <w:tc>
                <w:tcPr>
                  <w:tcW w:w="6036" w:type="dxa"/>
                  <w:tcBorders>
                    <w:top w:val="single" w:color="auto" w:sz="4" w:space="0"/>
                    <w:bottom w:val="single" w:color="auto" w:sz="4" w:space="0"/>
                  </w:tcBorders>
                  <w:vAlign w:val="center"/>
                </w:tcPr>
                <w:p w14:paraId="70A02094">
                  <w:pPr>
                    <w:autoSpaceDE w:val="0"/>
                    <w:autoSpaceDN w:val="0"/>
                    <w:adjustRightInd w:val="0"/>
                    <w:rPr>
                      <w:rFonts w:hint="eastAsia" w:eastAsia="宋体" w:cstheme="minorBidi"/>
                      <w:bCs/>
                      <w:color w:val="auto"/>
                      <w:kern w:val="44"/>
                      <w:lang w:eastAsia="zh-CN"/>
                    </w:rPr>
                  </w:pPr>
                  <w:r>
                    <w:rPr>
                      <w:color w:val="auto"/>
                      <w:spacing w:val="-2"/>
                      <w:szCs w:val="21"/>
                    </w:rPr>
                    <w:t>矿区</w:t>
                  </w:r>
                  <w:r>
                    <w:rPr>
                      <w:rFonts w:hint="eastAsia"/>
                      <w:color w:val="auto"/>
                      <w:spacing w:val="-2"/>
                      <w:szCs w:val="21"/>
                    </w:rPr>
                    <w:t>不设办公生活区，运营期设1处环保厕所</w:t>
                  </w:r>
                  <w:r>
                    <w:rPr>
                      <w:rFonts w:hint="eastAsia"/>
                      <w:color w:val="auto"/>
                      <w:spacing w:val="-2"/>
                      <w:szCs w:val="21"/>
                      <w:lang w:eastAsia="zh-CN"/>
                    </w:rPr>
                    <w:t>、</w:t>
                  </w:r>
                  <w:r>
                    <w:rPr>
                      <w:rFonts w:hint="eastAsia"/>
                      <w:color w:val="auto"/>
                      <w:spacing w:val="-2"/>
                      <w:szCs w:val="21"/>
                      <w:lang w:val="en-US" w:eastAsia="zh-CN"/>
                    </w:rPr>
                    <w:t>1座防渗化粪池（15m</w:t>
                  </w:r>
                  <w:r>
                    <w:rPr>
                      <w:rFonts w:hint="eastAsia"/>
                      <w:color w:val="auto"/>
                      <w:spacing w:val="-2"/>
                      <w:szCs w:val="21"/>
                      <w:vertAlign w:val="superscript"/>
                      <w:lang w:val="en-US" w:eastAsia="zh-CN"/>
                    </w:rPr>
                    <w:t>3</w:t>
                  </w:r>
                  <w:r>
                    <w:rPr>
                      <w:rFonts w:hint="eastAsia"/>
                      <w:color w:val="auto"/>
                      <w:spacing w:val="-2"/>
                      <w:szCs w:val="21"/>
                      <w:lang w:val="en-US" w:eastAsia="zh-CN"/>
                    </w:rPr>
                    <w:t>）</w:t>
                  </w:r>
                  <w:r>
                    <w:rPr>
                      <w:rFonts w:hint="eastAsia"/>
                      <w:color w:val="auto"/>
                      <w:spacing w:val="-2"/>
                      <w:szCs w:val="21"/>
                    </w:rPr>
                    <w:t>，定期由吸污车拉运至奇台县污水处理厂进一步处理。车辆清洗废水经沉淀池（容积 10m³）处理后，用于车辆清洗，不外排</w:t>
                  </w:r>
                  <w:r>
                    <w:rPr>
                      <w:rFonts w:hint="eastAsia"/>
                      <w:color w:val="auto"/>
                      <w:spacing w:val="-2"/>
                      <w:szCs w:val="21"/>
                      <w:lang w:eastAsia="zh-CN"/>
                    </w:rPr>
                    <w:t>。</w:t>
                  </w:r>
                </w:p>
              </w:tc>
            </w:tr>
            <w:tr w14:paraId="0E5B63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5C394EC7">
                  <w:pPr>
                    <w:adjustRightInd w:val="0"/>
                    <w:snapToGrid w:val="0"/>
                    <w:jc w:val="center"/>
                    <w:rPr>
                      <w:color w:val="auto"/>
                      <w:szCs w:val="21"/>
                      <w:lang w:val="zh-CN"/>
                    </w:rPr>
                  </w:pPr>
                </w:p>
              </w:tc>
              <w:tc>
                <w:tcPr>
                  <w:tcW w:w="1381" w:type="dxa"/>
                  <w:vAlign w:val="center"/>
                </w:tcPr>
                <w:p w14:paraId="04F02C36">
                  <w:pPr>
                    <w:pStyle w:val="59"/>
                    <w:rPr>
                      <w:rFonts w:ascii="Times New Roman" w:hAnsi="Times New Roman" w:cs="Times New Roman"/>
                      <w:color w:val="auto"/>
                      <w:szCs w:val="21"/>
                    </w:rPr>
                  </w:pPr>
                  <w:r>
                    <w:rPr>
                      <w:rFonts w:ascii="Times New Roman" w:hAnsi="Times New Roman" w:cs="Times New Roman"/>
                      <w:color w:val="auto"/>
                      <w:szCs w:val="21"/>
                    </w:rPr>
                    <w:t>噪声</w:t>
                  </w:r>
                </w:p>
              </w:tc>
              <w:tc>
                <w:tcPr>
                  <w:tcW w:w="6036" w:type="dxa"/>
                  <w:tcBorders>
                    <w:top w:val="single" w:color="auto" w:sz="4" w:space="0"/>
                    <w:bottom w:val="single" w:color="auto" w:sz="4" w:space="0"/>
                  </w:tcBorders>
                  <w:vAlign w:val="center"/>
                </w:tcPr>
                <w:p w14:paraId="0CDCD170">
                  <w:pPr>
                    <w:autoSpaceDE w:val="0"/>
                    <w:autoSpaceDN w:val="0"/>
                    <w:adjustRightInd w:val="0"/>
                    <w:rPr>
                      <w:color w:val="auto"/>
                      <w:spacing w:val="-2"/>
                      <w:szCs w:val="21"/>
                    </w:rPr>
                  </w:pPr>
                  <w:r>
                    <w:rPr>
                      <w:rFonts w:hint="eastAsia"/>
                      <w:color w:val="auto"/>
                      <w:kern w:val="0"/>
                      <w:szCs w:val="21"/>
                    </w:rPr>
                    <w:t>低噪声设备、加强设备保养，车辆</w:t>
                  </w:r>
                  <w:r>
                    <w:rPr>
                      <w:rFonts w:hint="eastAsia"/>
                      <w:color w:val="auto"/>
                      <w:szCs w:val="21"/>
                    </w:rPr>
                    <w:t>采取禁鸣限速措施；开采至矿区边界时，在靠近养殖区一侧设置围挡措施</w:t>
                  </w:r>
                </w:p>
              </w:tc>
            </w:tr>
            <w:tr w14:paraId="5965F7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6306ABA1">
                  <w:pPr>
                    <w:adjustRightInd w:val="0"/>
                    <w:snapToGrid w:val="0"/>
                    <w:jc w:val="center"/>
                    <w:rPr>
                      <w:color w:val="auto"/>
                      <w:szCs w:val="21"/>
                      <w:lang w:val="zh-CN"/>
                    </w:rPr>
                  </w:pPr>
                </w:p>
              </w:tc>
              <w:tc>
                <w:tcPr>
                  <w:tcW w:w="1381" w:type="dxa"/>
                  <w:vAlign w:val="center"/>
                </w:tcPr>
                <w:p w14:paraId="11F31B0E">
                  <w:pPr>
                    <w:pStyle w:val="59"/>
                    <w:rPr>
                      <w:rFonts w:ascii="Times New Roman" w:hAnsi="Times New Roman" w:cs="Times New Roman"/>
                      <w:color w:val="auto"/>
                      <w:szCs w:val="21"/>
                    </w:rPr>
                  </w:pPr>
                  <w:r>
                    <w:rPr>
                      <w:rFonts w:ascii="Times New Roman" w:hAnsi="Times New Roman" w:cs="Times New Roman"/>
                      <w:color w:val="auto"/>
                      <w:szCs w:val="21"/>
                    </w:rPr>
                    <w:t>固废</w:t>
                  </w:r>
                </w:p>
              </w:tc>
              <w:tc>
                <w:tcPr>
                  <w:tcW w:w="6036" w:type="dxa"/>
                  <w:tcBorders>
                    <w:top w:val="single" w:color="auto" w:sz="4" w:space="0"/>
                    <w:bottom w:val="single" w:color="auto" w:sz="4" w:space="0"/>
                  </w:tcBorders>
                  <w:vAlign w:val="center"/>
                </w:tcPr>
                <w:p w14:paraId="36619A37">
                  <w:pPr>
                    <w:autoSpaceDE w:val="0"/>
                    <w:autoSpaceDN w:val="0"/>
                    <w:adjustRightInd w:val="0"/>
                    <w:rPr>
                      <w:color w:val="auto"/>
                      <w:spacing w:val="-2"/>
                      <w:szCs w:val="21"/>
                    </w:rPr>
                  </w:pPr>
                  <w:r>
                    <w:rPr>
                      <w:color w:val="auto"/>
                      <w:spacing w:val="-2"/>
                      <w:szCs w:val="21"/>
                    </w:rPr>
                    <w:t>剥离表土集中堆至表土堆场，后期用于土地复垦</w:t>
                  </w:r>
                  <w:r>
                    <w:rPr>
                      <w:rFonts w:hint="eastAsia"/>
                      <w:color w:val="auto"/>
                      <w:spacing w:val="-2"/>
                      <w:szCs w:val="21"/>
                    </w:rPr>
                    <w:t>；矿区产生的生活垃圾集中收集，定期清运至奇台县三个庄子镇垃圾收集点。</w:t>
                  </w:r>
                </w:p>
              </w:tc>
            </w:tr>
            <w:tr w14:paraId="18A605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37CD8EE8">
                  <w:pPr>
                    <w:adjustRightInd w:val="0"/>
                    <w:snapToGrid w:val="0"/>
                    <w:jc w:val="center"/>
                    <w:rPr>
                      <w:color w:val="auto"/>
                      <w:szCs w:val="21"/>
                      <w:lang w:val="zh-CN"/>
                    </w:rPr>
                  </w:pPr>
                </w:p>
              </w:tc>
              <w:tc>
                <w:tcPr>
                  <w:tcW w:w="1381" w:type="dxa"/>
                  <w:vAlign w:val="center"/>
                </w:tcPr>
                <w:p w14:paraId="63F021C3">
                  <w:pPr>
                    <w:pStyle w:val="59"/>
                    <w:rPr>
                      <w:rFonts w:ascii="Times New Roman" w:hAnsi="Times New Roman" w:cs="Times New Roman"/>
                      <w:color w:val="auto"/>
                      <w:szCs w:val="21"/>
                    </w:rPr>
                  </w:pPr>
                  <w:r>
                    <w:rPr>
                      <w:rFonts w:ascii="Times New Roman" w:hAnsi="Times New Roman" w:cs="Times New Roman"/>
                      <w:color w:val="auto"/>
                      <w:szCs w:val="21"/>
                    </w:rPr>
                    <w:t>生态环境保护</w:t>
                  </w:r>
                </w:p>
              </w:tc>
              <w:tc>
                <w:tcPr>
                  <w:tcW w:w="6036" w:type="dxa"/>
                  <w:tcBorders>
                    <w:top w:val="single" w:color="auto" w:sz="4" w:space="0"/>
                  </w:tcBorders>
                  <w:vAlign w:val="center"/>
                </w:tcPr>
                <w:p w14:paraId="0E4C1A9F">
                  <w:pPr>
                    <w:autoSpaceDE w:val="0"/>
                    <w:autoSpaceDN w:val="0"/>
                    <w:adjustRightInd w:val="0"/>
                    <w:rPr>
                      <w:color w:val="auto"/>
                      <w:spacing w:val="-2"/>
                      <w:szCs w:val="21"/>
                    </w:rPr>
                  </w:pPr>
                  <w:r>
                    <w:rPr>
                      <w:color w:val="auto"/>
                      <w:spacing w:val="-2"/>
                      <w:szCs w:val="21"/>
                    </w:rPr>
                    <w:t>运营期</w:t>
                  </w:r>
                  <w:r>
                    <w:rPr>
                      <w:rFonts w:hint="eastAsia"/>
                      <w:color w:val="auto"/>
                      <w:spacing w:val="-2"/>
                      <w:szCs w:val="21"/>
                    </w:rPr>
                    <w:t>先开采2号矿区，再开采1号矿区</w:t>
                  </w:r>
                  <w:r>
                    <w:rPr>
                      <w:color w:val="auto"/>
                      <w:spacing w:val="-2"/>
                      <w:szCs w:val="21"/>
                    </w:rPr>
                    <w:t>，矿区采取边开采边恢复，终止采矿活动时必须完成恢复治理；矿区内撒播区域常见耐旱的草籽，防止土地沙化；科学设置堆场，并采取防洪、排水、边坡防护、工程拦挡等水土保持措施；闭矿后进行土地复垦，对矿区周边进行表土回填和迹地覆土恢复等措施。</w:t>
                  </w:r>
                </w:p>
              </w:tc>
            </w:tr>
          </w:tbl>
          <w:p w14:paraId="341AB687">
            <w:pPr>
              <w:numPr>
                <w:ilvl w:val="0"/>
                <w:numId w:val="5"/>
              </w:numPr>
              <w:adjustRightInd w:val="0"/>
              <w:spacing w:before="120" w:beforeLines="50" w:line="360" w:lineRule="auto"/>
              <w:rPr>
                <w:b/>
                <w:bCs/>
                <w:color w:val="auto"/>
                <w:sz w:val="24"/>
              </w:rPr>
            </w:pPr>
            <w:r>
              <w:rPr>
                <w:rFonts w:hint="eastAsia"/>
                <w:b/>
                <w:bCs/>
                <w:color w:val="auto"/>
                <w:sz w:val="24"/>
              </w:rPr>
              <w:t>经济技术指标</w:t>
            </w:r>
          </w:p>
          <w:p w14:paraId="7FD93799">
            <w:pPr>
              <w:widowControl/>
              <w:ind w:firstLine="480" w:firstLineChars="200"/>
              <w:jc w:val="left"/>
              <w:rPr>
                <w:color w:val="auto"/>
              </w:rPr>
            </w:pPr>
            <w:r>
              <w:rPr>
                <w:rFonts w:hint="eastAsia"/>
                <w:color w:val="auto"/>
                <w:sz w:val="24"/>
              </w:rPr>
              <w:t>本项目主要经济技术指标见下表。</w:t>
            </w:r>
            <w:r>
              <w:rPr>
                <w:rFonts w:hint="eastAsia" w:ascii="宋体" w:hAnsi="宋体" w:cs="宋体"/>
                <w:color w:val="auto"/>
                <w:kern w:val="0"/>
                <w:sz w:val="24"/>
                <w:lang w:bidi="ar"/>
              </w:rPr>
              <w:t xml:space="preserve"> </w:t>
            </w:r>
          </w:p>
          <w:p w14:paraId="4B36F1A0">
            <w:pPr>
              <w:pStyle w:val="64"/>
              <w:outlineLvl w:val="9"/>
              <w:rPr>
                <w:rFonts w:hint="default"/>
                <w:b/>
                <w:bCs/>
                <w:color w:val="auto"/>
                <w:lang w:val="zh-CN"/>
              </w:rPr>
            </w:pPr>
            <w:r>
              <w:rPr>
                <w:b/>
                <w:bCs/>
                <w:color w:val="auto"/>
              </w:rPr>
              <w:t>表</w:t>
            </w:r>
            <w:r>
              <w:rPr>
                <w:rFonts w:hint="default"/>
                <w:b/>
                <w:bCs/>
                <w:color w:val="auto"/>
              </w:rPr>
              <w:t>2-3</w:t>
            </w:r>
            <w:r>
              <w:rPr>
                <w:b/>
                <w:bCs/>
                <w:color w:val="auto"/>
              </w:rPr>
              <w:t xml:space="preserve">    主要经济技术指标</w:t>
            </w:r>
          </w:p>
          <w:tbl>
            <w:tblPr>
              <w:tblStyle w:val="28"/>
              <w:tblW w:w="500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15"/>
              <w:gridCol w:w="2970"/>
              <w:gridCol w:w="1247"/>
              <w:gridCol w:w="1530"/>
              <w:gridCol w:w="1801"/>
            </w:tblGrid>
            <w:tr w14:paraId="41BCA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blHeader/>
                <w:jc w:val="center"/>
              </w:trPr>
              <w:tc>
                <w:tcPr>
                  <w:tcW w:w="376" w:type="pct"/>
                  <w:vAlign w:val="center"/>
                </w:tcPr>
                <w:p w14:paraId="15E06982">
                  <w:pPr>
                    <w:pStyle w:val="92"/>
                    <w:jc w:val="center"/>
                    <w:rPr>
                      <w:color w:val="auto"/>
                      <w:szCs w:val="21"/>
                    </w:rPr>
                  </w:pPr>
                  <w:r>
                    <w:rPr>
                      <w:color w:val="auto"/>
                      <w:szCs w:val="21"/>
                    </w:rPr>
                    <w:t>序号</w:t>
                  </w:r>
                </w:p>
              </w:tc>
              <w:tc>
                <w:tcPr>
                  <w:tcW w:w="1819" w:type="pct"/>
                  <w:vAlign w:val="center"/>
                </w:tcPr>
                <w:p w14:paraId="5D3C66A8">
                  <w:pPr>
                    <w:pStyle w:val="92"/>
                    <w:jc w:val="center"/>
                    <w:rPr>
                      <w:color w:val="auto"/>
                      <w:szCs w:val="21"/>
                    </w:rPr>
                  </w:pPr>
                  <w:r>
                    <w:rPr>
                      <w:color w:val="auto"/>
                      <w:szCs w:val="21"/>
                    </w:rPr>
                    <w:t>指 标 名 称</w:t>
                  </w:r>
                </w:p>
              </w:tc>
              <w:tc>
                <w:tcPr>
                  <w:tcW w:w="764" w:type="pct"/>
                  <w:vAlign w:val="center"/>
                </w:tcPr>
                <w:p w14:paraId="713B3157">
                  <w:pPr>
                    <w:pStyle w:val="92"/>
                    <w:jc w:val="center"/>
                    <w:rPr>
                      <w:color w:val="auto"/>
                      <w:szCs w:val="21"/>
                    </w:rPr>
                  </w:pPr>
                  <w:r>
                    <w:rPr>
                      <w:color w:val="auto"/>
                      <w:szCs w:val="21"/>
                    </w:rPr>
                    <w:t>单  位</w:t>
                  </w:r>
                </w:p>
              </w:tc>
              <w:tc>
                <w:tcPr>
                  <w:tcW w:w="937" w:type="pct"/>
                  <w:vAlign w:val="center"/>
                </w:tcPr>
                <w:p w14:paraId="06E0CF8B">
                  <w:pPr>
                    <w:pStyle w:val="92"/>
                    <w:jc w:val="center"/>
                    <w:rPr>
                      <w:color w:val="auto"/>
                      <w:szCs w:val="21"/>
                    </w:rPr>
                  </w:pPr>
                  <w:r>
                    <w:rPr>
                      <w:color w:val="auto"/>
                      <w:szCs w:val="21"/>
                    </w:rPr>
                    <w:t>数  量</w:t>
                  </w:r>
                </w:p>
              </w:tc>
              <w:tc>
                <w:tcPr>
                  <w:tcW w:w="1103" w:type="pct"/>
                  <w:vAlign w:val="center"/>
                </w:tcPr>
                <w:p w14:paraId="7986C190">
                  <w:pPr>
                    <w:pStyle w:val="92"/>
                    <w:jc w:val="center"/>
                    <w:rPr>
                      <w:color w:val="auto"/>
                      <w:szCs w:val="21"/>
                    </w:rPr>
                  </w:pPr>
                  <w:r>
                    <w:rPr>
                      <w:color w:val="auto"/>
                      <w:szCs w:val="21"/>
                    </w:rPr>
                    <w:t>备  注</w:t>
                  </w:r>
                </w:p>
              </w:tc>
            </w:tr>
            <w:tr w14:paraId="27F8F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7DA295E7">
                  <w:pPr>
                    <w:pStyle w:val="92"/>
                    <w:jc w:val="center"/>
                    <w:rPr>
                      <w:color w:val="auto"/>
                      <w:szCs w:val="21"/>
                    </w:rPr>
                  </w:pPr>
                  <w:r>
                    <w:rPr>
                      <w:color w:val="auto"/>
                      <w:szCs w:val="21"/>
                    </w:rPr>
                    <w:t>1</w:t>
                  </w:r>
                </w:p>
              </w:tc>
              <w:tc>
                <w:tcPr>
                  <w:tcW w:w="1819" w:type="pct"/>
                  <w:vAlign w:val="center"/>
                </w:tcPr>
                <w:p w14:paraId="615DBC0C">
                  <w:pPr>
                    <w:pStyle w:val="92"/>
                    <w:jc w:val="center"/>
                    <w:rPr>
                      <w:color w:val="auto"/>
                      <w:szCs w:val="21"/>
                    </w:rPr>
                  </w:pPr>
                  <w:r>
                    <w:rPr>
                      <w:color w:val="auto"/>
                      <w:szCs w:val="21"/>
                    </w:rPr>
                    <w:t>矿石资源/储量</w:t>
                  </w:r>
                </w:p>
              </w:tc>
              <w:tc>
                <w:tcPr>
                  <w:tcW w:w="764" w:type="pct"/>
                  <w:vAlign w:val="center"/>
                </w:tcPr>
                <w:p w14:paraId="6403FF62">
                  <w:pPr>
                    <w:pStyle w:val="92"/>
                    <w:jc w:val="center"/>
                    <w:rPr>
                      <w:color w:val="auto"/>
                      <w:szCs w:val="21"/>
                    </w:rPr>
                  </w:pPr>
                </w:p>
              </w:tc>
              <w:tc>
                <w:tcPr>
                  <w:tcW w:w="937" w:type="pct"/>
                  <w:vAlign w:val="center"/>
                </w:tcPr>
                <w:p w14:paraId="08694971">
                  <w:pPr>
                    <w:pStyle w:val="92"/>
                    <w:jc w:val="center"/>
                    <w:rPr>
                      <w:color w:val="auto"/>
                      <w:szCs w:val="21"/>
                    </w:rPr>
                  </w:pPr>
                </w:p>
              </w:tc>
              <w:tc>
                <w:tcPr>
                  <w:tcW w:w="1103" w:type="pct"/>
                  <w:vAlign w:val="center"/>
                </w:tcPr>
                <w:p w14:paraId="4A332AAC">
                  <w:pPr>
                    <w:pStyle w:val="92"/>
                    <w:jc w:val="center"/>
                    <w:rPr>
                      <w:color w:val="auto"/>
                      <w:szCs w:val="21"/>
                    </w:rPr>
                  </w:pPr>
                </w:p>
              </w:tc>
            </w:tr>
            <w:tr w14:paraId="6C677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1473A048">
                  <w:pPr>
                    <w:pStyle w:val="92"/>
                    <w:jc w:val="center"/>
                    <w:rPr>
                      <w:color w:val="auto"/>
                      <w:szCs w:val="21"/>
                    </w:rPr>
                  </w:pPr>
                  <w:r>
                    <w:rPr>
                      <w:color w:val="auto"/>
                      <w:szCs w:val="21"/>
                    </w:rPr>
                    <w:t>⑴</w:t>
                  </w:r>
                </w:p>
              </w:tc>
              <w:tc>
                <w:tcPr>
                  <w:tcW w:w="1819" w:type="pct"/>
                  <w:vAlign w:val="center"/>
                </w:tcPr>
                <w:p w14:paraId="32D8A1C1">
                  <w:pPr>
                    <w:pStyle w:val="92"/>
                    <w:jc w:val="center"/>
                    <w:rPr>
                      <w:color w:val="auto"/>
                      <w:szCs w:val="21"/>
                    </w:rPr>
                  </w:pPr>
                  <w:r>
                    <w:rPr>
                      <w:color w:val="auto"/>
                      <w:szCs w:val="21"/>
                    </w:rPr>
                    <w:t>评审通过的保有资源/储量</w:t>
                  </w:r>
                </w:p>
              </w:tc>
              <w:tc>
                <w:tcPr>
                  <w:tcW w:w="764" w:type="pct"/>
                  <w:vAlign w:val="center"/>
                </w:tcPr>
                <w:p w14:paraId="3BC23A69">
                  <w:pPr>
                    <w:pStyle w:val="92"/>
                    <w:jc w:val="center"/>
                    <w:rPr>
                      <w:color w:val="auto"/>
                      <w:szCs w:val="21"/>
                    </w:rPr>
                  </w:pPr>
                  <w:r>
                    <w:rPr>
                      <w:color w:val="auto"/>
                      <w:szCs w:val="21"/>
                    </w:rPr>
                    <w:t>万m</w:t>
                  </w:r>
                  <w:r>
                    <w:rPr>
                      <w:color w:val="auto"/>
                      <w:szCs w:val="21"/>
                      <w:vertAlign w:val="superscript"/>
                    </w:rPr>
                    <w:t>3</w:t>
                  </w:r>
                </w:p>
              </w:tc>
              <w:tc>
                <w:tcPr>
                  <w:tcW w:w="937" w:type="pct"/>
                  <w:vAlign w:val="center"/>
                </w:tcPr>
                <w:p w14:paraId="2547AB0F">
                  <w:pPr>
                    <w:pStyle w:val="92"/>
                    <w:jc w:val="center"/>
                    <w:rPr>
                      <w:color w:val="auto"/>
                      <w:szCs w:val="21"/>
                    </w:rPr>
                  </w:pPr>
                  <w:r>
                    <w:rPr>
                      <w:rFonts w:hint="eastAsia"/>
                      <w:color w:val="auto"/>
                      <w:szCs w:val="21"/>
                    </w:rPr>
                    <w:t>343.89</w:t>
                  </w:r>
                </w:p>
              </w:tc>
              <w:tc>
                <w:tcPr>
                  <w:tcW w:w="1103" w:type="pct"/>
                  <w:vAlign w:val="center"/>
                </w:tcPr>
                <w:p w14:paraId="497A1AEB">
                  <w:pPr>
                    <w:pStyle w:val="92"/>
                    <w:jc w:val="center"/>
                    <w:rPr>
                      <w:color w:val="auto"/>
                      <w:szCs w:val="21"/>
                    </w:rPr>
                  </w:pPr>
                  <w:r>
                    <w:rPr>
                      <w:rFonts w:hint="eastAsia"/>
                      <w:color w:val="auto"/>
                      <w:szCs w:val="21"/>
                    </w:rPr>
                    <w:t>(</w:t>
                  </w:r>
                  <w:r>
                    <w:rPr>
                      <w:color w:val="auto"/>
                      <w:szCs w:val="21"/>
                      <w:lang w:val="zh-CN"/>
                    </w:rPr>
                    <w:t>33</w:t>
                  </w:r>
                  <w:r>
                    <w:rPr>
                      <w:color w:val="auto"/>
                      <w:szCs w:val="21"/>
                    </w:rPr>
                    <w:t>3</w:t>
                  </w:r>
                  <w:r>
                    <w:rPr>
                      <w:rFonts w:hint="eastAsia"/>
                      <w:color w:val="auto"/>
                      <w:szCs w:val="21"/>
                    </w:rPr>
                    <w:t>)</w:t>
                  </w:r>
                </w:p>
              </w:tc>
            </w:tr>
            <w:tr w14:paraId="2DF5A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57BD3BD6">
                  <w:pPr>
                    <w:pStyle w:val="92"/>
                    <w:jc w:val="center"/>
                    <w:rPr>
                      <w:color w:val="auto"/>
                      <w:szCs w:val="21"/>
                    </w:rPr>
                  </w:pPr>
                  <w:r>
                    <w:rPr>
                      <w:color w:val="auto"/>
                      <w:szCs w:val="21"/>
                    </w:rPr>
                    <w:t>⑵</w:t>
                  </w:r>
                </w:p>
              </w:tc>
              <w:tc>
                <w:tcPr>
                  <w:tcW w:w="1819" w:type="pct"/>
                  <w:vAlign w:val="center"/>
                </w:tcPr>
                <w:p w14:paraId="11AD55A4">
                  <w:pPr>
                    <w:pStyle w:val="92"/>
                    <w:jc w:val="center"/>
                    <w:rPr>
                      <w:color w:val="auto"/>
                      <w:szCs w:val="21"/>
                    </w:rPr>
                  </w:pPr>
                  <w:r>
                    <w:rPr>
                      <w:color w:val="auto"/>
                      <w:szCs w:val="21"/>
                    </w:rPr>
                    <w:t>开采境界内资源/储量</w:t>
                  </w:r>
                </w:p>
              </w:tc>
              <w:tc>
                <w:tcPr>
                  <w:tcW w:w="764" w:type="pct"/>
                  <w:vAlign w:val="center"/>
                </w:tcPr>
                <w:p w14:paraId="41BB2056">
                  <w:pPr>
                    <w:pStyle w:val="92"/>
                    <w:jc w:val="center"/>
                    <w:rPr>
                      <w:color w:val="auto"/>
                      <w:szCs w:val="21"/>
                    </w:rPr>
                  </w:pPr>
                  <w:r>
                    <w:rPr>
                      <w:color w:val="auto"/>
                      <w:szCs w:val="21"/>
                    </w:rPr>
                    <w:t>万m</w:t>
                  </w:r>
                  <w:r>
                    <w:rPr>
                      <w:color w:val="auto"/>
                      <w:szCs w:val="21"/>
                      <w:vertAlign w:val="superscript"/>
                    </w:rPr>
                    <w:t>3</w:t>
                  </w:r>
                </w:p>
              </w:tc>
              <w:tc>
                <w:tcPr>
                  <w:tcW w:w="937" w:type="pct"/>
                  <w:vAlign w:val="center"/>
                </w:tcPr>
                <w:p w14:paraId="42D46014">
                  <w:pPr>
                    <w:pStyle w:val="92"/>
                    <w:jc w:val="center"/>
                    <w:rPr>
                      <w:color w:val="auto"/>
                      <w:szCs w:val="21"/>
                    </w:rPr>
                  </w:pPr>
                  <w:r>
                    <w:rPr>
                      <w:rFonts w:hint="eastAsia"/>
                      <w:color w:val="auto"/>
                      <w:szCs w:val="21"/>
                    </w:rPr>
                    <w:t>333.57</w:t>
                  </w:r>
                </w:p>
              </w:tc>
              <w:tc>
                <w:tcPr>
                  <w:tcW w:w="1103" w:type="pct"/>
                  <w:vAlign w:val="center"/>
                </w:tcPr>
                <w:p w14:paraId="6876BB20">
                  <w:pPr>
                    <w:pStyle w:val="92"/>
                    <w:jc w:val="center"/>
                    <w:rPr>
                      <w:color w:val="auto"/>
                      <w:szCs w:val="21"/>
                    </w:rPr>
                  </w:pPr>
                  <w:r>
                    <w:rPr>
                      <w:rFonts w:hint="eastAsia"/>
                      <w:color w:val="auto"/>
                      <w:szCs w:val="21"/>
                    </w:rPr>
                    <w:t>(</w:t>
                  </w:r>
                  <w:r>
                    <w:rPr>
                      <w:color w:val="auto"/>
                      <w:szCs w:val="21"/>
                      <w:lang w:val="zh-CN"/>
                    </w:rPr>
                    <w:t>33</w:t>
                  </w:r>
                  <w:r>
                    <w:rPr>
                      <w:color w:val="auto"/>
                      <w:szCs w:val="21"/>
                    </w:rPr>
                    <w:t>3</w:t>
                  </w:r>
                  <w:r>
                    <w:rPr>
                      <w:rFonts w:hint="eastAsia"/>
                      <w:color w:val="auto"/>
                      <w:szCs w:val="21"/>
                      <w:lang w:eastAsia="zh-CN"/>
                    </w:rPr>
                    <w:t>)</w:t>
                  </w:r>
                </w:p>
              </w:tc>
            </w:tr>
            <w:tr w14:paraId="59F3E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4546FD1F">
                  <w:pPr>
                    <w:pStyle w:val="92"/>
                    <w:jc w:val="center"/>
                    <w:rPr>
                      <w:color w:val="auto"/>
                      <w:szCs w:val="21"/>
                    </w:rPr>
                  </w:pPr>
                  <w:r>
                    <w:rPr>
                      <w:color w:val="auto"/>
                      <w:szCs w:val="21"/>
                    </w:rPr>
                    <w:t>⑶</w:t>
                  </w:r>
                </w:p>
              </w:tc>
              <w:tc>
                <w:tcPr>
                  <w:tcW w:w="1819" w:type="pct"/>
                  <w:vAlign w:val="center"/>
                </w:tcPr>
                <w:p w14:paraId="4F69669A">
                  <w:pPr>
                    <w:pStyle w:val="92"/>
                    <w:jc w:val="center"/>
                    <w:rPr>
                      <w:color w:val="auto"/>
                      <w:szCs w:val="21"/>
                    </w:rPr>
                  </w:pPr>
                  <w:r>
                    <w:rPr>
                      <w:color w:val="auto"/>
                      <w:szCs w:val="21"/>
                    </w:rPr>
                    <w:t>设计采出资源/储量</w:t>
                  </w:r>
                </w:p>
              </w:tc>
              <w:tc>
                <w:tcPr>
                  <w:tcW w:w="764" w:type="pct"/>
                  <w:vAlign w:val="center"/>
                </w:tcPr>
                <w:p w14:paraId="199201B5">
                  <w:pPr>
                    <w:pStyle w:val="92"/>
                    <w:jc w:val="center"/>
                    <w:rPr>
                      <w:color w:val="auto"/>
                      <w:szCs w:val="21"/>
                    </w:rPr>
                  </w:pPr>
                  <w:r>
                    <w:rPr>
                      <w:color w:val="auto"/>
                      <w:szCs w:val="21"/>
                    </w:rPr>
                    <w:t>万m</w:t>
                  </w:r>
                  <w:r>
                    <w:rPr>
                      <w:color w:val="auto"/>
                      <w:szCs w:val="21"/>
                      <w:vertAlign w:val="superscript"/>
                    </w:rPr>
                    <w:t>3</w:t>
                  </w:r>
                </w:p>
              </w:tc>
              <w:tc>
                <w:tcPr>
                  <w:tcW w:w="937" w:type="pct"/>
                  <w:vAlign w:val="center"/>
                </w:tcPr>
                <w:p w14:paraId="1158357A">
                  <w:pPr>
                    <w:pStyle w:val="92"/>
                    <w:jc w:val="center"/>
                    <w:rPr>
                      <w:color w:val="auto"/>
                      <w:szCs w:val="21"/>
                    </w:rPr>
                  </w:pPr>
                  <w:r>
                    <w:rPr>
                      <w:rFonts w:hint="eastAsia"/>
                      <w:color w:val="auto"/>
                      <w:szCs w:val="21"/>
                    </w:rPr>
                    <w:t>323.56</w:t>
                  </w:r>
                </w:p>
              </w:tc>
              <w:tc>
                <w:tcPr>
                  <w:tcW w:w="1103" w:type="pct"/>
                  <w:vAlign w:val="center"/>
                </w:tcPr>
                <w:p w14:paraId="0008500F">
                  <w:pPr>
                    <w:pStyle w:val="92"/>
                    <w:jc w:val="center"/>
                    <w:rPr>
                      <w:color w:val="auto"/>
                      <w:szCs w:val="21"/>
                    </w:rPr>
                  </w:pPr>
                  <w:r>
                    <w:rPr>
                      <w:rFonts w:hint="eastAsia"/>
                      <w:color w:val="auto"/>
                      <w:szCs w:val="21"/>
                    </w:rPr>
                    <w:t>(</w:t>
                  </w:r>
                  <w:r>
                    <w:rPr>
                      <w:color w:val="auto"/>
                      <w:szCs w:val="21"/>
                      <w:lang w:val="zh-CN"/>
                    </w:rPr>
                    <w:t>33</w:t>
                  </w:r>
                  <w:r>
                    <w:rPr>
                      <w:color w:val="auto"/>
                      <w:szCs w:val="21"/>
                    </w:rPr>
                    <w:t>3</w:t>
                  </w:r>
                  <w:r>
                    <w:rPr>
                      <w:rFonts w:hint="eastAsia"/>
                      <w:color w:val="auto"/>
                      <w:szCs w:val="21"/>
                      <w:lang w:eastAsia="zh-CN"/>
                    </w:rPr>
                    <w:t>)</w:t>
                  </w:r>
                </w:p>
              </w:tc>
            </w:tr>
            <w:tr w14:paraId="0BC22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7E1332F2">
                  <w:pPr>
                    <w:pStyle w:val="92"/>
                    <w:jc w:val="center"/>
                    <w:rPr>
                      <w:color w:val="auto"/>
                      <w:szCs w:val="21"/>
                    </w:rPr>
                  </w:pPr>
                  <w:r>
                    <w:rPr>
                      <w:color w:val="auto"/>
                      <w:szCs w:val="21"/>
                    </w:rPr>
                    <w:t>2</w:t>
                  </w:r>
                </w:p>
              </w:tc>
              <w:tc>
                <w:tcPr>
                  <w:tcW w:w="1819" w:type="pct"/>
                  <w:vAlign w:val="center"/>
                </w:tcPr>
                <w:p w14:paraId="41965D55">
                  <w:pPr>
                    <w:pStyle w:val="92"/>
                    <w:jc w:val="center"/>
                    <w:rPr>
                      <w:color w:val="auto"/>
                      <w:szCs w:val="21"/>
                    </w:rPr>
                  </w:pPr>
                  <w:r>
                    <w:rPr>
                      <w:color w:val="auto"/>
                      <w:szCs w:val="21"/>
                    </w:rPr>
                    <w:t>采矿</w:t>
                  </w:r>
                </w:p>
              </w:tc>
              <w:tc>
                <w:tcPr>
                  <w:tcW w:w="764" w:type="pct"/>
                  <w:vAlign w:val="center"/>
                </w:tcPr>
                <w:p w14:paraId="4087639D">
                  <w:pPr>
                    <w:pStyle w:val="92"/>
                    <w:jc w:val="center"/>
                    <w:rPr>
                      <w:color w:val="auto"/>
                      <w:szCs w:val="21"/>
                    </w:rPr>
                  </w:pPr>
                </w:p>
              </w:tc>
              <w:tc>
                <w:tcPr>
                  <w:tcW w:w="937" w:type="pct"/>
                  <w:vAlign w:val="center"/>
                </w:tcPr>
                <w:p w14:paraId="250560CB">
                  <w:pPr>
                    <w:pStyle w:val="92"/>
                    <w:jc w:val="center"/>
                    <w:rPr>
                      <w:color w:val="auto"/>
                      <w:szCs w:val="21"/>
                    </w:rPr>
                  </w:pPr>
                </w:p>
              </w:tc>
              <w:tc>
                <w:tcPr>
                  <w:tcW w:w="1103" w:type="pct"/>
                  <w:vAlign w:val="center"/>
                </w:tcPr>
                <w:p w14:paraId="5A5F0EA8">
                  <w:pPr>
                    <w:pStyle w:val="92"/>
                    <w:jc w:val="center"/>
                    <w:rPr>
                      <w:color w:val="auto"/>
                      <w:szCs w:val="21"/>
                    </w:rPr>
                  </w:pPr>
                </w:p>
              </w:tc>
            </w:tr>
            <w:tr w14:paraId="3DC7F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32083B1B">
                  <w:pPr>
                    <w:pStyle w:val="92"/>
                    <w:jc w:val="center"/>
                    <w:rPr>
                      <w:color w:val="auto"/>
                      <w:szCs w:val="21"/>
                    </w:rPr>
                  </w:pPr>
                  <w:r>
                    <w:rPr>
                      <w:color w:val="auto"/>
                      <w:szCs w:val="21"/>
                    </w:rPr>
                    <w:t>⑴</w:t>
                  </w:r>
                </w:p>
              </w:tc>
              <w:tc>
                <w:tcPr>
                  <w:tcW w:w="1819" w:type="pct"/>
                  <w:vAlign w:val="center"/>
                </w:tcPr>
                <w:p w14:paraId="00D0497D">
                  <w:pPr>
                    <w:pStyle w:val="92"/>
                    <w:jc w:val="center"/>
                    <w:rPr>
                      <w:color w:val="auto"/>
                      <w:szCs w:val="21"/>
                    </w:rPr>
                  </w:pPr>
                  <w:r>
                    <w:rPr>
                      <w:color w:val="auto"/>
                      <w:szCs w:val="21"/>
                    </w:rPr>
                    <w:t>矿床开拓</w:t>
                  </w:r>
                </w:p>
              </w:tc>
              <w:tc>
                <w:tcPr>
                  <w:tcW w:w="764" w:type="pct"/>
                  <w:vAlign w:val="center"/>
                </w:tcPr>
                <w:p w14:paraId="519FE93F">
                  <w:pPr>
                    <w:pStyle w:val="92"/>
                    <w:jc w:val="center"/>
                    <w:rPr>
                      <w:color w:val="auto"/>
                      <w:szCs w:val="21"/>
                    </w:rPr>
                  </w:pPr>
                </w:p>
              </w:tc>
              <w:tc>
                <w:tcPr>
                  <w:tcW w:w="2040" w:type="pct"/>
                  <w:gridSpan w:val="2"/>
                  <w:vAlign w:val="center"/>
                </w:tcPr>
                <w:p w14:paraId="7EC3EF80">
                  <w:pPr>
                    <w:pStyle w:val="92"/>
                    <w:jc w:val="center"/>
                    <w:rPr>
                      <w:color w:val="auto"/>
                      <w:szCs w:val="21"/>
                    </w:rPr>
                  </w:pPr>
                  <w:r>
                    <w:rPr>
                      <w:color w:val="auto"/>
                      <w:szCs w:val="21"/>
                    </w:rPr>
                    <w:t>公路开拓、汽车运输</w:t>
                  </w:r>
                </w:p>
              </w:tc>
            </w:tr>
            <w:tr w14:paraId="573E4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3A52A674">
                  <w:pPr>
                    <w:pStyle w:val="92"/>
                    <w:jc w:val="center"/>
                    <w:rPr>
                      <w:color w:val="auto"/>
                      <w:szCs w:val="21"/>
                    </w:rPr>
                  </w:pPr>
                  <w:r>
                    <w:rPr>
                      <w:color w:val="auto"/>
                      <w:szCs w:val="21"/>
                    </w:rPr>
                    <w:t>⑵</w:t>
                  </w:r>
                </w:p>
              </w:tc>
              <w:tc>
                <w:tcPr>
                  <w:tcW w:w="1819" w:type="pct"/>
                  <w:vAlign w:val="center"/>
                </w:tcPr>
                <w:p w14:paraId="0FC892E6">
                  <w:pPr>
                    <w:pStyle w:val="92"/>
                    <w:jc w:val="center"/>
                    <w:rPr>
                      <w:color w:val="auto"/>
                      <w:szCs w:val="21"/>
                    </w:rPr>
                  </w:pPr>
                  <w:r>
                    <w:rPr>
                      <w:color w:val="auto"/>
                      <w:szCs w:val="21"/>
                    </w:rPr>
                    <w:t>采矿方法</w:t>
                  </w:r>
                </w:p>
              </w:tc>
              <w:tc>
                <w:tcPr>
                  <w:tcW w:w="764" w:type="pct"/>
                  <w:vAlign w:val="center"/>
                </w:tcPr>
                <w:p w14:paraId="1CB84478">
                  <w:pPr>
                    <w:pStyle w:val="92"/>
                    <w:jc w:val="center"/>
                    <w:rPr>
                      <w:color w:val="auto"/>
                      <w:szCs w:val="21"/>
                    </w:rPr>
                  </w:pPr>
                </w:p>
              </w:tc>
              <w:tc>
                <w:tcPr>
                  <w:tcW w:w="2040" w:type="pct"/>
                  <w:gridSpan w:val="2"/>
                  <w:vAlign w:val="center"/>
                </w:tcPr>
                <w:p w14:paraId="64276AEF">
                  <w:pPr>
                    <w:pStyle w:val="92"/>
                    <w:jc w:val="center"/>
                    <w:rPr>
                      <w:color w:val="auto"/>
                      <w:szCs w:val="21"/>
                    </w:rPr>
                  </w:pPr>
                  <w:r>
                    <w:rPr>
                      <w:color w:val="auto"/>
                      <w:szCs w:val="21"/>
                    </w:rPr>
                    <w:t>自上而下、水平台阶式采矿法</w:t>
                  </w:r>
                </w:p>
              </w:tc>
            </w:tr>
            <w:tr w14:paraId="6D2BC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0C350E88">
                  <w:pPr>
                    <w:pStyle w:val="92"/>
                    <w:jc w:val="center"/>
                    <w:rPr>
                      <w:color w:val="auto"/>
                      <w:szCs w:val="21"/>
                    </w:rPr>
                  </w:pPr>
                  <w:r>
                    <w:rPr>
                      <w:color w:val="auto"/>
                      <w:szCs w:val="21"/>
                    </w:rPr>
                    <w:t>3</w:t>
                  </w:r>
                </w:p>
              </w:tc>
              <w:tc>
                <w:tcPr>
                  <w:tcW w:w="1819" w:type="pct"/>
                  <w:vAlign w:val="center"/>
                </w:tcPr>
                <w:p w14:paraId="6A7B203D">
                  <w:pPr>
                    <w:pStyle w:val="92"/>
                    <w:jc w:val="center"/>
                    <w:rPr>
                      <w:color w:val="auto"/>
                      <w:szCs w:val="21"/>
                    </w:rPr>
                  </w:pPr>
                  <w:r>
                    <w:rPr>
                      <w:color w:val="auto"/>
                      <w:szCs w:val="21"/>
                    </w:rPr>
                    <w:t>回采率</w:t>
                  </w:r>
                </w:p>
              </w:tc>
              <w:tc>
                <w:tcPr>
                  <w:tcW w:w="764" w:type="pct"/>
                  <w:vAlign w:val="center"/>
                </w:tcPr>
                <w:p w14:paraId="1090C424">
                  <w:pPr>
                    <w:pStyle w:val="92"/>
                    <w:jc w:val="center"/>
                    <w:rPr>
                      <w:color w:val="auto"/>
                      <w:szCs w:val="21"/>
                    </w:rPr>
                  </w:pPr>
                  <w:r>
                    <w:rPr>
                      <w:color w:val="auto"/>
                      <w:szCs w:val="21"/>
                    </w:rPr>
                    <w:t>％</w:t>
                  </w:r>
                </w:p>
              </w:tc>
              <w:tc>
                <w:tcPr>
                  <w:tcW w:w="937" w:type="pct"/>
                  <w:vAlign w:val="center"/>
                </w:tcPr>
                <w:p w14:paraId="1CC155D9">
                  <w:pPr>
                    <w:pStyle w:val="92"/>
                    <w:jc w:val="center"/>
                    <w:rPr>
                      <w:color w:val="auto"/>
                      <w:szCs w:val="21"/>
                    </w:rPr>
                  </w:pPr>
                  <w:r>
                    <w:rPr>
                      <w:color w:val="auto"/>
                      <w:szCs w:val="21"/>
                    </w:rPr>
                    <w:t>97</w:t>
                  </w:r>
                </w:p>
              </w:tc>
              <w:tc>
                <w:tcPr>
                  <w:tcW w:w="1103" w:type="pct"/>
                  <w:vAlign w:val="center"/>
                </w:tcPr>
                <w:p w14:paraId="40072539">
                  <w:pPr>
                    <w:pStyle w:val="92"/>
                    <w:jc w:val="center"/>
                    <w:rPr>
                      <w:color w:val="auto"/>
                      <w:szCs w:val="21"/>
                    </w:rPr>
                  </w:pPr>
                </w:p>
              </w:tc>
            </w:tr>
            <w:tr w14:paraId="38910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43C38384">
                  <w:pPr>
                    <w:pStyle w:val="92"/>
                    <w:jc w:val="center"/>
                    <w:rPr>
                      <w:color w:val="auto"/>
                      <w:szCs w:val="21"/>
                    </w:rPr>
                  </w:pPr>
                  <w:r>
                    <w:rPr>
                      <w:color w:val="auto"/>
                      <w:szCs w:val="21"/>
                    </w:rPr>
                    <w:t>4</w:t>
                  </w:r>
                </w:p>
              </w:tc>
              <w:tc>
                <w:tcPr>
                  <w:tcW w:w="1819" w:type="pct"/>
                  <w:vAlign w:val="center"/>
                </w:tcPr>
                <w:p w14:paraId="3E994262">
                  <w:pPr>
                    <w:pStyle w:val="92"/>
                    <w:jc w:val="center"/>
                    <w:rPr>
                      <w:color w:val="auto"/>
                      <w:szCs w:val="21"/>
                    </w:rPr>
                  </w:pPr>
                  <w:r>
                    <w:rPr>
                      <w:color w:val="auto"/>
                      <w:szCs w:val="21"/>
                    </w:rPr>
                    <w:t>矿山建设</w:t>
                  </w:r>
                </w:p>
              </w:tc>
              <w:tc>
                <w:tcPr>
                  <w:tcW w:w="764" w:type="pct"/>
                  <w:vAlign w:val="center"/>
                </w:tcPr>
                <w:p w14:paraId="189484DE">
                  <w:pPr>
                    <w:pStyle w:val="92"/>
                    <w:jc w:val="center"/>
                    <w:rPr>
                      <w:color w:val="auto"/>
                      <w:szCs w:val="21"/>
                    </w:rPr>
                  </w:pPr>
                </w:p>
              </w:tc>
              <w:tc>
                <w:tcPr>
                  <w:tcW w:w="937" w:type="pct"/>
                  <w:vAlign w:val="center"/>
                </w:tcPr>
                <w:p w14:paraId="14B9F545">
                  <w:pPr>
                    <w:pStyle w:val="92"/>
                    <w:jc w:val="center"/>
                    <w:rPr>
                      <w:color w:val="auto"/>
                      <w:szCs w:val="21"/>
                    </w:rPr>
                  </w:pPr>
                </w:p>
              </w:tc>
              <w:tc>
                <w:tcPr>
                  <w:tcW w:w="1103" w:type="pct"/>
                  <w:vAlign w:val="center"/>
                </w:tcPr>
                <w:p w14:paraId="3D030985">
                  <w:pPr>
                    <w:pStyle w:val="92"/>
                    <w:jc w:val="center"/>
                    <w:rPr>
                      <w:color w:val="auto"/>
                      <w:szCs w:val="21"/>
                    </w:rPr>
                  </w:pPr>
                </w:p>
              </w:tc>
            </w:tr>
            <w:tr w14:paraId="6998C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2F0610F7">
                  <w:pPr>
                    <w:pStyle w:val="92"/>
                    <w:jc w:val="center"/>
                    <w:rPr>
                      <w:color w:val="auto"/>
                      <w:szCs w:val="21"/>
                    </w:rPr>
                  </w:pPr>
                  <w:r>
                    <w:rPr>
                      <w:color w:val="auto"/>
                      <w:szCs w:val="21"/>
                    </w:rPr>
                    <w:t>⑴</w:t>
                  </w:r>
                </w:p>
              </w:tc>
              <w:tc>
                <w:tcPr>
                  <w:tcW w:w="1819" w:type="pct"/>
                  <w:vAlign w:val="center"/>
                </w:tcPr>
                <w:p w14:paraId="16C597D8">
                  <w:pPr>
                    <w:pStyle w:val="92"/>
                    <w:jc w:val="center"/>
                    <w:rPr>
                      <w:color w:val="auto"/>
                      <w:szCs w:val="21"/>
                    </w:rPr>
                  </w:pPr>
                  <w:r>
                    <w:rPr>
                      <w:color w:val="auto"/>
                      <w:szCs w:val="21"/>
                    </w:rPr>
                    <w:t>建设期</w:t>
                  </w:r>
                </w:p>
              </w:tc>
              <w:tc>
                <w:tcPr>
                  <w:tcW w:w="764" w:type="pct"/>
                  <w:vAlign w:val="center"/>
                </w:tcPr>
                <w:p w14:paraId="355EF137">
                  <w:pPr>
                    <w:pStyle w:val="92"/>
                    <w:jc w:val="center"/>
                    <w:rPr>
                      <w:color w:val="auto"/>
                      <w:szCs w:val="21"/>
                    </w:rPr>
                  </w:pPr>
                  <w:r>
                    <w:rPr>
                      <w:color w:val="auto"/>
                      <w:szCs w:val="21"/>
                    </w:rPr>
                    <w:t>a</w:t>
                  </w:r>
                </w:p>
              </w:tc>
              <w:tc>
                <w:tcPr>
                  <w:tcW w:w="937" w:type="pct"/>
                  <w:vAlign w:val="center"/>
                </w:tcPr>
                <w:p w14:paraId="1658AA38">
                  <w:pPr>
                    <w:pStyle w:val="92"/>
                    <w:jc w:val="center"/>
                    <w:rPr>
                      <w:color w:val="auto"/>
                      <w:szCs w:val="21"/>
                    </w:rPr>
                  </w:pPr>
                  <w:r>
                    <w:rPr>
                      <w:color w:val="auto"/>
                      <w:szCs w:val="21"/>
                    </w:rPr>
                    <w:t>-</w:t>
                  </w:r>
                </w:p>
              </w:tc>
              <w:tc>
                <w:tcPr>
                  <w:tcW w:w="1103" w:type="pct"/>
                  <w:vAlign w:val="center"/>
                </w:tcPr>
                <w:p w14:paraId="6286D4A6">
                  <w:pPr>
                    <w:pStyle w:val="92"/>
                    <w:jc w:val="center"/>
                    <w:rPr>
                      <w:color w:val="auto"/>
                      <w:szCs w:val="21"/>
                    </w:rPr>
                  </w:pPr>
                </w:p>
              </w:tc>
            </w:tr>
            <w:tr w14:paraId="5BFE3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2539124E">
                  <w:pPr>
                    <w:pStyle w:val="92"/>
                    <w:jc w:val="center"/>
                    <w:rPr>
                      <w:color w:val="auto"/>
                      <w:szCs w:val="21"/>
                    </w:rPr>
                  </w:pPr>
                  <w:r>
                    <w:rPr>
                      <w:color w:val="auto"/>
                      <w:szCs w:val="21"/>
                    </w:rPr>
                    <w:t>⑵</w:t>
                  </w:r>
                </w:p>
              </w:tc>
              <w:tc>
                <w:tcPr>
                  <w:tcW w:w="1819" w:type="pct"/>
                  <w:vAlign w:val="center"/>
                </w:tcPr>
                <w:p w14:paraId="197FEEB7">
                  <w:pPr>
                    <w:pStyle w:val="92"/>
                    <w:jc w:val="center"/>
                    <w:rPr>
                      <w:color w:val="auto"/>
                      <w:szCs w:val="21"/>
                    </w:rPr>
                  </w:pPr>
                  <w:r>
                    <w:rPr>
                      <w:color w:val="auto"/>
                      <w:szCs w:val="21"/>
                    </w:rPr>
                    <w:t>矿山服务年限</w:t>
                  </w:r>
                </w:p>
              </w:tc>
              <w:tc>
                <w:tcPr>
                  <w:tcW w:w="764" w:type="pct"/>
                  <w:vAlign w:val="center"/>
                </w:tcPr>
                <w:p w14:paraId="5BF594AE">
                  <w:pPr>
                    <w:pStyle w:val="92"/>
                    <w:jc w:val="center"/>
                    <w:rPr>
                      <w:color w:val="auto"/>
                      <w:szCs w:val="21"/>
                    </w:rPr>
                  </w:pPr>
                  <w:r>
                    <w:rPr>
                      <w:color w:val="auto"/>
                      <w:szCs w:val="21"/>
                    </w:rPr>
                    <w:t>a</w:t>
                  </w:r>
                </w:p>
              </w:tc>
              <w:tc>
                <w:tcPr>
                  <w:tcW w:w="937" w:type="pct"/>
                  <w:vAlign w:val="center"/>
                </w:tcPr>
                <w:p w14:paraId="7755CBDF">
                  <w:pPr>
                    <w:pStyle w:val="92"/>
                    <w:jc w:val="center"/>
                    <w:rPr>
                      <w:color w:val="auto"/>
                      <w:szCs w:val="21"/>
                    </w:rPr>
                  </w:pPr>
                  <w:r>
                    <w:rPr>
                      <w:rFonts w:hint="eastAsia"/>
                      <w:color w:val="auto"/>
                      <w:szCs w:val="21"/>
                    </w:rPr>
                    <w:t>6.47</w:t>
                  </w:r>
                </w:p>
              </w:tc>
              <w:tc>
                <w:tcPr>
                  <w:tcW w:w="1103" w:type="pct"/>
                  <w:vAlign w:val="center"/>
                </w:tcPr>
                <w:p w14:paraId="317B2319">
                  <w:pPr>
                    <w:pStyle w:val="92"/>
                    <w:jc w:val="center"/>
                    <w:rPr>
                      <w:color w:val="auto"/>
                      <w:szCs w:val="21"/>
                    </w:rPr>
                  </w:pPr>
                  <w:r>
                    <w:rPr>
                      <w:rFonts w:hint="eastAsia"/>
                      <w:color w:val="auto"/>
                      <w:szCs w:val="21"/>
                    </w:rPr>
                    <w:t>6</w:t>
                  </w:r>
                  <w:r>
                    <w:rPr>
                      <w:color w:val="auto"/>
                      <w:szCs w:val="21"/>
                    </w:rPr>
                    <w:t>年</w:t>
                  </w:r>
                  <w:r>
                    <w:rPr>
                      <w:rFonts w:hint="eastAsia"/>
                      <w:color w:val="auto"/>
                      <w:szCs w:val="21"/>
                    </w:rPr>
                    <w:t>6</w:t>
                  </w:r>
                  <w:r>
                    <w:rPr>
                      <w:color w:val="auto"/>
                      <w:szCs w:val="21"/>
                    </w:rPr>
                    <w:t>个月</w:t>
                  </w:r>
                </w:p>
              </w:tc>
            </w:tr>
            <w:tr w14:paraId="7AC07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439B0172">
                  <w:pPr>
                    <w:pStyle w:val="92"/>
                    <w:jc w:val="center"/>
                    <w:rPr>
                      <w:color w:val="auto"/>
                      <w:szCs w:val="21"/>
                    </w:rPr>
                  </w:pPr>
                  <w:r>
                    <w:rPr>
                      <w:color w:val="auto"/>
                      <w:szCs w:val="21"/>
                    </w:rPr>
                    <w:t>⑶</w:t>
                  </w:r>
                </w:p>
              </w:tc>
              <w:tc>
                <w:tcPr>
                  <w:tcW w:w="1819" w:type="pct"/>
                  <w:vAlign w:val="center"/>
                </w:tcPr>
                <w:p w14:paraId="2C93436A">
                  <w:pPr>
                    <w:pStyle w:val="92"/>
                    <w:jc w:val="center"/>
                    <w:rPr>
                      <w:color w:val="auto"/>
                      <w:szCs w:val="21"/>
                    </w:rPr>
                  </w:pPr>
                  <w:r>
                    <w:rPr>
                      <w:color w:val="auto"/>
                      <w:szCs w:val="21"/>
                    </w:rPr>
                    <w:t>设计生产规模</w:t>
                  </w:r>
                </w:p>
              </w:tc>
              <w:tc>
                <w:tcPr>
                  <w:tcW w:w="764" w:type="pct"/>
                  <w:vAlign w:val="center"/>
                </w:tcPr>
                <w:p w14:paraId="288DFA8C">
                  <w:pPr>
                    <w:pStyle w:val="92"/>
                    <w:jc w:val="center"/>
                    <w:rPr>
                      <w:color w:val="auto"/>
                      <w:szCs w:val="21"/>
                    </w:rPr>
                  </w:pPr>
                  <w:r>
                    <w:rPr>
                      <w:color w:val="auto"/>
                      <w:szCs w:val="21"/>
                    </w:rPr>
                    <w:t>万m</w:t>
                  </w:r>
                  <w:r>
                    <w:rPr>
                      <w:color w:val="auto"/>
                      <w:szCs w:val="21"/>
                      <w:vertAlign w:val="superscript"/>
                    </w:rPr>
                    <w:t>3</w:t>
                  </w:r>
                  <w:r>
                    <w:rPr>
                      <w:color w:val="auto"/>
                      <w:szCs w:val="21"/>
                    </w:rPr>
                    <w:t>/a</w:t>
                  </w:r>
                </w:p>
              </w:tc>
              <w:tc>
                <w:tcPr>
                  <w:tcW w:w="937" w:type="pct"/>
                  <w:vAlign w:val="center"/>
                </w:tcPr>
                <w:p w14:paraId="69D199CF">
                  <w:pPr>
                    <w:pStyle w:val="92"/>
                    <w:jc w:val="center"/>
                    <w:rPr>
                      <w:color w:val="auto"/>
                      <w:szCs w:val="21"/>
                    </w:rPr>
                  </w:pPr>
                  <w:r>
                    <w:rPr>
                      <w:rFonts w:hint="eastAsia"/>
                      <w:color w:val="auto"/>
                      <w:szCs w:val="21"/>
                    </w:rPr>
                    <w:t>50.0</w:t>
                  </w:r>
                </w:p>
              </w:tc>
              <w:tc>
                <w:tcPr>
                  <w:tcW w:w="1103" w:type="pct"/>
                  <w:vAlign w:val="center"/>
                </w:tcPr>
                <w:p w14:paraId="290688F2">
                  <w:pPr>
                    <w:pStyle w:val="92"/>
                    <w:jc w:val="center"/>
                    <w:rPr>
                      <w:color w:val="auto"/>
                      <w:szCs w:val="21"/>
                    </w:rPr>
                  </w:pPr>
                </w:p>
              </w:tc>
            </w:tr>
            <w:tr w14:paraId="225C3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43C47238">
                  <w:pPr>
                    <w:pStyle w:val="92"/>
                    <w:jc w:val="center"/>
                    <w:rPr>
                      <w:color w:val="auto"/>
                      <w:szCs w:val="21"/>
                    </w:rPr>
                  </w:pPr>
                  <w:r>
                    <w:rPr>
                      <w:color w:val="auto"/>
                      <w:szCs w:val="21"/>
                    </w:rPr>
                    <w:t>5</w:t>
                  </w:r>
                </w:p>
              </w:tc>
              <w:tc>
                <w:tcPr>
                  <w:tcW w:w="1819" w:type="pct"/>
                  <w:vAlign w:val="center"/>
                </w:tcPr>
                <w:p w14:paraId="625EB85E">
                  <w:pPr>
                    <w:pStyle w:val="92"/>
                    <w:jc w:val="center"/>
                    <w:rPr>
                      <w:color w:val="auto"/>
                      <w:szCs w:val="21"/>
                    </w:rPr>
                  </w:pPr>
                  <w:r>
                    <w:rPr>
                      <w:color w:val="auto"/>
                      <w:szCs w:val="21"/>
                    </w:rPr>
                    <w:t>工作制度</w:t>
                  </w:r>
                </w:p>
              </w:tc>
              <w:tc>
                <w:tcPr>
                  <w:tcW w:w="764" w:type="pct"/>
                  <w:vAlign w:val="center"/>
                </w:tcPr>
                <w:p w14:paraId="66D3C8CF">
                  <w:pPr>
                    <w:pStyle w:val="92"/>
                    <w:jc w:val="center"/>
                    <w:rPr>
                      <w:color w:val="auto"/>
                      <w:szCs w:val="21"/>
                    </w:rPr>
                  </w:pPr>
                  <w:r>
                    <w:rPr>
                      <w:color w:val="auto"/>
                      <w:szCs w:val="21"/>
                    </w:rPr>
                    <w:t>d/a</w:t>
                  </w:r>
                </w:p>
              </w:tc>
              <w:tc>
                <w:tcPr>
                  <w:tcW w:w="937" w:type="pct"/>
                  <w:vAlign w:val="center"/>
                </w:tcPr>
                <w:p w14:paraId="65CBA528">
                  <w:pPr>
                    <w:pStyle w:val="92"/>
                    <w:jc w:val="center"/>
                    <w:rPr>
                      <w:color w:val="auto"/>
                      <w:szCs w:val="21"/>
                    </w:rPr>
                  </w:pPr>
                  <w:r>
                    <w:rPr>
                      <w:color w:val="auto"/>
                      <w:szCs w:val="21"/>
                    </w:rPr>
                    <w:t>250</w:t>
                  </w:r>
                </w:p>
              </w:tc>
              <w:tc>
                <w:tcPr>
                  <w:tcW w:w="1103" w:type="pct"/>
                  <w:vAlign w:val="center"/>
                </w:tcPr>
                <w:p w14:paraId="508BE851">
                  <w:pPr>
                    <w:pStyle w:val="92"/>
                    <w:jc w:val="center"/>
                    <w:rPr>
                      <w:color w:val="auto"/>
                      <w:szCs w:val="21"/>
                    </w:rPr>
                  </w:pPr>
                  <w:r>
                    <w:rPr>
                      <w:color w:val="auto"/>
                      <w:szCs w:val="21"/>
                    </w:rPr>
                    <w:t>每天一班</w:t>
                  </w:r>
                </w:p>
              </w:tc>
            </w:tr>
            <w:tr w14:paraId="1755F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4" w:hRule="atLeast"/>
                <w:jc w:val="center"/>
              </w:trPr>
              <w:tc>
                <w:tcPr>
                  <w:tcW w:w="376" w:type="pct"/>
                  <w:vAlign w:val="center"/>
                </w:tcPr>
                <w:p w14:paraId="47BAA04F">
                  <w:pPr>
                    <w:pStyle w:val="92"/>
                    <w:jc w:val="center"/>
                    <w:rPr>
                      <w:color w:val="auto"/>
                      <w:szCs w:val="21"/>
                    </w:rPr>
                  </w:pPr>
                  <w:r>
                    <w:rPr>
                      <w:color w:val="auto"/>
                      <w:szCs w:val="21"/>
                    </w:rPr>
                    <w:t>6</w:t>
                  </w:r>
                </w:p>
              </w:tc>
              <w:tc>
                <w:tcPr>
                  <w:tcW w:w="1819" w:type="pct"/>
                  <w:vAlign w:val="center"/>
                </w:tcPr>
                <w:p w14:paraId="5DA4C632">
                  <w:pPr>
                    <w:pStyle w:val="92"/>
                    <w:jc w:val="center"/>
                    <w:rPr>
                      <w:color w:val="auto"/>
                      <w:szCs w:val="21"/>
                    </w:rPr>
                  </w:pPr>
                  <w:r>
                    <w:rPr>
                      <w:color w:val="auto"/>
                      <w:szCs w:val="21"/>
                    </w:rPr>
                    <w:t>劳动定员</w:t>
                  </w:r>
                </w:p>
              </w:tc>
              <w:tc>
                <w:tcPr>
                  <w:tcW w:w="764" w:type="pct"/>
                  <w:vAlign w:val="center"/>
                </w:tcPr>
                <w:p w14:paraId="155461A8">
                  <w:pPr>
                    <w:pStyle w:val="92"/>
                    <w:jc w:val="center"/>
                    <w:rPr>
                      <w:color w:val="auto"/>
                      <w:szCs w:val="21"/>
                    </w:rPr>
                  </w:pPr>
                  <w:r>
                    <w:rPr>
                      <w:color w:val="auto"/>
                      <w:szCs w:val="21"/>
                    </w:rPr>
                    <w:t>人</w:t>
                  </w:r>
                </w:p>
              </w:tc>
              <w:tc>
                <w:tcPr>
                  <w:tcW w:w="937" w:type="pct"/>
                  <w:vAlign w:val="center"/>
                </w:tcPr>
                <w:p w14:paraId="61331650">
                  <w:pPr>
                    <w:pStyle w:val="92"/>
                    <w:jc w:val="center"/>
                    <w:rPr>
                      <w:color w:val="auto"/>
                      <w:szCs w:val="21"/>
                    </w:rPr>
                  </w:pPr>
                  <w:r>
                    <w:rPr>
                      <w:rFonts w:hint="eastAsia"/>
                      <w:color w:val="auto"/>
                      <w:szCs w:val="21"/>
                    </w:rPr>
                    <w:t>20</w:t>
                  </w:r>
                </w:p>
              </w:tc>
              <w:tc>
                <w:tcPr>
                  <w:tcW w:w="1103" w:type="pct"/>
                  <w:vAlign w:val="center"/>
                </w:tcPr>
                <w:p w14:paraId="7FEBE24F">
                  <w:pPr>
                    <w:pStyle w:val="92"/>
                    <w:jc w:val="center"/>
                    <w:rPr>
                      <w:color w:val="auto"/>
                      <w:szCs w:val="21"/>
                    </w:rPr>
                  </w:pPr>
                </w:p>
              </w:tc>
            </w:tr>
            <w:tr w14:paraId="55D81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58C24BBF">
                  <w:pPr>
                    <w:pStyle w:val="92"/>
                    <w:jc w:val="center"/>
                    <w:rPr>
                      <w:color w:val="auto"/>
                      <w:szCs w:val="21"/>
                    </w:rPr>
                  </w:pPr>
                </w:p>
              </w:tc>
              <w:tc>
                <w:tcPr>
                  <w:tcW w:w="1819" w:type="pct"/>
                  <w:vAlign w:val="center"/>
                </w:tcPr>
                <w:p w14:paraId="30E0D047">
                  <w:pPr>
                    <w:pStyle w:val="92"/>
                    <w:jc w:val="center"/>
                    <w:rPr>
                      <w:color w:val="auto"/>
                      <w:szCs w:val="21"/>
                    </w:rPr>
                  </w:pPr>
                  <w:r>
                    <w:rPr>
                      <w:color w:val="auto"/>
                      <w:szCs w:val="21"/>
                    </w:rPr>
                    <w:t>其中：生产人员</w:t>
                  </w:r>
                </w:p>
              </w:tc>
              <w:tc>
                <w:tcPr>
                  <w:tcW w:w="764" w:type="pct"/>
                  <w:vAlign w:val="center"/>
                </w:tcPr>
                <w:p w14:paraId="3BA3113B">
                  <w:pPr>
                    <w:pStyle w:val="92"/>
                    <w:jc w:val="center"/>
                    <w:rPr>
                      <w:color w:val="auto"/>
                      <w:szCs w:val="21"/>
                    </w:rPr>
                  </w:pPr>
                  <w:r>
                    <w:rPr>
                      <w:color w:val="auto"/>
                      <w:szCs w:val="21"/>
                    </w:rPr>
                    <w:t>人</w:t>
                  </w:r>
                </w:p>
              </w:tc>
              <w:tc>
                <w:tcPr>
                  <w:tcW w:w="937" w:type="pct"/>
                  <w:vAlign w:val="center"/>
                </w:tcPr>
                <w:p w14:paraId="79D8CB50">
                  <w:pPr>
                    <w:pStyle w:val="92"/>
                    <w:jc w:val="center"/>
                    <w:rPr>
                      <w:color w:val="auto"/>
                      <w:szCs w:val="21"/>
                    </w:rPr>
                  </w:pPr>
                  <w:r>
                    <w:rPr>
                      <w:rFonts w:hint="eastAsia"/>
                      <w:color w:val="auto"/>
                      <w:szCs w:val="21"/>
                    </w:rPr>
                    <w:t>18</w:t>
                  </w:r>
                </w:p>
              </w:tc>
              <w:tc>
                <w:tcPr>
                  <w:tcW w:w="1103" w:type="pct"/>
                  <w:vAlign w:val="center"/>
                </w:tcPr>
                <w:p w14:paraId="0CFCB5D3">
                  <w:pPr>
                    <w:pStyle w:val="92"/>
                    <w:jc w:val="center"/>
                    <w:rPr>
                      <w:color w:val="auto"/>
                      <w:szCs w:val="21"/>
                    </w:rPr>
                  </w:pPr>
                </w:p>
              </w:tc>
            </w:tr>
            <w:tr w14:paraId="32954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5E59DF89">
                  <w:pPr>
                    <w:pStyle w:val="92"/>
                    <w:jc w:val="center"/>
                    <w:rPr>
                      <w:color w:val="auto"/>
                      <w:szCs w:val="21"/>
                    </w:rPr>
                  </w:pPr>
                </w:p>
              </w:tc>
              <w:tc>
                <w:tcPr>
                  <w:tcW w:w="1819" w:type="pct"/>
                  <w:vAlign w:val="center"/>
                </w:tcPr>
                <w:p w14:paraId="38E18162">
                  <w:pPr>
                    <w:pStyle w:val="92"/>
                    <w:jc w:val="center"/>
                    <w:rPr>
                      <w:color w:val="auto"/>
                      <w:szCs w:val="21"/>
                    </w:rPr>
                  </w:pPr>
                  <w:r>
                    <w:rPr>
                      <w:color w:val="auto"/>
                      <w:szCs w:val="21"/>
                    </w:rPr>
                    <w:t xml:space="preserve">            管理及服务人员</w:t>
                  </w:r>
                </w:p>
              </w:tc>
              <w:tc>
                <w:tcPr>
                  <w:tcW w:w="764" w:type="pct"/>
                  <w:vAlign w:val="center"/>
                </w:tcPr>
                <w:p w14:paraId="3E2D54AF">
                  <w:pPr>
                    <w:pStyle w:val="92"/>
                    <w:jc w:val="center"/>
                    <w:rPr>
                      <w:color w:val="auto"/>
                      <w:szCs w:val="21"/>
                    </w:rPr>
                  </w:pPr>
                  <w:r>
                    <w:rPr>
                      <w:color w:val="auto"/>
                      <w:szCs w:val="21"/>
                    </w:rPr>
                    <w:t>人</w:t>
                  </w:r>
                </w:p>
              </w:tc>
              <w:tc>
                <w:tcPr>
                  <w:tcW w:w="937" w:type="pct"/>
                  <w:vAlign w:val="center"/>
                </w:tcPr>
                <w:p w14:paraId="6C168D5F">
                  <w:pPr>
                    <w:pStyle w:val="92"/>
                    <w:jc w:val="center"/>
                    <w:rPr>
                      <w:color w:val="auto"/>
                      <w:szCs w:val="21"/>
                    </w:rPr>
                  </w:pPr>
                  <w:r>
                    <w:rPr>
                      <w:color w:val="auto"/>
                      <w:szCs w:val="21"/>
                    </w:rPr>
                    <w:t>2</w:t>
                  </w:r>
                </w:p>
              </w:tc>
              <w:tc>
                <w:tcPr>
                  <w:tcW w:w="1103" w:type="pct"/>
                  <w:vAlign w:val="center"/>
                </w:tcPr>
                <w:p w14:paraId="383A6083">
                  <w:pPr>
                    <w:pStyle w:val="92"/>
                    <w:jc w:val="center"/>
                    <w:rPr>
                      <w:color w:val="auto"/>
                      <w:szCs w:val="21"/>
                    </w:rPr>
                  </w:pPr>
                </w:p>
              </w:tc>
            </w:tr>
            <w:tr w14:paraId="313E0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23550580">
                  <w:pPr>
                    <w:pStyle w:val="92"/>
                    <w:jc w:val="center"/>
                    <w:rPr>
                      <w:color w:val="auto"/>
                      <w:szCs w:val="21"/>
                    </w:rPr>
                  </w:pPr>
                  <w:r>
                    <w:rPr>
                      <w:color w:val="auto"/>
                      <w:szCs w:val="21"/>
                    </w:rPr>
                    <w:t>7</w:t>
                  </w:r>
                </w:p>
              </w:tc>
              <w:tc>
                <w:tcPr>
                  <w:tcW w:w="1819" w:type="pct"/>
                  <w:vAlign w:val="center"/>
                </w:tcPr>
                <w:p w14:paraId="0FC0D6CB">
                  <w:pPr>
                    <w:pStyle w:val="92"/>
                    <w:jc w:val="center"/>
                    <w:rPr>
                      <w:color w:val="auto"/>
                      <w:szCs w:val="21"/>
                    </w:rPr>
                  </w:pPr>
                  <w:r>
                    <w:rPr>
                      <w:color w:val="auto"/>
                      <w:szCs w:val="21"/>
                    </w:rPr>
                    <w:t>总投资</w:t>
                  </w:r>
                </w:p>
              </w:tc>
              <w:tc>
                <w:tcPr>
                  <w:tcW w:w="764" w:type="pct"/>
                  <w:vAlign w:val="center"/>
                </w:tcPr>
                <w:p w14:paraId="73FCF4AC">
                  <w:pPr>
                    <w:pStyle w:val="92"/>
                    <w:jc w:val="center"/>
                    <w:rPr>
                      <w:color w:val="auto"/>
                      <w:szCs w:val="21"/>
                    </w:rPr>
                  </w:pPr>
                  <w:r>
                    <w:rPr>
                      <w:color w:val="auto"/>
                      <w:szCs w:val="21"/>
                    </w:rPr>
                    <w:t>万元</w:t>
                  </w:r>
                </w:p>
              </w:tc>
              <w:tc>
                <w:tcPr>
                  <w:tcW w:w="937" w:type="pct"/>
                  <w:vAlign w:val="center"/>
                </w:tcPr>
                <w:p w14:paraId="4A435CE6">
                  <w:pPr>
                    <w:pStyle w:val="92"/>
                    <w:jc w:val="center"/>
                    <w:rPr>
                      <w:color w:val="auto"/>
                      <w:szCs w:val="21"/>
                    </w:rPr>
                  </w:pPr>
                  <w:r>
                    <w:rPr>
                      <w:rFonts w:hint="eastAsia"/>
                      <w:color w:val="auto"/>
                      <w:szCs w:val="21"/>
                    </w:rPr>
                    <w:t>2000</w:t>
                  </w:r>
                </w:p>
              </w:tc>
              <w:tc>
                <w:tcPr>
                  <w:tcW w:w="1103" w:type="pct"/>
                  <w:vAlign w:val="center"/>
                </w:tcPr>
                <w:p w14:paraId="154FCB7C">
                  <w:pPr>
                    <w:pStyle w:val="92"/>
                    <w:jc w:val="center"/>
                    <w:rPr>
                      <w:color w:val="auto"/>
                      <w:szCs w:val="21"/>
                    </w:rPr>
                  </w:pPr>
                </w:p>
              </w:tc>
            </w:tr>
          </w:tbl>
          <w:p w14:paraId="3354959F">
            <w:pPr>
              <w:adjustRightInd w:val="0"/>
              <w:spacing w:before="120" w:beforeLines="50" w:line="360" w:lineRule="auto"/>
              <w:rPr>
                <w:b/>
                <w:bCs/>
                <w:color w:val="auto"/>
                <w:sz w:val="24"/>
                <w:szCs w:val="32"/>
              </w:rPr>
            </w:pPr>
            <w:r>
              <w:rPr>
                <w:rFonts w:hint="eastAsia"/>
                <w:b/>
                <w:bCs/>
                <w:color w:val="auto"/>
                <w:sz w:val="24"/>
                <w:szCs w:val="32"/>
              </w:rPr>
              <w:t>4、建设规模及产品方案</w:t>
            </w:r>
          </w:p>
          <w:p w14:paraId="4EFCBCB1">
            <w:pPr>
              <w:spacing w:line="360" w:lineRule="auto"/>
              <w:ind w:firstLine="480" w:firstLineChars="200"/>
              <w:rPr>
                <w:color w:val="auto"/>
                <w:sz w:val="24"/>
                <w:szCs w:val="28"/>
              </w:rPr>
            </w:pPr>
            <w:r>
              <w:rPr>
                <w:rFonts w:hint="eastAsia"/>
                <w:color w:val="auto"/>
                <w:sz w:val="24"/>
                <w:szCs w:val="28"/>
              </w:rPr>
              <w:t>（</w:t>
            </w:r>
            <w:r>
              <w:rPr>
                <w:color w:val="auto"/>
                <w:sz w:val="24"/>
                <w:szCs w:val="28"/>
              </w:rPr>
              <w:t>1</w:t>
            </w:r>
            <w:r>
              <w:rPr>
                <w:rFonts w:hint="eastAsia"/>
                <w:color w:val="auto"/>
                <w:sz w:val="24"/>
                <w:szCs w:val="28"/>
              </w:rPr>
              <w:t xml:space="preserve">）建设规模 </w:t>
            </w:r>
          </w:p>
          <w:p w14:paraId="50DFBA86">
            <w:pPr>
              <w:spacing w:line="360" w:lineRule="auto"/>
              <w:ind w:firstLine="480" w:firstLineChars="200"/>
              <w:rPr>
                <w:color w:val="auto"/>
                <w:sz w:val="24"/>
                <w:szCs w:val="28"/>
              </w:rPr>
            </w:pPr>
            <w:r>
              <w:rPr>
                <w:rFonts w:hint="eastAsia"/>
                <w:color w:val="auto"/>
                <w:sz w:val="24"/>
                <w:szCs w:val="28"/>
              </w:rPr>
              <w:t>本项目建筑用砂开采规模50万</w:t>
            </w:r>
            <w:r>
              <w:rPr>
                <w:color w:val="auto"/>
                <w:sz w:val="24"/>
                <w:szCs w:val="28"/>
              </w:rPr>
              <w:t>m</w:t>
            </w:r>
            <w:r>
              <w:rPr>
                <w:color w:val="auto"/>
                <w:sz w:val="24"/>
                <w:szCs w:val="28"/>
                <w:vertAlign w:val="superscript"/>
              </w:rPr>
              <w:t>3</w:t>
            </w:r>
            <w:r>
              <w:rPr>
                <w:color w:val="auto"/>
                <w:sz w:val="24"/>
                <w:szCs w:val="28"/>
              </w:rPr>
              <w:t xml:space="preserve"> /a</w:t>
            </w:r>
            <w:r>
              <w:rPr>
                <w:rFonts w:hint="eastAsia"/>
                <w:color w:val="auto"/>
                <w:sz w:val="24"/>
                <w:szCs w:val="28"/>
              </w:rPr>
              <w:t xml:space="preserve">。 </w:t>
            </w:r>
          </w:p>
          <w:p w14:paraId="320399EC">
            <w:pPr>
              <w:spacing w:line="360" w:lineRule="auto"/>
              <w:ind w:firstLine="480" w:firstLineChars="200"/>
              <w:rPr>
                <w:color w:val="auto"/>
                <w:sz w:val="24"/>
                <w:szCs w:val="28"/>
              </w:rPr>
            </w:pPr>
            <w:r>
              <w:rPr>
                <w:rFonts w:hint="eastAsia"/>
                <w:color w:val="auto"/>
                <w:sz w:val="24"/>
                <w:szCs w:val="28"/>
              </w:rPr>
              <w:t>（</w:t>
            </w:r>
            <w:r>
              <w:rPr>
                <w:color w:val="auto"/>
                <w:sz w:val="24"/>
                <w:szCs w:val="28"/>
              </w:rPr>
              <w:t>2</w:t>
            </w:r>
            <w:r>
              <w:rPr>
                <w:rFonts w:hint="eastAsia"/>
                <w:color w:val="auto"/>
                <w:sz w:val="24"/>
                <w:szCs w:val="28"/>
              </w:rPr>
              <w:t xml:space="preserve">）产品方案 </w:t>
            </w:r>
          </w:p>
          <w:p w14:paraId="4F34B425">
            <w:pPr>
              <w:spacing w:line="360" w:lineRule="auto"/>
              <w:ind w:firstLine="480" w:firstLineChars="200"/>
              <w:rPr>
                <w:color w:val="auto"/>
                <w:sz w:val="24"/>
              </w:rPr>
            </w:pPr>
            <w:r>
              <w:rPr>
                <w:rFonts w:hint="eastAsia"/>
                <w:color w:val="auto"/>
                <w:sz w:val="24"/>
              </w:rPr>
              <w:t>本项目仅为建筑用砂开采作业，不涉及洗选加工环节，矿区不设工业广场，开采的建筑用砂外售当地砂石料企业自行分级加工。</w:t>
            </w:r>
          </w:p>
          <w:p w14:paraId="33EFDF3C">
            <w:pPr>
              <w:spacing w:line="360" w:lineRule="auto"/>
              <w:ind w:firstLine="480" w:firstLineChars="200"/>
              <w:rPr>
                <w:b/>
                <w:bCs/>
                <w:color w:val="auto"/>
                <w:sz w:val="24"/>
                <w:szCs w:val="32"/>
              </w:rPr>
            </w:pPr>
            <w:r>
              <w:rPr>
                <w:rFonts w:hint="eastAsia"/>
                <w:color w:val="auto"/>
                <w:sz w:val="24"/>
                <w:szCs w:val="28"/>
              </w:rPr>
              <w:t>矿区产品方案为：建筑用砂50万</w:t>
            </w:r>
            <w:r>
              <w:rPr>
                <w:color w:val="auto"/>
                <w:sz w:val="24"/>
                <w:szCs w:val="28"/>
              </w:rPr>
              <w:t>m</w:t>
            </w:r>
            <w:r>
              <w:rPr>
                <w:color w:val="auto"/>
                <w:sz w:val="24"/>
                <w:szCs w:val="28"/>
                <w:vertAlign w:val="superscript"/>
              </w:rPr>
              <w:t>3</w:t>
            </w:r>
            <w:r>
              <w:rPr>
                <w:rFonts w:hint="eastAsia"/>
                <w:color w:val="auto"/>
                <w:sz w:val="24"/>
                <w:szCs w:val="28"/>
              </w:rPr>
              <w:t>/a。</w:t>
            </w:r>
          </w:p>
          <w:p w14:paraId="1453DAF0">
            <w:pPr>
              <w:adjustRightInd w:val="0"/>
              <w:spacing w:before="120" w:beforeLines="50" w:line="360" w:lineRule="auto"/>
              <w:rPr>
                <w:b/>
                <w:bCs/>
                <w:color w:val="auto"/>
                <w:sz w:val="24"/>
                <w:szCs w:val="32"/>
              </w:rPr>
            </w:pPr>
            <w:r>
              <w:rPr>
                <w:rFonts w:hint="eastAsia"/>
                <w:b/>
                <w:bCs/>
                <w:color w:val="auto"/>
                <w:sz w:val="24"/>
                <w:szCs w:val="32"/>
              </w:rPr>
              <w:t>5、开采方案</w:t>
            </w:r>
          </w:p>
          <w:p w14:paraId="7002F05E">
            <w:pPr>
              <w:adjustRightInd w:val="0"/>
              <w:spacing w:before="120" w:beforeLines="50" w:line="360" w:lineRule="auto"/>
              <w:rPr>
                <w:b/>
                <w:bCs/>
                <w:color w:val="auto"/>
                <w:sz w:val="24"/>
                <w:szCs w:val="32"/>
              </w:rPr>
            </w:pPr>
            <w:r>
              <w:rPr>
                <w:rFonts w:hint="eastAsia"/>
                <w:b/>
                <w:bCs/>
                <w:color w:val="auto"/>
                <w:sz w:val="24"/>
                <w:szCs w:val="32"/>
              </w:rPr>
              <w:t>5.1</w:t>
            </w:r>
            <w:bookmarkStart w:id="5" w:name="_Toc20809"/>
            <w:r>
              <w:rPr>
                <w:rFonts w:hint="eastAsia"/>
                <w:b/>
                <w:bCs/>
                <w:color w:val="auto"/>
                <w:sz w:val="24"/>
                <w:szCs w:val="32"/>
              </w:rPr>
              <w:t>开采范围及最低开采标高</w:t>
            </w:r>
            <w:bookmarkEnd w:id="5"/>
          </w:p>
          <w:p w14:paraId="3BCC356B">
            <w:pPr>
              <w:spacing w:line="360" w:lineRule="auto"/>
              <w:ind w:firstLine="480" w:firstLineChars="200"/>
              <w:rPr>
                <w:color w:val="auto"/>
                <w:sz w:val="24"/>
                <w:szCs w:val="28"/>
              </w:rPr>
            </w:pPr>
            <w:r>
              <w:rPr>
                <w:rFonts w:hint="eastAsia"/>
                <w:color w:val="auto"/>
                <w:sz w:val="24"/>
                <w:szCs w:val="28"/>
              </w:rPr>
              <w:t>本次设计开采范围为矿区范围内保有资源量的砂石料矿体。</w:t>
            </w:r>
          </w:p>
          <w:p w14:paraId="242A19AC">
            <w:pPr>
              <w:spacing w:line="360" w:lineRule="auto"/>
              <w:ind w:firstLine="480" w:firstLineChars="200"/>
              <w:rPr>
                <w:color w:val="auto"/>
                <w:sz w:val="24"/>
                <w:szCs w:val="28"/>
              </w:rPr>
            </w:pPr>
            <w:bookmarkStart w:id="6" w:name="_Toc27061"/>
            <w:bookmarkStart w:id="7" w:name="_Toc73599559"/>
            <w:r>
              <w:rPr>
                <w:rFonts w:hint="eastAsia"/>
                <w:color w:val="auto"/>
                <w:sz w:val="24"/>
                <w:szCs w:val="28"/>
              </w:rPr>
              <w:t>全矿最高开采标高为922m，最低开采标高为899m。</w:t>
            </w:r>
          </w:p>
          <w:p w14:paraId="7E27A01D">
            <w:pPr>
              <w:spacing w:line="360" w:lineRule="auto"/>
              <w:rPr>
                <w:b/>
                <w:bCs/>
                <w:color w:val="auto"/>
                <w:sz w:val="24"/>
                <w:szCs w:val="28"/>
              </w:rPr>
            </w:pPr>
            <w:r>
              <w:rPr>
                <w:rFonts w:hint="eastAsia"/>
                <w:b/>
                <w:bCs/>
                <w:color w:val="auto"/>
                <w:sz w:val="24"/>
                <w:szCs w:val="28"/>
              </w:rPr>
              <w:t>5.2露天开采境界</w:t>
            </w:r>
            <w:bookmarkEnd w:id="6"/>
            <w:bookmarkEnd w:id="7"/>
          </w:p>
          <w:p w14:paraId="5136876C">
            <w:pPr>
              <w:spacing w:line="360" w:lineRule="auto"/>
              <w:ind w:firstLine="480" w:firstLineChars="200"/>
              <w:rPr>
                <w:color w:val="auto"/>
                <w:sz w:val="24"/>
                <w:szCs w:val="28"/>
              </w:rPr>
            </w:pPr>
            <w:r>
              <w:rPr>
                <w:rFonts w:hint="eastAsia"/>
                <w:color w:val="auto"/>
                <w:sz w:val="24"/>
                <w:szCs w:val="28"/>
              </w:rPr>
              <w:t>（1）圈定露天开采境界的参数</w:t>
            </w:r>
          </w:p>
          <w:p w14:paraId="33F6230F">
            <w:pPr>
              <w:spacing w:line="360" w:lineRule="auto"/>
              <w:ind w:firstLine="480" w:firstLineChars="200"/>
              <w:rPr>
                <w:color w:val="auto"/>
                <w:sz w:val="24"/>
                <w:szCs w:val="28"/>
              </w:rPr>
            </w:pPr>
            <w:r>
              <w:rPr>
                <w:rFonts w:hint="eastAsia"/>
                <w:color w:val="auto"/>
                <w:sz w:val="24"/>
                <w:szCs w:val="28"/>
              </w:rPr>
              <w:t>矿区出露地层主要为第四系砂砾层，厚度大，岩性单一，整体性好，较均匀、稳定。矿床为冲积形成的砂砾层，其岩性较破碎，属于软弱层，力学性质较差。</w:t>
            </w:r>
          </w:p>
          <w:p w14:paraId="04ABD4B7">
            <w:pPr>
              <w:spacing w:line="360" w:lineRule="auto"/>
              <w:ind w:firstLine="480" w:firstLineChars="200"/>
              <w:rPr>
                <w:color w:val="auto"/>
                <w:sz w:val="24"/>
                <w:szCs w:val="28"/>
              </w:rPr>
            </w:pPr>
            <w:r>
              <w:rPr>
                <w:rFonts w:hint="eastAsia"/>
                <w:color w:val="auto"/>
                <w:sz w:val="24"/>
                <w:szCs w:val="28"/>
              </w:rPr>
              <w:t>根据矿岩性质及最终开采深度，依据采矿设计手册并参照国内同类矿山边坡现状及普查报告的最终边坡角，设计采用类比法确定最终边坡参数。</w:t>
            </w:r>
          </w:p>
          <w:p w14:paraId="4F0C10ED">
            <w:pPr>
              <w:spacing w:line="360" w:lineRule="auto"/>
              <w:ind w:firstLine="480" w:firstLineChars="200"/>
              <w:rPr>
                <w:color w:val="auto"/>
                <w:sz w:val="24"/>
                <w:szCs w:val="28"/>
              </w:rPr>
            </w:pPr>
            <w:bookmarkStart w:id="8" w:name="_Toc99454900"/>
            <w:bookmarkStart w:id="9" w:name="_Toc101590074"/>
            <w:bookmarkStart w:id="10" w:name="_Toc117318096"/>
            <w:bookmarkStart w:id="11" w:name="_Toc99454673"/>
            <w:r>
              <w:rPr>
                <w:rFonts w:hint="eastAsia"/>
                <w:color w:val="auto"/>
                <w:sz w:val="24"/>
                <w:szCs w:val="28"/>
              </w:rPr>
              <w:t>根据《金属非金属矿山安全规程》《采矿设计手册》和《采矿手册》中的有关规定以及矿体赋存的地质条件，并参照其他岩石类矿山的开采实践经验，确定采场</w:t>
            </w:r>
            <w:r>
              <w:rPr>
                <w:rFonts w:hint="eastAsia"/>
                <w:color w:val="auto"/>
                <w:sz w:val="24"/>
                <w:szCs w:val="28"/>
                <w:lang w:eastAsia="zh-CN"/>
              </w:rPr>
              <w:t>要素</w:t>
            </w:r>
            <w:r>
              <w:rPr>
                <w:rFonts w:hint="eastAsia"/>
                <w:color w:val="auto"/>
                <w:sz w:val="24"/>
                <w:szCs w:val="28"/>
              </w:rPr>
              <w:t>。</w:t>
            </w:r>
          </w:p>
          <w:bookmarkEnd w:id="8"/>
          <w:bookmarkEnd w:id="9"/>
          <w:bookmarkEnd w:id="10"/>
          <w:bookmarkEnd w:id="11"/>
          <w:p w14:paraId="1CF22087">
            <w:pPr>
              <w:spacing w:line="360" w:lineRule="auto"/>
              <w:ind w:firstLine="480" w:firstLineChars="200"/>
              <w:rPr>
                <w:color w:val="auto"/>
                <w:sz w:val="24"/>
                <w:szCs w:val="28"/>
              </w:rPr>
            </w:pPr>
            <w:r>
              <w:rPr>
                <w:rFonts w:hint="eastAsia"/>
                <w:color w:val="auto"/>
                <w:sz w:val="24"/>
                <w:szCs w:val="28"/>
              </w:rPr>
              <w:t>①工作台阶高度、坡面角</w:t>
            </w:r>
          </w:p>
          <w:p w14:paraId="0FD69903">
            <w:pPr>
              <w:spacing w:line="360" w:lineRule="auto"/>
              <w:ind w:firstLine="480" w:firstLineChars="200"/>
              <w:rPr>
                <w:color w:val="auto"/>
                <w:sz w:val="24"/>
                <w:szCs w:val="28"/>
              </w:rPr>
            </w:pPr>
            <w:r>
              <w:rPr>
                <w:rFonts w:hint="eastAsia"/>
                <w:color w:val="auto"/>
                <w:sz w:val="24"/>
                <w:szCs w:val="28"/>
              </w:rPr>
              <w:t>根据《金属非金属矿山安全规程》的规定，较松散的矿石，工作台阶高度不大于机械的最大挖掘高度的1倍，设计该矿采用挖掘机直接采挖，设计工作台阶平均高度为6m，最终台阶坡面角45°，最终边坡角37°。</w:t>
            </w:r>
          </w:p>
          <w:p w14:paraId="36B8C3E2">
            <w:pPr>
              <w:spacing w:line="360" w:lineRule="auto"/>
              <w:ind w:firstLine="480" w:firstLineChars="200"/>
              <w:rPr>
                <w:color w:val="auto"/>
                <w:sz w:val="24"/>
                <w:szCs w:val="28"/>
              </w:rPr>
            </w:pPr>
            <w:r>
              <w:rPr>
                <w:rFonts w:hint="eastAsia"/>
                <w:color w:val="auto"/>
                <w:sz w:val="24"/>
                <w:szCs w:val="28"/>
              </w:rPr>
              <w:t>②工作平台最小宽度的确定</w:t>
            </w:r>
          </w:p>
          <w:p w14:paraId="693F8CFE">
            <w:pPr>
              <w:spacing w:line="360" w:lineRule="auto"/>
              <w:ind w:firstLine="480" w:firstLineChars="200"/>
              <w:rPr>
                <w:color w:val="auto"/>
                <w:sz w:val="24"/>
                <w:szCs w:val="28"/>
              </w:rPr>
            </w:pPr>
            <w:r>
              <w:rPr>
                <w:rFonts w:hint="eastAsia"/>
                <w:color w:val="auto"/>
                <w:sz w:val="24"/>
                <w:szCs w:val="28"/>
              </w:rPr>
              <w:t>设计该矿工作平台最小宽度为30m。</w:t>
            </w:r>
          </w:p>
          <w:p w14:paraId="4610C896">
            <w:pPr>
              <w:spacing w:line="360" w:lineRule="auto"/>
              <w:ind w:firstLine="480" w:firstLineChars="200"/>
              <w:rPr>
                <w:color w:val="auto"/>
                <w:sz w:val="24"/>
                <w:szCs w:val="28"/>
              </w:rPr>
            </w:pPr>
            <w:r>
              <w:rPr>
                <w:rFonts w:hint="eastAsia"/>
                <w:color w:val="auto"/>
                <w:sz w:val="24"/>
                <w:szCs w:val="28"/>
              </w:rPr>
              <w:t>③工作线最小长度</w:t>
            </w:r>
          </w:p>
          <w:p w14:paraId="0CEBF3F1">
            <w:pPr>
              <w:spacing w:line="360" w:lineRule="auto"/>
              <w:ind w:firstLine="480" w:firstLineChars="200"/>
              <w:rPr>
                <w:color w:val="auto"/>
                <w:sz w:val="24"/>
                <w:szCs w:val="28"/>
              </w:rPr>
            </w:pPr>
            <w:r>
              <w:rPr>
                <w:rFonts w:hint="eastAsia"/>
                <w:color w:val="auto"/>
                <w:sz w:val="24"/>
                <w:szCs w:val="28"/>
              </w:rPr>
              <w:t>鉴于矿山采用挖掘机直接采挖，自卸汽车运输的开采工艺。故根据矿山生产规模及所需铲装设备的要求，该矿工作线最小长度设计为100m。</w:t>
            </w:r>
          </w:p>
          <w:p w14:paraId="52FA2909">
            <w:pPr>
              <w:spacing w:line="360" w:lineRule="auto"/>
              <w:ind w:firstLine="480" w:firstLineChars="200"/>
              <w:rPr>
                <w:color w:val="auto"/>
                <w:sz w:val="24"/>
                <w:szCs w:val="28"/>
              </w:rPr>
            </w:pPr>
            <w:r>
              <w:rPr>
                <w:rFonts w:hint="eastAsia"/>
                <w:color w:val="auto"/>
                <w:sz w:val="24"/>
                <w:szCs w:val="28"/>
              </w:rPr>
              <w:t>④采场要素详见表2-4。</w:t>
            </w:r>
          </w:p>
          <w:p w14:paraId="620518DB">
            <w:pPr>
              <w:pStyle w:val="64"/>
              <w:outlineLvl w:val="9"/>
              <w:rPr>
                <w:rFonts w:hint="default"/>
                <w:b/>
                <w:bCs/>
                <w:color w:val="auto"/>
              </w:rPr>
            </w:pPr>
            <w:r>
              <w:rPr>
                <w:b/>
                <w:bCs/>
                <w:color w:val="auto"/>
              </w:rPr>
              <w:t>表2-4   采场要素表</w:t>
            </w:r>
          </w:p>
          <w:tbl>
            <w:tblPr>
              <w:tblStyle w:val="2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52"/>
              <w:gridCol w:w="3096"/>
            </w:tblGrid>
            <w:tr w14:paraId="0B2BB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vAlign w:val="center"/>
                </w:tcPr>
                <w:p w14:paraId="78977A8C">
                  <w:pPr>
                    <w:pStyle w:val="92"/>
                    <w:jc w:val="center"/>
                    <w:rPr>
                      <w:color w:val="auto"/>
                      <w:szCs w:val="21"/>
                    </w:rPr>
                  </w:pPr>
                  <w:r>
                    <w:rPr>
                      <w:color w:val="auto"/>
                      <w:szCs w:val="21"/>
                    </w:rPr>
                    <w:t>最终台阶坡面角（°）</w:t>
                  </w:r>
                </w:p>
              </w:tc>
              <w:tc>
                <w:tcPr>
                  <w:tcW w:w="1900" w:type="pct"/>
                  <w:vAlign w:val="center"/>
                </w:tcPr>
                <w:p w14:paraId="664549C3">
                  <w:pPr>
                    <w:pStyle w:val="92"/>
                    <w:jc w:val="center"/>
                    <w:rPr>
                      <w:color w:val="auto"/>
                      <w:szCs w:val="21"/>
                    </w:rPr>
                  </w:pPr>
                  <w:r>
                    <w:rPr>
                      <w:color w:val="auto"/>
                      <w:szCs w:val="21"/>
                    </w:rPr>
                    <w:t>45</w:t>
                  </w:r>
                </w:p>
              </w:tc>
            </w:tr>
            <w:tr w14:paraId="0A90F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vAlign w:val="center"/>
                </w:tcPr>
                <w:p w14:paraId="26FB8B1F">
                  <w:pPr>
                    <w:pStyle w:val="92"/>
                    <w:jc w:val="center"/>
                    <w:rPr>
                      <w:color w:val="auto"/>
                      <w:szCs w:val="21"/>
                    </w:rPr>
                  </w:pPr>
                  <w:r>
                    <w:rPr>
                      <w:color w:val="auto"/>
                      <w:szCs w:val="21"/>
                    </w:rPr>
                    <w:t>最终边坡角（°）</w:t>
                  </w:r>
                </w:p>
              </w:tc>
              <w:tc>
                <w:tcPr>
                  <w:tcW w:w="1900" w:type="pct"/>
                  <w:vAlign w:val="center"/>
                </w:tcPr>
                <w:p w14:paraId="1B14DDE2">
                  <w:pPr>
                    <w:pStyle w:val="92"/>
                    <w:jc w:val="center"/>
                    <w:rPr>
                      <w:color w:val="auto"/>
                      <w:szCs w:val="21"/>
                    </w:rPr>
                  </w:pPr>
                  <w:r>
                    <w:rPr>
                      <w:color w:val="auto"/>
                      <w:szCs w:val="21"/>
                    </w:rPr>
                    <w:t>37</w:t>
                  </w:r>
                </w:p>
              </w:tc>
            </w:tr>
            <w:tr w14:paraId="4CCA7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vAlign w:val="center"/>
                </w:tcPr>
                <w:p w14:paraId="7609644D">
                  <w:pPr>
                    <w:pStyle w:val="92"/>
                    <w:jc w:val="center"/>
                    <w:rPr>
                      <w:color w:val="auto"/>
                      <w:szCs w:val="21"/>
                    </w:rPr>
                  </w:pPr>
                  <w:r>
                    <w:rPr>
                      <w:color w:val="auto"/>
                      <w:szCs w:val="21"/>
                    </w:rPr>
                    <w:t>工作台阶高度（m）</w:t>
                  </w:r>
                </w:p>
              </w:tc>
              <w:tc>
                <w:tcPr>
                  <w:tcW w:w="1900" w:type="pct"/>
                  <w:vAlign w:val="center"/>
                </w:tcPr>
                <w:p w14:paraId="6159CAEB">
                  <w:pPr>
                    <w:pStyle w:val="92"/>
                    <w:jc w:val="center"/>
                    <w:rPr>
                      <w:color w:val="auto"/>
                      <w:szCs w:val="21"/>
                    </w:rPr>
                  </w:pPr>
                  <w:r>
                    <w:rPr>
                      <w:color w:val="auto"/>
                      <w:szCs w:val="21"/>
                    </w:rPr>
                    <w:t>6</w:t>
                  </w:r>
                </w:p>
              </w:tc>
            </w:tr>
            <w:tr w14:paraId="36573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vAlign w:val="center"/>
                </w:tcPr>
                <w:p w14:paraId="0E53A90D">
                  <w:pPr>
                    <w:pStyle w:val="92"/>
                    <w:jc w:val="center"/>
                    <w:rPr>
                      <w:color w:val="auto"/>
                      <w:szCs w:val="21"/>
                    </w:rPr>
                  </w:pPr>
                  <w:r>
                    <w:rPr>
                      <w:color w:val="auto"/>
                      <w:szCs w:val="21"/>
                    </w:rPr>
                    <w:t>工作平台最小宽度（m）</w:t>
                  </w:r>
                </w:p>
              </w:tc>
              <w:tc>
                <w:tcPr>
                  <w:tcW w:w="1900" w:type="pct"/>
                  <w:vAlign w:val="center"/>
                </w:tcPr>
                <w:p w14:paraId="3A890A26">
                  <w:pPr>
                    <w:pStyle w:val="92"/>
                    <w:jc w:val="center"/>
                    <w:rPr>
                      <w:color w:val="auto"/>
                      <w:szCs w:val="21"/>
                    </w:rPr>
                  </w:pPr>
                  <w:r>
                    <w:rPr>
                      <w:color w:val="auto"/>
                      <w:szCs w:val="21"/>
                    </w:rPr>
                    <w:t>30</w:t>
                  </w:r>
                </w:p>
              </w:tc>
            </w:tr>
            <w:tr w14:paraId="78CC3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vAlign w:val="center"/>
                </w:tcPr>
                <w:p w14:paraId="4AE63472">
                  <w:pPr>
                    <w:pStyle w:val="92"/>
                    <w:jc w:val="center"/>
                    <w:rPr>
                      <w:color w:val="auto"/>
                      <w:szCs w:val="21"/>
                    </w:rPr>
                  </w:pPr>
                  <w:r>
                    <w:rPr>
                      <w:color w:val="auto"/>
                      <w:szCs w:val="21"/>
                    </w:rPr>
                    <w:t>工作线最小长度（m）</w:t>
                  </w:r>
                </w:p>
              </w:tc>
              <w:tc>
                <w:tcPr>
                  <w:tcW w:w="1900" w:type="pct"/>
                  <w:vAlign w:val="center"/>
                </w:tcPr>
                <w:p w14:paraId="7C76E8C1">
                  <w:pPr>
                    <w:pStyle w:val="92"/>
                    <w:jc w:val="center"/>
                    <w:rPr>
                      <w:color w:val="auto"/>
                      <w:szCs w:val="21"/>
                    </w:rPr>
                  </w:pPr>
                  <w:r>
                    <w:rPr>
                      <w:color w:val="auto"/>
                      <w:szCs w:val="21"/>
                    </w:rPr>
                    <w:t>100</w:t>
                  </w:r>
                </w:p>
              </w:tc>
            </w:tr>
          </w:tbl>
          <w:p w14:paraId="4C871E9B">
            <w:pPr>
              <w:spacing w:line="360" w:lineRule="auto"/>
              <w:ind w:firstLine="480" w:firstLineChars="200"/>
              <w:rPr>
                <w:color w:val="auto"/>
                <w:sz w:val="24"/>
                <w:szCs w:val="28"/>
              </w:rPr>
            </w:pPr>
            <w:r>
              <w:rPr>
                <w:rFonts w:hint="eastAsia"/>
                <w:color w:val="auto"/>
                <w:sz w:val="24"/>
                <w:szCs w:val="28"/>
              </w:rPr>
              <w:t>（2）露天开采境界圈定结果</w:t>
            </w:r>
          </w:p>
          <w:p w14:paraId="76ADEE02">
            <w:pPr>
              <w:spacing w:line="360" w:lineRule="auto"/>
              <w:ind w:firstLine="480" w:firstLineChars="200"/>
              <w:rPr>
                <w:color w:val="auto"/>
                <w:sz w:val="24"/>
                <w:szCs w:val="28"/>
              </w:rPr>
            </w:pPr>
            <w:r>
              <w:rPr>
                <w:rFonts w:hint="eastAsia"/>
                <w:color w:val="auto"/>
                <w:sz w:val="24"/>
                <w:szCs w:val="28"/>
              </w:rPr>
              <w:t>根据矿区地形条件及压覆区分布范围，将矿区自然圈定为两个开采境界，全矿共设置两个采矿场。详见表2-5。</w:t>
            </w:r>
          </w:p>
          <w:p w14:paraId="0990AA6E">
            <w:pPr>
              <w:adjustRightInd w:val="0"/>
              <w:snapToGrid w:val="0"/>
              <w:spacing w:line="240" w:lineRule="atLeast"/>
              <w:jc w:val="center"/>
              <w:rPr>
                <w:b/>
                <w:bCs/>
                <w:color w:val="auto"/>
                <w:kern w:val="44"/>
                <w:szCs w:val="20"/>
              </w:rPr>
            </w:pPr>
            <w:r>
              <w:rPr>
                <w:rFonts w:hint="eastAsia"/>
                <w:b/>
                <w:bCs/>
                <w:color w:val="auto"/>
                <w:kern w:val="44"/>
                <w:szCs w:val="20"/>
              </w:rPr>
              <w:t>表2-5   开采境界构成要素表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772"/>
              <w:gridCol w:w="914"/>
              <w:gridCol w:w="1970"/>
              <w:gridCol w:w="2249"/>
              <w:gridCol w:w="2249"/>
            </w:tblGrid>
            <w:tr w14:paraId="5B3E1B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vAlign w:val="center"/>
                </w:tcPr>
                <w:p w14:paraId="0DE7006D">
                  <w:pPr>
                    <w:pStyle w:val="92"/>
                    <w:jc w:val="center"/>
                    <w:rPr>
                      <w:rFonts w:hint="eastAsia" w:eastAsia="宋体"/>
                      <w:color w:val="auto"/>
                      <w:szCs w:val="21"/>
                      <w:lang w:val="en-US" w:eastAsia="zh-CN"/>
                    </w:rPr>
                  </w:pPr>
                  <w:r>
                    <w:rPr>
                      <w:rFonts w:hint="eastAsia"/>
                      <w:color w:val="auto"/>
                      <w:szCs w:val="21"/>
                      <w:lang w:val="en-US" w:eastAsia="zh-CN"/>
                    </w:rPr>
                    <w:t>要素</w:t>
                  </w:r>
                </w:p>
              </w:tc>
              <w:tc>
                <w:tcPr>
                  <w:tcW w:w="2249" w:type="dxa"/>
                  <w:tcBorders>
                    <w:right w:val="single" w:color="auto" w:sz="4" w:space="0"/>
                  </w:tcBorders>
                  <w:vAlign w:val="center"/>
                </w:tcPr>
                <w:p w14:paraId="72080D7E">
                  <w:pPr>
                    <w:pStyle w:val="92"/>
                    <w:jc w:val="center"/>
                    <w:rPr>
                      <w:rFonts w:hint="default" w:eastAsia="宋体"/>
                      <w:color w:val="auto"/>
                      <w:szCs w:val="21"/>
                      <w:lang w:val="en-US" w:eastAsia="zh-CN"/>
                    </w:rPr>
                  </w:pPr>
                  <w:r>
                    <w:rPr>
                      <w:rFonts w:hint="eastAsia"/>
                      <w:color w:val="auto"/>
                      <w:szCs w:val="21"/>
                      <w:lang w:val="en-US" w:eastAsia="zh-CN"/>
                    </w:rPr>
                    <w:t>1号开采区</w:t>
                  </w:r>
                </w:p>
              </w:tc>
              <w:tc>
                <w:tcPr>
                  <w:tcW w:w="2249" w:type="dxa"/>
                  <w:tcBorders>
                    <w:left w:val="single" w:color="auto" w:sz="4" w:space="0"/>
                  </w:tcBorders>
                  <w:vAlign w:val="center"/>
                </w:tcPr>
                <w:p w14:paraId="39FA87F2">
                  <w:pPr>
                    <w:pStyle w:val="92"/>
                    <w:jc w:val="center"/>
                    <w:rPr>
                      <w:rFonts w:hint="default" w:eastAsia="宋体"/>
                      <w:color w:val="auto"/>
                      <w:szCs w:val="21"/>
                      <w:lang w:val="en-US" w:eastAsia="zh-CN"/>
                    </w:rPr>
                  </w:pPr>
                  <w:r>
                    <w:rPr>
                      <w:rFonts w:hint="eastAsia"/>
                      <w:color w:val="auto"/>
                      <w:szCs w:val="21"/>
                      <w:lang w:val="en-US" w:eastAsia="zh-CN"/>
                    </w:rPr>
                    <w:t>2号开采区</w:t>
                  </w:r>
                </w:p>
              </w:tc>
            </w:tr>
            <w:tr w14:paraId="06DA6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shd w:val="clear" w:color="auto" w:fill="auto"/>
                  <w:vAlign w:val="center"/>
                </w:tcPr>
                <w:p w14:paraId="77152E4D">
                  <w:pPr>
                    <w:pStyle w:val="92"/>
                    <w:jc w:val="center"/>
                    <w:rPr>
                      <w:rFonts w:ascii="Times New Roman" w:hAnsi="Times New Roman" w:eastAsia="宋体" w:cs="Times New Roman"/>
                      <w:color w:val="auto"/>
                      <w:kern w:val="2"/>
                      <w:sz w:val="21"/>
                      <w:szCs w:val="21"/>
                      <w:lang w:val="en-US" w:eastAsia="zh-CN" w:bidi="ar-SA"/>
                    </w:rPr>
                  </w:pPr>
                  <w:r>
                    <w:rPr>
                      <w:color w:val="auto"/>
                      <w:szCs w:val="21"/>
                    </w:rPr>
                    <w:t>最高开采标高（m）</w:t>
                  </w:r>
                </w:p>
              </w:tc>
              <w:tc>
                <w:tcPr>
                  <w:tcW w:w="2249" w:type="dxa"/>
                  <w:tcBorders>
                    <w:right w:val="single" w:color="auto" w:sz="4" w:space="0"/>
                  </w:tcBorders>
                  <w:shd w:val="clear" w:color="auto" w:fill="auto"/>
                  <w:vAlign w:val="center"/>
                </w:tcPr>
                <w:p w14:paraId="0317870F">
                  <w:pPr>
                    <w:pStyle w:val="92"/>
                    <w:jc w:val="center"/>
                    <w:rPr>
                      <w:rFonts w:hint="default" w:ascii="Times New Roman" w:hAnsi="Times New Roman" w:eastAsia="宋体" w:cs="Times New Roman"/>
                      <w:color w:val="auto"/>
                      <w:kern w:val="2"/>
                      <w:sz w:val="21"/>
                      <w:szCs w:val="21"/>
                      <w:lang w:val="en-US" w:eastAsia="zh-CN" w:bidi="ar-SA"/>
                    </w:rPr>
                  </w:pPr>
                  <w:r>
                    <w:rPr>
                      <w:color w:val="auto"/>
                      <w:szCs w:val="21"/>
                    </w:rPr>
                    <w:t>9</w:t>
                  </w:r>
                  <w:r>
                    <w:rPr>
                      <w:rFonts w:hint="eastAsia"/>
                      <w:color w:val="auto"/>
                      <w:szCs w:val="21"/>
                      <w:lang w:val="en-US" w:eastAsia="zh-CN"/>
                    </w:rPr>
                    <w:t>17</w:t>
                  </w:r>
                </w:p>
              </w:tc>
              <w:tc>
                <w:tcPr>
                  <w:tcW w:w="2249" w:type="dxa"/>
                  <w:tcBorders>
                    <w:left w:val="single" w:color="auto" w:sz="4" w:space="0"/>
                  </w:tcBorders>
                  <w:shd w:val="clear" w:color="auto" w:fill="auto"/>
                  <w:vAlign w:val="center"/>
                </w:tcPr>
                <w:p w14:paraId="0B2CA276">
                  <w:pPr>
                    <w:pStyle w:val="92"/>
                    <w:jc w:val="center"/>
                    <w:rPr>
                      <w:rFonts w:ascii="Times New Roman" w:hAnsi="Times New Roman" w:eastAsia="宋体" w:cs="Times New Roman"/>
                      <w:color w:val="auto"/>
                      <w:kern w:val="2"/>
                      <w:sz w:val="21"/>
                      <w:szCs w:val="21"/>
                      <w:lang w:val="en-US" w:eastAsia="zh-CN" w:bidi="ar-SA"/>
                    </w:rPr>
                  </w:pPr>
                  <w:r>
                    <w:rPr>
                      <w:color w:val="auto"/>
                      <w:szCs w:val="21"/>
                    </w:rPr>
                    <w:t>922</w:t>
                  </w:r>
                </w:p>
              </w:tc>
            </w:tr>
            <w:tr w14:paraId="15465B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vAlign w:val="center"/>
                </w:tcPr>
                <w:p w14:paraId="78AE9CCD">
                  <w:pPr>
                    <w:pStyle w:val="92"/>
                    <w:jc w:val="center"/>
                    <w:rPr>
                      <w:color w:val="auto"/>
                      <w:szCs w:val="21"/>
                    </w:rPr>
                  </w:pPr>
                  <w:r>
                    <w:rPr>
                      <w:color w:val="auto"/>
                      <w:szCs w:val="21"/>
                    </w:rPr>
                    <w:t>最低开采标高（m）</w:t>
                  </w:r>
                </w:p>
              </w:tc>
              <w:tc>
                <w:tcPr>
                  <w:tcW w:w="2249" w:type="dxa"/>
                  <w:tcBorders>
                    <w:right w:val="single" w:color="auto" w:sz="4" w:space="0"/>
                  </w:tcBorders>
                  <w:vAlign w:val="center"/>
                </w:tcPr>
                <w:p w14:paraId="5DC268DF">
                  <w:pPr>
                    <w:pStyle w:val="92"/>
                    <w:jc w:val="center"/>
                    <w:rPr>
                      <w:color w:val="auto"/>
                      <w:szCs w:val="21"/>
                    </w:rPr>
                  </w:pPr>
                  <w:r>
                    <w:rPr>
                      <w:color w:val="auto"/>
                      <w:szCs w:val="21"/>
                    </w:rPr>
                    <w:t>899</w:t>
                  </w:r>
                </w:p>
              </w:tc>
              <w:tc>
                <w:tcPr>
                  <w:tcW w:w="2249" w:type="dxa"/>
                  <w:tcBorders>
                    <w:left w:val="single" w:color="auto" w:sz="4" w:space="0"/>
                  </w:tcBorders>
                  <w:vAlign w:val="center"/>
                </w:tcPr>
                <w:p w14:paraId="063E0B5B">
                  <w:pPr>
                    <w:pStyle w:val="92"/>
                    <w:jc w:val="center"/>
                    <w:rPr>
                      <w:color w:val="auto"/>
                      <w:szCs w:val="21"/>
                    </w:rPr>
                  </w:pPr>
                  <w:r>
                    <w:rPr>
                      <w:color w:val="auto"/>
                      <w:szCs w:val="21"/>
                    </w:rPr>
                    <w:t>899</w:t>
                  </w:r>
                </w:p>
              </w:tc>
            </w:tr>
            <w:tr w14:paraId="246CB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vAlign w:val="center"/>
                </w:tcPr>
                <w:p w14:paraId="472F5039">
                  <w:pPr>
                    <w:pStyle w:val="92"/>
                    <w:jc w:val="center"/>
                    <w:rPr>
                      <w:color w:val="auto"/>
                      <w:szCs w:val="21"/>
                    </w:rPr>
                  </w:pPr>
                  <w:r>
                    <w:rPr>
                      <w:color w:val="auto"/>
                      <w:szCs w:val="21"/>
                    </w:rPr>
                    <w:t>台阶高度（m）</w:t>
                  </w:r>
                </w:p>
              </w:tc>
              <w:tc>
                <w:tcPr>
                  <w:tcW w:w="2249" w:type="dxa"/>
                  <w:tcBorders>
                    <w:right w:val="single" w:color="auto" w:sz="4" w:space="0"/>
                  </w:tcBorders>
                  <w:vAlign w:val="center"/>
                </w:tcPr>
                <w:p w14:paraId="7D2587CD">
                  <w:pPr>
                    <w:pStyle w:val="92"/>
                    <w:jc w:val="center"/>
                    <w:rPr>
                      <w:color w:val="auto"/>
                      <w:szCs w:val="21"/>
                    </w:rPr>
                  </w:pPr>
                  <w:r>
                    <w:rPr>
                      <w:color w:val="auto"/>
                      <w:szCs w:val="21"/>
                    </w:rPr>
                    <w:t>6</w:t>
                  </w:r>
                </w:p>
              </w:tc>
              <w:tc>
                <w:tcPr>
                  <w:tcW w:w="2249" w:type="dxa"/>
                  <w:tcBorders>
                    <w:left w:val="single" w:color="auto" w:sz="4" w:space="0"/>
                  </w:tcBorders>
                  <w:vAlign w:val="center"/>
                </w:tcPr>
                <w:p w14:paraId="23D7AF4C">
                  <w:pPr>
                    <w:pStyle w:val="92"/>
                    <w:jc w:val="center"/>
                    <w:rPr>
                      <w:color w:val="auto"/>
                      <w:szCs w:val="21"/>
                    </w:rPr>
                  </w:pPr>
                  <w:r>
                    <w:rPr>
                      <w:color w:val="auto"/>
                      <w:szCs w:val="21"/>
                    </w:rPr>
                    <w:t>6</w:t>
                  </w:r>
                </w:p>
              </w:tc>
            </w:tr>
            <w:tr w14:paraId="724477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72" w:type="dxa"/>
                  <w:vMerge w:val="restart"/>
                  <w:vAlign w:val="center"/>
                </w:tcPr>
                <w:p w14:paraId="79F94650">
                  <w:pPr>
                    <w:pStyle w:val="92"/>
                    <w:jc w:val="center"/>
                    <w:rPr>
                      <w:color w:val="auto"/>
                      <w:szCs w:val="21"/>
                    </w:rPr>
                  </w:pPr>
                  <w:r>
                    <w:rPr>
                      <w:color w:val="auto"/>
                      <w:szCs w:val="21"/>
                    </w:rPr>
                    <w:t>境界</w:t>
                  </w:r>
                </w:p>
                <w:p w14:paraId="6B0B68B7">
                  <w:pPr>
                    <w:pStyle w:val="92"/>
                    <w:jc w:val="center"/>
                    <w:rPr>
                      <w:color w:val="auto"/>
                      <w:szCs w:val="21"/>
                    </w:rPr>
                  </w:pPr>
                  <w:r>
                    <w:rPr>
                      <w:color w:val="auto"/>
                      <w:szCs w:val="21"/>
                    </w:rPr>
                    <w:t>尺寸</w:t>
                  </w:r>
                </w:p>
              </w:tc>
              <w:tc>
                <w:tcPr>
                  <w:tcW w:w="914" w:type="dxa"/>
                  <w:vMerge w:val="restart"/>
                  <w:vAlign w:val="center"/>
                </w:tcPr>
                <w:p w14:paraId="2FBD25D9">
                  <w:pPr>
                    <w:pStyle w:val="92"/>
                    <w:jc w:val="center"/>
                    <w:rPr>
                      <w:color w:val="auto"/>
                      <w:szCs w:val="21"/>
                    </w:rPr>
                  </w:pPr>
                  <w:r>
                    <w:rPr>
                      <w:color w:val="auto"/>
                      <w:szCs w:val="21"/>
                    </w:rPr>
                    <w:t>地表</w:t>
                  </w:r>
                </w:p>
              </w:tc>
              <w:tc>
                <w:tcPr>
                  <w:tcW w:w="1970" w:type="dxa"/>
                  <w:vAlign w:val="center"/>
                </w:tcPr>
                <w:p w14:paraId="0661C8EE">
                  <w:pPr>
                    <w:pStyle w:val="92"/>
                    <w:jc w:val="center"/>
                    <w:rPr>
                      <w:color w:val="auto"/>
                      <w:szCs w:val="21"/>
                    </w:rPr>
                  </w:pPr>
                  <w:r>
                    <w:rPr>
                      <w:color w:val="auto"/>
                      <w:szCs w:val="21"/>
                    </w:rPr>
                    <w:t>长（m）</w:t>
                  </w:r>
                </w:p>
              </w:tc>
              <w:tc>
                <w:tcPr>
                  <w:tcW w:w="2249" w:type="dxa"/>
                  <w:tcBorders>
                    <w:right w:val="single" w:color="auto" w:sz="4" w:space="0"/>
                  </w:tcBorders>
                  <w:vAlign w:val="center"/>
                </w:tcPr>
                <w:p w14:paraId="706616CB">
                  <w:pPr>
                    <w:pStyle w:val="92"/>
                    <w:jc w:val="center"/>
                    <w:rPr>
                      <w:color w:val="auto"/>
                      <w:szCs w:val="21"/>
                    </w:rPr>
                  </w:pPr>
                  <w:r>
                    <w:rPr>
                      <w:color w:val="auto"/>
                      <w:szCs w:val="21"/>
                    </w:rPr>
                    <w:t>590</w:t>
                  </w:r>
                </w:p>
              </w:tc>
              <w:tc>
                <w:tcPr>
                  <w:tcW w:w="2249" w:type="dxa"/>
                  <w:tcBorders>
                    <w:left w:val="single" w:color="auto" w:sz="4" w:space="0"/>
                  </w:tcBorders>
                  <w:vAlign w:val="center"/>
                </w:tcPr>
                <w:p w14:paraId="17855CC4">
                  <w:pPr>
                    <w:pStyle w:val="92"/>
                    <w:jc w:val="center"/>
                    <w:rPr>
                      <w:color w:val="auto"/>
                      <w:szCs w:val="21"/>
                    </w:rPr>
                  </w:pPr>
                  <w:r>
                    <w:rPr>
                      <w:color w:val="auto"/>
                      <w:szCs w:val="21"/>
                    </w:rPr>
                    <w:t>560</w:t>
                  </w:r>
                </w:p>
              </w:tc>
            </w:tr>
            <w:tr w14:paraId="45A647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72" w:type="dxa"/>
                  <w:vMerge w:val="continue"/>
                  <w:vAlign w:val="center"/>
                </w:tcPr>
                <w:p w14:paraId="47B436C8">
                  <w:pPr>
                    <w:pStyle w:val="92"/>
                    <w:jc w:val="center"/>
                    <w:rPr>
                      <w:color w:val="auto"/>
                      <w:szCs w:val="21"/>
                    </w:rPr>
                  </w:pPr>
                </w:p>
              </w:tc>
              <w:tc>
                <w:tcPr>
                  <w:tcW w:w="914" w:type="dxa"/>
                  <w:vMerge w:val="continue"/>
                  <w:vAlign w:val="center"/>
                </w:tcPr>
                <w:p w14:paraId="67A66BB3">
                  <w:pPr>
                    <w:pStyle w:val="92"/>
                    <w:jc w:val="center"/>
                    <w:rPr>
                      <w:color w:val="auto"/>
                      <w:szCs w:val="21"/>
                    </w:rPr>
                  </w:pPr>
                </w:p>
              </w:tc>
              <w:tc>
                <w:tcPr>
                  <w:tcW w:w="1970" w:type="dxa"/>
                  <w:vAlign w:val="center"/>
                </w:tcPr>
                <w:p w14:paraId="767E9215">
                  <w:pPr>
                    <w:pStyle w:val="92"/>
                    <w:jc w:val="center"/>
                    <w:rPr>
                      <w:color w:val="auto"/>
                      <w:szCs w:val="21"/>
                    </w:rPr>
                  </w:pPr>
                  <w:r>
                    <w:rPr>
                      <w:color w:val="auto"/>
                      <w:szCs w:val="21"/>
                    </w:rPr>
                    <w:t>宽（m）</w:t>
                  </w:r>
                </w:p>
              </w:tc>
              <w:tc>
                <w:tcPr>
                  <w:tcW w:w="2249" w:type="dxa"/>
                  <w:tcBorders>
                    <w:right w:val="single" w:color="auto" w:sz="4" w:space="0"/>
                  </w:tcBorders>
                  <w:vAlign w:val="center"/>
                </w:tcPr>
                <w:p w14:paraId="70B72A95">
                  <w:pPr>
                    <w:pStyle w:val="92"/>
                    <w:jc w:val="center"/>
                    <w:rPr>
                      <w:color w:val="auto"/>
                      <w:szCs w:val="21"/>
                    </w:rPr>
                  </w:pPr>
                  <w:r>
                    <w:rPr>
                      <w:color w:val="auto"/>
                      <w:szCs w:val="21"/>
                    </w:rPr>
                    <w:t>200</w:t>
                  </w:r>
                </w:p>
              </w:tc>
              <w:tc>
                <w:tcPr>
                  <w:tcW w:w="2249" w:type="dxa"/>
                  <w:tcBorders>
                    <w:left w:val="single" w:color="auto" w:sz="4" w:space="0"/>
                  </w:tcBorders>
                  <w:vAlign w:val="center"/>
                </w:tcPr>
                <w:p w14:paraId="3DE9992E">
                  <w:pPr>
                    <w:pStyle w:val="92"/>
                    <w:jc w:val="center"/>
                    <w:rPr>
                      <w:color w:val="auto"/>
                      <w:szCs w:val="21"/>
                    </w:rPr>
                  </w:pPr>
                  <w:r>
                    <w:rPr>
                      <w:color w:val="auto"/>
                      <w:szCs w:val="21"/>
                    </w:rPr>
                    <w:t>480</w:t>
                  </w:r>
                </w:p>
              </w:tc>
            </w:tr>
            <w:tr w14:paraId="6A6628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72" w:type="dxa"/>
                  <w:vMerge w:val="continue"/>
                  <w:vAlign w:val="center"/>
                </w:tcPr>
                <w:p w14:paraId="1719EE55">
                  <w:pPr>
                    <w:pStyle w:val="92"/>
                    <w:jc w:val="center"/>
                    <w:rPr>
                      <w:color w:val="auto"/>
                      <w:szCs w:val="21"/>
                    </w:rPr>
                  </w:pPr>
                </w:p>
              </w:tc>
              <w:tc>
                <w:tcPr>
                  <w:tcW w:w="914" w:type="dxa"/>
                  <w:vMerge w:val="restart"/>
                  <w:vAlign w:val="center"/>
                </w:tcPr>
                <w:p w14:paraId="58D8E4DB">
                  <w:pPr>
                    <w:pStyle w:val="92"/>
                    <w:jc w:val="center"/>
                    <w:rPr>
                      <w:color w:val="auto"/>
                      <w:szCs w:val="21"/>
                    </w:rPr>
                  </w:pPr>
                  <w:r>
                    <w:rPr>
                      <w:color w:val="auto"/>
                      <w:szCs w:val="21"/>
                    </w:rPr>
                    <w:t>底部</w:t>
                  </w:r>
                </w:p>
              </w:tc>
              <w:tc>
                <w:tcPr>
                  <w:tcW w:w="1970" w:type="dxa"/>
                  <w:vAlign w:val="center"/>
                </w:tcPr>
                <w:p w14:paraId="13D08552">
                  <w:pPr>
                    <w:pStyle w:val="92"/>
                    <w:jc w:val="center"/>
                    <w:rPr>
                      <w:color w:val="auto"/>
                      <w:szCs w:val="21"/>
                    </w:rPr>
                  </w:pPr>
                  <w:r>
                    <w:rPr>
                      <w:color w:val="auto"/>
                      <w:szCs w:val="21"/>
                    </w:rPr>
                    <w:t>长（m）</w:t>
                  </w:r>
                </w:p>
              </w:tc>
              <w:tc>
                <w:tcPr>
                  <w:tcW w:w="2249" w:type="dxa"/>
                  <w:tcBorders>
                    <w:right w:val="single" w:color="auto" w:sz="4" w:space="0"/>
                  </w:tcBorders>
                  <w:vAlign w:val="center"/>
                </w:tcPr>
                <w:p w14:paraId="41975383">
                  <w:pPr>
                    <w:pStyle w:val="92"/>
                    <w:jc w:val="center"/>
                    <w:rPr>
                      <w:color w:val="auto"/>
                      <w:szCs w:val="21"/>
                    </w:rPr>
                  </w:pPr>
                  <w:r>
                    <w:rPr>
                      <w:color w:val="auto"/>
                      <w:szCs w:val="21"/>
                    </w:rPr>
                    <w:t>570</w:t>
                  </w:r>
                </w:p>
              </w:tc>
              <w:tc>
                <w:tcPr>
                  <w:tcW w:w="2249" w:type="dxa"/>
                  <w:tcBorders>
                    <w:left w:val="single" w:color="auto" w:sz="4" w:space="0"/>
                  </w:tcBorders>
                  <w:vAlign w:val="center"/>
                </w:tcPr>
                <w:p w14:paraId="656B8F52">
                  <w:pPr>
                    <w:pStyle w:val="92"/>
                    <w:jc w:val="center"/>
                    <w:rPr>
                      <w:color w:val="auto"/>
                      <w:szCs w:val="21"/>
                    </w:rPr>
                  </w:pPr>
                  <w:r>
                    <w:rPr>
                      <w:color w:val="auto"/>
                      <w:szCs w:val="21"/>
                    </w:rPr>
                    <w:t>540</w:t>
                  </w:r>
                </w:p>
              </w:tc>
            </w:tr>
            <w:tr w14:paraId="769383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72" w:type="dxa"/>
                  <w:vMerge w:val="continue"/>
                  <w:vAlign w:val="center"/>
                </w:tcPr>
                <w:p w14:paraId="6C30D11F">
                  <w:pPr>
                    <w:pStyle w:val="92"/>
                    <w:jc w:val="center"/>
                    <w:rPr>
                      <w:color w:val="auto"/>
                      <w:szCs w:val="21"/>
                    </w:rPr>
                  </w:pPr>
                </w:p>
              </w:tc>
              <w:tc>
                <w:tcPr>
                  <w:tcW w:w="914" w:type="dxa"/>
                  <w:vMerge w:val="continue"/>
                  <w:vAlign w:val="center"/>
                </w:tcPr>
                <w:p w14:paraId="27D3740C">
                  <w:pPr>
                    <w:pStyle w:val="92"/>
                    <w:jc w:val="center"/>
                    <w:rPr>
                      <w:color w:val="auto"/>
                      <w:szCs w:val="21"/>
                    </w:rPr>
                  </w:pPr>
                </w:p>
              </w:tc>
              <w:tc>
                <w:tcPr>
                  <w:tcW w:w="1970" w:type="dxa"/>
                  <w:vAlign w:val="center"/>
                </w:tcPr>
                <w:p w14:paraId="7617A57B">
                  <w:pPr>
                    <w:pStyle w:val="92"/>
                    <w:jc w:val="center"/>
                    <w:rPr>
                      <w:color w:val="auto"/>
                      <w:szCs w:val="21"/>
                    </w:rPr>
                  </w:pPr>
                  <w:r>
                    <w:rPr>
                      <w:color w:val="auto"/>
                      <w:szCs w:val="21"/>
                    </w:rPr>
                    <w:t>宽（m）</w:t>
                  </w:r>
                </w:p>
              </w:tc>
              <w:tc>
                <w:tcPr>
                  <w:tcW w:w="2249" w:type="dxa"/>
                  <w:tcBorders>
                    <w:right w:val="single" w:color="auto" w:sz="4" w:space="0"/>
                  </w:tcBorders>
                  <w:vAlign w:val="center"/>
                </w:tcPr>
                <w:p w14:paraId="04345793">
                  <w:pPr>
                    <w:pStyle w:val="92"/>
                    <w:jc w:val="center"/>
                    <w:rPr>
                      <w:color w:val="auto"/>
                      <w:szCs w:val="21"/>
                    </w:rPr>
                  </w:pPr>
                  <w:r>
                    <w:rPr>
                      <w:color w:val="auto"/>
                      <w:szCs w:val="21"/>
                    </w:rPr>
                    <w:t>180</w:t>
                  </w:r>
                </w:p>
              </w:tc>
              <w:tc>
                <w:tcPr>
                  <w:tcW w:w="2249" w:type="dxa"/>
                  <w:tcBorders>
                    <w:left w:val="single" w:color="auto" w:sz="4" w:space="0"/>
                  </w:tcBorders>
                  <w:vAlign w:val="center"/>
                </w:tcPr>
                <w:p w14:paraId="6710477D">
                  <w:pPr>
                    <w:pStyle w:val="92"/>
                    <w:jc w:val="center"/>
                    <w:rPr>
                      <w:color w:val="auto"/>
                      <w:szCs w:val="21"/>
                    </w:rPr>
                  </w:pPr>
                  <w:r>
                    <w:rPr>
                      <w:color w:val="auto"/>
                      <w:szCs w:val="21"/>
                    </w:rPr>
                    <w:t>460</w:t>
                  </w:r>
                </w:p>
              </w:tc>
            </w:tr>
            <w:tr w14:paraId="680EE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vAlign w:val="center"/>
                </w:tcPr>
                <w:p w14:paraId="141EAC88">
                  <w:pPr>
                    <w:pStyle w:val="92"/>
                    <w:jc w:val="center"/>
                    <w:rPr>
                      <w:color w:val="auto"/>
                      <w:szCs w:val="21"/>
                    </w:rPr>
                  </w:pPr>
                  <w:r>
                    <w:rPr>
                      <w:color w:val="auto"/>
                      <w:szCs w:val="21"/>
                    </w:rPr>
                    <w:t>最终台阶坡面角（°）</w:t>
                  </w:r>
                </w:p>
              </w:tc>
              <w:tc>
                <w:tcPr>
                  <w:tcW w:w="2249" w:type="dxa"/>
                  <w:tcBorders>
                    <w:right w:val="single" w:color="auto" w:sz="4" w:space="0"/>
                  </w:tcBorders>
                  <w:vAlign w:val="center"/>
                </w:tcPr>
                <w:p w14:paraId="77CD8A23">
                  <w:pPr>
                    <w:pStyle w:val="92"/>
                    <w:jc w:val="center"/>
                    <w:rPr>
                      <w:color w:val="auto"/>
                      <w:szCs w:val="21"/>
                    </w:rPr>
                  </w:pPr>
                  <w:r>
                    <w:rPr>
                      <w:color w:val="auto"/>
                      <w:szCs w:val="21"/>
                    </w:rPr>
                    <w:t>45</w:t>
                  </w:r>
                </w:p>
              </w:tc>
              <w:tc>
                <w:tcPr>
                  <w:tcW w:w="2249" w:type="dxa"/>
                  <w:tcBorders>
                    <w:left w:val="single" w:color="auto" w:sz="4" w:space="0"/>
                  </w:tcBorders>
                  <w:vAlign w:val="center"/>
                </w:tcPr>
                <w:p w14:paraId="23394B6A">
                  <w:pPr>
                    <w:pStyle w:val="92"/>
                    <w:jc w:val="center"/>
                    <w:rPr>
                      <w:color w:val="auto"/>
                      <w:szCs w:val="21"/>
                    </w:rPr>
                  </w:pPr>
                  <w:r>
                    <w:rPr>
                      <w:color w:val="auto"/>
                      <w:szCs w:val="21"/>
                    </w:rPr>
                    <w:t>45</w:t>
                  </w:r>
                </w:p>
              </w:tc>
            </w:tr>
            <w:tr w14:paraId="7CBC40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vAlign w:val="center"/>
                </w:tcPr>
                <w:p w14:paraId="1FD36DC4">
                  <w:pPr>
                    <w:pStyle w:val="92"/>
                    <w:jc w:val="center"/>
                    <w:rPr>
                      <w:color w:val="auto"/>
                      <w:szCs w:val="21"/>
                    </w:rPr>
                  </w:pPr>
                  <w:r>
                    <w:rPr>
                      <w:color w:val="auto"/>
                      <w:szCs w:val="21"/>
                    </w:rPr>
                    <w:t>最终边坡角（°）</w:t>
                  </w:r>
                </w:p>
              </w:tc>
              <w:tc>
                <w:tcPr>
                  <w:tcW w:w="2249" w:type="dxa"/>
                  <w:tcBorders>
                    <w:right w:val="single" w:color="auto" w:sz="4" w:space="0"/>
                  </w:tcBorders>
                  <w:vAlign w:val="center"/>
                </w:tcPr>
                <w:p w14:paraId="0D26CE00">
                  <w:pPr>
                    <w:pStyle w:val="92"/>
                    <w:jc w:val="center"/>
                    <w:rPr>
                      <w:color w:val="auto"/>
                      <w:szCs w:val="21"/>
                    </w:rPr>
                  </w:pPr>
                  <w:r>
                    <w:rPr>
                      <w:color w:val="auto"/>
                      <w:szCs w:val="21"/>
                    </w:rPr>
                    <w:t>37</w:t>
                  </w:r>
                </w:p>
              </w:tc>
              <w:tc>
                <w:tcPr>
                  <w:tcW w:w="2249" w:type="dxa"/>
                  <w:tcBorders>
                    <w:left w:val="single" w:color="auto" w:sz="4" w:space="0"/>
                  </w:tcBorders>
                  <w:vAlign w:val="center"/>
                </w:tcPr>
                <w:p w14:paraId="24B988A7">
                  <w:pPr>
                    <w:pStyle w:val="92"/>
                    <w:jc w:val="center"/>
                    <w:rPr>
                      <w:color w:val="auto"/>
                      <w:szCs w:val="21"/>
                    </w:rPr>
                  </w:pPr>
                  <w:r>
                    <w:rPr>
                      <w:color w:val="auto"/>
                      <w:szCs w:val="21"/>
                    </w:rPr>
                    <w:t>37</w:t>
                  </w:r>
                </w:p>
              </w:tc>
            </w:tr>
          </w:tbl>
          <w:p w14:paraId="669DB0E8">
            <w:pPr>
              <w:spacing w:line="360" w:lineRule="auto"/>
              <w:ind w:firstLine="480" w:firstLineChars="200"/>
              <w:rPr>
                <w:color w:val="auto"/>
                <w:sz w:val="24"/>
                <w:szCs w:val="28"/>
              </w:rPr>
            </w:pPr>
          </w:p>
          <w:p w14:paraId="647AC8E7">
            <w:pPr>
              <w:spacing w:line="360" w:lineRule="auto"/>
              <w:rPr>
                <w:b/>
                <w:bCs/>
                <w:color w:val="auto"/>
                <w:sz w:val="24"/>
                <w:szCs w:val="28"/>
              </w:rPr>
            </w:pPr>
            <w:r>
              <w:rPr>
                <w:rFonts w:hint="eastAsia"/>
                <w:b/>
                <w:bCs/>
                <w:color w:val="auto"/>
                <w:sz w:val="24"/>
                <w:szCs w:val="28"/>
              </w:rPr>
              <w:t>5.3开采境界内可采资源量及服务年限</w:t>
            </w:r>
          </w:p>
          <w:p w14:paraId="557A1FFB">
            <w:pPr>
              <w:spacing w:line="360" w:lineRule="auto"/>
              <w:ind w:firstLine="480" w:firstLineChars="200"/>
              <w:rPr>
                <w:color w:val="auto"/>
                <w:sz w:val="24"/>
                <w:szCs w:val="28"/>
              </w:rPr>
            </w:pPr>
            <w:r>
              <w:rPr>
                <w:rFonts w:hint="eastAsia"/>
                <w:color w:val="auto"/>
                <w:sz w:val="24"/>
                <w:szCs w:val="28"/>
              </w:rPr>
              <w:t>矿山评审通过的保有资源量（推断资源量）合计343.89万</w:t>
            </w:r>
            <w:r>
              <w:rPr>
                <w:color w:val="auto"/>
                <w:sz w:val="24"/>
                <w:szCs w:val="28"/>
              </w:rPr>
              <w:t>m</w:t>
            </w:r>
            <w:r>
              <w:rPr>
                <w:color w:val="auto"/>
                <w:sz w:val="24"/>
                <w:szCs w:val="28"/>
                <w:vertAlign w:val="superscript"/>
              </w:rPr>
              <w:t>3</w:t>
            </w:r>
            <w:r>
              <w:rPr>
                <w:rFonts w:hint="eastAsia"/>
                <w:color w:val="auto"/>
                <w:sz w:val="24"/>
                <w:szCs w:val="28"/>
              </w:rPr>
              <w:t>，扣除压覆台阶损失10.32万</w:t>
            </w:r>
            <w:r>
              <w:rPr>
                <w:color w:val="auto"/>
                <w:sz w:val="24"/>
                <w:szCs w:val="28"/>
              </w:rPr>
              <w:t>m</w:t>
            </w:r>
            <w:r>
              <w:rPr>
                <w:color w:val="auto"/>
                <w:sz w:val="24"/>
                <w:szCs w:val="28"/>
                <w:vertAlign w:val="superscript"/>
              </w:rPr>
              <w:t>3</w:t>
            </w:r>
            <w:r>
              <w:rPr>
                <w:rFonts w:hint="eastAsia"/>
                <w:color w:val="auto"/>
                <w:sz w:val="24"/>
                <w:szCs w:val="28"/>
              </w:rPr>
              <w:t>，设计利用资源量333.57万</w:t>
            </w:r>
            <w:r>
              <w:rPr>
                <w:color w:val="auto"/>
                <w:sz w:val="24"/>
                <w:szCs w:val="28"/>
              </w:rPr>
              <w:t>m</w:t>
            </w:r>
            <w:r>
              <w:rPr>
                <w:color w:val="auto"/>
                <w:sz w:val="24"/>
                <w:szCs w:val="28"/>
                <w:vertAlign w:val="superscript"/>
              </w:rPr>
              <w:t>3</w:t>
            </w:r>
            <w:r>
              <w:rPr>
                <w:rFonts w:hint="eastAsia"/>
                <w:color w:val="auto"/>
                <w:sz w:val="24"/>
                <w:szCs w:val="28"/>
              </w:rPr>
              <w:t>，设计利用率97％。</w:t>
            </w:r>
          </w:p>
          <w:p w14:paraId="4929C6C3">
            <w:pPr>
              <w:spacing w:line="360" w:lineRule="auto"/>
              <w:ind w:firstLine="480" w:firstLineChars="200"/>
              <w:rPr>
                <w:color w:val="auto"/>
                <w:sz w:val="24"/>
                <w:szCs w:val="28"/>
              </w:rPr>
            </w:pPr>
            <w:r>
              <w:rPr>
                <w:rFonts w:hint="eastAsia"/>
                <w:color w:val="auto"/>
                <w:sz w:val="24"/>
                <w:szCs w:val="28"/>
              </w:rPr>
              <w:t>矿山开采境界内可采矿石量为333.57万</w:t>
            </w:r>
            <w:r>
              <w:rPr>
                <w:color w:val="auto"/>
                <w:sz w:val="24"/>
                <w:szCs w:val="28"/>
              </w:rPr>
              <w:t>m</w:t>
            </w:r>
            <w:r>
              <w:rPr>
                <w:color w:val="auto"/>
                <w:sz w:val="24"/>
                <w:szCs w:val="28"/>
                <w:vertAlign w:val="superscript"/>
              </w:rPr>
              <w:t>3</w:t>
            </w:r>
            <w:r>
              <w:rPr>
                <w:rFonts w:hint="eastAsia"/>
                <w:color w:val="auto"/>
                <w:sz w:val="24"/>
                <w:szCs w:val="28"/>
              </w:rPr>
              <w:t>，设计回采率97%，设计生产规模为年产矿总量50万</w:t>
            </w:r>
            <w:r>
              <w:rPr>
                <w:color w:val="auto"/>
                <w:sz w:val="24"/>
                <w:szCs w:val="28"/>
              </w:rPr>
              <w:t>m</w:t>
            </w:r>
            <w:r>
              <w:rPr>
                <w:color w:val="auto"/>
                <w:sz w:val="24"/>
                <w:szCs w:val="28"/>
                <w:vertAlign w:val="superscript"/>
              </w:rPr>
              <w:t>3</w:t>
            </w:r>
            <w:r>
              <w:rPr>
                <w:rFonts w:hint="eastAsia"/>
                <w:color w:val="auto"/>
                <w:sz w:val="24"/>
                <w:szCs w:val="28"/>
              </w:rPr>
              <w:t>。矿山服务年限可按下式计算：</w:t>
            </w:r>
          </w:p>
          <w:p w14:paraId="62BAF3DD">
            <w:pPr>
              <w:spacing w:line="360" w:lineRule="auto"/>
              <w:ind w:firstLine="480" w:firstLineChars="200"/>
              <w:rPr>
                <w:color w:val="auto"/>
                <w:sz w:val="24"/>
                <w:szCs w:val="28"/>
              </w:rPr>
            </w:pPr>
            <w:r>
              <w:rPr>
                <w:rFonts w:hint="eastAsia"/>
                <w:color w:val="auto"/>
                <w:sz w:val="24"/>
                <w:szCs w:val="28"/>
              </w:rPr>
              <w:t>（1）采出矿量</w:t>
            </w:r>
          </w:p>
          <w:p w14:paraId="392A5B00">
            <w:pPr>
              <w:spacing w:line="360" w:lineRule="auto"/>
              <w:ind w:firstLine="480" w:firstLineChars="200"/>
              <w:rPr>
                <w:color w:val="auto"/>
                <w:sz w:val="24"/>
                <w:szCs w:val="28"/>
              </w:rPr>
            </w:pPr>
            <w:r>
              <w:rPr>
                <w:rFonts w:hint="eastAsia"/>
                <w:color w:val="auto"/>
                <w:sz w:val="24"/>
                <w:szCs w:val="28"/>
              </w:rPr>
              <w:t>Qc＝Qg（1-k）＝333.57×（1</w:t>
            </w:r>
            <w:r>
              <w:rPr>
                <w:rFonts w:hint="eastAsia"/>
                <w:color w:val="auto"/>
                <w:sz w:val="24"/>
                <w:szCs w:val="28"/>
                <w:lang w:eastAsia="zh-CN"/>
              </w:rPr>
              <w:t>%～</w:t>
            </w:r>
            <w:r>
              <w:rPr>
                <w:rFonts w:hint="eastAsia"/>
                <w:color w:val="auto"/>
                <w:sz w:val="24"/>
                <w:szCs w:val="28"/>
              </w:rPr>
              <w:t>3%）＝323.56万</w:t>
            </w:r>
            <w:r>
              <w:rPr>
                <w:color w:val="auto"/>
                <w:sz w:val="24"/>
                <w:szCs w:val="28"/>
              </w:rPr>
              <w:t>m</w:t>
            </w:r>
            <w:r>
              <w:rPr>
                <w:color w:val="auto"/>
                <w:sz w:val="24"/>
                <w:szCs w:val="28"/>
                <w:vertAlign w:val="superscript"/>
              </w:rPr>
              <w:t>3</w:t>
            </w:r>
          </w:p>
          <w:p w14:paraId="28F1D030">
            <w:pPr>
              <w:spacing w:line="360" w:lineRule="auto"/>
              <w:ind w:firstLine="480" w:firstLineChars="200"/>
              <w:rPr>
                <w:color w:val="auto"/>
                <w:sz w:val="24"/>
                <w:szCs w:val="28"/>
              </w:rPr>
            </w:pPr>
            <w:r>
              <w:rPr>
                <w:rFonts w:hint="eastAsia"/>
                <w:color w:val="auto"/>
                <w:sz w:val="24"/>
                <w:szCs w:val="28"/>
              </w:rPr>
              <w:t>式中：Qc-采出矿量，m</w:t>
            </w:r>
            <w:r>
              <w:rPr>
                <w:rFonts w:hint="eastAsia"/>
                <w:color w:val="auto"/>
                <w:sz w:val="24"/>
                <w:szCs w:val="28"/>
                <w:vertAlign w:val="superscript"/>
              </w:rPr>
              <w:t>3</w:t>
            </w:r>
          </w:p>
          <w:p w14:paraId="5FCC9C53">
            <w:pPr>
              <w:spacing w:line="360" w:lineRule="auto"/>
              <w:ind w:firstLine="480" w:firstLineChars="200"/>
              <w:rPr>
                <w:color w:val="auto"/>
                <w:sz w:val="24"/>
                <w:szCs w:val="28"/>
              </w:rPr>
            </w:pPr>
            <w:r>
              <w:rPr>
                <w:rFonts w:hint="eastAsia"/>
                <w:color w:val="auto"/>
                <w:sz w:val="24"/>
                <w:szCs w:val="28"/>
              </w:rPr>
              <w:t>Qg-开采境界内的可采砂石料矿，333.57万</w:t>
            </w:r>
            <w:r>
              <w:rPr>
                <w:color w:val="auto"/>
                <w:sz w:val="24"/>
                <w:szCs w:val="28"/>
              </w:rPr>
              <w:t>m</w:t>
            </w:r>
            <w:r>
              <w:rPr>
                <w:color w:val="auto"/>
                <w:sz w:val="24"/>
                <w:szCs w:val="28"/>
                <w:vertAlign w:val="superscript"/>
              </w:rPr>
              <w:t>3</w:t>
            </w:r>
          </w:p>
          <w:p w14:paraId="479602A7">
            <w:pPr>
              <w:spacing w:line="360" w:lineRule="auto"/>
              <w:ind w:firstLine="480" w:firstLineChars="200"/>
              <w:rPr>
                <w:color w:val="auto"/>
                <w:sz w:val="24"/>
                <w:szCs w:val="28"/>
              </w:rPr>
            </w:pPr>
            <w:r>
              <w:rPr>
                <w:rFonts w:hint="eastAsia"/>
                <w:color w:val="auto"/>
                <w:sz w:val="24"/>
                <w:szCs w:val="28"/>
              </w:rPr>
              <w:t>k</w:t>
            </w:r>
            <w:r>
              <w:rPr>
                <w:rFonts w:hint="eastAsia"/>
                <w:color w:val="auto"/>
                <w:sz w:val="24"/>
                <w:szCs w:val="28"/>
                <w:lang w:eastAsia="zh-CN"/>
              </w:rPr>
              <w:t>－</w:t>
            </w:r>
            <w:r>
              <w:rPr>
                <w:rFonts w:hint="eastAsia"/>
                <w:color w:val="auto"/>
                <w:sz w:val="24"/>
                <w:szCs w:val="28"/>
              </w:rPr>
              <w:t>开采损失率，3％</w:t>
            </w:r>
          </w:p>
          <w:p w14:paraId="60F0AD16">
            <w:pPr>
              <w:spacing w:line="360" w:lineRule="auto"/>
              <w:ind w:firstLine="480" w:firstLineChars="200"/>
              <w:rPr>
                <w:color w:val="auto"/>
                <w:sz w:val="24"/>
                <w:szCs w:val="28"/>
              </w:rPr>
            </w:pPr>
            <w:r>
              <w:rPr>
                <w:rFonts w:hint="eastAsia"/>
                <w:color w:val="auto"/>
                <w:sz w:val="24"/>
                <w:szCs w:val="28"/>
              </w:rPr>
              <w:t>（2）服务年限</w:t>
            </w:r>
          </w:p>
          <w:p w14:paraId="0C2D1ED4">
            <w:pPr>
              <w:spacing w:line="360" w:lineRule="auto"/>
              <w:ind w:firstLine="480" w:firstLineChars="200"/>
              <w:rPr>
                <w:color w:val="auto"/>
                <w:sz w:val="24"/>
                <w:szCs w:val="28"/>
              </w:rPr>
            </w:pPr>
            <w:r>
              <w:rPr>
                <w:rFonts w:hint="eastAsia"/>
                <w:color w:val="auto"/>
                <w:sz w:val="24"/>
                <w:szCs w:val="28"/>
              </w:rPr>
              <w:t>T</w:t>
            </w:r>
            <w:r>
              <w:rPr>
                <w:rFonts w:hint="eastAsia"/>
                <w:color w:val="auto"/>
                <w:sz w:val="24"/>
                <w:szCs w:val="28"/>
                <w:lang w:eastAsia="zh-CN"/>
              </w:rPr>
              <w:t>=</w:t>
            </w:r>
            <w:r>
              <w:rPr>
                <w:rFonts w:hint="eastAsia"/>
                <w:color w:val="auto"/>
                <w:sz w:val="24"/>
                <w:szCs w:val="28"/>
              </w:rPr>
              <w:t>Qc/A</w:t>
            </w:r>
            <w:r>
              <w:rPr>
                <w:rFonts w:hint="eastAsia"/>
                <w:color w:val="auto"/>
                <w:sz w:val="24"/>
                <w:szCs w:val="28"/>
                <w:lang w:eastAsia="zh-CN"/>
              </w:rPr>
              <w:t>=</w:t>
            </w:r>
            <w:r>
              <w:rPr>
                <w:rFonts w:hint="eastAsia"/>
                <w:color w:val="auto"/>
                <w:sz w:val="24"/>
                <w:szCs w:val="28"/>
              </w:rPr>
              <w:t>323.56/50</w:t>
            </w:r>
            <w:r>
              <w:rPr>
                <w:rFonts w:hint="eastAsia"/>
                <w:color w:val="auto"/>
                <w:sz w:val="24"/>
                <w:szCs w:val="28"/>
                <w:lang w:eastAsia="zh-CN"/>
              </w:rPr>
              <w:t>=</w:t>
            </w:r>
            <w:r>
              <w:rPr>
                <w:rFonts w:hint="eastAsia"/>
                <w:color w:val="auto"/>
                <w:sz w:val="24"/>
                <w:szCs w:val="28"/>
              </w:rPr>
              <w:t>6.47a</w:t>
            </w:r>
          </w:p>
          <w:p w14:paraId="3A046BD4">
            <w:pPr>
              <w:spacing w:line="360" w:lineRule="auto"/>
              <w:ind w:firstLine="480" w:firstLineChars="200"/>
              <w:rPr>
                <w:color w:val="auto"/>
                <w:sz w:val="24"/>
                <w:szCs w:val="28"/>
              </w:rPr>
            </w:pPr>
            <w:r>
              <w:rPr>
                <w:rFonts w:hint="eastAsia"/>
                <w:color w:val="auto"/>
                <w:sz w:val="24"/>
                <w:szCs w:val="28"/>
              </w:rPr>
              <w:t>式中：T</w:t>
            </w:r>
            <w:r>
              <w:rPr>
                <w:rFonts w:hint="eastAsia"/>
                <w:color w:val="auto"/>
                <w:sz w:val="24"/>
                <w:szCs w:val="28"/>
                <w:lang w:eastAsia="zh-CN"/>
              </w:rPr>
              <w:t>－</w:t>
            </w:r>
            <w:r>
              <w:rPr>
                <w:rFonts w:hint="eastAsia"/>
                <w:color w:val="auto"/>
                <w:sz w:val="24"/>
                <w:szCs w:val="28"/>
              </w:rPr>
              <w:t>矿山服务年限，a</w:t>
            </w:r>
          </w:p>
          <w:p w14:paraId="56A9826D">
            <w:pPr>
              <w:spacing w:line="360" w:lineRule="auto"/>
              <w:ind w:firstLine="480" w:firstLineChars="200"/>
              <w:rPr>
                <w:color w:val="auto"/>
                <w:sz w:val="24"/>
                <w:szCs w:val="28"/>
              </w:rPr>
            </w:pPr>
            <w:r>
              <w:rPr>
                <w:rFonts w:hint="eastAsia"/>
                <w:color w:val="auto"/>
                <w:sz w:val="24"/>
                <w:szCs w:val="28"/>
              </w:rPr>
              <w:t>Qc-采出矿量，323.56万</w:t>
            </w:r>
            <w:r>
              <w:rPr>
                <w:color w:val="auto"/>
                <w:sz w:val="24"/>
                <w:szCs w:val="28"/>
              </w:rPr>
              <w:t>m</w:t>
            </w:r>
            <w:r>
              <w:rPr>
                <w:color w:val="auto"/>
                <w:sz w:val="24"/>
                <w:szCs w:val="28"/>
                <w:vertAlign w:val="superscript"/>
              </w:rPr>
              <w:t>3</w:t>
            </w:r>
          </w:p>
          <w:p w14:paraId="3FFD6458">
            <w:pPr>
              <w:spacing w:line="360" w:lineRule="auto"/>
              <w:ind w:firstLine="480" w:firstLineChars="200"/>
              <w:rPr>
                <w:color w:val="auto"/>
                <w:sz w:val="24"/>
                <w:szCs w:val="28"/>
              </w:rPr>
            </w:pPr>
            <w:r>
              <w:rPr>
                <w:rFonts w:hint="eastAsia"/>
                <w:color w:val="auto"/>
                <w:sz w:val="24"/>
                <w:szCs w:val="28"/>
              </w:rPr>
              <w:t>A</w:t>
            </w:r>
            <w:r>
              <w:rPr>
                <w:rFonts w:hint="eastAsia"/>
                <w:color w:val="auto"/>
                <w:sz w:val="24"/>
                <w:szCs w:val="28"/>
                <w:lang w:eastAsia="zh-CN"/>
              </w:rPr>
              <w:t>－</w:t>
            </w:r>
            <w:r>
              <w:rPr>
                <w:rFonts w:hint="eastAsia"/>
                <w:color w:val="auto"/>
                <w:sz w:val="24"/>
                <w:szCs w:val="28"/>
              </w:rPr>
              <w:t>矿山生产规模为，50万</w:t>
            </w:r>
            <w:r>
              <w:rPr>
                <w:color w:val="auto"/>
                <w:sz w:val="24"/>
                <w:szCs w:val="28"/>
              </w:rPr>
              <w:t>m</w:t>
            </w:r>
            <w:r>
              <w:rPr>
                <w:color w:val="auto"/>
                <w:sz w:val="24"/>
                <w:szCs w:val="28"/>
                <w:vertAlign w:val="superscript"/>
              </w:rPr>
              <w:t>3</w:t>
            </w:r>
            <w:r>
              <w:rPr>
                <w:rFonts w:hint="eastAsia"/>
                <w:color w:val="auto"/>
                <w:sz w:val="24"/>
                <w:szCs w:val="28"/>
              </w:rPr>
              <w:t>/a</w:t>
            </w:r>
          </w:p>
          <w:p w14:paraId="76FF4827">
            <w:pPr>
              <w:spacing w:line="360" w:lineRule="auto"/>
              <w:ind w:firstLine="480" w:firstLineChars="200"/>
              <w:rPr>
                <w:rFonts w:hint="eastAsia"/>
                <w:color w:val="auto"/>
                <w:sz w:val="24"/>
                <w:szCs w:val="28"/>
              </w:rPr>
            </w:pPr>
            <w:r>
              <w:rPr>
                <w:rFonts w:hint="eastAsia"/>
                <w:color w:val="auto"/>
                <w:sz w:val="24"/>
                <w:szCs w:val="28"/>
              </w:rPr>
              <w:t>经计算，矿山的服务年限为6.47a（6年6个月）。</w:t>
            </w:r>
          </w:p>
          <w:p w14:paraId="4D859698">
            <w:pPr>
              <w:spacing w:line="360" w:lineRule="auto"/>
              <w:ind w:firstLine="480" w:firstLineChars="200"/>
              <w:rPr>
                <w:rFonts w:hint="eastAsia" w:eastAsia="宋体"/>
                <w:color w:val="auto"/>
                <w:sz w:val="24"/>
                <w:szCs w:val="28"/>
                <w:lang w:val="en-US" w:eastAsia="zh-CN"/>
              </w:rPr>
            </w:pPr>
            <w:r>
              <w:rPr>
                <w:rFonts w:hint="eastAsia"/>
                <w:color w:val="auto"/>
                <w:sz w:val="24"/>
                <w:szCs w:val="28"/>
              </w:rPr>
              <w:t>规划1号露天采场采出矿量</w:t>
            </w:r>
            <w:r>
              <w:rPr>
                <w:rFonts w:hint="eastAsia"/>
                <w:color w:val="auto"/>
                <w:sz w:val="24"/>
                <w:szCs w:val="28"/>
                <w:lang w:val="en-US" w:eastAsia="zh-CN"/>
              </w:rPr>
              <w:t>98.11</w:t>
            </w:r>
            <w:r>
              <w:rPr>
                <w:rFonts w:hint="eastAsia"/>
                <w:color w:val="auto"/>
                <w:sz w:val="24"/>
                <w:szCs w:val="28"/>
              </w:rPr>
              <w:t>万</w:t>
            </w:r>
            <w:r>
              <w:rPr>
                <w:color w:val="auto"/>
                <w:sz w:val="24"/>
                <w:szCs w:val="28"/>
              </w:rPr>
              <w:t>m</w:t>
            </w:r>
            <w:r>
              <w:rPr>
                <w:color w:val="auto"/>
                <w:sz w:val="24"/>
                <w:szCs w:val="28"/>
                <w:vertAlign w:val="superscript"/>
              </w:rPr>
              <w:t>3</w:t>
            </w:r>
            <w:r>
              <w:rPr>
                <w:rFonts w:hint="eastAsia"/>
                <w:color w:val="auto"/>
                <w:sz w:val="24"/>
                <w:szCs w:val="28"/>
              </w:rPr>
              <w:t>，</w:t>
            </w:r>
            <w:r>
              <w:rPr>
                <w:rFonts w:hint="eastAsia"/>
                <w:color w:val="auto"/>
                <w:sz w:val="24"/>
                <w:szCs w:val="28"/>
                <w:lang w:val="en-US" w:eastAsia="zh-CN"/>
              </w:rPr>
              <w:t>开采年限1.96a；</w:t>
            </w:r>
            <w:r>
              <w:rPr>
                <w:rFonts w:hint="eastAsia"/>
                <w:color w:val="auto"/>
                <w:sz w:val="24"/>
                <w:szCs w:val="28"/>
              </w:rPr>
              <w:t>规划2号露天采场采出矿量</w:t>
            </w:r>
            <w:r>
              <w:rPr>
                <w:rFonts w:hint="eastAsia"/>
                <w:color w:val="auto"/>
                <w:sz w:val="24"/>
                <w:szCs w:val="28"/>
                <w:lang w:val="en-US" w:eastAsia="zh-CN"/>
              </w:rPr>
              <w:t>22.45</w:t>
            </w:r>
            <w:r>
              <w:rPr>
                <w:rFonts w:hint="eastAsia"/>
                <w:color w:val="auto"/>
                <w:sz w:val="24"/>
                <w:szCs w:val="28"/>
              </w:rPr>
              <w:t>万</w:t>
            </w:r>
            <w:r>
              <w:rPr>
                <w:color w:val="auto"/>
                <w:sz w:val="24"/>
                <w:szCs w:val="28"/>
              </w:rPr>
              <w:t>m</w:t>
            </w:r>
            <w:r>
              <w:rPr>
                <w:color w:val="auto"/>
                <w:sz w:val="24"/>
                <w:szCs w:val="28"/>
                <w:vertAlign w:val="superscript"/>
              </w:rPr>
              <w:t>3</w:t>
            </w:r>
            <w:r>
              <w:rPr>
                <w:rFonts w:hint="eastAsia"/>
                <w:color w:val="auto"/>
                <w:sz w:val="24"/>
                <w:szCs w:val="28"/>
              </w:rPr>
              <w:t>，</w:t>
            </w:r>
            <w:r>
              <w:rPr>
                <w:rFonts w:hint="eastAsia"/>
                <w:color w:val="auto"/>
                <w:sz w:val="24"/>
                <w:szCs w:val="28"/>
                <w:lang w:val="en-US" w:eastAsia="zh-CN"/>
              </w:rPr>
              <w:t>开采年限4.51a。</w:t>
            </w:r>
          </w:p>
          <w:p w14:paraId="3A7FE53F">
            <w:pPr>
              <w:spacing w:line="360" w:lineRule="auto"/>
              <w:rPr>
                <w:b/>
                <w:bCs/>
                <w:color w:val="auto"/>
                <w:sz w:val="24"/>
                <w:szCs w:val="28"/>
                <w:lang w:val="zh-CN"/>
              </w:rPr>
            </w:pPr>
            <w:r>
              <w:rPr>
                <w:rFonts w:hint="eastAsia"/>
                <w:b/>
                <w:bCs/>
                <w:color w:val="auto"/>
                <w:sz w:val="24"/>
                <w:szCs w:val="28"/>
              </w:rPr>
              <w:t>5.4</w:t>
            </w:r>
            <w:r>
              <w:rPr>
                <w:rFonts w:hint="eastAsia"/>
                <w:b/>
                <w:bCs/>
                <w:color w:val="auto"/>
                <w:sz w:val="24"/>
                <w:szCs w:val="28"/>
                <w:lang w:val="zh-CN"/>
              </w:rPr>
              <w:t>采剥工作及工作面主要结构参数</w:t>
            </w:r>
          </w:p>
          <w:p w14:paraId="578A7D13">
            <w:pPr>
              <w:spacing w:line="360" w:lineRule="auto"/>
              <w:ind w:firstLine="480" w:firstLineChars="200"/>
              <w:rPr>
                <w:color w:val="auto"/>
                <w:sz w:val="24"/>
                <w:szCs w:val="28"/>
                <w:lang w:val="zh-CN"/>
              </w:rPr>
            </w:pPr>
            <w:r>
              <w:rPr>
                <w:rFonts w:hint="eastAsia"/>
                <w:color w:val="auto"/>
                <w:sz w:val="24"/>
                <w:szCs w:val="28"/>
              </w:rPr>
              <w:t>（1）</w:t>
            </w:r>
            <w:r>
              <w:rPr>
                <w:rFonts w:hint="eastAsia"/>
                <w:color w:val="auto"/>
                <w:sz w:val="24"/>
                <w:szCs w:val="28"/>
                <w:lang w:val="zh-CN"/>
              </w:rPr>
              <w:t>采矿方法选择</w:t>
            </w:r>
          </w:p>
          <w:p w14:paraId="76ED1DE9">
            <w:pPr>
              <w:spacing w:line="360" w:lineRule="auto"/>
              <w:ind w:firstLine="480" w:firstLineChars="200"/>
              <w:rPr>
                <w:color w:val="auto"/>
                <w:sz w:val="24"/>
                <w:szCs w:val="28"/>
                <w:lang w:val="zh-CN"/>
              </w:rPr>
            </w:pPr>
            <w:r>
              <w:rPr>
                <w:rFonts w:hint="eastAsia"/>
                <w:color w:val="auto"/>
                <w:sz w:val="24"/>
                <w:szCs w:val="28"/>
              </w:rPr>
              <w:t>矿区内矿体出露地表，最低开采标高处于最低侵蚀基准面之上，露天开采条件好。根据矿体赋存特征及地形条件，设计采用凹陷露天开采方式</w:t>
            </w:r>
            <w:r>
              <w:rPr>
                <w:rFonts w:hint="eastAsia"/>
                <w:color w:val="auto"/>
                <w:sz w:val="24"/>
                <w:szCs w:val="28"/>
                <w:lang w:val="zh-CN"/>
              </w:rPr>
              <w:t>，自上而下分层台阶式开采，无需爆破。</w:t>
            </w:r>
          </w:p>
          <w:p w14:paraId="01A175F3">
            <w:pPr>
              <w:spacing w:line="360" w:lineRule="auto"/>
              <w:ind w:firstLine="480" w:firstLineChars="200"/>
              <w:rPr>
                <w:color w:val="auto"/>
                <w:sz w:val="24"/>
                <w:szCs w:val="28"/>
                <w:lang w:val="zh-CN"/>
              </w:rPr>
            </w:pPr>
            <w:r>
              <w:rPr>
                <w:rFonts w:hint="eastAsia"/>
                <w:color w:val="auto"/>
                <w:sz w:val="24"/>
                <w:szCs w:val="28"/>
              </w:rPr>
              <w:t>（2）</w:t>
            </w:r>
            <w:r>
              <w:rPr>
                <w:rFonts w:hint="eastAsia"/>
                <w:color w:val="auto"/>
                <w:sz w:val="24"/>
                <w:szCs w:val="28"/>
                <w:lang w:val="zh-CN"/>
              </w:rPr>
              <w:t>工作面的布置和推进方向</w:t>
            </w:r>
          </w:p>
          <w:p w14:paraId="2A3699F6">
            <w:pPr>
              <w:spacing w:line="360" w:lineRule="auto"/>
              <w:ind w:firstLine="480" w:firstLineChars="200"/>
              <w:rPr>
                <w:color w:val="auto"/>
                <w:sz w:val="24"/>
                <w:szCs w:val="28"/>
                <w:lang w:val="zh-CN"/>
              </w:rPr>
            </w:pPr>
            <w:r>
              <w:rPr>
                <w:rFonts w:hint="eastAsia"/>
                <w:color w:val="auto"/>
                <w:sz w:val="24"/>
                <w:szCs w:val="28"/>
                <w:lang w:val="zh-CN"/>
              </w:rPr>
              <w:t>根据地形地质条件，沿或斜交矿体走向掘开段沟，沿或斜交矿体走向布置采矿工作面，垂直或斜交矿体走向由南向北推进。</w:t>
            </w:r>
          </w:p>
          <w:p w14:paraId="0BBD2C11">
            <w:pPr>
              <w:spacing w:line="360" w:lineRule="auto"/>
              <w:ind w:firstLine="480" w:firstLineChars="200"/>
              <w:rPr>
                <w:color w:val="auto"/>
                <w:sz w:val="24"/>
                <w:szCs w:val="28"/>
                <w:lang w:val="zh-CN"/>
              </w:rPr>
            </w:pPr>
            <w:r>
              <w:rPr>
                <w:rFonts w:hint="eastAsia"/>
                <w:color w:val="auto"/>
                <w:sz w:val="24"/>
                <w:szCs w:val="28"/>
              </w:rPr>
              <w:t>（3）</w:t>
            </w:r>
            <w:r>
              <w:rPr>
                <w:rFonts w:hint="eastAsia"/>
                <w:color w:val="auto"/>
                <w:sz w:val="24"/>
                <w:szCs w:val="28"/>
                <w:lang w:val="zh-CN"/>
              </w:rPr>
              <w:t>剥采工艺</w:t>
            </w:r>
          </w:p>
          <w:p w14:paraId="735041E8">
            <w:pPr>
              <w:spacing w:line="360" w:lineRule="auto"/>
              <w:ind w:firstLine="480" w:firstLineChars="200"/>
              <w:rPr>
                <w:color w:val="auto"/>
                <w:sz w:val="24"/>
                <w:szCs w:val="28"/>
                <w:lang w:val="zh-CN"/>
              </w:rPr>
            </w:pPr>
            <w:r>
              <w:rPr>
                <w:rFonts w:hint="eastAsia"/>
                <w:color w:val="auto"/>
                <w:sz w:val="24"/>
                <w:szCs w:val="28"/>
                <w:lang w:val="zh-CN"/>
              </w:rPr>
              <w:t>根据矿床的赋存状态，设计采用反铲挖掘机沿自然地形进行铲装作业。</w:t>
            </w:r>
          </w:p>
          <w:p w14:paraId="68FD4C8A">
            <w:pPr>
              <w:spacing w:line="360" w:lineRule="auto"/>
              <w:ind w:firstLine="480" w:firstLineChars="200"/>
              <w:rPr>
                <w:color w:val="auto"/>
                <w:sz w:val="24"/>
                <w:szCs w:val="28"/>
                <w:lang w:val="zh-CN"/>
              </w:rPr>
            </w:pPr>
            <w:r>
              <w:rPr>
                <w:rFonts w:hint="eastAsia"/>
                <w:color w:val="auto"/>
                <w:sz w:val="24"/>
                <w:szCs w:val="28"/>
                <w:lang w:val="zh-CN"/>
              </w:rPr>
              <w:t>采矿工艺流程如下：挖掘机采矿→</w:t>
            </w:r>
            <w:r>
              <w:rPr>
                <w:rFonts w:hint="eastAsia"/>
                <w:color w:val="auto"/>
                <w:sz w:val="24"/>
                <w:szCs w:val="28"/>
              </w:rPr>
              <w:t>外售</w:t>
            </w:r>
            <w:r>
              <w:rPr>
                <w:rFonts w:hint="eastAsia"/>
                <w:color w:val="auto"/>
                <w:sz w:val="24"/>
                <w:szCs w:val="28"/>
                <w:lang w:val="zh-CN"/>
              </w:rPr>
              <w:t>。</w:t>
            </w:r>
          </w:p>
          <w:p w14:paraId="586E37E7">
            <w:pPr>
              <w:spacing w:line="360" w:lineRule="auto"/>
              <w:rPr>
                <w:b/>
                <w:bCs/>
                <w:color w:val="auto"/>
                <w:sz w:val="24"/>
                <w:szCs w:val="28"/>
              </w:rPr>
            </w:pPr>
            <w:r>
              <w:rPr>
                <w:rFonts w:hint="eastAsia"/>
                <w:b/>
                <w:bCs/>
                <w:color w:val="auto"/>
                <w:sz w:val="24"/>
                <w:szCs w:val="28"/>
              </w:rPr>
              <w:t>5.5开拓运输方案</w:t>
            </w:r>
          </w:p>
          <w:p w14:paraId="176376BB">
            <w:pPr>
              <w:spacing w:line="360" w:lineRule="auto"/>
              <w:ind w:firstLine="480" w:firstLineChars="200"/>
              <w:rPr>
                <w:color w:val="auto"/>
                <w:sz w:val="24"/>
                <w:szCs w:val="28"/>
              </w:rPr>
            </w:pPr>
            <w:r>
              <w:rPr>
                <w:rFonts w:hint="eastAsia"/>
                <w:color w:val="auto"/>
                <w:sz w:val="24"/>
                <w:szCs w:val="28"/>
              </w:rPr>
              <w:t>根据矿体赋存情况及地形条件，设计采用公路开拓汽车运输方案。</w:t>
            </w:r>
          </w:p>
          <w:p w14:paraId="5DCEA74B">
            <w:pPr>
              <w:spacing w:line="360" w:lineRule="auto"/>
              <w:ind w:firstLine="480" w:firstLineChars="200"/>
              <w:rPr>
                <w:color w:val="auto"/>
                <w:sz w:val="24"/>
                <w:szCs w:val="28"/>
              </w:rPr>
            </w:pPr>
            <w:r>
              <w:rPr>
                <w:rFonts w:hint="eastAsia"/>
                <w:color w:val="auto"/>
                <w:sz w:val="24"/>
                <w:szCs w:val="28"/>
              </w:rPr>
              <w:t>矿区排水条件较好，水文地质及工程地质条件简单，矿体直接出露地表，矿体形态简单，规模不大等特点，设计选用投资少，基建工程量小，管理简单，技术可靠，作业机动灵活，适应性强的公路开拓汽车运输方案。</w:t>
            </w:r>
          </w:p>
          <w:p w14:paraId="5BF4CD66">
            <w:pPr>
              <w:spacing w:line="360" w:lineRule="auto"/>
              <w:ind w:firstLine="480" w:firstLineChars="200"/>
              <w:rPr>
                <w:b/>
                <w:bCs/>
                <w:color w:val="auto"/>
                <w:sz w:val="24"/>
                <w:szCs w:val="32"/>
              </w:rPr>
            </w:pPr>
            <w:r>
              <w:rPr>
                <w:rFonts w:hint="eastAsia"/>
                <w:color w:val="auto"/>
                <w:sz w:val="24"/>
                <w:szCs w:val="28"/>
              </w:rPr>
              <w:t>根据以上原则，矿山地形地质条件及外部道路情况，设计采用公路开拓汽车运输方案。</w:t>
            </w:r>
          </w:p>
          <w:p w14:paraId="5978A422">
            <w:pPr>
              <w:spacing w:line="360" w:lineRule="auto"/>
              <w:rPr>
                <w:b/>
                <w:bCs/>
                <w:color w:val="auto"/>
                <w:sz w:val="24"/>
                <w:szCs w:val="28"/>
              </w:rPr>
            </w:pPr>
            <w:r>
              <w:rPr>
                <w:rFonts w:hint="eastAsia"/>
                <w:b/>
                <w:bCs/>
                <w:color w:val="auto"/>
                <w:sz w:val="24"/>
                <w:szCs w:val="28"/>
              </w:rPr>
              <w:t>6、主要生产设备</w:t>
            </w:r>
          </w:p>
          <w:p w14:paraId="043DA3A4">
            <w:pPr>
              <w:spacing w:line="360" w:lineRule="auto"/>
              <w:ind w:firstLine="480" w:firstLineChars="200"/>
              <w:rPr>
                <w:color w:val="auto"/>
                <w:sz w:val="24"/>
                <w:szCs w:val="28"/>
              </w:rPr>
            </w:pPr>
            <w:r>
              <w:rPr>
                <w:rFonts w:hint="eastAsia"/>
                <w:color w:val="auto"/>
                <w:sz w:val="24"/>
                <w:szCs w:val="28"/>
              </w:rPr>
              <w:t>本项目主要生产设备见表2-6。</w:t>
            </w:r>
          </w:p>
          <w:p w14:paraId="4BBB84A6">
            <w:pPr>
              <w:pStyle w:val="64"/>
              <w:outlineLvl w:val="9"/>
              <w:rPr>
                <w:rFonts w:hint="default"/>
                <w:b/>
                <w:bCs/>
                <w:color w:val="auto"/>
                <w:lang w:val="zh-CN"/>
              </w:rPr>
            </w:pPr>
            <w:r>
              <w:rPr>
                <w:b/>
                <w:bCs/>
                <w:color w:val="auto"/>
                <w:lang w:val="zh-CN"/>
              </w:rPr>
              <w:t>表</w:t>
            </w:r>
            <w:r>
              <w:rPr>
                <w:b/>
                <w:bCs/>
                <w:color w:val="auto"/>
              </w:rPr>
              <w:t xml:space="preserve">2-6   </w:t>
            </w:r>
            <w:r>
              <w:rPr>
                <w:b/>
                <w:bCs/>
                <w:color w:val="auto"/>
                <w:lang w:val="zh-CN"/>
              </w:rPr>
              <w:t xml:space="preserve"> 主要</w:t>
            </w:r>
            <w:r>
              <w:rPr>
                <w:b/>
                <w:bCs/>
                <w:color w:val="auto"/>
              </w:rPr>
              <w:t>生产</w:t>
            </w:r>
            <w:r>
              <w:rPr>
                <w:b/>
                <w:bCs/>
                <w:color w:val="auto"/>
                <w:lang w:val="zh-CN"/>
              </w:rPr>
              <w:t>设备</w:t>
            </w:r>
            <w:r>
              <w:rPr>
                <w:b/>
                <w:bCs/>
                <w:color w:val="auto"/>
              </w:rPr>
              <w:t>一览</w:t>
            </w:r>
            <w:r>
              <w:rPr>
                <w:b/>
                <w:bCs/>
                <w:color w:val="auto"/>
                <w:lang w:val="zh-CN"/>
              </w:rPr>
              <w:t>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799"/>
              <w:gridCol w:w="3992"/>
              <w:gridCol w:w="713"/>
              <w:gridCol w:w="949"/>
            </w:tblGrid>
            <w:tr w14:paraId="4D8B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73DCA560">
                  <w:pPr>
                    <w:jc w:val="center"/>
                    <w:rPr>
                      <w:color w:val="auto"/>
                      <w:kern w:val="144"/>
                      <w:szCs w:val="21"/>
                    </w:rPr>
                  </w:pPr>
                  <w:r>
                    <w:rPr>
                      <w:color w:val="auto"/>
                      <w:kern w:val="144"/>
                      <w:szCs w:val="21"/>
                    </w:rPr>
                    <w:t>序号</w:t>
                  </w:r>
                </w:p>
              </w:tc>
              <w:tc>
                <w:tcPr>
                  <w:tcW w:w="1103" w:type="pct"/>
                  <w:tcBorders>
                    <w:top w:val="single" w:color="auto" w:sz="4" w:space="0"/>
                    <w:left w:val="nil"/>
                    <w:bottom w:val="single" w:color="auto" w:sz="4" w:space="0"/>
                    <w:right w:val="single" w:color="auto" w:sz="4" w:space="0"/>
                  </w:tcBorders>
                  <w:vAlign w:val="center"/>
                </w:tcPr>
                <w:p w14:paraId="72C1423E">
                  <w:pPr>
                    <w:jc w:val="center"/>
                    <w:rPr>
                      <w:color w:val="auto"/>
                      <w:kern w:val="144"/>
                      <w:szCs w:val="21"/>
                    </w:rPr>
                  </w:pPr>
                  <w:r>
                    <w:rPr>
                      <w:color w:val="auto"/>
                      <w:kern w:val="144"/>
                      <w:szCs w:val="21"/>
                    </w:rPr>
                    <w:t>设备名称</w:t>
                  </w:r>
                </w:p>
              </w:tc>
              <w:tc>
                <w:tcPr>
                  <w:tcW w:w="2447" w:type="pct"/>
                  <w:tcBorders>
                    <w:top w:val="single" w:color="auto" w:sz="4" w:space="0"/>
                    <w:left w:val="nil"/>
                    <w:bottom w:val="single" w:color="auto" w:sz="4" w:space="0"/>
                    <w:right w:val="single" w:color="auto" w:sz="4" w:space="0"/>
                  </w:tcBorders>
                  <w:vAlign w:val="center"/>
                </w:tcPr>
                <w:p w14:paraId="7B1733CA">
                  <w:pPr>
                    <w:jc w:val="center"/>
                    <w:rPr>
                      <w:color w:val="auto"/>
                      <w:kern w:val="144"/>
                      <w:szCs w:val="21"/>
                    </w:rPr>
                  </w:pPr>
                  <w:r>
                    <w:rPr>
                      <w:color w:val="auto"/>
                      <w:kern w:val="144"/>
                      <w:szCs w:val="21"/>
                    </w:rPr>
                    <w:t>型号规格</w:t>
                  </w:r>
                </w:p>
              </w:tc>
              <w:tc>
                <w:tcPr>
                  <w:tcW w:w="437" w:type="pct"/>
                  <w:tcBorders>
                    <w:top w:val="single" w:color="auto" w:sz="4" w:space="0"/>
                    <w:left w:val="nil"/>
                    <w:bottom w:val="single" w:color="auto" w:sz="4" w:space="0"/>
                    <w:right w:val="single" w:color="auto" w:sz="4" w:space="0"/>
                  </w:tcBorders>
                  <w:vAlign w:val="center"/>
                </w:tcPr>
                <w:p w14:paraId="442AC28B">
                  <w:pPr>
                    <w:jc w:val="center"/>
                    <w:rPr>
                      <w:color w:val="auto"/>
                      <w:kern w:val="144"/>
                      <w:szCs w:val="21"/>
                    </w:rPr>
                  </w:pPr>
                  <w:r>
                    <w:rPr>
                      <w:color w:val="auto"/>
                      <w:kern w:val="144"/>
                      <w:szCs w:val="21"/>
                    </w:rPr>
                    <w:t>单位</w:t>
                  </w:r>
                </w:p>
              </w:tc>
              <w:tc>
                <w:tcPr>
                  <w:tcW w:w="582" w:type="pct"/>
                  <w:tcBorders>
                    <w:top w:val="single" w:color="auto" w:sz="4" w:space="0"/>
                    <w:left w:val="nil"/>
                    <w:bottom w:val="single" w:color="auto" w:sz="4" w:space="0"/>
                    <w:right w:val="single" w:color="auto" w:sz="4" w:space="0"/>
                  </w:tcBorders>
                  <w:vAlign w:val="center"/>
                </w:tcPr>
                <w:p w14:paraId="37763992">
                  <w:pPr>
                    <w:jc w:val="center"/>
                    <w:rPr>
                      <w:color w:val="auto"/>
                      <w:kern w:val="144"/>
                      <w:szCs w:val="21"/>
                    </w:rPr>
                  </w:pPr>
                  <w:r>
                    <w:rPr>
                      <w:color w:val="auto"/>
                      <w:kern w:val="144"/>
                      <w:szCs w:val="21"/>
                    </w:rPr>
                    <w:t>数量</w:t>
                  </w:r>
                </w:p>
              </w:tc>
            </w:tr>
            <w:tr w14:paraId="3308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76CED93F">
                  <w:pPr>
                    <w:pStyle w:val="92"/>
                    <w:jc w:val="center"/>
                    <w:rPr>
                      <w:color w:val="auto"/>
                      <w:kern w:val="144"/>
                      <w:szCs w:val="21"/>
                    </w:rPr>
                  </w:pPr>
                  <w:r>
                    <w:rPr>
                      <w:color w:val="auto"/>
                      <w:szCs w:val="21"/>
                    </w:rPr>
                    <w:t>1</w:t>
                  </w:r>
                </w:p>
              </w:tc>
              <w:tc>
                <w:tcPr>
                  <w:tcW w:w="1103" w:type="pct"/>
                  <w:tcBorders>
                    <w:top w:val="single" w:color="auto" w:sz="4" w:space="0"/>
                    <w:left w:val="nil"/>
                    <w:bottom w:val="single" w:color="auto" w:sz="4" w:space="0"/>
                    <w:right w:val="single" w:color="auto" w:sz="4" w:space="0"/>
                  </w:tcBorders>
                  <w:vAlign w:val="center"/>
                </w:tcPr>
                <w:p w14:paraId="787143EA">
                  <w:pPr>
                    <w:jc w:val="center"/>
                    <w:rPr>
                      <w:color w:val="auto"/>
                      <w:kern w:val="144"/>
                      <w:szCs w:val="21"/>
                    </w:rPr>
                  </w:pPr>
                  <w:r>
                    <w:rPr>
                      <w:color w:val="auto"/>
                      <w:kern w:val="144"/>
                      <w:szCs w:val="21"/>
                    </w:rPr>
                    <w:t>全液压挖掘机</w:t>
                  </w:r>
                </w:p>
              </w:tc>
              <w:tc>
                <w:tcPr>
                  <w:tcW w:w="2447" w:type="pct"/>
                  <w:tcBorders>
                    <w:top w:val="single" w:color="auto" w:sz="4" w:space="0"/>
                    <w:left w:val="nil"/>
                    <w:bottom w:val="single" w:color="auto" w:sz="4" w:space="0"/>
                    <w:right w:val="single" w:color="auto" w:sz="4" w:space="0"/>
                  </w:tcBorders>
                  <w:vAlign w:val="center"/>
                </w:tcPr>
                <w:p w14:paraId="2C4755EE">
                  <w:pPr>
                    <w:jc w:val="center"/>
                    <w:rPr>
                      <w:color w:val="auto"/>
                      <w:kern w:val="144"/>
                      <w:szCs w:val="21"/>
                    </w:rPr>
                  </w:pPr>
                  <w:r>
                    <w:rPr>
                      <w:color w:val="auto"/>
                      <w:kern w:val="144"/>
                      <w:szCs w:val="21"/>
                    </w:rPr>
                    <w:t>徐工470，斗容1.6m</w:t>
                  </w:r>
                  <w:r>
                    <w:rPr>
                      <w:color w:val="auto"/>
                      <w:kern w:val="144"/>
                      <w:szCs w:val="21"/>
                      <w:vertAlign w:val="superscript"/>
                    </w:rPr>
                    <w:t>3</w:t>
                  </w:r>
                  <w:r>
                    <w:rPr>
                      <w:color w:val="auto"/>
                      <w:kern w:val="144"/>
                      <w:szCs w:val="21"/>
                    </w:rPr>
                    <w:t>，最大挖掘高度9.52m，功率196.9kW。</w:t>
                  </w:r>
                </w:p>
              </w:tc>
              <w:tc>
                <w:tcPr>
                  <w:tcW w:w="437" w:type="pct"/>
                  <w:tcBorders>
                    <w:top w:val="single" w:color="auto" w:sz="4" w:space="0"/>
                    <w:left w:val="nil"/>
                    <w:bottom w:val="single" w:color="auto" w:sz="4" w:space="0"/>
                    <w:right w:val="single" w:color="auto" w:sz="4" w:space="0"/>
                  </w:tcBorders>
                  <w:vAlign w:val="center"/>
                </w:tcPr>
                <w:p w14:paraId="47B850EB">
                  <w:pPr>
                    <w:jc w:val="center"/>
                    <w:rPr>
                      <w:color w:val="auto"/>
                      <w:kern w:val="144"/>
                      <w:szCs w:val="21"/>
                    </w:rPr>
                  </w:pPr>
                  <w:r>
                    <w:rPr>
                      <w:color w:val="auto"/>
                      <w:kern w:val="144"/>
                      <w:szCs w:val="21"/>
                    </w:rPr>
                    <w:t>台</w:t>
                  </w:r>
                </w:p>
              </w:tc>
              <w:tc>
                <w:tcPr>
                  <w:tcW w:w="582" w:type="pct"/>
                  <w:tcBorders>
                    <w:top w:val="single" w:color="auto" w:sz="4" w:space="0"/>
                    <w:left w:val="nil"/>
                    <w:bottom w:val="single" w:color="auto" w:sz="4" w:space="0"/>
                    <w:right w:val="single" w:color="auto" w:sz="4" w:space="0"/>
                  </w:tcBorders>
                  <w:vAlign w:val="center"/>
                </w:tcPr>
                <w:p w14:paraId="05052FD3">
                  <w:pPr>
                    <w:jc w:val="center"/>
                    <w:rPr>
                      <w:color w:val="auto"/>
                      <w:kern w:val="144"/>
                      <w:szCs w:val="21"/>
                    </w:rPr>
                  </w:pPr>
                  <w:r>
                    <w:rPr>
                      <w:rFonts w:hint="eastAsia"/>
                      <w:color w:val="auto"/>
                      <w:kern w:val="144"/>
                      <w:szCs w:val="21"/>
                    </w:rPr>
                    <w:t>5</w:t>
                  </w:r>
                </w:p>
              </w:tc>
            </w:tr>
            <w:tr w14:paraId="468C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654D26F3">
                  <w:pPr>
                    <w:pStyle w:val="92"/>
                    <w:jc w:val="center"/>
                    <w:rPr>
                      <w:color w:val="auto"/>
                      <w:kern w:val="144"/>
                      <w:szCs w:val="21"/>
                    </w:rPr>
                  </w:pPr>
                  <w:r>
                    <w:rPr>
                      <w:color w:val="auto"/>
                      <w:szCs w:val="21"/>
                    </w:rPr>
                    <w:t>2</w:t>
                  </w:r>
                </w:p>
              </w:tc>
              <w:tc>
                <w:tcPr>
                  <w:tcW w:w="1103" w:type="pct"/>
                  <w:tcBorders>
                    <w:top w:val="single" w:color="auto" w:sz="4" w:space="0"/>
                    <w:left w:val="nil"/>
                    <w:bottom w:val="single" w:color="auto" w:sz="4" w:space="0"/>
                    <w:right w:val="single" w:color="auto" w:sz="4" w:space="0"/>
                  </w:tcBorders>
                  <w:vAlign w:val="center"/>
                </w:tcPr>
                <w:p w14:paraId="5BDC2931">
                  <w:pPr>
                    <w:jc w:val="center"/>
                    <w:rPr>
                      <w:color w:val="auto"/>
                      <w:kern w:val="144"/>
                      <w:szCs w:val="21"/>
                    </w:rPr>
                  </w:pPr>
                  <w:r>
                    <w:rPr>
                      <w:color w:val="auto"/>
                      <w:kern w:val="144"/>
                      <w:szCs w:val="21"/>
                    </w:rPr>
                    <w:t>轮胎式装载机</w:t>
                  </w:r>
                </w:p>
              </w:tc>
              <w:tc>
                <w:tcPr>
                  <w:tcW w:w="2447" w:type="pct"/>
                  <w:tcBorders>
                    <w:top w:val="single" w:color="auto" w:sz="4" w:space="0"/>
                    <w:left w:val="nil"/>
                    <w:bottom w:val="single" w:color="auto" w:sz="4" w:space="0"/>
                    <w:right w:val="single" w:color="auto" w:sz="4" w:space="0"/>
                  </w:tcBorders>
                  <w:vAlign w:val="center"/>
                </w:tcPr>
                <w:p w14:paraId="282532BD">
                  <w:pPr>
                    <w:jc w:val="center"/>
                    <w:rPr>
                      <w:color w:val="auto"/>
                      <w:kern w:val="144"/>
                      <w:szCs w:val="21"/>
                    </w:rPr>
                  </w:pPr>
                  <w:r>
                    <w:rPr>
                      <w:color w:val="auto"/>
                      <w:kern w:val="144"/>
                      <w:szCs w:val="21"/>
                    </w:rPr>
                    <w:t>ZL50，斗容3m</w:t>
                  </w:r>
                  <w:r>
                    <w:rPr>
                      <w:color w:val="auto"/>
                      <w:kern w:val="144"/>
                      <w:szCs w:val="21"/>
                      <w:vertAlign w:val="superscript"/>
                    </w:rPr>
                    <w:t>3</w:t>
                  </w:r>
                  <w:r>
                    <w:rPr>
                      <w:color w:val="auto"/>
                      <w:kern w:val="144"/>
                      <w:szCs w:val="21"/>
                    </w:rPr>
                    <w:t>，功率160kW。</w:t>
                  </w:r>
                </w:p>
              </w:tc>
              <w:tc>
                <w:tcPr>
                  <w:tcW w:w="437" w:type="pct"/>
                  <w:tcBorders>
                    <w:top w:val="single" w:color="auto" w:sz="4" w:space="0"/>
                    <w:left w:val="nil"/>
                    <w:bottom w:val="single" w:color="auto" w:sz="4" w:space="0"/>
                    <w:right w:val="single" w:color="auto" w:sz="4" w:space="0"/>
                  </w:tcBorders>
                  <w:vAlign w:val="center"/>
                </w:tcPr>
                <w:p w14:paraId="361852C1">
                  <w:pPr>
                    <w:jc w:val="center"/>
                    <w:rPr>
                      <w:color w:val="auto"/>
                      <w:kern w:val="144"/>
                      <w:szCs w:val="21"/>
                    </w:rPr>
                  </w:pPr>
                  <w:r>
                    <w:rPr>
                      <w:color w:val="auto"/>
                      <w:kern w:val="144"/>
                      <w:szCs w:val="21"/>
                    </w:rPr>
                    <w:t>台</w:t>
                  </w:r>
                </w:p>
              </w:tc>
              <w:tc>
                <w:tcPr>
                  <w:tcW w:w="582" w:type="pct"/>
                  <w:tcBorders>
                    <w:top w:val="single" w:color="auto" w:sz="4" w:space="0"/>
                    <w:left w:val="nil"/>
                    <w:bottom w:val="single" w:color="auto" w:sz="4" w:space="0"/>
                    <w:right w:val="single" w:color="auto" w:sz="4" w:space="0"/>
                  </w:tcBorders>
                  <w:vAlign w:val="center"/>
                </w:tcPr>
                <w:p w14:paraId="5E2B84A3">
                  <w:pPr>
                    <w:jc w:val="center"/>
                    <w:rPr>
                      <w:color w:val="auto"/>
                      <w:kern w:val="144"/>
                      <w:szCs w:val="21"/>
                    </w:rPr>
                  </w:pPr>
                  <w:r>
                    <w:rPr>
                      <w:rFonts w:hint="eastAsia"/>
                      <w:color w:val="auto"/>
                      <w:kern w:val="144"/>
                      <w:szCs w:val="21"/>
                    </w:rPr>
                    <w:t>2</w:t>
                  </w:r>
                </w:p>
              </w:tc>
            </w:tr>
            <w:tr w14:paraId="4CB3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0ED341F7">
                  <w:pPr>
                    <w:pStyle w:val="92"/>
                    <w:jc w:val="center"/>
                    <w:rPr>
                      <w:color w:val="auto"/>
                      <w:kern w:val="144"/>
                      <w:szCs w:val="21"/>
                    </w:rPr>
                  </w:pPr>
                  <w:r>
                    <w:rPr>
                      <w:color w:val="auto"/>
                      <w:szCs w:val="21"/>
                    </w:rPr>
                    <w:t>3</w:t>
                  </w:r>
                </w:p>
              </w:tc>
              <w:tc>
                <w:tcPr>
                  <w:tcW w:w="1103" w:type="pct"/>
                  <w:tcBorders>
                    <w:top w:val="single" w:color="auto" w:sz="4" w:space="0"/>
                    <w:left w:val="nil"/>
                    <w:bottom w:val="single" w:color="auto" w:sz="4" w:space="0"/>
                    <w:right w:val="single" w:color="auto" w:sz="4" w:space="0"/>
                  </w:tcBorders>
                  <w:vAlign w:val="center"/>
                </w:tcPr>
                <w:p w14:paraId="59965CBF">
                  <w:pPr>
                    <w:jc w:val="center"/>
                    <w:rPr>
                      <w:color w:val="auto"/>
                      <w:kern w:val="144"/>
                      <w:szCs w:val="21"/>
                    </w:rPr>
                  </w:pPr>
                  <w:r>
                    <w:rPr>
                      <w:color w:val="auto"/>
                      <w:kern w:val="144"/>
                      <w:szCs w:val="21"/>
                    </w:rPr>
                    <w:t>自卸车</w:t>
                  </w:r>
                </w:p>
              </w:tc>
              <w:tc>
                <w:tcPr>
                  <w:tcW w:w="2447" w:type="pct"/>
                  <w:tcBorders>
                    <w:top w:val="single" w:color="auto" w:sz="4" w:space="0"/>
                    <w:left w:val="nil"/>
                    <w:bottom w:val="single" w:color="auto" w:sz="4" w:space="0"/>
                    <w:right w:val="single" w:color="auto" w:sz="4" w:space="0"/>
                  </w:tcBorders>
                  <w:vAlign w:val="center"/>
                </w:tcPr>
                <w:p w14:paraId="7870F82E">
                  <w:pPr>
                    <w:jc w:val="center"/>
                    <w:rPr>
                      <w:color w:val="auto"/>
                      <w:kern w:val="144"/>
                      <w:szCs w:val="21"/>
                    </w:rPr>
                  </w:pPr>
                  <w:r>
                    <w:rPr>
                      <w:color w:val="auto"/>
                      <w:kern w:val="144"/>
                      <w:szCs w:val="21"/>
                    </w:rPr>
                    <w:t>25t自卸汽车，功率276kW</w:t>
                  </w:r>
                </w:p>
              </w:tc>
              <w:tc>
                <w:tcPr>
                  <w:tcW w:w="437" w:type="pct"/>
                  <w:tcBorders>
                    <w:top w:val="single" w:color="auto" w:sz="4" w:space="0"/>
                    <w:left w:val="nil"/>
                    <w:bottom w:val="single" w:color="auto" w:sz="4" w:space="0"/>
                    <w:right w:val="single" w:color="auto" w:sz="4" w:space="0"/>
                  </w:tcBorders>
                  <w:vAlign w:val="center"/>
                </w:tcPr>
                <w:p w14:paraId="20EDF306">
                  <w:pPr>
                    <w:jc w:val="center"/>
                    <w:rPr>
                      <w:color w:val="auto"/>
                      <w:kern w:val="144"/>
                      <w:szCs w:val="21"/>
                    </w:rPr>
                  </w:pPr>
                  <w:r>
                    <w:rPr>
                      <w:color w:val="auto"/>
                      <w:kern w:val="144"/>
                      <w:szCs w:val="21"/>
                    </w:rPr>
                    <w:t>台</w:t>
                  </w:r>
                </w:p>
              </w:tc>
              <w:tc>
                <w:tcPr>
                  <w:tcW w:w="582" w:type="pct"/>
                  <w:tcBorders>
                    <w:top w:val="single" w:color="auto" w:sz="4" w:space="0"/>
                    <w:left w:val="nil"/>
                    <w:bottom w:val="single" w:color="auto" w:sz="4" w:space="0"/>
                    <w:right w:val="single" w:color="auto" w:sz="4" w:space="0"/>
                  </w:tcBorders>
                  <w:vAlign w:val="center"/>
                </w:tcPr>
                <w:p w14:paraId="6390FFD3">
                  <w:pPr>
                    <w:jc w:val="center"/>
                    <w:rPr>
                      <w:color w:val="auto"/>
                      <w:kern w:val="144"/>
                      <w:szCs w:val="21"/>
                    </w:rPr>
                  </w:pPr>
                  <w:r>
                    <w:rPr>
                      <w:rFonts w:hint="eastAsia"/>
                      <w:color w:val="auto"/>
                      <w:kern w:val="144"/>
                      <w:szCs w:val="21"/>
                    </w:rPr>
                    <w:t>8</w:t>
                  </w:r>
                </w:p>
              </w:tc>
            </w:tr>
            <w:tr w14:paraId="6F9F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10350B4D">
                  <w:pPr>
                    <w:pStyle w:val="92"/>
                    <w:jc w:val="center"/>
                    <w:rPr>
                      <w:color w:val="auto"/>
                      <w:kern w:val="144"/>
                      <w:szCs w:val="21"/>
                    </w:rPr>
                  </w:pPr>
                  <w:r>
                    <w:rPr>
                      <w:color w:val="auto"/>
                      <w:szCs w:val="21"/>
                    </w:rPr>
                    <w:t>4</w:t>
                  </w:r>
                </w:p>
              </w:tc>
              <w:tc>
                <w:tcPr>
                  <w:tcW w:w="1103" w:type="pct"/>
                  <w:tcBorders>
                    <w:top w:val="single" w:color="auto" w:sz="4" w:space="0"/>
                    <w:left w:val="nil"/>
                    <w:bottom w:val="single" w:color="auto" w:sz="4" w:space="0"/>
                    <w:right w:val="single" w:color="auto" w:sz="4" w:space="0"/>
                  </w:tcBorders>
                  <w:vAlign w:val="center"/>
                </w:tcPr>
                <w:p w14:paraId="5DFF333B">
                  <w:pPr>
                    <w:spacing w:line="240" w:lineRule="exact"/>
                    <w:jc w:val="center"/>
                    <w:rPr>
                      <w:color w:val="auto"/>
                      <w:szCs w:val="21"/>
                    </w:rPr>
                  </w:pPr>
                  <w:r>
                    <w:rPr>
                      <w:rFonts w:hint="eastAsia"/>
                      <w:color w:val="auto"/>
                      <w:szCs w:val="21"/>
                    </w:rPr>
                    <w:t>洒</w:t>
                  </w:r>
                  <w:r>
                    <w:rPr>
                      <w:color w:val="auto"/>
                      <w:szCs w:val="21"/>
                    </w:rPr>
                    <w:t>水车</w:t>
                  </w:r>
                </w:p>
              </w:tc>
              <w:tc>
                <w:tcPr>
                  <w:tcW w:w="2447" w:type="pct"/>
                  <w:tcBorders>
                    <w:top w:val="single" w:color="auto" w:sz="4" w:space="0"/>
                    <w:left w:val="nil"/>
                    <w:bottom w:val="single" w:color="auto" w:sz="4" w:space="0"/>
                    <w:right w:val="single" w:color="auto" w:sz="4" w:space="0"/>
                  </w:tcBorders>
                  <w:vAlign w:val="center"/>
                </w:tcPr>
                <w:p w14:paraId="225D495C">
                  <w:pPr>
                    <w:spacing w:line="240" w:lineRule="exact"/>
                    <w:ind w:firstLine="420"/>
                    <w:jc w:val="center"/>
                    <w:rPr>
                      <w:color w:val="auto"/>
                      <w:szCs w:val="21"/>
                    </w:rPr>
                  </w:pPr>
                  <w:r>
                    <w:rPr>
                      <w:color w:val="auto"/>
                      <w:szCs w:val="21"/>
                    </w:rPr>
                    <w:t>10t</w:t>
                  </w:r>
                </w:p>
              </w:tc>
              <w:tc>
                <w:tcPr>
                  <w:tcW w:w="437" w:type="pct"/>
                  <w:tcBorders>
                    <w:top w:val="single" w:color="auto" w:sz="4" w:space="0"/>
                    <w:left w:val="nil"/>
                    <w:bottom w:val="single" w:color="auto" w:sz="4" w:space="0"/>
                    <w:right w:val="single" w:color="auto" w:sz="4" w:space="0"/>
                  </w:tcBorders>
                  <w:vAlign w:val="center"/>
                </w:tcPr>
                <w:p w14:paraId="6FD4099D">
                  <w:pPr>
                    <w:spacing w:line="240" w:lineRule="exact"/>
                    <w:jc w:val="center"/>
                    <w:rPr>
                      <w:color w:val="auto"/>
                      <w:szCs w:val="21"/>
                    </w:rPr>
                  </w:pPr>
                  <w:r>
                    <w:rPr>
                      <w:color w:val="auto"/>
                      <w:szCs w:val="21"/>
                    </w:rPr>
                    <w:t>台</w:t>
                  </w:r>
                </w:p>
              </w:tc>
              <w:tc>
                <w:tcPr>
                  <w:tcW w:w="582" w:type="pct"/>
                  <w:tcBorders>
                    <w:top w:val="single" w:color="auto" w:sz="4" w:space="0"/>
                    <w:left w:val="nil"/>
                    <w:bottom w:val="single" w:color="auto" w:sz="4" w:space="0"/>
                    <w:right w:val="single" w:color="auto" w:sz="4" w:space="0"/>
                  </w:tcBorders>
                  <w:vAlign w:val="center"/>
                </w:tcPr>
                <w:p w14:paraId="3481B8E8">
                  <w:pPr>
                    <w:spacing w:line="240" w:lineRule="exact"/>
                    <w:jc w:val="center"/>
                    <w:rPr>
                      <w:color w:val="auto"/>
                      <w:szCs w:val="21"/>
                    </w:rPr>
                  </w:pPr>
                  <w:r>
                    <w:rPr>
                      <w:rFonts w:hint="eastAsia"/>
                      <w:color w:val="auto"/>
                      <w:szCs w:val="21"/>
                    </w:rPr>
                    <w:t>1</w:t>
                  </w:r>
                </w:p>
              </w:tc>
            </w:tr>
            <w:tr w14:paraId="2203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76696343">
                  <w:pPr>
                    <w:pStyle w:val="92"/>
                    <w:jc w:val="center"/>
                    <w:rPr>
                      <w:color w:val="auto"/>
                      <w:szCs w:val="21"/>
                    </w:rPr>
                  </w:pPr>
                  <w:r>
                    <w:rPr>
                      <w:rFonts w:hint="eastAsia"/>
                      <w:color w:val="auto"/>
                      <w:szCs w:val="21"/>
                    </w:rPr>
                    <w:t>5</w:t>
                  </w:r>
                </w:p>
              </w:tc>
              <w:tc>
                <w:tcPr>
                  <w:tcW w:w="1103" w:type="pct"/>
                  <w:tcBorders>
                    <w:top w:val="single" w:color="auto" w:sz="4" w:space="0"/>
                    <w:left w:val="nil"/>
                    <w:bottom w:val="single" w:color="auto" w:sz="4" w:space="0"/>
                    <w:right w:val="single" w:color="auto" w:sz="4" w:space="0"/>
                  </w:tcBorders>
                  <w:vAlign w:val="center"/>
                </w:tcPr>
                <w:p w14:paraId="227B6550">
                  <w:pPr>
                    <w:spacing w:line="240" w:lineRule="exact"/>
                    <w:jc w:val="center"/>
                    <w:rPr>
                      <w:color w:val="auto"/>
                      <w:szCs w:val="21"/>
                    </w:rPr>
                  </w:pPr>
                  <w:r>
                    <w:rPr>
                      <w:rFonts w:hint="eastAsia"/>
                      <w:color w:val="auto"/>
                      <w:szCs w:val="21"/>
                    </w:rPr>
                    <w:t>雾炮机</w:t>
                  </w:r>
                </w:p>
              </w:tc>
              <w:tc>
                <w:tcPr>
                  <w:tcW w:w="2447" w:type="pct"/>
                  <w:tcBorders>
                    <w:top w:val="single" w:color="auto" w:sz="4" w:space="0"/>
                    <w:left w:val="nil"/>
                    <w:bottom w:val="single" w:color="auto" w:sz="4" w:space="0"/>
                    <w:right w:val="single" w:color="auto" w:sz="4" w:space="0"/>
                  </w:tcBorders>
                  <w:vAlign w:val="center"/>
                </w:tcPr>
                <w:p w14:paraId="39EA9977">
                  <w:pPr>
                    <w:spacing w:line="240" w:lineRule="exact"/>
                    <w:ind w:firstLine="420"/>
                    <w:jc w:val="center"/>
                    <w:rPr>
                      <w:color w:val="auto"/>
                      <w:szCs w:val="21"/>
                    </w:rPr>
                  </w:pPr>
                </w:p>
              </w:tc>
              <w:tc>
                <w:tcPr>
                  <w:tcW w:w="437" w:type="pct"/>
                  <w:tcBorders>
                    <w:top w:val="single" w:color="auto" w:sz="4" w:space="0"/>
                    <w:left w:val="nil"/>
                    <w:bottom w:val="single" w:color="auto" w:sz="4" w:space="0"/>
                    <w:right w:val="single" w:color="auto" w:sz="4" w:space="0"/>
                  </w:tcBorders>
                  <w:vAlign w:val="center"/>
                </w:tcPr>
                <w:p w14:paraId="622ABEC7">
                  <w:pPr>
                    <w:spacing w:line="240" w:lineRule="exact"/>
                    <w:jc w:val="center"/>
                    <w:rPr>
                      <w:color w:val="auto"/>
                      <w:szCs w:val="21"/>
                    </w:rPr>
                  </w:pPr>
                  <w:r>
                    <w:rPr>
                      <w:rFonts w:hint="eastAsia"/>
                      <w:color w:val="auto"/>
                      <w:szCs w:val="21"/>
                    </w:rPr>
                    <w:t>台</w:t>
                  </w:r>
                </w:p>
              </w:tc>
              <w:tc>
                <w:tcPr>
                  <w:tcW w:w="582" w:type="pct"/>
                  <w:tcBorders>
                    <w:top w:val="single" w:color="auto" w:sz="4" w:space="0"/>
                    <w:left w:val="nil"/>
                    <w:bottom w:val="single" w:color="auto" w:sz="4" w:space="0"/>
                    <w:right w:val="single" w:color="auto" w:sz="4" w:space="0"/>
                  </w:tcBorders>
                  <w:vAlign w:val="center"/>
                </w:tcPr>
                <w:p w14:paraId="758A53C9">
                  <w:pPr>
                    <w:spacing w:line="240" w:lineRule="exact"/>
                    <w:jc w:val="center"/>
                    <w:rPr>
                      <w:color w:val="auto"/>
                      <w:szCs w:val="21"/>
                    </w:rPr>
                  </w:pPr>
                  <w:r>
                    <w:rPr>
                      <w:rFonts w:hint="eastAsia"/>
                      <w:color w:val="auto"/>
                      <w:szCs w:val="21"/>
                    </w:rPr>
                    <w:t>3</w:t>
                  </w:r>
                </w:p>
              </w:tc>
            </w:tr>
          </w:tbl>
          <w:p w14:paraId="6EAB95E2">
            <w:pPr>
              <w:rPr>
                <w:b/>
                <w:bCs/>
                <w:color w:val="auto"/>
              </w:rPr>
            </w:pPr>
          </w:p>
          <w:p w14:paraId="11EA765F">
            <w:pPr>
              <w:numPr>
                <w:ilvl w:val="0"/>
                <w:numId w:val="6"/>
              </w:numPr>
              <w:snapToGrid w:val="0"/>
              <w:spacing w:before="120" w:beforeLines="50" w:line="360" w:lineRule="auto"/>
              <w:jc w:val="left"/>
              <w:rPr>
                <w:b/>
                <w:color w:val="auto"/>
                <w:sz w:val="24"/>
              </w:rPr>
            </w:pPr>
            <w:r>
              <w:rPr>
                <w:rFonts w:hint="eastAsia"/>
                <w:b/>
                <w:color w:val="auto"/>
                <w:sz w:val="24"/>
              </w:rPr>
              <w:t>材料消耗</w:t>
            </w:r>
          </w:p>
          <w:p w14:paraId="6ACBDA80">
            <w:pPr>
              <w:topLinePunct/>
              <w:spacing w:line="360" w:lineRule="auto"/>
              <w:ind w:firstLine="480" w:firstLineChars="200"/>
              <w:rPr>
                <w:color w:val="auto"/>
                <w:sz w:val="24"/>
                <w:szCs w:val="28"/>
              </w:rPr>
            </w:pPr>
            <w:r>
              <w:rPr>
                <w:rFonts w:hint="eastAsia"/>
                <w:color w:val="auto"/>
                <w:sz w:val="24"/>
                <w:szCs w:val="28"/>
              </w:rPr>
              <w:t>矿山凿岩、铲装、运输主要机械设备均采用柴油动力驱动，全矿耗油指标约为0.48kg/m</w:t>
            </w:r>
            <w:r>
              <w:rPr>
                <w:rFonts w:hint="eastAsia"/>
                <w:color w:val="auto"/>
                <w:sz w:val="24"/>
                <w:szCs w:val="28"/>
                <w:vertAlign w:val="superscript"/>
              </w:rPr>
              <w:t>3</w:t>
            </w:r>
            <w:r>
              <w:rPr>
                <w:rFonts w:hint="eastAsia"/>
                <w:color w:val="auto"/>
                <w:sz w:val="24"/>
                <w:szCs w:val="28"/>
              </w:rPr>
              <w:t>，矿山年耗油量240t。</w:t>
            </w:r>
          </w:p>
          <w:p w14:paraId="298A3EFC">
            <w:pPr>
              <w:topLinePunct/>
              <w:spacing w:line="360" w:lineRule="auto"/>
              <w:ind w:firstLine="480" w:firstLineChars="200"/>
              <w:rPr>
                <w:color w:val="auto"/>
                <w:sz w:val="24"/>
                <w:szCs w:val="28"/>
                <w:lang w:val="zh-CN"/>
              </w:rPr>
            </w:pPr>
            <w:r>
              <w:rPr>
                <w:rFonts w:hint="eastAsia"/>
                <w:color w:val="auto"/>
                <w:sz w:val="24"/>
                <w:szCs w:val="28"/>
              </w:rPr>
              <w:t>矿区距离中国石油奇台三个庄子加油站西北方向5km，矿区不设储油罐，每日早晚定时由加油站罐车配送柴油，直接给工程车辆加注。加注过程应由专人管理，做好安全防护措施。</w:t>
            </w:r>
          </w:p>
          <w:p w14:paraId="379F2556">
            <w:pPr>
              <w:numPr>
                <w:ilvl w:val="0"/>
                <w:numId w:val="6"/>
              </w:numPr>
              <w:snapToGrid w:val="0"/>
              <w:spacing w:before="120" w:beforeLines="50" w:line="360" w:lineRule="auto"/>
              <w:jc w:val="left"/>
              <w:rPr>
                <w:b/>
                <w:color w:val="auto"/>
                <w:sz w:val="24"/>
              </w:rPr>
            </w:pPr>
            <w:r>
              <w:rPr>
                <w:rFonts w:hint="eastAsia"/>
                <w:b/>
                <w:color w:val="auto"/>
                <w:sz w:val="24"/>
              </w:rPr>
              <w:t>劳动定员及工作制度</w:t>
            </w:r>
          </w:p>
          <w:p w14:paraId="6F681B46">
            <w:pPr>
              <w:spacing w:line="360" w:lineRule="auto"/>
              <w:ind w:firstLine="480" w:firstLineChars="200"/>
              <w:rPr>
                <w:color w:val="auto"/>
                <w:sz w:val="24"/>
                <w:szCs w:val="28"/>
              </w:rPr>
            </w:pPr>
            <w:r>
              <w:rPr>
                <w:rFonts w:hint="eastAsia"/>
                <w:color w:val="auto"/>
                <w:sz w:val="24"/>
                <w:szCs w:val="28"/>
              </w:rPr>
              <w:t>本项目劳动定员为20人，年生产250天，每天工作1班，每班工作8小时，全年2000小时。</w:t>
            </w:r>
          </w:p>
          <w:p w14:paraId="07EB2DC4">
            <w:pPr>
              <w:spacing w:line="360" w:lineRule="auto"/>
              <w:rPr>
                <w:b/>
                <w:color w:val="auto"/>
                <w:sz w:val="24"/>
              </w:rPr>
            </w:pPr>
            <w:r>
              <w:rPr>
                <w:rFonts w:hint="eastAsia"/>
                <w:b/>
                <w:color w:val="auto"/>
                <w:sz w:val="24"/>
              </w:rPr>
              <w:t>9</w:t>
            </w:r>
            <w:r>
              <w:rPr>
                <w:b/>
                <w:color w:val="auto"/>
                <w:sz w:val="24"/>
              </w:rPr>
              <w:t>、</w:t>
            </w:r>
            <w:r>
              <w:rPr>
                <w:rFonts w:hint="eastAsia"/>
                <w:b/>
                <w:color w:val="auto"/>
                <w:sz w:val="24"/>
              </w:rPr>
              <w:t>公用工程</w:t>
            </w:r>
          </w:p>
          <w:p w14:paraId="7B7331D1">
            <w:pPr>
              <w:topLinePunct/>
              <w:spacing w:line="360" w:lineRule="auto"/>
              <w:ind w:firstLine="480" w:firstLineChars="200"/>
              <w:rPr>
                <w:color w:val="auto"/>
                <w:sz w:val="24"/>
              </w:rPr>
            </w:pPr>
            <w:r>
              <w:rPr>
                <w:rFonts w:hint="eastAsia"/>
                <w:color w:val="auto"/>
                <w:sz w:val="24"/>
              </w:rPr>
              <w:t>运营期矿区不设办公生活区，矿区作业人</w:t>
            </w:r>
            <w:r>
              <w:rPr>
                <w:rFonts w:hint="eastAsia"/>
                <w:color w:val="auto"/>
                <w:sz w:val="24"/>
                <w:lang w:val="en-US" w:eastAsia="zh-CN"/>
              </w:rPr>
              <w:t>员</w:t>
            </w:r>
            <w:r>
              <w:rPr>
                <w:rFonts w:hint="eastAsia"/>
                <w:color w:val="auto"/>
                <w:sz w:val="24"/>
              </w:rPr>
              <w:t>为聘用当地人员，食宿均自行解决。运营期设1处环保厕所</w:t>
            </w:r>
            <w:r>
              <w:rPr>
                <w:rFonts w:hint="eastAsia"/>
                <w:color w:val="auto"/>
                <w:sz w:val="24"/>
                <w:lang w:val="en-US" w:eastAsia="zh-CN"/>
              </w:rPr>
              <w:t>和1座防渗化粪池（15m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，人员如厕废水定期由吸污车拉运至奇台县污水处理厂进一步处理。</w:t>
            </w:r>
          </w:p>
          <w:p w14:paraId="22B5C6FD">
            <w:pPr>
              <w:topLinePunct/>
              <w:spacing w:line="360" w:lineRule="auto"/>
              <w:ind w:firstLine="480" w:firstLineChars="200"/>
              <w:rPr>
                <w:snapToGrid w:val="0"/>
                <w:color w:val="auto"/>
                <w:kern w:val="0"/>
                <w:sz w:val="24"/>
              </w:rPr>
            </w:pPr>
            <w:r>
              <w:rPr>
                <w:snapToGrid w:val="0"/>
                <w:color w:val="auto"/>
                <w:kern w:val="0"/>
                <w:sz w:val="24"/>
              </w:rPr>
              <w:t>（1）</w:t>
            </w:r>
            <w:r>
              <w:rPr>
                <w:rFonts w:hint="eastAsia"/>
                <w:snapToGrid w:val="0"/>
                <w:color w:val="auto"/>
                <w:kern w:val="0"/>
                <w:sz w:val="24"/>
              </w:rPr>
              <w:t>供水</w:t>
            </w:r>
          </w:p>
          <w:p w14:paraId="329FA11E">
            <w:pPr>
              <w:topLinePunct/>
              <w:spacing w:line="360" w:lineRule="auto"/>
              <w:ind w:firstLine="480" w:firstLineChars="200"/>
              <w:rPr>
                <w:color w:val="auto"/>
                <w:sz w:val="24"/>
                <w:szCs w:val="28"/>
              </w:rPr>
            </w:pPr>
            <w:r>
              <w:rPr>
                <w:rFonts w:hint="eastAsia"/>
                <w:color w:val="auto"/>
                <w:sz w:val="24"/>
                <w:szCs w:val="28"/>
              </w:rPr>
              <w:t>矿区</w:t>
            </w:r>
            <w:r>
              <w:rPr>
                <w:color w:val="auto"/>
                <w:sz w:val="24"/>
                <w:szCs w:val="28"/>
              </w:rPr>
              <w:t>用水主要为</w:t>
            </w:r>
            <w:r>
              <w:rPr>
                <w:rFonts w:hint="eastAsia"/>
                <w:color w:val="auto"/>
                <w:sz w:val="24"/>
                <w:szCs w:val="28"/>
              </w:rPr>
              <w:t>矿区开采作业抑尘用水</w:t>
            </w:r>
            <w:r>
              <w:rPr>
                <w:color w:val="auto"/>
                <w:sz w:val="24"/>
                <w:szCs w:val="28"/>
              </w:rPr>
              <w:t>、</w:t>
            </w:r>
            <w:r>
              <w:rPr>
                <w:rFonts w:hint="eastAsia"/>
                <w:color w:val="auto"/>
                <w:sz w:val="24"/>
                <w:szCs w:val="28"/>
              </w:rPr>
              <w:t>道路洒水抑尘用水</w:t>
            </w:r>
            <w:r>
              <w:rPr>
                <w:rFonts w:hint="eastAsia"/>
                <w:color w:val="auto"/>
                <w:sz w:val="24"/>
                <w:szCs w:val="28"/>
                <w:lang w:val="en-US" w:eastAsia="zh-CN"/>
              </w:rPr>
              <w:t>及车辆清洗用水</w:t>
            </w:r>
            <w:r>
              <w:rPr>
                <w:rFonts w:hint="eastAsia"/>
                <w:color w:val="auto"/>
                <w:sz w:val="24"/>
                <w:szCs w:val="28"/>
              </w:rPr>
              <w:t>。</w:t>
            </w:r>
          </w:p>
          <w:p w14:paraId="30F4C122">
            <w:pPr>
              <w:topLinePunct/>
              <w:spacing w:line="360" w:lineRule="auto"/>
              <w:ind w:firstLine="480" w:firstLineChars="200"/>
              <w:rPr>
                <w:color w:val="auto"/>
                <w:sz w:val="24"/>
                <w:szCs w:val="28"/>
              </w:rPr>
            </w:pPr>
            <w:r>
              <w:rPr>
                <w:rFonts w:hint="eastAsia"/>
                <w:color w:val="auto"/>
                <w:sz w:val="24"/>
                <w:szCs w:val="28"/>
              </w:rPr>
              <w:t>①开采作业抑尘用水</w:t>
            </w:r>
          </w:p>
          <w:p w14:paraId="04904898">
            <w:pPr>
              <w:topLinePunct/>
              <w:spacing w:line="360" w:lineRule="auto"/>
              <w:ind w:firstLine="480" w:firstLineChars="200"/>
              <w:rPr>
                <w:color w:val="auto"/>
                <w:sz w:val="24"/>
                <w:szCs w:val="28"/>
              </w:rPr>
            </w:pPr>
            <w:r>
              <w:rPr>
                <w:rFonts w:hint="eastAsia"/>
                <w:color w:val="auto"/>
                <w:sz w:val="24"/>
                <w:szCs w:val="28"/>
              </w:rPr>
              <w:t>开采作业面及建筑用砂装卸过程中采用雾炮机水雾增湿除尘方式降尘，用水量约为5m</w:t>
            </w:r>
            <w:r>
              <w:rPr>
                <w:rFonts w:hint="eastAsia"/>
                <w:color w:val="auto"/>
                <w:sz w:val="24"/>
                <w:szCs w:val="28"/>
                <w:vertAlign w:val="superscript"/>
              </w:rPr>
              <w:t>3</w:t>
            </w:r>
            <w:r>
              <w:rPr>
                <w:rFonts w:hint="eastAsia"/>
                <w:color w:val="auto"/>
                <w:sz w:val="24"/>
                <w:szCs w:val="28"/>
              </w:rPr>
              <w:t>/d。表土堆场区域采用洒水车洒水降尘方式降尘，用水量约为10m</w:t>
            </w:r>
            <w:r>
              <w:rPr>
                <w:rFonts w:hint="eastAsia"/>
                <w:color w:val="auto"/>
                <w:sz w:val="24"/>
                <w:szCs w:val="28"/>
                <w:vertAlign w:val="superscript"/>
              </w:rPr>
              <w:t>3</w:t>
            </w:r>
            <w:r>
              <w:rPr>
                <w:rFonts w:hint="eastAsia"/>
                <w:color w:val="auto"/>
                <w:sz w:val="24"/>
                <w:szCs w:val="28"/>
              </w:rPr>
              <w:t>/d。</w:t>
            </w:r>
          </w:p>
          <w:p w14:paraId="3B3C2756">
            <w:pPr>
              <w:topLinePunct/>
              <w:spacing w:line="360" w:lineRule="auto"/>
              <w:ind w:firstLine="480" w:firstLineChars="200"/>
              <w:rPr>
                <w:color w:val="auto"/>
                <w:sz w:val="24"/>
                <w:szCs w:val="28"/>
              </w:rPr>
            </w:pPr>
            <w:r>
              <w:rPr>
                <w:rFonts w:hint="eastAsia"/>
                <w:color w:val="auto"/>
                <w:sz w:val="24"/>
                <w:szCs w:val="28"/>
              </w:rPr>
              <w:t>②道路洒水抑尘用水</w:t>
            </w:r>
          </w:p>
          <w:p w14:paraId="1C224698">
            <w:pPr>
              <w:topLinePunct/>
              <w:spacing w:line="360" w:lineRule="auto"/>
              <w:ind w:firstLine="480" w:firstLineChars="200"/>
              <w:rPr>
                <w:color w:val="auto"/>
                <w:sz w:val="24"/>
                <w:szCs w:val="28"/>
              </w:rPr>
            </w:pPr>
            <w:r>
              <w:rPr>
                <w:rFonts w:hint="eastAsia"/>
                <w:color w:val="auto"/>
                <w:sz w:val="24"/>
                <w:szCs w:val="28"/>
              </w:rPr>
              <w:t>本项目矿区道路为砂石路面，矿区道路全长1000m，运输道路路基宽6m，路面4m，占地面积6000m</w:t>
            </w:r>
            <w:r>
              <w:rPr>
                <w:rFonts w:hint="eastAsia"/>
                <w:color w:val="auto"/>
                <w:sz w:val="24"/>
                <w:szCs w:val="28"/>
                <w:vertAlign w:val="superscript"/>
              </w:rPr>
              <w:t>2</w:t>
            </w:r>
            <w:r>
              <w:rPr>
                <w:rFonts w:hint="eastAsia"/>
                <w:color w:val="auto"/>
                <w:sz w:val="24"/>
                <w:szCs w:val="28"/>
              </w:rPr>
              <w:t>。洒水抑尘用水定额为1L/m</w:t>
            </w:r>
            <w:r>
              <w:rPr>
                <w:rFonts w:hint="eastAsia"/>
                <w:color w:val="auto"/>
                <w:sz w:val="24"/>
                <w:szCs w:val="28"/>
                <w:vertAlign w:val="superscript"/>
              </w:rPr>
              <w:t>2</w:t>
            </w:r>
            <w:r>
              <w:rPr>
                <w:rFonts w:hint="eastAsia"/>
                <w:color w:val="auto"/>
                <w:sz w:val="24"/>
                <w:szCs w:val="28"/>
              </w:rPr>
              <w:t>·次，</w:t>
            </w:r>
            <w:r>
              <w:rPr>
                <w:rFonts w:hint="eastAsia"/>
                <w:color w:val="auto"/>
                <w:sz w:val="24"/>
              </w:rPr>
              <w:t>一般天气状况每日洒水抑尘不少于</w:t>
            </w:r>
            <w:r>
              <w:rPr>
                <w:color w:val="auto"/>
                <w:sz w:val="24"/>
              </w:rPr>
              <w:t>3</w:t>
            </w:r>
            <w:r>
              <w:rPr>
                <w:rFonts w:hint="eastAsia"/>
                <w:color w:val="auto"/>
                <w:sz w:val="24"/>
              </w:rPr>
              <w:t>次，本次按3次/日计，</w:t>
            </w:r>
            <w:r>
              <w:rPr>
                <w:rFonts w:hint="eastAsia"/>
                <w:color w:val="auto"/>
                <w:sz w:val="24"/>
                <w:szCs w:val="28"/>
              </w:rPr>
              <w:t>故洒水降尘用水为18m</w:t>
            </w:r>
            <w:r>
              <w:rPr>
                <w:rFonts w:hint="eastAsia"/>
                <w:color w:val="auto"/>
                <w:sz w:val="24"/>
                <w:szCs w:val="28"/>
                <w:vertAlign w:val="superscript"/>
              </w:rPr>
              <w:t>3</w:t>
            </w:r>
            <w:r>
              <w:rPr>
                <w:rFonts w:hint="eastAsia"/>
                <w:color w:val="auto"/>
                <w:sz w:val="24"/>
                <w:szCs w:val="28"/>
              </w:rPr>
              <w:t>/d（2250m</w:t>
            </w:r>
            <w:r>
              <w:rPr>
                <w:rFonts w:hint="eastAsia"/>
                <w:color w:val="auto"/>
                <w:sz w:val="24"/>
                <w:szCs w:val="28"/>
                <w:vertAlign w:val="superscript"/>
              </w:rPr>
              <w:t>3</w:t>
            </w:r>
            <w:r>
              <w:rPr>
                <w:rFonts w:hint="eastAsia"/>
                <w:color w:val="auto"/>
                <w:sz w:val="24"/>
                <w:szCs w:val="28"/>
              </w:rPr>
              <w:t>/a），在使用过程中损耗，不会产生废水。</w:t>
            </w:r>
          </w:p>
          <w:p w14:paraId="5AE9EBE9">
            <w:pPr>
              <w:topLinePunct/>
              <w:spacing w:line="360" w:lineRule="auto"/>
              <w:ind w:firstLine="480" w:firstLineChars="200"/>
              <w:rPr>
                <w:rFonts w:hint="default" w:eastAsia="宋体"/>
                <w:color w:val="auto"/>
                <w:sz w:val="24"/>
                <w:szCs w:val="28"/>
                <w:lang w:val="en-US" w:eastAsia="zh-CN"/>
              </w:rPr>
            </w:pPr>
            <w:r>
              <w:rPr>
                <w:rFonts w:hint="eastAsia"/>
                <w:color w:val="auto"/>
                <w:sz w:val="24"/>
                <w:szCs w:val="28"/>
                <w:lang w:val="en-US" w:eastAsia="zh-CN"/>
              </w:rPr>
              <w:t>③车辆清洗用水</w:t>
            </w:r>
          </w:p>
          <w:p w14:paraId="11B70D7F">
            <w:pPr>
              <w:topLinePunct/>
              <w:spacing w:line="360" w:lineRule="auto"/>
              <w:ind w:firstLine="480" w:firstLineChars="200"/>
              <w:rPr>
                <w:rFonts w:hint="eastAsia"/>
                <w:color w:val="auto"/>
                <w:sz w:val="24"/>
                <w:szCs w:val="28"/>
              </w:rPr>
            </w:pPr>
            <w:r>
              <w:rPr>
                <w:rFonts w:hint="eastAsia"/>
                <w:color w:val="auto"/>
                <w:sz w:val="24"/>
                <w:szCs w:val="28"/>
              </w:rPr>
              <w:t>运输车辆往返</w:t>
            </w:r>
            <w:r>
              <w:rPr>
                <w:rFonts w:hint="eastAsia"/>
                <w:color w:val="auto"/>
                <w:sz w:val="24"/>
                <w:szCs w:val="28"/>
                <w:lang w:val="en-US" w:eastAsia="zh-CN"/>
              </w:rPr>
              <w:t>矿</w:t>
            </w:r>
            <w:r>
              <w:rPr>
                <w:rFonts w:hint="eastAsia"/>
                <w:color w:val="auto"/>
                <w:sz w:val="24"/>
                <w:szCs w:val="28"/>
              </w:rPr>
              <w:t>区，车</w:t>
            </w:r>
            <w:r>
              <w:rPr>
                <w:rFonts w:hint="eastAsia"/>
                <w:color w:val="auto"/>
                <w:sz w:val="24"/>
                <w:szCs w:val="28"/>
                <w:lang w:val="en-US" w:eastAsia="zh-CN"/>
              </w:rPr>
              <w:t>轮</w:t>
            </w:r>
            <w:r>
              <w:rPr>
                <w:rFonts w:hint="eastAsia"/>
                <w:color w:val="auto"/>
                <w:sz w:val="24"/>
                <w:szCs w:val="28"/>
              </w:rPr>
              <w:t>会沾满沙土，进出厂需在洗车平台进行清洗。根据建设单位提供资料，车辆清洗用水约为</w:t>
            </w:r>
            <w:r>
              <w:rPr>
                <w:rFonts w:hint="eastAsia"/>
                <w:color w:val="auto"/>
                <w:sz w:val="24"/>
                <w:szCs w:val="28"/>
                <w:lang w:val="en-US" w:eastAsia="zh-CN"/>
              </w:rPr>
              <w:t>5</w:t>
            </w:r>
            <w:r>
              <w:rPr>
                <w:rFonts w:hint="eastAsia"/>
                <w:color w:val="auto"/>
                <w:sz w:val="24"/>
                <w:szCs w:val="28"/>
              </w:rPr>
              <w:t>m</w:t>
            </w:r>
            <w:r>
              <w:rPr>
                <w:rFonts w:hint="eastAsia"/>
                <w:color w:val="auto"/>
                <w:sz w:val="24"/>
                <w:szCs w:val="28"/>
                <w:vertAlign w:val="superscript"/>
              </w:rPr>
              <w:t>3</w:t>
            </w:r>
            <w:r>
              <w:rPr>
                <w:rFonts w:hint="eastAsia"/>
                <w:color w:val="auto"/>
                <w:sz w:val="24"/>
                <w:szCs w:val="28"/>
              </w:rPr>
              <w:t>/d（</w:t>
            </w:r>
            <w:r>
              <w:rPr>
                <w:rFonts w:hint="eastAsia"/>
                <w:color w:val="auto"/>
                <w:sz w:val="24"/>
                <w:szCs w:val="28"/>
                <w:lang w:val="en-US" w:eastAsia="zh-CN"/>
              </w:rPr>
              <w:t>1250</w:t>
            </w:r>
            <w:r>
              <w:rPr>
                <w:rFonts w:hint="eastAsia"/>
                <w:color w:val="auto"/>
                <w:sz w:val="24"/>
                <w:szCs w:val="28"/>
              </w:rPr>
              <w:t>m</w:t>
            </w:r>
            <w:r>
              <w:rPr>
                <w:rFonts w:hint="eastAsia"/>
                <w:color w:val="auto"/>
                <w:sz w:val="24"/>
                <w:szCs w:val="28"/>
                <w:vertAlign w:val="superscript"/>
              </w:rPr>
              <w:t>3</w:t>
            </w:r>
            <w:r>
              <w:rPr>
                <w:rFonts w:hint="eastAsia"/>
                <w:color w:val="auto"/>
                <w:sz w:val="24"/>
                <w:szCs w:val="28"/>
              </w:rPr>
              <w:t>/a）。本项目拟在</w:t>
            </w:r>
            <w:r>
              <w:rPr>
                <w:rFonts w:hint="eastAsia"/>
                <w:color w:val="auto"/>
                <w:sz w:val="24"/>
                <w:szCs w:val="28"/>
                <w:lang w:val="en-US" w:eastAsia="zh-CN"/>
              </w:rPr>
              <w:t>矿区进出口处</w:t>
            </w:r>
            <w:r>
              <w:rPr>
                <w:rFonts w:hint="eastAsia"/>
                <w:color w:val="auto"/>
                <w:sz w:val="24"/>
                <w:szCs w:val="28"/>
              </w:rPr>
              <w:t>设置1个沉淀池（10m</w:t>
            </w:r>
            <w:r>
              <w:rPr>
                <w:rFonts w:hint="eastAsia"/>
                <w:color w:val="auto"/>
                <w:sz w:val="24"/>
                <w:szCs w:val="28"/>
                <w:vertAlign w:val="superscript"/>
              </w:rPr>
              <w:t>3</w:t>
            </w:r>
            <w:r>
              <w:rPr>
                <w:rFonts w:hint="eastAsia"/>
                <w:color w:val="auto"/>
                <w:sz w:val="24"/>
                <w:szCs w:val="28"/>
              </w:rPr>
              <w:t>），车辆清洗用水经沉淀池处理后用于洗车，洗车水损失量按平均按10%计，需补充新鲜水</w:t>
            </w:r>
            <w:r>
              <w:rPr>
                <w:rFonts w:hint="eastAsia"/>
                <w:color w:val="auto"/>
                <w:sz w:val="24"/>
                <w:szCs w:val="28"/>
                <w:lang w:val="en-US" w:eastAsia="zh-CN"/>
              </w:rPr>
              <w:t>125</w:t>
            </w:r>
            <w:r>
              <w:rPr>
                <w:rFonts w:hint="eastAsia"/>
                <w:color w:val="auto"/>
                <w:sz w:val="24"/>
                <w:szCs w:val="28"/>
              </w:rPr>
              <w:t>m</w:t>
            </w:r>
            <w:r>
              <w:rPr>
                <w:rFonts w:hint="eastAsia"/>
                <w:color w:val="auto"/>
                <w:sz w:val="24"/>
                <w:szCs w:val="28"/>
                <w:vertAlign w:val="superscript"/>
              </w:rPr>
              <w:t>3</w:t>
            </w:r>
            <w:r>
              <w:rPr>
                <w:rFonts w:hint="eastAsia"/>
                <w:color w:val="auto"/>
                <w:sz w:val="24"/>
                <w:szCs w:val="28"/>
              </w:rPr>
              <w:t>/a</w:t>
            </w:r>
            <w:r>
              <w:rPr>
                <w:rFonts w:hint="eastAsia"/>
                <w:color w:val="auto"/>
                <w:sz w:val="24"/>
                <w:szCs w:val="28"/>
                <w:lang w:eastAsia="zh-CN"/>
              </w:rPr>
              <w:t>（</w:t>
            </w:r>
            <w:r>
              <w:rPr>
                <w:rFonts w:hint="eastAsia"/>
                <w:color w:val="auto"/>
                <w:sz w:val="24"/>
                <w:szCs w:val="28"/>
                <w:lang w:val="en-US" w:eastAsia="zh-CN"/>
              </w:rPr>
              <w:t>0.2m</w:t>
            </w:r>
            <w:r>
              <w:rPr>
                <w:rFonts w:hint="eastAsia"/>
                <w:color w:val="auto"/>
                <w:sz w:val="24"/>
                <w:szCs w:val="28"/>
                <w:vertAlign w:val="superscript"/>
                <w:lang w:val="en-US" w:eastAsia="zh-CN"/>
              </w:rPr>
              <w:t>3</w:t>
            </w:r>
            <w:r>
              <w:rPr>
                <w:rFonts w:hint="eastAsia"/>
                <w:color w:val="auto"/>
                <w:sz w:val="24"/>
                <w:szCs w:val="28"/>
                <w:lang w:val="en-US" w:eastAsia="zh-CN"/>
              </w:rPr>
              <w:t>/d</w:t>
            </w:r>
            <w:r>
              <w:rPr>
                <w:rFonts w:hint="eastAsia"/>
                <w:color w:val="auto"/>
                <w:sz w:val="24"/>
                <w:szCs w:val="28"/>
                <w:lang w:eastAsia="zh-CN"/>
              </w:rPr>
              <w:t>）</w:t>
            </w:r>
            <w:r>
              <w:rPr>
                <w:rFonts w:hint="eastAsia"/>
                <w:color w:val="auto"/>
                <w:sz w:val="24"/>
                <w:szCs w:val="28"/>
              </w:rPr>
              <w:t>，回用水</w:t>
            </w:r>
            <w:r>
              <w:rPr>
                <w:rFonts w:hint="eastAsia"/>
                <w:color w:val="auto"/>
                <w:sz w:val="24"/>
                <w:szCs w:val="28"/>
                <w:lang w:val="en-US" w:eastAsia="zh-CN"/>
              </w:rPr>
              <w:t>1125</w:t>
            </w:r>
            <w:r>
              <w:rPr>
                <w:rFonts w:hint="eastAsia"/>
                <w:color w:val="auto"/>
                <w:sz w:val="24"/>
                <w:szCs w:val="28"/>
              </w:rPr>
              <w:t>m</w:t>
            </w:r>
            <w:r>
              <w:rPr>
                <w:rFonts w:hint="eastAsia"/>
                <w:color w:val="auto"/>
                <w:sz w:val="24"/>
                <w:szCs w:val="28"/>
                <w:vertAlign w:val="superscript"/>
              </w:rPr>
              <w:t>3</w:t>
            </w:r>
            <w:r>
              <w:rPr>
                <w:rFonts w:hint="eastAsia"/>
                <w:color w:val="auto"/>
                <w:sz w:val="24"/>
                <w:szCs w:val="28"/>
              </w:rPr>
              <w:t>/a。</w:t>
            </w:r>
          </w:p>
          <w:p w14:paraId="498E7E86">
            <w:pPr>
              <w:topLinePunct/>
              <w:spacing w:line="360" w:lineRule="auto"/>
              <w:ind w:firstLine="480" w:firstLineChars="200"/>
              <w:rPr>
                <w:color w:val="auto"/>
                <w:sz w:val="24"/>
                <w:szCs w:val="28"/>
              </w:rPr>
            </w:pPr>
            <w:r>
              <w:rPr>
                <w:rFonts w:hint="eastAsia"/>
                <w:color w:val="auto"/>
                <w:sz w:val="24"/>
                <w:szCs w:val="28"/>
              </w:rPr>
              <w:t>综上所述，运营期总用水量为33</w:t>
            </w:r>
            <w:r>
              <w:rPr>
                <w:rFonts w:hint="eastAsia"/>
                <w:color w:val="auto"/>
                <w:sz w:val="24"/>
                <w:szCs w:val="28"/>
                <w:lang w:val="en-US" w:eastAsia="zh-CN"/>
              </w:rPr>
              <w:t>.5</w:t>
            </w:r>
            <w:r>
              <w:rPr>
                <w:rFonts w:hint="eastAsia"/>
                <w:color w:val="auto"/>
                <w:sz w:val="24"/>
                <w:szCs w:val="28"/>
              </w:rPr>
              <w:t>m</w:t>
            </w:r>
            <w:r>
              <w:rPr>
                <w:rFonts w:hint="eastAsia"/>
                <w:color w:val="auto"/>
                <w:sz w:val="24"/>
                <w:szCs w:val="28"/>
                <w:vertAlign w:val="superscript"/>
              </w:rPr>
              <w:t>3</w:t>
            </w:r>
            <w:r>
              <w:rPr>
                <w:rFonts w:hint="eastAsia"/>
                <w:color w:val="auto"/>
                <w:sz w:val="24"/>
                <w:szCs w:val="28"/>
              </w:rPr>
              <w:t>/d。</w:t>
            </w:r>
          </w:p>
          <w:p w14:paraId="7A98C1B4">
            <w:pPr>
              <w:topLinePunct/>
              <w:spacing w:line="360" w:lineRule="auto"/>
              <w:ind w:firstLine="480" w:firstLineChars="200"/>
              <w:rPr>
                <w:color w:val="auto"/>
                <w:sz w:val="24"/>
                <w:szCs w:val="28"/>
              </w:rPr>
            </w:pPr>
            <w:r>
              <w:rPr>
                <w:rFonts w:hint="eastAsia"/>
                <w:color w:val="auto"/>
                <w:sz w:val="24"/>
                <w:szCs w:val="28"/>
              </w:rPr>
              <w:t>（2）排水</w:t>
            </w:r>
          </w:p>
          <w:p w14:paraId="514C0D3A">
            <w:pPr>
              <w:topLinePunct/>
              <w:spacing w:line="360" w:lineRule="auto"/>
              <w:ind w:firstLine="480" w:firstLineChars="200"/>
              <w:rPr>
                <w:color w:val="auto"/>
                <w:sz w:val="24"/>
                <w:szCs w:val="28"/>
              </w:rPr>
            </w:pPr>
            <w:r>
              <w:rPr>
                <w:rFonts w:hint="eastAsia"/>
                <w:color w:val="auto"/>
                <w:sz w:val="24"/>
                <w:szCs w:val="28"/>
              </w:rPr>
              <w:t>本项目降尘用水自然蒸发，无外排废水产生。</w:t>
            </w:r>
          </w:p>
          <w:p w14:paraId="6DA44734">
            <w:pPr>
              <w:topLinePunct/>
              <w:spacing w:line="360" w:lineRule="auto"/>
              <w:ind w:firstLine="480" w:firstLineChars="200"/>
              <w:rPr>
                <w:snapToGrid w:val="0"/>
                <w:color w:val="auto"/>
                <w:kern w:val="0"/>
                <w:sz w:val="24"/>
              </w:rPr>
            </w:pPr>
            <w:r>
              <w:rPr>
                <w:rFonts w:hint="eastAsia"/>
                <w:snapToGrid w:val="0"/>
                <w:color w:val="auto"/>
                <w:kern w:val="0"/>
                <w:sz w:val="24"/>
              </w:rPr>
              <w:t>（3）供电</w:t>
            </w:r>
          </w:p>
          <w:p w14:paraId="524C8DA0">
            <w:pPr>
              <w:topLinePunct/>
              <w:spacing w:line="360" w:lineRule="auto"/>
              <w:ind w:firstLine="480" w:firstLineChars="200"/>
              <w:rPr>
                <w:snapToGrid w:val="0"/>
                <w:color w:val="auto"/>
                <w:kern w:val="0"/>
                <w:sz w:val="24"/>
              </w:rPr>
            </w:pPr>
            <w:r>
              <w:rPr>
                <w:rFonts w:hint="eastAsia"/>
                <w:snapToGrid w:val="0"/>
                <w:color w:val="auto"/>
                <w:kern w:val="0"/>
                <w:sz w:val="24"/>
              </w:rPr>
              <w:t>本矿山开采设备均为用油设备，不涉及生产</w:t>
            </w:r>
            <w:r>
              <w:rPr>
                <w:rFonts w:hint="eastAsia"/>
                <w:snapToGrid w:val="0"/>
                <w:color w:val="auto"/>
                <w:kern w:val="0"/>
                <w:sz w:val="24"/>
                <w:lang w:eastAsia="zh-CN"/>
              </w:rPr>
              <w:t>用电</w:t>
            </w:r>
            <w:r>
              <w:rPr>
                <w:rFonts w:hint="eastAsia"/>
                <w:snapToGrid w:val="0"/>
                <w:color w:val="auto"/>
                <w:kern w:val="0"/>
                <w:sz w:val="24"/>
              </w:rPr>
              <w:t>。</w:t>
            </w:r>
          </w:p>
          <w:p w14:paraId="5DE21727">
            <w:pPr>
              <w:topLinePunct/>
              <w:spacing w:line="360" w:lineRule="auto"/>
              <w:ind w:firstLine="480" w:firstLineChars="200"/>
              <w:rPr>
                <w:snapToGrid w:val="0"/>
                <w:color w:val="auto"/>
                <w:kern w:val="0"/>
                <w:sz w:val="24"/>
              </w:rPr>
            </w:pPr>
            <w:r>
              <w:rPr>
                <w:rFonts w:hint="eastAsia"/>
                <w:snapToGrid w:val="0"/>
                <w:color w:val="auto"/>
                <w:kern w:val="0"/>
                <w:sz w:val="24"/>
              </w:rPr>
              <w:t>（4）机修</w:t>
            </w:r>
          </w:p>
          <w:p w14:paraId="459F1FD0">
            <w:pPr>
              <w:topLinePunct/>
              <w:spacing w:line="360" w:lineRule="auto"/>
              <w:ind w:firstLine="480" w:firstLineChars="200"/>
              <w:rPr>
                <w:rFonts w:hint="eastAsia" w:ascii="宋体" w:hAnsi="宋体" w:cs="宋体"/>
                <w:color w:val="auto"/>
                <w:kern w:val="0"/>
                <w:szCs w:val="21"/>
              </w:rPr>
            </w:pPr>
            <w:r>
              <w:rPr>
                <w:rFonts w:hint="eastAsia"/>
                <w:snapToGrid w:val="0"/>
                <w:color w:val="auto"/>
                <w:kern w:val="0"/>
                <w:sz w:val="24"/>
              </w:rPr>
              <w:t>本项目矿区规模不大，设备少、为节省投资，矿区不建机修间，矿区机械设备修理委托专业检修机构承担。</w:t>
            </w:r>
          </w:p>
        </w:tc>
      </w:tr>
      <w:tr w14:paraId="066FA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10" w:type="dxa"/>
            <w:vAlign w:val="center"/>
          </w:tcPr>
          <w:p w14:paraId="49D81000">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总平面及现场布置</w:t>
            </w:r>
          </w:p>
        </w:tc>
        <w:tc>
          <w:tcPr>
            <w:tcW w:w="8380" w:type="dxa"/>
            <w:vAlign w:val="center"/>
          </w:tcPr>
          <w:p w14:paraId="00EAAF8A">
            <w:pPr>
              <w:spacing w:line="360" w:lineRule="auto"/>
              <w:ind w:firstLine="480" w:firstLineChars="200"/>
              <w:rPr>
                <w:color w:val="auto"/>
                <w:sz w:val="24"/>
              </w:rPr>
            </w:pPr>
            <w:r>
              <w:rPr>
                <w:rFonts w:hint="eastAsia"/>
                <w:color w:val="auto"/>
                <w:sz w:val="24"/>
              </w:rPr>
              <w:t>（1）露天采场</w:t>
            </w:r>
          </w:p>
          <w:p w14:paraId="465CE4F3">
            <w:pPr>
              <w:spacing w:line="360" w:lineRule="auto"/>
              <w:ind w:firstLine="480" w:firstLineChars="200"/>
              <w:rPr>
                <w:color w:val="auto"/>
                <w:sz w:val="24"/>
              </w:rPr>
            </w:pPr>
            <w:r>
              <w:rPr>
                <w:rFonts w:hint="eastAsia"/>
                <w:color w:val="auto"/>
                <w:sz w:val="24"/>
              </w:rPr>
              <w:t>规划1号露天采场位于矿区内北部，占地面积86900m</w:t>
            </w:r>
            <w:r>
              <w:rPr>
                <w:rFonts w:hint="eastAsia"/>
                <w:color w:val="auto"/>
                <w:sz w:val="24"/>
                <w:vertAlign w:val="superscript"/>
              </w:rPr>
              <w:t>2</w:t>
            </w:r>
            <w:r>
              <w:rPr>
                <w:rFonts w:hint="eastAsia"/>
                <w:color w:val="auto"/>
                <w:sz w:val="24"/>
              </w:rPr>
              <w:t>，呈正地形的四边形状，地表境界长590m，宽200m，形成2个台段，台阶高度约6m，台阶坡面角45°，最终边坡角37°。</w:t>
            </w:r>
          </w:p>
          <w:p w14:paraId="74C8115F">
            <w:pPr>
              <w:spacing w:line="360" w:lineRule="auto"/>
              <w:ind w:firstLine="480" w:firstLineChars="200"/>
              <w:rPr>
                <w:color w:val="auto"/>
                <w:sz w:val="24"/>
              </w:rPr>
            </w:pPr>
            <w:r>
              <w:rPr>
                <w:rFonts w:hint="eastAsia"/>
                <w:color w:val="auto"/>
                <w:sz w:val="24"/>
              </w:rPr>
              <w:t>规划2号露天采场位于矿区内南部，占地面积199700m</w:t>
            </w:r>
            <w:r>
              <w:rPr>
                <w:rFonts w:hint="eastAsia"/>
                <w:color w:val="auto"/>
                <w:sz w:val="24"/>
                <w:vertAlign w:val="superscript"/>
              </w:rPr>
              <w:t>2</w:t>
            </w:r>
            <w:r>
              <w:rPr>
                <w:rFonts w:hint="eastAsia"/>
                <w:color w:val="auto"/>
                <w:sz w:val="24"/>
              </w:rPr>
              <w:t>，呈正地形的四边形状，地表境界长560m，宽480m，形成2个台段，台阶高度约6m，台阶坡面角45°，最终边坡角37°。</w:t>
            </w:r>
          </w:p>
          <w:p w14:paraId="3A4F5FAD">
            <w:pPr>
              <w:spacing w:line="360" w:lineRule="auto"/>
              <w:ind w:firstLine="480" w:firstLineChars="200"/>
              <w:rPr>
                <w:color w:val="auto"/>
                <w:sz w:val="24"/>
              </w:rPr>
            </w:pPr>
            <w:r>
              <w:rPr>
                <w:rFonts w:hint="eastAsia"/>
                <w:color w:val="auto"/>
                <w:sz w:val="24"/>
              </w:rPr>
              <w:t>规划1、2号露天采场剥离总面积为286600m</w:t>
            </w:r>
            <w:r>
              <w:rPr>
                <w:rFonts w:hint="eastAsia"/>
                <w:color w:val="auto"/>
                <w:sz w:val="24"/>
                <w:vertAlign w:val="superscript"/>
              </w:rPr>
              <w:t>2</w:t>
            </w:r>
            <w:r>
              <w:rPr>
                <w:rFonts w:hint="eastAsia"/>
                <w:color w:val="auto"/>
                <w:sz w:val="24"/>
              </w:rPr>
              <w:t>，平均厚度按0.50m计算，其中1号露天采场剥离表土量43450m</w:t>
            </w:r>
            <w:r>
              <w:rPr>
                <w:rFonts w:hint="eastAsia"/>
                <w:color w:val="auto"/>
                <w:sz w:val="24"/>
                <w:vertAlign w:val="superscript"/>
              </w:rPr>
              <w:t>3</w:t>
            </w:r>
            <w:r>
              <w:rPr>
                <w:rFonts w:hint="eastAsia"/>
                <w:color w:val="auto"/>
                <w:sz w:val="24"/>
              </w:rPr>
              <w:t>，2号露天采场剥离表土量99850m</w:t>
            </w:r>
            <w:r>
              <w:rPr>
                <w:rFonts w:hint="eastAsia"/>
                <w:color w:val="auto"/>
                <w:sz w:val="24"/>
                <w:vertAlign w:val="superscript"/>
              </w:rPr>
              <w:t>3</w:t>
            </w:r>
            <w:r>
              <w:rPr>
                <w:rFonts w:hint="eastAsia"/>
                <w:color w:val="auto"/>
                <w:sz w:val="24"/>
              </w:rPr>
              <w:t>，合计剥离总量为143300m</w:t>
            </w:r>
            <w:r>
              <w:rPr>
                <w:rFonts w:hint="eastAsia"/>
                <w:color w:val="auto"/>
                <w:sz w:val="24"/>
                <w:vertAlign w:val="superscript"/>
              </w:rPr>
              <w:t>3</w:t>
            </w:r>
            <w:r>
              <w:rPr>
                <w:rFonts w:hint="eastAsia"/>
                <w:color w:val="auto"/>
                <w:sz w:val="24"/>
              </w:rPr>
              <w:t>。</w:t>
            </w:r>
          </w:p>
          <w:p w14:paraId="1216348F">
            <w:pPr>
              <w:spacing w:line="360" w:lineRule="auto"/>
              <w:ind w:firstLine="480" w:firstLineChars="200"/>
              <w:rPr>
                <w:color w:val="auto"/>
                <w:sz w:val="24"/>
              </w:rPr>
            </w:pPr>
            <w:r>
              <w:rPr>
                <w:rFonts w:hint="eastAsia"/>
                <w:color w:val="auto"/>
                <w:sz w:val="24"/>
              </w:rPr>
              <w:t>（2）表土堆场</w:t>
            </w:r>
          </w:p>
          <w:p w14:paraId="78EB1B13">
            <w:pPr>
              <w:spacing w:line="360" w:lineRule="auto"/>
              <w:ind w:firstLine="480" w:firstLineChars="200"/>
              <w:rPr>
                <w:color w:val="auto"/>
                <w:sz w:val="24"/>
              </w:rPr>
            </w:pPr>
            <w:r>
              <w:rPr>
                <w:rFonts w:hint="eastAsia"/>
                <w:color w:val="auto"/>
                <w:sz w:val="24"/>
              </w:rPr>
              <w:t>本矿山进行矿山建设开采前，需要对矿山破坏及矿建设施占地进行表土剥离，</w:t>
            </w:r>
            <w:r>
              <w:rPr>
                <w:rFonts w:hint="eastAsia"/>
                <w:color w:val="auto"/>
                <w:sz w:val="24"/>
                <w:lang w:val="en-US" w:eastAsia="zh-CN"/>
              </w:rPr>
              <w:t>本项目</w:t>
            </w:r>
            <w:r>
              <w:rPr>
                <w:rFonts w:hint="eastAsia"/>
                <w:color w:val="auto"/>
                <w:sz w:val="24"/>
              </w:rPr>
              <w:t>开采要求</w:t>
            </w:r>
            <w:r>
              <w:rPr>
                <w:rFonts w:hint="eastAsia"/>
                <w:color w:val="auto"/>
                <w:sz w:val="24"/>
                <w:lang w:val="en-US" w:eastAsia="zh-CN"/>
              </w:rPr>
              <w:t>采用</w:t>
            </w:r>
            <w:r>
              <w:rPr>
                <w:rFonts w:hint="eastAsia"/>
                <w:color w:val="auto"/>
                <w:sz w:val="24"/>
              </w:rPr>
              <w:t>边开采边回填</w:t>
            </w:r>
            <w:r>
              <w:rPr>
                <w:rFonts w:hint="eastAsia"/>
                <w:color w:val="auto"/>
                <w:sz w:val="24"/>
                <w:lang w:val="en-US" w:eastAsia="zh-CN"/>
              </w:rPr>
              <w:t>方式</w:t>
            </w:r>
            <w:r>
              <w:rPr>
                <w:rFonts w:hint="eastAsia"/>
                <w:color w:val="auto"/>
                <w:sz w:val="24"/>
              </w:rPr>
              <w:t>，剥离的表土集中堆放于规划表土堆放场内，最大程度保证土壤有机质不流失，在闭坑后重新覆土，恢复草地。矿山开采完毕后，利用已有表土进行覆盖，并播撒草籽覆绿，最大限度保护现有土地和草地资源。</w:t>
            </w:r>
          </w:p>
          <w:p w14:paraId="0C9BA0A4">
            <w:pPr>
              <w:spacing w:line="360" w:lineRule="auto"/>
              <w:ind w:firstLine="480" w:firstLineChars="200"/>
              <w:rPr>
                <w:color w:val="auto"/>
                <w:sz w:val="24"/>
              </w:rPr>
            </w:pPr>
            <w:r>
              <w:rPr>
                <w:rFonts w:hint="eastAsia"/>
                <w:color w:val="auto"/>
                <w:sz w:val="24"/>
              </w:rPr>
              <w:t>本次在1号露天采场、2号露天采场分别设1处表土堆场，规划1号露天采场表土堆场占地面积为</w:t>
            </w:r>
            <w:r>
              <w:rPr>
                <w:rFonts w:hint="eastAsia"/>
                <w:color w:val="auto"/>
                <w:sz w:val="24"/>
                <w:lang w:val="en-US" w:eastAsia="zh-CN"/>
              </w:rPr>
              <w:t>15</w:t>
            </w:r>
            <w:r>
              <w:rPr>
                <w:rFonts w:hint="eastAsia"/>
                <w:color w:val="auto"/>
                <w:sz w:val="24"/>
              </w:rPr>
              <w:t>00m</w:t>
            </w:r>
            <w:r>
              <w:rPr>
                <w:rFonts w:hint="eastAsia"/>
                <w:color w:val="auto"/>
                <w:sz w:val="24"/>
                <w:vertAlign w:val="superscript"/>
              </w:rPr>
              <w:t>2</w:t>
            </w:r>
            <w:r>
              <w:rPr>
                <w:rFonts w:hint="eastAsia"/>
                <w:color w:val="auto"/>
                <w:sz w:val="24"/>
              </w:rPr>
              <w:t>，位于规划1号露天采场内北侧；规划2号露天采场表土堆场占地面积为</w:t>
            </w:r>
            <w:r>
              <w:rPr>
                <w:rFonts w:hint="eastAsia"/>
                <w:color w:val="auto"/>
                <w:sz w:val="24"/>
                <w:lang w:val="en-US" w:eastAsia="zh-CN"/>
              </w:rPr>
              <w:t>3</w:t>
            </w:r>
            <w:r>
              <w:rPr>
                <w:rFonts w:hint="eastAsia"/>
                <w:color w:val="auto"/>
                <w:sz w:val="24"/>
              </w:rPr>
              <w:t>000m</w:t>
            </w:r>
            <w:r>
              <w:rPr>
                <w:rFonts w:hint="eastAsia"/>
                <w:color w:val="auto"/>
                <w:sz w:val="24"/>
                <w:vertAlign w:val="superscript"/>
              </w:rPr>
              <w:t>2</w:t>
            </w:r>
            <w:r>
              <w:rPr>
                <w:rFonts w:hint="eastAsia"/>
                <w:color w:val="auto"/>
                <w:sz w:val="24"/>
              </w:rPr>
              <w:t>，位于规划2号露天采场内南侧。</w:t>
            </w:r>
          </w:p>
          <w:p w14:paraId="7FC9C0A4">
            <w:pPr>
              <w:spacing w:line="360" w:lineRule="auto"/>
              <w:ind w:firstLine="480" w:firstLineChars="200"/>
              <w:rPr>
                <w:rFonts w:hint="eastAsia"/>
                <w:color w:val="auto"/>
                <w:sz w:val="24"/>
                <w:lang w:eastAsia="zh-CN"/>
              </w:rPr>
            </w:pPr>
            <w:r>
              <w:rPr>
                <w:rFonts w:hint="eastAsia"/>
                <w:color w:val="auto"/>
                <w:sz w:val="24"/>
              </w:rPr>
              <w:t>两处表土堆场原始地形坡度约1-4°</w:t>
            </w:r>
            <w:r>
              <w:rPr>
                <w:rFonts w:hint="eastAsia"/>
                <w:color w:val="auto"/>
                <w:sz w:val="24"/>
                <w:lang w:eastAsia="zh-CN"/>
              </w:rPr>
              <w:t>，</w:t>
            </w:r>
            <w:r>
              <w:rPr>
                <w:rFonts w:hint="eastAsia"/>
                <w:color w:val="auto"/>
                <w:sz w:val="24"/>
                <w:lang w:val="en-US" w:eastAsia="zh-CN"/>
              </w:rPr>
              <w:t>1号、2号表土堆场</w:t>
            </w:r>
            <w:r>
              <w:rPr>
                <w:rFonts w:hint="eastAsia"/>
                <w:color w:val="auto"/>
                <w:sz w:val="24"/>
              </w:rPr>
              <w:t>表土堆放高度</w:t>
            </w:r>
            <w:r>
              <w:rPr>
                <w:rFonts w:hint="eastAsia"/>
                <w:color w:val="auto"/>
                <w:sz w:val="24"/>
                <w:lang w:val="en-US" w:eastAsia="zh-CN"/>
              </w:rPr>
              <w:t>均为</w:t>
            </w:r>
            <w:r>
              <w:rPr>
                <w:rFonts w:hint="eastAsia"/>
                <w:color w:val="auto"/>
                <w:sz w:val="24"/>
              </w:rPr>
              <w:t>8m，分2层堆放，堆积坡度不大于35º，</w:t>
            </w:r>
            <w:r>
              <w:rPr>
                <w:rFonts w:hint="eastAsia"/>
                <w:color w:val="auto"/>
                <w:sz w:val="24"/>
                <w:lang w:val="en-US" w:eastAsia="zh-CN"/>
              </w:rPr>
              <w:t>1号表土堆场</w:t>
            </w:r>
            <w:r>
              <w:rPr>
                <w:rFonts w:hint="eastAsia"/>
                <w:color w:val="auto"/>
                <w:sz w:val="24"/>
              </w:rPr>
              <w:t>总容积约</w:t>
            </w:r>
            <w:r>
              <w:rPr>
                <w:rFonts w:hint="eastAsia"/>
                <w:color w:val="auto"/>
                <w:sz w:val="24"/>
                <w:lang w:val="en-US" w:eastAsia="zh-CN"/>
              </w:rPr>
              <w:t>4000</w:t>
            </w:r>
            <w:r>
              <w:rPr>
                <w:rFonts w:hint="eastAsia"/>
                <w:color w:val="auto"/>
                <w:sz w:val="24"/>
              </w:rPr>
              <w:t>m</w:t>
            </w:r>
            <w:r>
              <w:rPr>
                <w:rFonts w:hint="eastAsia"/>
                <w:color w:val="auto"/>
                <w:sz w:val="24"/>
                <w:vertAlign w:val="superscript"/>
              </w:rPr>
              <w:t>3</w:t>
            </w:r>
            <w:r>
              <w:rPr>
                <w:rFonts w:hint="eastAsia"/>
                <w:color w:val="auto"/>
                <w:sz w:val="24"/>
              </w:rPr>
              <w:t>，</w:t>
            </w:r>
            <w:r>
              <w:rPr>
                <w:rFonts w:hint="eastAsia"/>
                <w:color w:val="auto"/>
                <w:sz w:val="24"/>
                <w:lang w:val="en-US" w:eastAsia="zh-CN"/>
              </w:rPr>
              <w:t>2号表土堆场</w:t>
            </w:r>
            <w:r>
              <w:rPr>
                <w:rFonts w:hint="eastAsia"/>
                <w:color w:val="auto"/>
                <w:sz w:val="24"/>
              </w:rPr>
              <w:t>总容积约</w:t>
            </w:r>
            <w:r>
              <w:rPr>
                <w:rFonts w:hint="eastAsia"/>
                <w:color w:val="auto"/>
                <w:sz w:val="24"/>
                <w:lang w:val="en-US" w:eastAsia="zh-CN"/>
              </w:rPr>
              <w:t>8000</w:t>
            </w:r>
            <w:r>
              <w:rPr>
                <w:rFonts w:hint="eastAsia"/>
                <w:color w:val="auto"/>
                <w:sz w:val="24"/>
              </w:rPr>
              <w:t>m</w:t>
            </w:r>
            <w:r>
              <w:rPr>
                <w:rFonts w:hint="eastAsia"/>
                <w:color w:val="auto"/>
                <w:sz w:val="24"/>
                <w:vertAlign w:val="superscript"/>
              </w:rPr>
              <w:t>3</w:t>
            </w:r>
            <w:r>
              <w:rPr>
                <w:rFonts w:hint="eastAsia"/>
                <w:color w:val="auto"/>
                <w:sz w:val="24"/>
                <w:lang w:eastAsia="zh-CN"/>
              </w:rPr>
              <w:t>。</w:t>
            </w:r>
          </w:p>
          <w:p w14:paraId="252F1BF6">
            <w:pPr>
              <w:spacing w:line="360" w:lineRule="auto"/>
              <w:ind w:firstLine="480" w:firstLineChars="200"/>
              <w:rPr>
                <w:color w:val="auto"/>
                <w:sz w:val="24"/>
              </w:rPr>
            </w:pPr>
            <w:r>
              <w:rPr>
                <w:rFonts w:hint="eastAsia"/>
                <w:color w:val="auto"/>
                <w:sz w:val="24"/>
                <w:lang w:val="en-US" w:eastAsia="zh-CN"/>
              </w:rPr>
              <w:t>矿区剥离表土总量143300m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运营期先开采2号矿区，再开采1号矿区</w:t>
            </w:r>
            <w:r>
              <w:rPr>
                <w:rFonts w:hint="eastAsia"/>
                <w:color w:val="auto"/>
                <w:sz w:val="24"/>
                <w:lang w:eastAsia="zh-CN"/>
              </w:rPr>
              <w:t>，</w:t>
            </w:r>
            <w:r>
              <w:rPr>
                <w:rFonts w:hint="eastAsia"/>
                <w:color w:val="auto"/>
                <w:sz w:val="24"/>
                <w:lang w:val="en-US" w:eastAsia="zh-CN"/>
              </w:rPr>
              <w:t>矿山服务年限6.47年，其中2号矿区开采4.51年，每年剥离表土量15433m</w:t>
            </w:r>
            <w:r>
              <w:rPr>
                <w:rFonts w:hint="eastAsia"/>
                <w:color w:val="auto"/>
                <w:sz w:val="24"/>
                <w:vertAlign w:val="superscript"/>
                <w:lang w:val="en-US" w:eastAsia="zh-CN"/>
              </w:rPr>
              <w:t>3</w:t>
            </w:r>
            <w:r>
              <w:rPr>
                <w:rFonts w:hint="eastAsia"/>
                <w:color w:val="auto"/>
                <w:sz w:val="24"/>
                <w:lang w:val="en-US" w:eastAsia="zh-CN"/>
              </w:rPr>
              <w:t>；1号矿区开采1.96年，每年剥离表土量6715.6m</w:t>
            </w:r>
            <w:r>
              <w:rPr>
                <w:rFonts w:hint="eastAsia"/>
                <w:color w:val="auto"/>
                <w:sz w:val="24"/>
                <w:vertAlign w:val="superscript"/>
                <w:lang w:val="en-US" w:eastAsia="zh-CN"/>
              </w:rPr>
              <w:t>3</w:t>
            </w:r>
            <w:r>
              <w:rPr>
                <w:rFonts w:hint="eastAsia"/>
                <w:color w:val="auto"/>
                <w:sz w:val="24"/>
                <w:lang w:val="en-US" w:eastAsia="zh-CN"/>
              </w:rPr>
              <w:t>。1号、2号表土堆场可容纳半年表土量，项目采用</w:t>
            </w:r>
            <w:r>
              <w:rPr>
                <w:rFonts w:hint="eastAsia"/>
                <w:color w:val="auto"/>
                <w:sz w:val="24"/>
              </w:rPr>
              <w:t>边开采边回填</w:t>
            </w:r>
            <w:r>
              <w:rPr>
                <w:rFonts w:hint="eastAsia"/>
                <w:color w:val="auto"/>
                <w:sz w:val="24"/>
                <w:lang w:val="en-US" w:eastAsia="zh-CN"/>
              </w:rPr>
              <w:t>方式，剥离表土及时回填采坑，可确保表土堆场满足表土堆放要求</w:t>
            </w:r>
            <w:r>
              <w:rPr>
                <w:rFonts w:hint="eastAsia"/>
                <w:color w:val="auto"/>
                <w:sz w:val="24"/>
              </w:rPr>
              <w:t>。另外在表土堆场外修建截洪沟</w:t>
            </w:r>
            <w:r>
              <w:rPr>
                <w:rFonts w:hint="eastAsia"/>
                <w:color w:val="auto"/>
                <w:sz w:val="24"/>
                <w:lang w:eastAsia="zh-CN"/>
              </w:rPr>
              <w:t>、</w:t>
            </w:r>
            <w:r>
              <w:rPr>
                <w:rFonts w:hint="eastAsia"/>
                <w:color w:val="auto"/>
                <w:sz w:val="24"/>
              </w:rPr>
              <w:t>排水沟</w:t>
            </w:r>
            <w:r>
              <w:rPr>
                <w:rFonts w:hint="eastAsia"/>
                <w:color w:val="auto"/>
                <w:sz w:val="24"/>
                <w:lang w:eastAsia="zh-CN"/>
              </w:rPr>
              <w:t>，</w:t>
            </w:r>
            <w:r>
              <w:rPr>
                <w:rFonts w:hint="eastAsia"/>
                <w:color w:val="auto"/>
                <w:sz w:val="24"/>
              </w:rPr>
              <w:t>防止水土流失。</w:t>
            </w:r>
          </w:p>
          <w:p w14:paraId="1D01E947">
            <w:pPr>
              <w:spacing w:line="360" w:lineRule="auto"/>
              <w:ind w:firstLine="480" w:firstLineChars="200"/>
              <w:rPr>
                <w:color w:val="auto"/>
                <w:sz w:val="24"/>
              </w:rPr>
            </w:pPr>
            <w:r>
              <w:rPr>
                <w:rFonts w:hint="eastAsia"/>
                <w:color w:val="auto"/>
                <w:sz w:val="24"/>
              </w:rPr>
              <w:t>（3）矿山道路</w:t>
            </w:r>
          </w:p>
          <w:p w14:paraId="6D5F0329">
            <w:pPr>
              <w:spacing w:line="360" w:lineRule="auto"/>
              <w:ind w:firstLine="480" w:firstLineChars="200"/>
              <w:rPr>
                <w:color w:val="auto"/>
                <w:sz w:val="24"/>
              </w:rPr>
            </w:pPr>
            <w:r>
              <w:rPr>
                <w:rFonts w:hint="eastAsia"/>
                <w:color w:val="auto"/>
                <w:sz w:val="24"/>
              </w:rPr>
              <w:t>矿山道路依据地形布设，运输道路路基宽6m，路面4m，道路最大纵坡8%，最小转弯半径15m。设计矿山道路全长1000m，占地面积6000m</w:t>
            </w:r>
            <w:r>
              <w:rPr>
                <w:rFonts w:hint="eastAsia"/>
                <w:color w:val="auto"/>
                <w:sz w:val="24"/>
                <w:vertAlign w:val="superscript"/>
              </w:rPr>
              <w:t>2</w:t>
            </w:r>
            <w:r>
              <w:rPr>
                <w:rFonts w:hint="eastAsia"/>
                <w:color w:val="auto"/>
                <w:sz w:val="24"/>
              </w:rPr>
              <w:t>。矿山道路依平原地形修建，无需切坡工程，运输道路按矿山三级道路标准修建。</w:t>
            </w:r>
          </w:p>
          <w:p w14:paraId="710928D6">
            <w:pPr>
              <w:spacing w:line="360" w:lineRule="auto"/>
              <w:ind w:firstLine="480" w:firstLineChars="200"/>
              <w:rPr>
                <w:color w:val="auto"/>
                <w:sz w:val="24"/>
              </w:rPr>
            </w:pPr>
            <w:r>
              <w:rPr>
                <w:rFonts w:hint="eastAsia"/>
                <w:color w:val="auto"/>
                <w:sz w:val="24"/>
              </w:rPr>
              <w:t>矿区平面布置较简单，表土堆场位于采矿场区范围内，本项目的平面布置是根据采矿工艺及其物料走向，结合区域地形特征等因素，进行矿区总平面布置设计；该总平面布置充分利用了地形地势，缩短简化了矿石运输过程，从而便于节约能耗、节省运营费用。因此，本项目平面布置基本合理。</w:t>
            </w:r>
          </w:p>
          <w:p w14:paraId="07709E25">
            <w:pPr>
              <w:spacing w:line="360" w:lineRule="auto"/>
              <w:ind w:firstLine="480" w:firstLineChars="200"/>
              <w:rPr>
                <w:color w:val="auto"/>
                <w:sz w:val="24"/>
              </w:rPr>
            </w:pPr>
            <w:r>
              <w:rPr>
                <w:rFonts w:hint="eastAsia"/>
                <w:color w:val="auto"/>
                <w:sz w:val="24"/>
              </w:rPr>
              <w:t>本项目平面布置图见图2-3。</w:t>
            </w:r>
          </w:p>
        </w:tc>
      </w:tr>
      <w:tr w14:paraId="48A30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710" w:type="dxa"/>
            <w:vAlign w:val="center"/>
          </w:tcPr>
          <w:p w14:paraId="03DD1FA2">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施工方案</w:t>
            </w:r>
          </w:p>
        </w:tc>
        <w:tc>
          <w:tcPr>
            <w:tcW w:w="8380" w:type="dxa"/>
            <w:vAlign w:val="center"/>
          </w:tcPr>
          <w:p w14:paraId="55134292">
            <w:pPr>
              <w:spacing w:line="360" w:lineRule="auto"/>
              <w:rPr>
                <w:b/>
                <w:bCs/>
                <w:color w:val="auto"/>
                <w:sz w:val="24"/>
              </w:rPr>
            </w:pPr>
            <w:r>
              <w:rPr>
                <w:rFonts w:hint="eastAsia"/>
                <w:b/>
                <w:bCs/>
                <w:color w:val="auto"/>
                <w:sz w:val="24"/>
              </w:rPr>
              <w:t>1、施工工艺</w:t>
            </w:r>
          </w:p>
          <w:p w14:paraId="5EEDC822">
            <w:pPr>
              <w:spacing w:line="360" w:lineRule="auto"/>
              <w:ind w:firstLine="480" w:firstLineChars="200"/>
              <w:rPr>
                <w:color w:val="auto"/>
                <w:sz w:val="24"/>
              </w:rPr>
            </w:pPr>
            <w:r>
              <w:rPr>
                <w:rFonts w:hint="eastAsia"/>
                <w:color w:val="auto"/>
                <w:sz w:val="24"/>
              </w:rPr>
              <w:t>施工</w:t>
            </w:r>
            <w:r>
              <w:rPr>
                <w:color w:val="auto"/>
                <w:sz w:val="24"/>
              </w:rPr>
              <w:t>期：本项目施工期主要</w:t>
            </w:r>
            <w:r>
              <w:rPr>
                <w:rFonts w:hint="eastAsia"/>
                <w:color w:val="auto"/>
                <w:sz w:val="24"/>
              </w:rPr>
              <w:t>施工时序</w:t>
            </w:r>
            <w:r>
              <w:rPr>
                <w:color w:val="auto"/>
                <w:sz w:val="24"/>
              </w:rPr>
              <w:t>为平整场地、铺设简易砂石道路。</w:t>
            </w:r>
          </w:p>
          <w:p w14:paraId="6323AC2C">
            <w:pPr>
              <w:spacing w:line="360" w:lineRule="auto"/>
              <w:rPr>
                <w:b/>
                <w:bCs/>
                <w:color w:val="auto"/>
                <w:sz w:val="24"/>
              </w:rPr>
            </w:pPr>
            <w:r>
              <w:rPr>
                <w:rFonts w:hint="eastAsia"/>
                <w:b/>
                <w:bCs/>
                <w:color w:val="auto"/>
                <w:sz w:val="24"/>
              </w:rPr>
              <w:t>2、施工时序</w:t>
            </w:r>
          </w:p>
          <w:p w14:paraId="6A90FC6F">
            <w:pPr>
              <w:spacing w:line="360" w:lineRule="auto"/>
              <w:ind w:firstLine="480" w:firstLineChars="200"/>
              <w:rPr>
                <w:color w:val="auto"/>
                <w:sz w:val="24"/>
              </w:rPr>
            </w:pPr>
            <w:r>
              <w:rPr>
                <w:rFonts w:hint="eastAsia"/>
                <w:color w:val="auto"/>
                <w:sz w:val="24"/>
              </w:rPr>
              <w:t>本项目建设内容相对简单，主要施工时序为：</w:t>
            </w:r>
          </w:p>
          <w:p w14:paraId="5731101B">
            <w:pPr>
              <w:numPr>
                <w:ilvl w:val="0"/>
                <w:numId w:val="7"/>
              </w:numPr>
              <w:spacing w:line="360" w:lineRule="auto"/>
              <w:ind w:firstLine="480" w:firstLineChars="200"/>
              <w:rPr>
                <w:color w:val="auto"/>
                <w:sz w:val="24"/>
              </w:rPr>
            </w:pPr>
            <w:r>
              <w:rPr>
                <w:rFonts w:hint="eastAsia"/>
                <w:color w:val="auto"/>
                <w:sz w:val="24"/>
              </w:rPr>
              <w:t>本项目与外部连接处需建设运输道路，为砂石路面，矿区外部道路依托外部运输道路。</w:t>
            </w:r>
          </w:p>
          <w:p w14:paraId="1043B739">
            <w:pPr>
              <w:spacing w:line="360" w:lineRule="auto"/>
              <w:ind w:firstLine="480" w:firstLineChars="200"/>
              <w:rPr>
                <w:color w:val="auto"/>
                <w:sz w:val="24"/>
              </w:rPr>
            </w:pPr>
            <w:r>
              <w:rPr>
                <w:rFonts w:hint="eastAsia"/>
                <w:color w:val="auto"/>
                <w:sz w:val="24"/>
              </w:rPr>
              <w:t>（2）场地平整：对采矿区土地表面进行平整，采矿区需进行表土层剥离及表土堆场建设。</w:t>
            </w:r>
          </w:p>
          <w:p w14:paraId="68BA69E9">
            <w:pPr>
              <w:spacing w:line="360" w:lineRule="auto"/>
              <w:rPr>
                <w:b/>
                <w:bCs/>
                <w:color w:val="auto"/>
                <w:sz w:val="24"/>
              </w:rPr>
            </w:pPr>
            <w:r>
              <w:rPr>
                <w:rFonts w:hint="eastAsia"/>
                <w:b/>
                <w:bCs/>
                <w:color w:val="auto"/>
                <w:sz w:val="24"/>
              </w:rPr>
              <w:t>3、建设周期</w:t>
            </w:r>
          </w:p>
          <w:p w14:paraId="527E0C1A">
            <w:pPr>
              <w:spacing w:line="360" w:lineRule="auto"/>
              <w:ind w:firstLine="480" w:firstLineChars="200"/>
              <w:rPr>
                <w:rFonts w:hint="eastAsia" w:ascii="宋体" w:hAnsi="宋体" w:cs="宋体"/>
                <w:color w:val="auto"/>
                <w:kern w:val="0"/>
                <w:szCs w:val="21"/>
              </w:rPr>
            </w:pPr>
            <w:r>
              <w:rPr>
                <w:rFonts w:hint="eastAsia"/>
                <w:color w:val="auto"/>
                <w:sz w:val="24"/>
              </w:rPr>
              <w:t>施工建设周期为30天。</w:t>
            </w:r>
          </w:p>
        </w:tc>
      </w:tr>
      <w:tr w14:paraId="2A44F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710" w:type="dxa"/>
            <w:vAlign w:val="center"/>
          </w:tcPr>
          <w:p w14:paraId="32A884B9">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其他</w:t>
            </w:r>
          </w:p>
        </w:tc>
        <w:tc>
          <w:tcPr>
            <w:tcW w:w="8380" w:type="dxa"/>
            <w:vAlign w:val="center"/>
          </w:tcPr>
          <w:p w14:paraId="05F868B4">
            <w:pPr>
              <w:adjustRightInd w:val="0"/>
              <w:snapToGrid w:val="0"/>
              <w:jc w:val="center"/>
              <w:rPr>
                <w:rFonts w:hint="eastAsia" w:ascii="宋体" w:hAnsi="宋体" w:cs="宋体"/>
                <w:color w:val="auto"/>
                <w:kern w:val="0"/>
                <w:szCs w:val="21"/>
              </w:rPr>
            </w:pPr>
          </w:p>
          <w:p w14:paraId="25D57D69">
            <w:pPr>
              <w:adjustRightInd w:val="0"/>
              <w:snapToGrid w:val="0"/>
              <w:jc w:val="center"/>
              <w:rPr>
                <w:rFonts w:hint="eastAsia" w:ascii="宋体" w:hAnsi="宋体" w:cs="宋体"/>
                <w:color w:val="auto"/>
                <w:kern w:val="0"/>
                <w:szCs w:val="21"/>
              </w:rPr>
            </w:pPr>
          </w:p>
          <w:p w14:paraId="0A38EB95">
            <w:pPr>
              <w:adjustRightInd w:val="0"/>
              <w:snapToGrid w:val="0"/>
              <w:jc w:val="center"/>
              <w:rPr>
                <w:rFonts w:hint="eastAsia" w:ascii="宋体" w:hAnsi="宋体" w:cs="宋体"/>
                <w:color w:val="auto"/>
                <w:kern w:val="0"/>
                <w:szCs w:val="21"/>
              </w:rPr>
            </w:pPr>
          </w:p>
          <w:p w14:paraId="44B25CB7">
            <w:pPr>
              <w:adjustRightInd w:val="0"/>
              <w:snapToGrid w:val="0"/>
              <w:jc w:val="center"/>
              <w:rPr>
                <w:rFonts w:hint="eastAsia" w:ascii="宋体" w:hAnsi="宋体" w:cs="宋体"/>
                <w:color w:val="auto"/>
                <w:kern w:val="0"/>
                <w:szCs w:val="21"/>
              </w:rPr>
            </w:pPr>
          </w:p>
          <w:p w14:paraId="099BAB0E">
            <w:pPr>
              <w:pStyle w:val="38"/>
              <w:rPr>
                <w:rFonts w:hint="eastAsia"/>
                <w:color w:val="auto"/>
              </w:rPr>
            </w:pPr>
          </w:p>
          <w:p w14:paraId="33FDF202">
            <w:pPr>
              <w:pStyle w:val="38"/>
              <w:rPr>
                <w:rFonts w:hint="eastAsia"/>
                <w:color w:val="auto"/>
              </w:rPr>
            </w:pPr>
          </w:p>
          <w:p w14:paraId="3039F9DD">
            <w:pPr>
              <w:pStyle w:val="38"/>
              <w:rPr>
                <w:rFonts w:hint="eastAsia"/>
                <w:color w:val="auto"/>
              </w:rPr>
            </w:pPr>
          </w:p>
          <w:p w14:paraId="3B336389">
            <w:pPr>
              <w:pStyle w:val="38"/>
              <w:rPr>
                <w:rFonts w:hint="eastAsia"/>
                <w:color w:val="auto"/>
              </w:rPr>
            </w:pPr>
          </w:p>
          <w:p w14:paraId="3D7E46DA">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无</w:t>
            </w:r>
          </w:p>
          <w:p w14:paraId="3070E8FF">
            <w:pPr>
              <w:pStyle w:val="38"/>
              <w:rPr>
                <w:rFonts w:hint="eastAsia"/>
                <w:color w:val="auto"/>
              </w:rPr>
            </w:pPr>
          </w:p>
          <w:p w14:paraId="2DEED2B1">
            <w:pPr>
              <w:pStyle w:val="38"/>
              <w:rPr>
                <w:rFonts w:hint="eastAsia"/>
                <w:color w:val="auto"/>
              </w:rPr>
            </w:pPr>
          </w:p>
        </w:tc>
      </w:tr>
    </w:tbl>
    <w:p w14:paraId="326ECFA2">
      <w:pPr>
        <w:pStyle w:val="25"/>
        <w:jc w:val="center"/>
        <w:rPr>
          <w:rFonts w:hint="eastAsia" w:ascii="黑体" w:hAnsi="黑体" w:eastAsia="黑体"/>
          <w:snapToGrid w:val="0"/>
          <w:color w:val="auto"/>
          <w:sz w:val="30"/>
          <w:szCs w:val="30"/>
        </w:rPr>
      </w:pPr>
    </w:p>
    <w:p w14:paraId="602037D1">
      <w:pPr>
        <w:pStyle w:val="25"/>
        <w:jc w:val="center"/>
        <w:outlineLvl w:val="0"/>
        <w:rPr>
          <w:rFonts w:hint="eastAsia" w:ascii="黑体" w:hAnsi="黑体" w:eastAsia="黑体"/>
          <w:snapToGrid w:val="0"/>
          <w:color w:val="auto"/>
          <w:sz w:val="30"/>
          <w:szCs w:val="30"/>
        </w:rPr>
      </w:pPr>
      <w:bookmarkStart w:id="12" w:name="_Toc18583"/>
      <w:r>
        <w:rPr>
          <w:rFonts w:hint="eastAsia" w:ascii="黑体" w:hAnsi="黑体" w:eastAsia="黑体"/>
          <w:snapToGrid w:val="0"/>
          <w:color w:val="auto"/>
          <w:sz w:val="30"/>
          <w:szCs w:val="30"/>
        </w:rPr>
        <w:t>三、生态环境现状、保护目标及评价标准</w:t>
      </w:r>
      <w:bookmarkEnd w:id="12"/>
    </w:p>
    <w:tbl>
      <w:tblPr>
        <w:tblStyle w:val="28"/>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253"/>
      </w:tblGrid>
      <w:tr w14:paraId="6548F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2" w:hRule="atLeast"/>
          <w:jc w:val="center"/>
        </w:trPr>
        <w:tc>
          <w:tcPr>
            <w:tcW w:w="904" w:type="dxa"/>
            <w:vAlign w:val="center"/>
          </w:tcPr>
          <w:p w14:paraId="4F0A2F15">
            <w:pPr>
              <w:adjustRightInd w:val="0"/>
              <w:snapToGrid w:val="0"/>
              <w:jc w:val="center"/>
              <w:rPr>
                <w:rFonts w:hint="eastAsia" w:ascii="宋体" w:hAnsi="宋体" w:cs="宋体"/>
                <w:color w:val="auto"/>
                <w:kern w:val="0"/>
                <w:szCs w:val="21"/>
              </w:rPr>
            </w:pPr>
            <w:r>
              <w:rPr>
                <w:rFonts w:hint="eastAsia" w:ascii="宋体" w:hAnsi="宋体" w:cs="宋体"/>
                <w:color w:val="auto"/>
                <w:kern w:val="0"/>
                <w:sz w:val="24"/>
              </w:rPr>
              <w:t>生态环境现状</w:t>
            </w:r>
          </w:p>
        </w:tc>
        <w:tc>
          <w:tcPr>
            <w:tcW w:w="8253" w:type="dxa"/>
            <w:vAlign w:val="center"/>
          </w:tcPr>
          <w:p w14:paraId="54BD1085">
            <w:pPr>
              <w:adjustRightInd w:val="0"/>
              <w:snapToGrid w:val="0"/>
              <w:spacing w:line="360" w:lineRule="auto"/>
              <w:rPr>
                <w:b/>
                <w:bCs/>
                <w:color w:val="auto"/>
                <w:kern w:val="0"/>
                <w:sz w:val="24"/>
              </w:rPr>
            </w:pPr>
            <w:r>
              <w:rPr>
                <w:rFonts w:hint="eastAsia"/>
                <w:b/>
                <w:bCs/>
                <w:snapToGrid w:val="0"/>
                <w:color w:val="auto"/>
                <w:kern w:val="0"/>
                <w:sz w:val="24"/>
              </w:rPr>
              <w:t>1、</w:t>
            </w:r>
            <w:r>
              <w:rPr>
                <w:b/>
                <w:bCs/>
                <w:color w:val="auto"/>
                <w:kern w:val="0"/>
                <w:sz w:val="24"/>
              </w:rPr>
              <w:t>生态环境现状</w:t>
            </w:r>
          </w:p>
          <w:p w14:paraId="742F9AA0">
            <w:pPr>
              <w:adjustRightInd w:val="0"/>
              <w:snapToGrid w:val="0"/>
              <w:spacing w:line="360" w:lineRule="auto"/>
              <w:ind w:firstLine="480" w:firstLineChars="200"/>
              <w:rPr>
                <w:snapToGrid w:val="0"/>
                <w:color w:val="auto"/>
                <w:kern w:val="0"/>
                <w:sz w:val="24"/>
              </w:rPr>
            </w:pPr>
            <w:r>
              <w:rPr>
                <w:snapToGrid w:val="0"/>
                <w:color w:val="auto"/>
                <w:kern w:val="0"/>
                <w:sz w:val="24"/>
              </w:rPr>
              <w:t>（1）主体功能区规划情况</w:t>
            </w:r>
          </w:p>
          <w:p w14:paraId="4594B4A9">
            <w:pPr>
              <w:pStyle w:val="99"/>
              <w:pageBreakBefore w:val="0"/>
              <w:kinsoku/>
              <w:wordWrap/>
              <w:bidi w:val="0"/>
              <w:adjustRightInd/>
              <w:snapToGrid/>
              <w:spacing w:line="360" w:lineRule="auto"/>
              <w:ind w:firstLine="480"/>
              <w:outlineLvl w:val="9"/>
              <w:rPr>
                <w:rFonts w:ascii="Times New Roman" w:hAnsi="Times New Roman" w:eastAsia="宋体"/>
                <w:color w:val="auto"/>
              </w:rPr>
            </w:pPr>
            <w:r>
              <w:rPr>
                <w:rFonts w:ascii="Times New Roman" w:hAnsi="Times New Roman" w:eastAsia="宋体"/>
                <w:color w:val="auto"/>
              </w:rPr>
              <w:t>根据主体功能区开发的理念，结合新疆独特的自然地理状况和新时期发展的需要，本规划将新疆国土空间划分为重点开发、限制开发和禁止开发区域；按开发内容，分为城市化地区、农产品主产区和重点生态功能区；按层级，包括国家</w:t>
            </w:r>
            <w:r>
              <w:rPr>
                <w:rFonts w:hint="eastAsia" w:ascii="Times New Roman" w:hAnsi="Times New Roman" w:eastAsia="宋体"/>
                <w:color w:val="auto"/>
              </w:rPr>
              <w:t>、</w:t>
            </w:r>
            <w:r>
              <w:rPr>
                <w:rFonts w:ascii="Times New Roman" w:hAnsi="Times New Roman" w:eastAsia="宋体"/>
                <w:color w:val="auto"/>
              </w:rPr>
              <w:t>自治区两个层面。</w:t>
            </w:r>
          </w:p>
          <w:p w14:paraId="7E137C1A">
            <w:pPr>
              <w:pageBreakBefore w:val="0"/>
              <w:kinsoku/>
              <w:wordWrap/>
              <w:autoSpaceDE w:val="0"/>
              <w:autoSpaceDN w:val="0"/>
              <w:bidi w:val="0"/>
              <w:adjustRightInd/>
              <w:snapToGrid/>
              <w:spacing w:line="360" w:lineRule="auto"/>
              <w:ind w:firstLine="480" w:firstLineChars="200"/>
              <w:outlineLvl w:val="9"/>
              <w:rPr>
                <w:rFonts w:hint="eastAsia" w:ascii="Times New Roman" w:hAnsi="Times New Roman" w:eastAsia="宋体"/>
                <w:color w:val="auto"/>
                <w:sz w:val="24"/>
              </w:rPr>
            </w:pPr>
            <w:r>
              <w:rPr>
                <w:rFonts w:ascii="Times New Roman" w:hAnsi="Times New Roman" w:eastAsia="宋体"/>
                <w:color w:val="auto"/>
                <w:sz w:val="24"/>
              </w:rPr>
              <w:t>项目所在区域属于《新疆维吾尔自治区主体功能区规划》</w:t>
            </w:r>
            <w:r>
              <w:rPr>
                <w:rFonts w:hint="eastAsia" w:ascii="Times New Roman" w:hAnsi="Times New Roman" w:eastAsia="宋体"/>
                <w:color w:val="auto"/>
                <w:sz w:val="24"/>
              </w:rPr>
              <w:t>中</w:t>
            </w:r>
            <w:r>
              <w:rPr>
                <w:rFonts w:hint="eastAsia" w:ascii="Times New Roman" w:hAnsi="Times New Roman" w:eastAsia="宋体"/>
                <w:color w:val="auto"/>
                <w:sz w:val="24"/>
                <w:lang w:val="en-US" w:eastAsia="zh-CN"/>
              </w:rPr>
              <w:t>国家</w:t>
            </w:r>
            <w:r>
              <w:rPr>
                <w:rFonts w:hint="eastAsia" w:ascii="Times New Roman" w:hAnsi="Times New Roman" w:eastAsia="宋体"/>
                <w:color w:val="auto"/>
                <w:sz w:val="24"/>
              </w:rPr>
              <w:t>级</w:t>
            </w:r>
            <w:r>
              <w:rPr>
                <w:rFonts w:hint="eastAsia" w:ascii="Times New Roman" w:hAnsi="Times New Roman" w:eastAsia="宋体"/>
                <w:color w:val="auto"/>
                <w:sz w:val="24"/>
                <w:lang w:val="en-US" w:eastAsia="zh-CN"/>
              </w:rPr>
              <w:t>农产品主产区天山北坡主产</w:t>
            </w:r>
            <w:r>
              <w:rPr>
                <w:rFonts w:ascii="Times New Roman" w:hAnsi="Times New Roman" w:eastAsia="宋体"/>
                <w:color w:val="auto"/>
                <w:sz w:val="24"/>
              </w:rPr>
              <w:t>区——</w:t>
            </w:r>
            <w:r>
              <w:rPr>
                <w:rFonts w:hint="eastAsia" w:ascii="Times New Roman" w:hAnsi="Times New Roman" w:eastAsia="宋体"/>
                <w:color w:val="auto"/>
                <w:sz w:val="24"/>
                <w:lang w:val="en-US" w:eastAsia="zh-CN"/>
              </w:rPr>
              <w:t>奇台</w:t>
            </w:r>
            <w:r>
              <w:rPr>
                <w:rFonts w:ascii="Times New Roman" w:hAnsi="Times New Roman" w:eastAsia="宋体"/>
                <w:color w:val="auto"/>
                <w:sz w:val="24"/>
              </w:rPr>
              <w:t>县</w:t>
            </w:r>
            <w:r>
              <w:rPr>
                <w:rFonts w:hint="eastAsia" w:ascii="Times New Roman" w:hAnsi="Times New Roman" w:eastAsia="宋体"/>
                <w:color w:val="auto"/>
                <w:sz w:val="24"/>
                <w:lang w:eastAsia="zh-CN"/>
              </w:rPr>
              <w:t>：</w:t>
            </w:r>
            <w:r>
              <w:rPr>
                <w:rFonts w:hint="eastAsia" w:ascii="Times New Roman" w:hAnsi="Times New Roman" w:eastAsia="宋体"/>
                <w:color w:val="auto"/>
                <w:sz w:val="24"/>
              </w:rPr>
              <w:t>保障农牧产品供给安全的重要区域，农牧民安居乐业的美好家园，社会主义新农村建设的示范区</w:t>
            </w:r>
            <w:r>
              <w:rPr>
                <w:rFonts w:hint="eastAsia" w:ascii="Times New Roman" w:hAnsi="Times New Roman" w:eastAsia="宋体"/>
                <w:color w:val="auto"/>
                <w:sz w:val="24"/>
                <w:lang w:eastAsia="zh-CN"/>
              </w:rPr>
              <w:t>；加强草原保护与建设，建立和完善草原保护制度，提高草原生产能力，转变草原畜牧业经营方式，强化草原监督管理和监测预警工作</w:t>
            </w:r>
            <w:r>
              <w:rPr>
                <w:rFonts w:hint="eastAsia" w:ascii="Times New Roman" w:hAnsi="Times New Roman" w:eastAsia="宋体"/>
                <w:color w:val="auto"/>
                <w:sz w:val="24"/>
              </w:rPr>
              <w:t>。</w:t>
            </w:r>
          </w:p>
          <w:p w14:paraId="55A3159B">
            <w:pPr>
              <w:adjustRightInd w:val="0"/>
              <w:snapToGrid w:val="0"/>
              <w:spacing w:line="360" w:lineRule="auto"/>
              <w:ind w:firstLine="480" w:firstLineChars="200"/>
              <w:rPr>
                <w:rFonts w:hint="eastAsia"/>
                <w:snapToGrid w:val="0"/>
                <w:color w:val="auto"/>
                <w:kern w:val="0"/>
                <w:sz w:val="24"/>
              </w:rPr>
            </w:pPr>
            <w:r>
              <w:rPr>
                <w:rFonts w:hint="eastAsia"/>
                <w:snapToGrid w:val="0"/>
                <w:color w:val="auto"/>
                <w:kern w:val="0"/>
                <w:sz w:val="24"/>
                <w:lang w:val="en-US" w:eastAsia="zh-CN"/>
              </w:rPr>
              <w:t>本</w:t>
            </w:r>
            <w:r>
              <w:rPr>
                <w:rFonts w:hint="eastAsia"/>
                <w:snapToGrid w:val="0"/>
                <w:color w:val="auto"/>
                <w:kern w:val="0"/>
                <w:sz w:val="24"/>
              </w:rPr>
              <w:t>项目为建筑用砂矿建设项目，</w:t>
            </w:r>
            <w:r>
              <w:rPr>
                <w:rFonts w:hint="eastAsia"/>
                <w:snapToGrid w:val="0"/>
                <w:color w:val="auto"/>
                <w:kern w:val="0"/>
                <w:sz w:val="24"/>
                <w:lang w:eastAsia="zh-CN"/>
              </w:rPr>
              <w:t>本次评价提出：项目</w:t>
            </w:r>
            <w:r>
              <w:rPr>
                <w:rFonts w:hint="eastAsia"/>
                <w:snapToGrid w:val="0"/>
                <w:color w:val="auto"/>
                <w:kern w:val="0"/>
                <w:sz w:val="24"/>
                <w:lang w:val="en-US" w:eastAsia="zh-CN"/>
              </w:rPr>
              <w:t>建筑用砂开采过程中</w:t>
            </w:r>
            <w:r>
              <w:rPr>
                <w:rFonts w:hint="eastAsia"/>
                <w:snapToGrid w:val="0"/>
                <w:color w:val="auto"/>
                <w:kern w:val="0"/>
                <w:sz w:val="24"/>
                <w:lang w:eastAsia="zh-CN"/>
              </w:rPr>
              <w:t>将尽可能减少对生态环境的扰动和破坏，同时加强对矿产开发区迹地的生态恢复，现阶段已编制有生态恢复方案，待项目闭矿后，严格按方案开展生态恢复工作。</w:t>
            </w:r>
            <w:r>
              <w:rPr>
                <w:rFonts w:hint="eastAsia"/>
                <w:snapToGrid w:val="0"/>
                <w:color w:val="auto"/>
                <w:kern w:val="0"/>
                <w:sz w:val="24"/>
                <w:lang w:val="en-US" w:eastAsia="zh-CN"/>
              </w:rPr>
              <w:t>本</w:t>
            </w:r>
            <w:r>
              <w:rPr>
                <w:rFonts w:hint="eastAsia"/>
                <w:snapToGrid w:val="0"/>
                <w:color w:val="auto"/>
                <w:kern w:val="0"/>
                <w:sz w:val="24"/>
              </w:rPr>
              <w:t>项目不属于大规模高度工业化城镇化开发，项目建成后为当地基础设施建设提供原料，矿区不涉及农产品主产区及重点生态功能区，本工程符合《新疆维吾尔自治区主体功能区规划》相关要求。</w:t>
            </w:r>
          </w:p>
          <w:p w14:paraId="4CD4223A">
            <w:pPr>
              <w:adjustRightInd w:val="0"/>
              <w:snapToGrid w:val="0"/>
              <w:spacing w:line="360" w:lineRule="auto"/>
              <w:ind w:firstLine="480" w:firstLineChars="200"/>
              <w:rPr>
                <w:snapToGrid w:val="0"/>
                <w:color w:val="auto"/>
                <w:kern w:val="0"/>
                <w:sz w:val="24"/>
              </w:rPr>
            </w:pPr>
            <w:r>
              <w:rPr>
                <w:rFonts w:hint="eastAsia"/>
                <w:snapToGrid w:val="0"/>
                <w:color w:val="auto"/>
                <w:kern w:val="0"/>
                <w:sz w:val="24"/>
              </w:rPr>
              <w:t>（2）</w:t>
            </w:r>
            <w:r>
              <w:rPr>
                <w:snapToGrid w:val="0"/>
                <w:color w:val="auto"/>
                <w:kern w:val="0"/>
                <w:sz w:val="24"/>
              </w:rPr>
              <w:t>生态功能区划</w:t>
            </w:r>
          </w:p>
          <w:p w14:paraId="0131E07E">
            <w:pPr>
              <w:adjustRightInd w:val="0"/>
              <w:snapToGrid w:val="0"/>
              <w:spacing w:line="360" w:lineRule="auto"/>
              <w:ind w:firstLine="480" w:firstLineChars="200"/>
              <w:rPr>
                <w:snapToGrid w:val="0"/>
                <w:color w:val="auto"/>
                <w:kern w:val="0"/>
                <w:sz w:val="24"/>
              </w:rPr>
            </w:pPr>
            <w:r>
              <w:rPr>
                <w:snapToGrid w:val="0"/>
                <w:color w:val="auto"/>
                <w:kern w:val="0"/>
                <w:sz w:val="24"/>
              </w:rPr>
              <w:t>根据《新疆生态功能区划》，全疆被分划分为5个生态区18个生态亚区，项目区属于Ⅱ 准噶尔盆地温性荒漠与绿洲农业生态区</w:t>
            </w:r>
            <w:r>
              <w:rPr>
                <w:rFonts w:hint="eastAsia"/>
                <w:snapToGrid w:val="0"/>
                <w:color w:val="auto"/>
                <w:kern w:val="0"/>
                <w:sz w:val="24"/>
              </w:rPr>
              <w:t>，</w:t>
            </w:r>
            <w:r>
              <w:rPr>
                <w:snapToGrid w:val="0"/>
                <w:color w:val="auto"/>
                <w:kern w:val="0"/>
                <w:sz w:val="24"/>
              </w:rPr>
              <w:t>Ⅱ5 准噶尔盆地南部荒漠绿洲农业生态亚区</w:t>
            </w:r>
            <w:r>
              <w:rPr>
                <w:rFonts w:hint="eastAsia"/>
                <w:snapToGrid w:val="0"/>
                <w:color w:val="auto"/>
                <w:kern w:val="0"/>
                <w:sz w:val="24"/>
              </w:rPr>
              <w:t>，</w:t>
            </w:r>
            <w:r>
              <w:rPr>
                <w:snapToGrid w:val="0"/>
                <w:color w:val="auto"/>
                <w:kern w:val="0"/>
                <w:sz w:val="24"/>
              </w:rPr>
              <w:t>28．阜康—木垒绿洲农业、荒漠草地保护生态功能区</w:t>
            </w:r>
            <w:r>
              <w:rPr>
                <w:rFonts w:hint="eastAsia"/>
                <w:snapToGrid w:val="0"/>
                <w:color w:val="auto"/>
                <w:kern w:val="0"/>
                <w:sz w:val="24"/>
              </w:rPr>
              <w:t>。</w:t>
            </w:r>
            <w:r>
              <w:rPr>
                <w:snapToGrid w:val="0"/>
                <w:color w:val="auto"/>
                <w:kern w:val="0"/>
                <w:sz w:val="24"/>
              </w:rPr>
              <w:t>本项目所在区域的生态功能区划见表</w:t>
            </w:r>
            <w:r>
              <w:rPr>
                <w:rFonts w:hint="eastAsia"/>
                <w:snapToGrid w:val="0"/>
                <w:color w:val="auto"/>
                <w:kern w:val="0"/>
                <w:sz w:val="24"/>
              </w:rPr>
              <w:t>3-1。</w:t>
            </w:r>
            <w:r>
              <w:rPr>
                <w:rFonts w:hint="eastAsia"/>
                <w:color w:val="auto"/>
                <w:sz w:val="24"/>
              </w:rPr>
              <w:t>本项目与新疆生态功能区划位置关系</w:t>
            </w:r>
            <w:r>
              <w:rPr>
                <w:color w:val="auto"/>
                <w:sz w:val="24"/>
              </w:rPr>
              <w:t>图</w:t>
            </w:r>
            <w:r>
              <w:rPr>
                <w:rFonts w:hint="eastAsia"/>
                <w:snapToGrid w:val="0"/>
                <w:color w:val="auto"/>
                <w:kern w:val="0"/>
                <w:sz w:val="24"/>
              </w:rPr>
              <w:t>见图3-2。</w:t>
            </w:r>
          </w:p>
          <w:p w14:paraId="717DF7F2">
            <w:pPr>
              <w:jc w:val="center"/>
              <w:rPr>
                <w:b/>
                <w:color w:val="auto"/>
                <w:kern w:val="0"/>
                <w:szCs w:val="21"/>
                <w:lang w:bidi="ar"/>
              </w:rPr>
            </w:pPr>
            <w:r>
              <w:rPr>
                <w:rFonts w:hint="eastAsia"/>
                <w:b/>
                <w:bCs/>
                <w:color w:val="auto"/>
                <w:kern w:val="44"/>
                <w:szCs w:val="20"/>
              </w:rPr>
              <w:t>表3-1    项目所在区域生态环境功能区划</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9"/>
              <w:gridCol w:w="5998"/>
            </w:tblGrid>
            <w:tr w14:paraId="1172F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089DE545">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生态区</w:t>
                  </w:r>
                </w:p>
              </w:tc>
              <w:tc>
                <w:tcPr>
                  <w:tcW w:w="5998" w:type="dxa"/>
                  <w:tcBorders>
                    <w:tl2br w:val="nil"/>
                    <w:tr2bl w:val="nil"/>
                  </w:tcBorders>
                  <w:vAlign w:val="center"/>
                </w:tcPr>
                <w:p w14:paraId="2C714BBA">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Ⅱ 准噶尔盆地温性荒漠与绿洲农业生态区</w:t>
                  </w:r>
                </w:p>
              </w:tc>
            </w:tr>
            <w:tr w14:paraId="4E508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02D04466">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生态亚区</w:t>
                  </w:r>
                </w:p>
              </w:tc>
              <w:tc>
                <w:tcPr>
                  <w:tcW w:w="5998" w:type="dxa"/>
                  <w:tcBorders>
                    <w:tl2br w:val="nil"/>
                    <w:tr2bl w:val="nil"/>
                  </w:tcBorders>
                  <w:vAlign w:val="center"/>
                </w:tcPr>
                <w:p w14:paraId="0ADCA91E">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Ⅱ5 准噶尔盆地南部荒漠绿洲农业生态亚区</w:t>
                  </w:r>
                </w:p>
              </w:tc>
            </w:tr>
            <w:tr w14:paraId="7EFAF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03ACB37A">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生态功能区</w:t>
                  </w:r>
                </w:p>
              </w:tc>
              <w:tc>
                <w:tcPr>
                  <w:tcW w:w="5998" w:type="dxa"/>
                  <w:tcBorders>
                    <w:tl2br w:val="nil"/>
                    <w:tr2bl w:val="nil"/>
                  </w:tcBorders>
                  <w:vAlign w:val="center"/>
                </w:tcPr>
                <w:p w14:paraId="136E0678">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28．阜康—木垒绿洲农业、荒漠草地保护生态功能区</w:t>
                  </w:r>
                </w:p>
              </w:tc>
            </w:tr>
            <w:tr w14:paraId="6493A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7CF39FAF">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主要生态服务功能</w:t>
                  </w:r>
                </w:p>
              </w:tc>
              <w:tc>
                <w:tcPr>
                  <w:tcW w:w="5998" w:type="dxa"/>
                  <w:tcBorders>
                    <w:tl2br w:val="nil"/>
                    <w:tr2bl w:val="nil"/>
                  </w:tcBorders>
                  <w:vAlign w:val="center"/>
                </w:tcPr>
                <w:p w14:paraId="294203AC">
                  <w:pPr>
                    <w:pStyle w:val="61"/>
                    <w:tabs>
                      <w:tab w:val="left" w:pos="2760"/>
                      <w:tab w:val="clear" w:pos="1845"/>
                    </w:tabs>
                    <w:adjustRightInd/>
                    <w:spacing w:line="280" w:lineRule="exact"/>
                    <w:rPr>
                      <w:rFonts w:ascii="Times New Roman" w:cs="Times New Roman"/>
                      <w:b w:val="0"/>
                      <w:color w:val="auto"/>
                      <w:sz w:val="21"/>
                      <w:szCs w:val="21"/>
                    </w:rPr>
                  </w:pPr>
                  <w:r>
                    <w:rPr>
                      <w:rFonts w:hint="eastAsia" w:ascii="Times New Roman" w:cs="Times New Roman"/>
                      <w:b w:val="0"/>
                      <w:color w:val="auto"/>
                      <w:sz w:val="21"/>
                      <w:szCs w:val="21"/>
                    </w:rPr>
                    <w:t>农牧业产品生产、人居环境、荒漠化控制</w:t>
                  </w:r>
                </w:p>
              </w:tc>
            </w:tr>
            <w:tr w14:paraId="65617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0F0CDDEF">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主要生态问题</w:t>
                  </w:r>
                </w:p>
              </w:tc>
              <w:tc>
                <w:tcPr>
                  <w:tcW w:w="5998" w:type="dxa"/>
                  <w:tcBorders>
                    <w:tl2br w:val="nil"/>
                    <w:tr2bl w:val="nil"/>
                  </w:tcBorders>
                  <w:vAlign w:val="center"/>
                </w:tcPr>
                <w:p w14:paraId="7BAAE007">
                  <w:pPr>
                    <w:pStyle w:val="61"/>
                    <w:tabs>
                      <w:tab w:val="left" w:pos="2760"/>
                      <w:tab w:val="clear" w:pos="1845"/>
                    </w:tabs>
                    <w:adjustRightInd/>
                    <w:spacing w:line="280" w:lineRule="exact"/>
                    <w:rPr>
                      <w:rFonts w:ascii="Times New Roman" w:cs="Times New Roman"/>
                      <w:b w:val="0"/>
                      <w:color w:val="auto"/>
                      <w:sz w:val="21"/>
                      <w:szCs w:val="21"/>
                    </w:rPr>
                  </w:pPr>
                  <w:r>
                    <w:rPr>
                      <w:rFonts w:hint="eastAsia" w:ascii="Times New Roman" w:cs="Times New Roman"/>
                      <w:b w:val="0"/>
                      <w:color w:val="auto"/>
                      <w:sz w:val="21"/>
                      <w:szCs w:val="21"/>
                    </w:rPr>
                    <w:t>地下水超采、荒漠植被退化、沙漠化威胁、局部土壤盐渍化、河流萎缩、滥开荒地</w:t>
                  </w:r>
                </w:p>
              </w:tc>
            </w:tr>
            <w:tr w14:paraId="50923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66B7FFFF">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主要保护目标</w:t>
                  </w:r>
                </w:p>
              </w:tc>
              <w:tc>
                <w:tcPr>
                  <w:tcW w:w="5998" w:type="dxa"/>
                  <w:tcBorders>
                    <w:tl2br w:val="nil"/>
                    <w:tr2bl w:val="nil"/>
                  </w:tcBorders>
                  <w:vAlign w:val="center"/>
                </w:tcPr>
                <w:p w14:paraId="3BE4B8CC">
                  <w:pPr>
                    <w:pStyle w:val="61"/>
                    <w:tabs>
                      <w:tab w:val="left" w:pos="2760"/>
                      <w:tab w:val="clear" w:pos="1845"/>
                    </w:tabs>
                    <w:adjustRightInd/>
                    <w:spacing w:line="280" w:lineRule="exact"/>
                    <w:rPr>
                      <w:rFonts w:ascii="Times New Roman" w:cs="Times New Roman"/>
                      <w:b w:val="0"/>
                      <w:color w:val="auto"/>
                      <w:sz w:val="21"/>
                      <w:szCs w:val="21"/>
                    </w:rPr>
                  </w:pPr>
                  <w:r>
                    <w:rPr>
                      <w:rFonts w:hint="eastAsia" w:ascii="Times New Roman" w:cs="Times New Roman"/>
                      <w:b w:val="0"/>
                      <w:color w:val="auto"/>
                      <w:sz w:val="21"/>
                      <w:szCs w:val="21"/>
                    </w:rPr>
                    <w:t>保护基本农田、保护荒漠植被、保护土壤环境质量</w:t>
                  </w:r>
                </w:p>
              </w:tc>
            </w:tr>
            <w:tr w14:paraId="7D1CA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1473E7E7">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主要保护措施</w:t>
                  </w:r>
                </w:p>
              </w:tc>
              <w:tc>
                <w:tcPr>
                  <w:tcW w:w="5998" w:type="dxa"/>
                  <w:tcBorders>
                    <w:tl2br w:val="nil"/>
                    <w:tr2bl w:val="nil"/>
                  </w:tcBorders>
                  <w:vAlign w:val="center"/>
                </w:tcPr>
                <w:p w14:paraId="3D944B61">
                  <w:pPr>
                    <w:pStyle w:val="61"/>
                    <w:tabs>
                      <w:tab w:val="left" w:pos="2760"/>
                      <w:tab w:val="clear" w:pos="1845"/>
                    </w:tabs>
                    <w:adjustRightInd/>
                    <w:spacing w:line="280" w:lineRule="exact"/>
                    <w:rPr>
                      <w:rFonts w:ascii="Times New Roman" w:cs="Times New Roman"/>
                      <w:b w:val="0"/>
                      <w:color w:val="auto"/>
                      <w:sz w:val="21"/>
                      <w:szCs w:val="21"/>
                    </w:rPr>
                  </w:pPr>
                  <w:r>
                    <w:rPr>
                      <w:rFonts w:hint="eastAsia" w:ascii="Times New Roman" w:cs="Times New Roman"/>
                      <w:b w:val="0"/>
                      <w:color w:val="auto"/>
                      <w:sz w:val="21"/>
                      <w:szCs w:val="21"/>
                    </w:rPr>
                    <w:t>节水灌溉、草场休牧、对坡耕地和沙化土地实施退耕还林（草），在水源无保障、植被稀少、生态脆弱地带禁止开荒、加强农田投入品的使用管理</w:t>
                  </w:r>
                </w:p>
              </w:tc>
            </w:tr>
            <w:tr w14:paraId="6F716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4F2C434F">
                  <w:pPr>
                    <w:pStyle w:val="61"/>
                    <w:tabs>
                      <w:tab w:val="left" w:pos="2760"/>
                      <w:tab w:val="clear" w:pos="1845"/>
                    </w:tabs>
                    <w:adjustRightInd/>
                    <w:spacing w:line="280" w:lineRule="exact"/>
                    <w:rPr>
                      <w:rFonts w:ascii="Times New Roman" w:cs="Times New Roman"/>
                      <w:b w:val="0"/>
                      <w:color w:val="auto"/>
                      <w:sz w:val="21"/>
                      <w:szCs w:val="21"/>
                    </w:rPr>
                  </w:pPr>
                  <w:r>
                    <w:rPr>
                      <w:rFonts w:ascii="Times New Roman" w:cs="Times New Roman"/>
                      <w:b w:val="0"/>
                      <w:color w:val="auto"/>
                      <w:sz w:val="21"/>
                      <w:szCs w:val="21"/>
                    </w:rPr>
                    <w:t>主要发展方向</w:t>
                  </w:r>
                </w:p>
              </w:tc>
              <w:tc>
                <w:tcPr>
                  <w:tcW w:w="5998" w:type="dxa"/>
                  <w:tcBorders>
                    <w:tl2br w:val="nil"/>
                    <w:tr2bl w:val="nil"/>
                  </w:tcBorders>
                  <w:vAlign w:val="center"/>
                </w:tcPr>
                <w:p w14:paraId="701EFA33">
                  <w:pPr>
                    <w:pStyle w:val="61"/>
                    <w:tabs>
                      <w:tab w:val="left" w:pos="2760"/>
                      <w:tab w:val="clear" w:pos="1845"/>
                    </w:tabs>
                    <w:adjustRightInd/>
                    <w:spacing w:line="280" w:lineRule="exact"/>
                    <w:rPr>
                      <w:rFonts w:ascii="Times New Roman" w:cs="Times New Roman"/>
                      <w:b w:val="0"/>
                      <w:color w:val="auto"/>
                      <w:sz w:val="21"/>
                      <w:szCs w:val="21"/>
                    </w:rPr>
                  </w:pPr>
                  <w:r>
                    <w:rPr>
                      <w:rFonts w:hint="eastAsia" w:ascii="Times New Roman" w:cs="Times New Roman"/>
                      <w:b w:val="0"/>
                      <w:color w:val="auto"/>
                      <w:sz w:val="21"/>
                      <w:szCs w:val="21"/>
                    </w:rPr>
                    <w:t>农牧结合，发展优质、高效特色农业和畜牧业</w:t>
                  </w:r>
                </w:p>
              </w:tc>
            </w:tr>
          </w:tbl>
          <w:p w14:paraId="6BC2B9AF">
            <w:pPr>
              <w:adjustRightInd w:val="0"/>
              <w:snapToGrid w:val="0"/>
              <w:spacing w:line="360" w:lineRule="auto"/>
              <w:rPr>
                <w:snapToGrid w:val="0"/>
                <w:color w:val="auto"/>
                <w:kern w:val="0"/>
                <w:sz w:val="24"/>
              </w:rPr>
            </w:pPr>
          </w:p>
          <w:p w14:paraId="285A6D48">
            <w:pPr>
              <w:adjustRightInd w:val="0"/>
              <w:snapToGrid w:val="0"/>
              <w:spacing w:line="360" w:lineRule="auto"/>
              <w:ind w:firstLine="480" w:firstLineChars="200"/>
              <w:rPr>
                <w:snapToGrid w:val="0"/>
                <w:color w:val="auto"/>
                <w:kern w:val="0"/>
                <w:sz w:val="24"/>
              </w:rPr>
            </w:pPr>
            <w:r>
              <w:rPr>
                <w:rFonts w:hint="eastAsia"/>
                <w:snapToGrid w:val="0"/>
                <w:color w:val="auto"/>
                <w:kern w:val="0"/>
                <w:sz w:val="24"/>
              </w:rPr>
              <w:t>（3）土地利用类型</w:t>
            </w:r>
          </w:p>
          <w:p w14:paraId="301F1CA1">
            <w:pPr>
              <w:adjustRightInd w:val="0"/>
              <w:snapToGrid w:val="0"/>
              <w:spacing w:line="360" w:lineRule="auto"/>
              <w:ind w:firstLine="480" w:firstLineChars="200"/>
              <w:rPr>
                <w:snapToGrid w:val="0"/>
                <w:color w:val="auto"/>
                <w:kern w:val="0"/>
                <w:sz w:val="24"/>
              </w:rPr>
            </w:pPr>
            <w:r>
              <w:rPr>
                <w:rFonts w:hint="eastAsia"/>
                <w:snapToGrid w:val="0"/>
                <w:color w:val="auto"/>
                <w:kern w:val="0"/>
                <w:sz w:val="24"/>
              </w:rPr>
              <w:t>该矿区位于新疆维吾尔自治区昌吉回族自治州奇台县三个庄子镇青年村，矿山未被开垦，土地利用类型为其他草地，详见图3-3土地利用现状图。</w:t>
            </w:r>
          </w:p>
          <w:p w14:paraId="349A0C2E">
            <w:pPr>
              <w:adjustRightInd w:val="0"/>
              <w:snapToGrid w:val="0"/>
              <w:spacing w:line="360" w:lineRule="auto"/>
              <w:ind w:left="420" w:leftChars="200"/>
              <w:rPr>
                <w:snapToGrid w:val="0"/>
                <w:color w:val="auto"/>
                <w:kern w:val="0"/>
                <w:sz w:val="24"/>
              </w:rPr>
            </w:pPr>
            <w:r>
              <w:rPr>
                <w:rFonts w:hint="eastAsia"/>
                <w:snapToGrid w:val="0"/>
                <w:color w:val="auto"/>
                <w:kern w:val="0"/>
                <w:sz w:val="24"/>
              </w:rPr>
              <w:t>（4）项目区植被现状</w:t>
            </w:r>
          </w:p>
          <w:p w14:paraId="56D3720E">
            <w:pPr>
              <w:adjustRightInd w:val="0"/>
              <w:snapToGrid w:val="0"/>
              <w:spacing w:line="360" w:lineRule="auto"/>
              <w:ind w:firstLine="480" w:firstLineChars="200"/>
              <w:rPr>
                <w:rFonts w:hint="eastAsia"/>
                <w:snapToGrid w:val="0"/>
                <w:color w:val="auto"/>
                <w:kern w:val="0"/>
                <w:sz w:val="24"/>
              </w:rPr>
            </w:pPr>
            <w:r>
              <w:rPr>
                <w:rFonts w:hint="eastAsia"/>
                <w:snapToGrid w:val="0"/>
                <w:color w:val="auto"/>
                <w:kern w:val="0"/>
                <w:sz w:val="24"/>
              </w:rPr>
              <w:t>根据奇台县林业和草原局（草原工作站）出具的《奇台县三个庄子镇CS07建筑用砂矿建设项目占用草场草原等级鉴定书》，本项目用地属于温性荒漠类草原，主要植物由粗枝猪毛菜、叉毛蓬</w:t>
            </w:r>
            <w:r>
              <w:rPr>
                <w:rFonts w:hint="eastAsia"/>
                <w:snapToGrid w:val="0"/>
                <w:color w:val="auto"/>
                <w:kern w:val="0"/>
                <w:sz w:val="24"/>
                <w:lang w:eastAsia="zh-CN"/>
              </w:rPr>
              <w:t>、</w:t>
            </w:r>
            <w:r>
              <w:rPr>
                <w:rFonts w:hint="eastAsia"/>
                <w:snapToGrid w:val="0"/>
                <w:color w:val="auto"/>
                <w:kern w:val="0"/>
                <w:sz w:val="24"/>
                <w:lang w:val="en-US" w:eastAsia="zh-CN"/>
              </w:rPr>
              <w:t>芨芨草</w:t>
            </w:r>
            <w:r>
              <w:rPr>
                <w:rFonts w:hint="eastAsia"/>
                <w:snapToGrid w:val="0"/>
                <w:color w:val="auto"/>
                <w:kern w:val="0"/>
                <w:sz w:val="24"/>
              </w:rPr>
              <w:t>等组成，生产力较低，按照草原资源调查分类系统确定为四等六级草场。矿区周边主要为人工种植梭梭。</w:t>
            </w:r>
          </w:p>
          <w:p w14:paraId="14D20353">
            <w:pPr>
              <w:adjustRightInd w:val="0"/>
              <w:snapToGrid w:val="0"/>
              <w:spacing w:line="360" w:lineRule="auto"/>
              <w:ind w:firstLine="480" w:firstLineChars="200"/>
              <w:rPr>
                <w:rFonts w:hint="default" w:eastAsia="宋体"/>
                <w:snapToGrid w:val="0"/>
                <w:color w:val="auto"/>
                <w:kern w:val="0"/>
                <w:sz w:val="24"/>
                <w:lang w:val="en-US" w:eastAsia="zh-CN"/>
              </w:rPr>
            </w:pPr>
            <w:r>
              <w:rPr>
                <w:rFonts w:hint="eastAsia"/>
                <w:snapToGrid w:val="0"/>
                <w:color w:val="auto"/>
                <w:kern w:val="0"/>
                <w:sz w:val="24"/>
                <w:lang w:val="en-US" w:eastAsia="zh-CN"/>
              </w:rPr>
              <w:t>项目所在区域植被类型见图3-4。</w:t>
            </w:r>
          </w:p>
          <w:p w14:paraId="5017934C">
            <w:pPr>
              <w:adjustRightInd w:val="0"/>
              <w:snapToGrid w:val="0"/>
              <w:spacing w:line="360" w:lineRule="auto"/>
              <w:ind w:firstLine="480" w:firstLineChars="200"/>
              <w:rPr>
                <w:rFonts w:hint="eastAsia"/>
                <w:snapToGrid w:val="0"/>
                <w:color w:val="auto"/>
                <w:kern w:val="0"/>
                <w:sz w:val="24"/>
              </w:rPr>
            </w:pPr>
            <w:r>
              <w:rPr>
                <w:rFonts w:hint="eastAsia"/>
                <w:snapToGrid w:val="0"/>
                <w:color w:val="auto"/>
                <w:kern w:val="0"/>
                <w:sz w:val="24"/>
              </w:rPr>
              <w:t>评价区属于</w:t>
            </w:r>
            <w:r>
              <w:rPr>
                <w:rFonts w:hint="eastAsia"/>
                <w:snapToGrid w:val="0"/>
                <w:color w:val="auto"/>
                <w:kern w:val="0"/>
                <w:sz w:val="24"/>
                <w:lang w:val="en-US" w:eastAsia="zh-CN"/>
              </w:rPr>
              <w:t>其他</w:t>
            </w:r>
            <w:r>
              <w:rPr>
                <w:rFonts w:hint="eastAsia"/>
                <w:snapToGrid w:val="0"/>
                <w:color w:val="auto"/>
                <w:kern w:val="0"/>
                <w:sz w:val="24"/>
              </w:rPr>
              <w:t>草地，</w:t>
            </w:r>
            <w:r>
              <w:rPr>
                <w:rFonts w:hint="eastAsia"/>
                <w:snapToGrid w:val="0"/>
                <w:color w:val="auto"/>
                <w:kern w:val="0"/>
                <w:sz w:val="24"/>
                <w:lang w:val="en-US" w:eastAsia="zh-CN"/>
              </w:rPr>
              <w:t>矿区</w:t>
            </w:r>
            <w:r>
              <w:rPr>
                <w:rFonts w:hint="eastAsia"/>
                <w:snapToGrid w:val="0"/>
                <w:color w:val="auto"/>
                <w:kern w:val="0"/>
                <w:sz w:val="24"/>
              </w:rPr>
              <w:t>现状植被较为稀疏，矿区主要植被有小粗枝猪毛菜、叉毛蓬</w:t>
            </w:r>
            <w:r>
              <w:rPr>
                <w:rFonts w:hint="eastAsia"/>
                <w:snapToGrid w:val="0"/>
                <w:color w:val="auto"/>
                <w:kern w:val="0"/>
                <w:sz w:val="24"/>
                <w:lang w:eastAsia="zh-CN"/>
              </w:rPr>
              <w:t>、</w:t>
            </w:r>
            <w:r>
              <w:rPr>
                <w:rFonts w:hint="eastAsia"/>
                <w:snapToGrid w:val="0"/>
                <w:color w:val="auto"/>
                <w:kern w:val="0"/>
                <w:sz w:val="24"/>
                <w:lang w:val="en-US" w:eastAsia="zh-CN"/>
              </w:rPr>
              <w:t>小</w:t>
            </w:r>
            <w:r>
              <w:rPr>
                <w:rFonts w:hint="eastAsia"/>
                <w:snapToGrid w:val="0"/>
                <w:color w:val="auto"/>
                <w:kern w:val="0"/>
                <w:sz w:val="24"/>
              </w:rPr>
              <w:t>蓬、角果蔾等植物，草高10~20cm，总覆盖度</w:t>
            </w:r>
            <w:r>
              <w:rPr>
                <w:rFonts w:hint="eastAsia"/>
                <w:snapToGrid w:val="0"/>
                <w:color w:val="auto"/>
                <w:kern w:val="0"/>
                <w:sz w:val="24"/>
                <w:lang w:val="en-US" w:eastAsia="zh-CN"/>
              </w:rPr>
              <w:t>3</w:t>
            </w:r>
            <w:r>
              <w:rPr>
                <w:rFonts w:hint="eastAsia"/>
                <w:snapToGrid w:val="0"/>
                <w:color w:val="auto"/>
                <w:kern w:val="0"/>
                <w:sz w:val="24"/>
              </w:rPr>
              <w:t>0%。产草量约为</w:t>
            </w:r>
            <w:r>
              <w:rPr>
                <w:rFonts w:hint="eastAsia"/>
                <w:snapToGrid w:val="0"/>
                <w:color w:val="auto"/>
                <w:kern w:val="0"/>
                <w:sz w:val="24"/>
                <w:lang w:val="en-US" w:eastAsia="zh-CN"/>
              </w:rPr>
              <w:t>25</w:t>
            </w:r>
            <w:r>
              <w:rPr>
                <w:rFonts w:hint="eastAsia"/>
                <w:snapToGrid w:val="0"/>
                <w:color w:val="auto"/>
                <w:kern w:val="0"/>
                <w:sz w:val="24"/>
              </w:rPr>
              <w:t>00kg/hm</w:t>
            </w:r>
            <w:r>
              <w:rPr>
                <w:rFonts w:hint="eastAsia"/>
                <w:snapToGrid w:val="0"/>
                <w:color w:val="auto"/>
                <w:kern w:val="0"/>
                <w:sz w:val="24"/>
                <w:vertAlign w:val="superscript"/>
              </w:rPr>
              <w:t>2</w:t>
            </w:r>
            <w:r>
              <w:rPr>
                <w:rFonts w:hint="eastAsia"/>
                <w:snapToGrid w:val="0"/>
                <w:color w:val="auto"/>
                <w:kern w:val="0"/>
                <w:sz w:val="24"/>
              </w:rPr>
              <w:t>，属于中水平，利用价值一般。</w:t>
            </w:r>
          </w:p>
          <w:p w14:paraId="45B831D0">
            <w:pPr>
              <w:adjustRightInd w:val="0"/>
              <w:snapToGrid w:val="0"/>
              <w:spacing w:line="360" w:lineRule="auto"/>
              <w:ind w:firstLine="480" w:firstLineChars="200"/>
              <w:rPr>
                <w:rFonts w:hint="eastAsia"/>
                <w:color w:val="auto"/>
                <w:sz w:val="24"/>
              </w:rPr>
            </w:pPr>
            <w:r>
              <w:rPr>
                <w:rFonts w:hint="eastAsia"/>
                <w:color w:val="auto"/>
                <w:sz w:val="24"/>
              </w:rPr>
              <w:t>根据《中国北方重点牧区草场资源调查大纲及技术规程》，以等和级来对</w:t>
            </w:r>
            <w:r>
              <w:rPr>
                <w:rFonts w:hint="eastAsia"/>
                <w:color w:val="auto"/>
                <w:sz w:val="24"/>
                <w:lang w:val="en-US" w:eastAsia="zh-CN"/>
              </w:rPr>
              <w:t>项目区</w:t>
            </w:r>
            <w:r>
              <w:rPr>
                <w:rFonts w:hint="eastAsia"/>
                <w:color w:val="auto"/>
                <w:sz w:val="24"/>
              </w:rPr>
              <w:t>进行等级的划分。</w:t>
            </w:r>
          </w:p>
          <w:p w14:paraId="6D317BCC">
            <w:pPr>
              <w:adjustRightInd w:val="0"/>
              <w:snapToGrid w:val="0"/>
              <w:spacing w:line="360" w:lineRule="auto"/>
              <w:ind w:firstLine="480" w:firstLineChars="200"/>
              <w:rPr>
                <w:rFonts w:hint="eastAsia"/>
                <w:color w:val="auto"/>
                <w:sz w:val="24"/>
              </w:rPr>
            </w:pPr>
            <w:r>
              <w:rPr>
                <w:rFonts w:hint="eastAsia"/>
                <w:color w:val="auto"/>
                <w:sz w:val="24"/>
              </w:rPr>
              <w:t>“等”表示草场草群品质的优劣，根据牧草适口性、利用程度、营养价值划为优、良、中、低、劣五类，再以它们在草群中所占的重量百分比作为分等的标准。故本区域草场等级为Ⅲ等四级。</w:t>
            </w:r>
          </w:p>
          <w:p w14:paraId="2A8185D0">
            <w:pPr>
              <w:adjustRightInd w:val="0"/>
              <w:snapToGrid w:val="0"/>
              <w:spacing w:line="360" w:lineRule="auto"/>
              <w:ind w:firstLine="480" w:firstLineChars="200"/>
              <w:rPr>
                <w:rFonts w:hint="eastAsia"/>
                <w:color w:val="auto"/>
                <w:sz w:val="24"/>
              </w:rPr>
            </w:pPr>
            <w:r>
              <w:rPr>
                <w:rFonts w:hint="eastAsia"/>
                <w:color w:val="auto"/>
                <w:sz w:val="24"/>
              </w:rPr>
              <w:t>第一等：优等牧草占 60%以上；</w:t>
            </w:r>
          </w:p>
          <w:p w14:paraId="6B4384EA">
            <w:pPr>
              <w:adjustRightInd w:val="0"/>
              <w:snapToGrid w:val="0"/>
              <w:spacing w:line="360" w:lineRule="auto"/>
              <w:ind w:firstLine="480" w:firstLineChars="200"/>
              <w:rPr>
                <w:rFonts w:hint="eastAsia"/>
                <w:color w:val="auto"/>
                <w:sz w:val="24"/>
              </w:rPr>
            </w:pPr>
            <w:r>
              <w:rPr>
                <w:rFonts w:hint="eastAsia"/>
                <w:color w:val="auto"/>
                <w:sz w:val="24"/>
              </w:rPr>
              <w:t>第二等：良等牧草占 60%以上；优等及中等占 40%；</w:t>
            </w:r>
          </w:p>
          <w:p w14:paraId="3D1AB1F1">
            <w:pPr>
              <w:adjustRightInd w:val="0"/>
              <w:snapToGrid w:val="0"/>
              <w:spacing w:line="360" w:lineRule="auto"/>
              <w:ind w:firstLine="480" w:firstLineChars="200"/>
              <w:rPr>
                <w:rFonts w:hint="eastAsia"/>
                <w:color w:val="auto"/>
                <w:sz w:val="24"/>
              </w:rPr>
            </w:pPr>
            <w:r>
              <w:rPr>
                <w:rFonts w:hint="eastAsia"/>
                <w:color w:val="auto"/>
                <w:sz w:val="24"/>
              </w:rPr>
              <w:t>第三等：中等牧草占 60%以上；良等及低等占 40%；</w:t>
            </w:r>
          </w:p>
          <w:p w14:paraId="0EF157BB">
            <w:pPr>
              <w:adjustRightInd w:val="0"/>
              <w:snapToGrid w:val="0"/>
              <w:spacing w:line="360" w:lineRule="auto"/>
              <w:ind w:firstLine="480" w:firstLineChars="200"/>
              <w:rPr>
                <w:rFonts w:hint="eastAsia"/>
                <w:color w:val="auto"/>
                <w:sz w:val="24"/>
              </w:rPr>
            </w:pPr>
            <w:r>
              <w:rPr>
                <w:rFonts w:hint="eastAsia"/>
                <w:color w:val="auto"/>
                <w:sz w:val="24"/>
              </w:rPr>
              <w:t>第四等：低等牧草占 60%以上；中等及劣等占 40%；</w:t>
            </w:r>
          </w:p>
          <w:p w14:paraId="172454BF">
            <w:pPr>
              <w:adjustRightInd w:val="0"/>
              <w:snapToGrid w:val="0"/>
              <w:spacing w:line="360" w:lineRule="auto"/>
              <w:ind w:firstLine="480" w:firstLineChars="200"/>
              <w:rPr>
                <w:rFonts w:hint="eastAsia"/>
                <w:color w:val="auto"/>
                <w:sz w:val="24"/>
              </w:rPr>
            </w:pPr>
            <w:r>
              <w:rPr>
                <w:rFonts w:hint="eastAsia"/>
                <w:color w:val="auto"/>
                <w:sz w:val="24"/>
              </w:rPr>
              <w:t>第五等：劣等牧草占 60%以上。</w:t>
            </w:r>
          </w:p>
          <w:p w14:paraId="13EFB210">
            <w:pPr>
              <w:adjustRightInd w:val="0"/>
              <w:snapToGrid w:val="0"/>
              <w:spacing w:line="360" w:lineRule="auto"/>
              <w:ind w:firstLine="480" w:firstLineChars="200"/>
              <w:rPr>
                <w:rFonts w:hint="eastAsia"/>
                <w:color w:val="auto"/>
                <w:sz w:val="24"/>
              </w:rPr>
            </w:pPr>
            <w:r>
              <w:rPr>
                <w:rFonts w:hint="eastAsia"/>
                <w:color w:val="auto"/>
                <w:sz w:val="24"/>
              </w:rPr>
              <w:t>“级”表示其他草地上部分鲜草生产量，可分为八级，见表</w:t>
            </w:r>
            <w:r>
              <w:rPr>
                <w:rFonts w:hint="eastAsia"/>
                <w:color w:val="auto"/>
                <w:sz w:val="24"/>
                <w:lang w:val="en-US" w:eastAsia="zh-CN"/>
              </w:rPr>
              <w:t>3-2</w:t>
            </w:r>
            <w:r>
              <w:rPr>
                <w:rFonts w:hint="eastAsia"/>
                <w:color w:val="auto"/>
                <w:sz w:val="24"/>
              </w:rPr>
              <w:t>。</w:t>
            </w:r>
          </w:p>
          <w:p w14:paraId="4B269F34">
            <w:pPr>
              <w:jc w:val="center"/>
              <w:rPr>
                <w:rFonts w:hint="eastAsia"/>
                <w:b/>
                <w:bCs/>
                <w:color w:val="auto"/>
                <w:kern w:val="44"/>
                <w:szCs w:val="20"/>
                <w:lang w:val="en-US" w:eastAsia="zh-CN"/>
              </w:rPr>
            </w:pPr>
            <w:r>
              <w:rPr>
                <w:rFonts w:hint="eastAsia"/>
                <w:b/>
                <w:bCs/>
                <w:color w:val="auto"/>
                <w:kern w:val="44"/>
                <w:szCs w:val="20"/>
                <w:lang w:val="en-US" w:eastAsia="zh-CN"/>
              </w:rPr>
              <w:t>表3-2    草场资源评价标准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037"/>
              <w:gridCol w:w="2037"/>
              <w:gridCol w:w="2037"/>
            </w:tblGrid>
            <w:tr w14:paraId="5064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14:paraId="6DD77635">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草场等级</w:t>
                  </w:r>
                </w:p>
              </w:tc>
              <w:tc>
                <w:tcPr>
                  <w:tcW w:w="2037" w:type="dxa"/>
                </w:tcPr>
                <w:p w14:paraId="62DD985A">
                  <w:pPr>
                    <w:jc w:val="center"/>
                    <w:rPr>
                      <w:rFonts w:hint="eastAsia"/>
                      <w:b w:val="0"/>
                      <w:bCs w:val="0"/>
                      <w:color w:val="auto"/>
                      <w:kern w:val="44"/>
                      <w:szCs w:val="20"/>
                      <w:vertAlign w:val="baseline"/>
                      <w:lang w:val="en-US" w:eastAsia="zh-CN"/>
                    </w:rPr>
                  </w:pPr>
                  <w:r>
                    <w:rPr>
                      <w:rFonts w:hint="eastAsia"/>
                      <w:b w:val="0"/>
                      <w:bCs w:val="0"/>
                      <w:color w:val="auto"/>
                      <w:kern w:val="44"/>
                      <w:szCs w:val="20"/>
                      <w:vertAlign w:val="baseline"/>
                      <w:lang w:val="en-US" w:eastAsia="zh-CN"/>
                    </w:rPr>
                    <w:t>鲜草产量，kg/hm</w:t>
                  </w:r>
                  <w:r>
                    <w:rPr>
                      <w:rFonts w:hint="eastAsia"/>
                      <w:b w:val="0"/>
                      <w:bCs w:val="0"/>
                      <w:color w:val="auto"/>
                      <w:kern w:val="44"/>
                      <w:szCs w:val="20"/>
                      <w:vertAlign w:val="superscript"/>
                      <w:lang w:val="en-US" w:eastAsia="zh-CN"/>
                    </w:rPr>
                    <w:t>2</w:t>
                  </w:r>
                </w:p>
              </w:tc>
              <w:tc>
                <w:tcPr>
                  <w:tcW w:w="2037" w:type="dxa"/>
                  <w:vAlign w:val="top"/>
                </w:tcPr>
                <w:p w14:paraId="4BBAC665">
                  <w:pPr>
                    <w:jc w:val="center"/>
                    <w:rPr>
                      <w:rFonts w:hint="eastAsia"/>
                      <w:b w:val="0"/>
                      <w:bCs w:val="0"/>
                      <w:color w:val="auto"/>
                      <w:kern w:val="44"/>
                      <w:szCs w:val="20"/>
                      <w:vertAlign w:val="baseline"/>
                      <w:lang w:val="en-US" w:eastAsia="zh-CN"/>
                    </w:rPr>
                  </w:pPr>
                  <w:r>
                    <w:rPr>
                      <w:rFonts w:hint="eastAsia"/>
                      <w:b w:val="0"/>
                      <w:bCs w:val="0"/>
                      <w:color w:val="auto"/>
                      <w:kern w:val="44"/>
                      <w:szCs w:val="20"/>
                      <w:vertAlign w:val="baseline"/>
                      <w:lang w:val="en-US" w:eastAsia="zh-CN"/>
                    </w:rPr>
                    <w:t>草场等级</w:t>
                  </w:r>
                </w:p>
              </w:tc>
              <w:tc>
                <w:tcPr>
                  <w:tcW w:w="2037" w:type="dxa"/>
                  <w:vAlign w:val="top"/>
                </w:tcPr>
                <w:p w14:paraId="31ADCA4C">
                  <w:pPr>
                    <w:jc w:val="center"/>
                    <w:rPr>
                      <w:rFonts w:hint="eastAsia"/>
                      <w:b w:val="0"/>
                      <w:bCs w:val="0"/>
                      <w:color w:val="auto"/>
                      <w:kern w:val="44"/>
                      <w:szCs w:val="20"/>
                      <w:vertAlign w:val="baseline"/>
                      <w:lang w:val="en-US" w:eastAsia="zh-CN"/>
                    </w:rPr>
                  </w:pPr>
                  <w:r>
                    <w:rPr>
                      <w:rFonts w:hint="eastAsia"/>
                      <w:b w:val="0"/>
                      <w:bCs w:val="0"/>
                      <w:color w:val="auto"/>
                      <w:kern w:val="44"/>
                      <w:szCs w:val="20"/>
                      <w:vertAlign w:val="baseline"/>
                      <w:lang w:val="en-US" w:eastAsia="zh-CN"/>
                    </w:rPr>
                    <w:t>鲜草产量，kg/hm</w:t>
                  </w:r>
                  <w:r>
                    <w:rPr>
                      <w:rFonts w:hint="eastAsia"/>
                      <w:b w:val="0"/>
                      <w:bCs w:val="0"/>
                      <w:color w:val="auto"/>
                      <w:kern w:val="44"/>
                      <w:szCs w:val="20"/>
                      <w:vertAlign w:val="superscript"/>
                      <w:lang w:val="en-US" w:eastAsia="zh-CN"/>
                    </w:rPr>
                    <w:t>2</w:t>
                  </w:r>
                </w:p>
              </w:tc>
            </w:tr>
            <w:tr w14:paraId="0667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14:paraId="73BDDA4E">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一级</w:t>
                  </w:r>
                </w:p>
              </w:tc>
              <w:tc>
                <w:tcPr>
                  <w:tcW w:w="2037" w:type="dxa"/>
                </w:tcPr>
                <w:p w14:paraId="01B54F9D">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12000以上</w:t>
                  </w:r>
                </w:p>
              </w:tc>
              <w:tc>
                <w:tcPr>
                  <w:tcW w:w="2037" w:type="dxa"/>
                </w:tcPr>
                <w:p w14:paraId="21657267">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五级</w:t>
                  </w:r>
                </w:p>
              </w:tc>
              <w:tc>
                <w:tcPr>
                  <w:tcW w:w="2037" w:type="dxa"/>
                </w:tcPr>
                <w:p w14:paraId="5090CAC2">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4500-3000以上</w:t>
                  </w:r>
                </w:p>
              </w:tc>
            </w:tr>
            <w:tr w14:paraId="09FB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14:paraId="5E928BC0">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二级</w:t>
                  </w:r>
                </w:p>
              </w:tc>
              <w:tc>
                <w:tcPr>
                  <w:tcW w:w="2037" w:type="dxa"/>
                </w:tcPr>
                <w:p w14:paraId="5FAF4FAE">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12000-9000以上</w:t>
                  </w:r>
                </w:p>
              </w:tc>
              <w:tc>
                <w:tcPr>
                  <w:tcW w:w="2037" w:type="dxa"/>
                </w:tcPr>
                <w:p w14:paraId="23E7E50F">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六级</w:t>
                  </w:r>
                </w:p>
              </w:tc>
              <w:tc>
                <w:tcPr>
                  <w:tcW w:w="2037" w:type="dxa"/>
                </w:tcPr>
                <w:p w14:paraId="1FD4A6C9">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3000-1500以上</w:t>
                  </w:r>
                </w:p>
              </w:tc>
            </w:tr>
            <w:tr w14:paraId="1226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14:paraId="01CFDFB5">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三级</w:t>
                  </w:r>
                </w:p>
              </w:tc>
              <w:tc>
                <w:tcPr>
                  <w:tcW w:w="2037" w:type="dxa"/>
                </w:tcPr>
                <w:p w14:paraId="0CB02C87">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9000-6000以上</w:t>
                  </w:r>
                </w:p>
              </w:tc>
              <w:tc>
                <w:tcPr>
                  <w:tcW w:w="2037" w:type="dxa"/>
                </w:tcPr>
                <w:p w14:paraId="518102AC">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七级</w:t>
                  </w:r>
                </w:p>
              </w:tc>
              <w:tc>
                <w:tcPr>
                  <w:tcW w:w="2037" w:type="dxa"/>
                </w:tcPr>
                <w:p w14:paraId="08AD09FE">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1500-750以上</w:t>
                  </w:r>
                </w:p>
              </w:tc>
            </w:tr>
            <w:tr w14:paraId="5576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14:paraId="7C41698F">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四级</w:t>
                  </w:r>
                </w:p>
              </w:tc>
              <w:tc>
                <w:tcPr>
                  <w:tcW w:w="2037" w:type="dxa"/>
                </w:tcPr>
                <w:p w14:paraId="33F0428E">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6000-4500以上</w:t>
                  </w:r>
                </w:p>
              </w:tc>
              <w:tc>
                <w:tcPr>
                  <w:tcW w:w="2037" w:type="dxa"/>
                </w:tcPr>
                <w:p w14:paraId="3C00C13D">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八级</w:t>
                  </w:r>
                </w:p>
              </w:tc>
              <w:tc>
                <w:tcPr>
                  <w:tcW w:w="2037" w:type="dxa"/>
                </w:tcPr>
                <w:p w14:paraId="20A89138">
                  <w:pPr>
                    <w:jc w:val="center"/>
                    <w:rPr>
                      <w:rFonts w:hint="default"/>
                      <w:b w:val="0"/>
                      <w:bCs w:val="0"/>
                      <w:color w:val="auto"/>
                      <w:kern w:val="44"/>
                      <w:szCs w:val="20"/>
                      <w:vertAlign w:val="baseline"/>
                      <w:lang w:val="en-US" w:eastAsia="zh-CN"/>
                    </w:rPr>
                  </w:pPr>
                  <w:r>
                    <w:rPr>
                      <w:rFonts w:hint="eastAsia"/>
                      <w:b w:val="0"/>
                      <w:bCs w:val="0"/>
                      <w:color w:val="auto"/>
                      <w:kern w:val="44"/>
                      <w:szCs w:val="20"/>
                      <w:vertAlign w:val="baseline"/>
                      <w:lang w:val="en-US" w:eastAsia="zh-CN"/>
                    </w:rPr>
                    <w:t>750以下</w:t>
                  </w:r>
                </w:p>
              </w:tc>
            </w:tr>
          </w:tbl>
          <w:p w14:paraId="5EA53FA1">
            <w:pPr>
              <w:jc w:val="center"/>
              <w:rPr>
                <w:rFonts w:hint="eastAsia"/>
                <w:b/>
                <w:bCs/>
                <w:color w:val="auto"/>
                <w:kern w:val="44"/>
                <w:szCs w:val="20"/>
                <w:lang w:val="en-US" w:eastAsia="zh-CN"/>
              </w:rPr>
            </w:pPr>
          </w:p>
          <w:p w14:paraId="03570751">
            <w:pPr>
              <w:adjustRightInd w:val="0"/>
              <w:snapToGrid w:val="0"/>
              <w:spacing w:line="360" w:lineRule="auto"/>
              <w:ind w:firstLine="480" w:firstLineChars="200"/>
              <w:rPr>
                <w:rFonts w:hint="eastAsia"/>
                <w:color w:val="auto"/>
                <w:sz w:val="24"/>
              </w:rPr>
            </w:pPr>
            <w:r>
              <w:rPr>
                <w:rFonts w:hint="eastAsia"/>
                <w:color w:val="auto"/>
                <w:sz w:val="24"/>
              </w:rPr>
              <w:t>项目矿区占地面积301800m</w:t>
            </w:r>
            <w:r>
              <w:rPr>
                <w:rFonts w:hint="eastAsia"/>
                <w:color w:val="auto"/>
                <w:sz w:val="24"/>
                <w:vertAlign w:val="superscript"/>
              </w:rPr>
              <w:t>2</w:t>
            </w:r>
            <w:r>
              <w:rPr>
                <w:rFonts w:hint="eastAsia"/>
                <w:color w:val="auto"/>
                <w:sz w:val="24"/>
              </w:rPr>
              <w:t>，则矿区</w:t>
            </w:r>
            <w:r>
              <w:rPr>
                <w:rFonts w:hint="eastAsia"/>
                <w:color w:val="auto"/>
                <w:sz w:val="24"/>
                <w:lang w:val="en-US" w:eastAsia="zh-CN"/>
              </w:rPr>
              <w:t>牧草植被损失量约为75.45t，随着矿区的开采活动进行，原有植被不能进行恢复，因此这一部分生物量会减少。但随着开采过程的结束及复垦措施的进行，矿区范围内的植被覆盖率会进一步提高。</w:t>
            </w:r>
          </w:p>
          <w:p w14:paraId="57D64CFC">
            <w:pPr>
              <w:adjustRightInd w:val="0"/>
              <w:snapToGrid w:val="0"/>
              <w:spacing w:line="360" w:lineRule="auto"/>
              <w:ind w:firstLine="480" w:firstLineChars="200"/>
              <w:rPr>
                <w:snapToGrid w:val="0"/>
                <w:color w:val="auto"/>
                <w:kern w:val="0"/>
                <w:sz w:val="24"/>
              </w:rPr>
            </w:pPr>
            <w:r>
              <w:rPr>
                <w:rFonts w:hint="eastAsia"/>
                <w:snapToGrid w:val="0"/>
                <w:color w:val="auto"/>
                <w:kern w:val="0"/>
                <w:sz w:val="24"/>
              </w:rPr>
              <w:t>项目区主要植物物种名录见表3-</w:t>
            </w:r>
            <w:r>
              <w:rPr>
                <w:rFonts w:hint="eastAsia"/>
                <w:snapToGrid w:val="0"/>
                <w:color w:val="auto"/>
                <w:kern w:val="0"/>
                <w:sz w:val="24"/>
                <w:lang w:val="en-US" w:eastAsia="zh-CN"/>
              </w:rPr>
              <w:t>3</w:t>
            </w:r>
            <w:r>
              <w:rPr>
                <w:rFonts w:hint="eastAsia"/>
                <w:snapToGrid w:val="0"/>
                <w:color w:val="auto"/>
                <w:kern w:val="0"/>
                <w:sz w:val="24"/>
              </w:rPr>
              <w:t>。</w:t>
            </w:r>
          </w:p>
          <w:p w14:paraId="53544479">
            <w:pPr>
              <w:jc w:val="center"/>
              <w:rPr>
                <w:b/>
                <w:bCs/>
                <w:color w:val="auto"/>
                <w:kern w:val="44"/>
                <w:szCs w:val="20"/>
              </w:rPr>
            </w:pPr>
            <w:r>
              <w:rPr>
                <w:rFonts w:hint="eastAsia"/>
                <w:b/>
                <w:bCs/>
                <w:color w:val="auto"/>
                <w:kern w:val="44"/>
                <w:szCs w:val="20"/>
              </w:rPr>
              <w:t>表3-</w:t>
            </w:r>
            <w:r>
              <w:rPr>
                <w:rFonts w:hint="eastAsia"/>
                <w:b/>
                <w:bCs/>
                <w:color w:val="auto"/>
                <w:kern w:val="44"/>
                <w:szCs w:val="20"/>
                <w:lang w:val="en-US" w:eastAsia="zh-CN"/>
              </w:rPr>
              <w:t>3</w:t>
            </w:r>
            <w:r>
              <w:rPr>
                <w:rFonts w:hint="eastAsia"/>
                <w:b/>
                <w:bCs/>
                <w:color w:val="auto"/>
                <w:kern w:val="44"/>
                <w:szCs w:val="20"/>
              </w:rPr>
              <w:t xml:space="preserve">    评价区域内的主要野生植物名录</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87"/>
              <w:gridCol w:w="3907"/>
              <w:gridCol w:w="1058"/>
            </w:tblGrid>
            <w:tr w14:paraId="5BE2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62D3C97F">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科</w:t>
                  </w:r>
                </w:p>
              </w:tc>
              <w:tc>
                <w:tcPr>
                  <w:tcW w:w="1987" w:type="dxa"/>
                </w:tcPr>
                <w:p w14:paraId="71E5EA6B">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植物名称</w:t>
                  </w:r>
                </w:p>
              </w:tc>
              <w:tc>
                <w:tcPr>
                  <w:tcW w:w="3907" w:type="dxa"/>
                </w:tcPr>
                <w:p w14:paraId="1C5F108C">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拉丁名</w:t>
                  </w:r>
                </w:p>
              </w:tc>
              <w:tc>
                <w:tcPr>
                  <w:tcW w:w="1058" w:type="dxa"/>
                </w:tcPr>
                <w:p w14:paraId="060A8023">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保护级别</w:t>
                  </w:r>
                </w:p>
              </w:tc>
            </w:tr>
            <w:tr w14:paraId="7E1F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Pr>
                <w:p w14:paraId="653D3A75">
                  <w:pPr>
                    <w:pStyle w:val="61"/>
                    <w:tabs>
                      <w:tab w:val="left" w:pos="2760"/>
                      <w:tab w:val="clear" w:pos="1845"/>
                    </w:tabs>
                    <w:adjustRightInd/>
                    <w:spacing w:line="240" w:lineRule="auto"/>
                    <w:rPr>
                      <w:rFonts w:ascii="Times New Roman" w:cs="Times New Roman"/>
                      <w:b w:val="0"/>
                      <w:color w:val="auto"/>
                      <w:sz w:val="21"/>
                      <w:szCs w:val="21"/>
                    </w:rPr>
                  </w:pPr>
                </w:p>
                <w:p w14:paraId="04FA1E49">
                  <w:pPr>
                    <w:pStyle w:val="61"/>
                    <w:tabs>
                      <w:tab w:val="left" w:pos="2760"/>
                      <w:tab w:val="clear" w:pos="1845"/>
                    </w:tabs>
                    <w:adjustRightInd/>
                    <w:spacing w:line="240" w:lineRule="auto"/>
                    <w:rPr>
                      <w:rFonts w:ascii="Times New Roman" w:cs="Times New Roman"/>
                      <w:b w:val="0"/>
                      <w:color w:val="auto"/>
                      <w:sz w:val="21"/>
                      <w:szCs w:val="21"/>
                    </w:rPr>
                  </w:pPr>
                </w:p>
                <w:p w14:paraId="076EC2F9">
                  <w:pPr>
                    <w:pStyle w:val="61"/>
                    <w:tabs>
                      <w:tab w:val="left" w:pos="2760"/>
                      <w:tab w:val="clear" w:pos="1845"/>
                    </w:tabs>
                    <w:adjustRightInd/>
                    <w:spacing w:line="240" w:lineRule="auto"/>
                    <w:rPr>
                      <w:rFonts w:ascii="Times New Roman" w:cs="Times New Roman"/>
                      <w:b w:val="0"/>
                      <w:color w:val="auto"/>
                      <w:sz w:val="21"/>
                      <w:szCs w:val="21"/>
                    </w:rPr>
                  </w:pPr>
                </w:p>
                <w:p w14:paraId="799592DB">
                  <w:pPr>
                    <w:pStyle w:val="61"/>
                    <w:tabs>
                      <w:tab w:val="left" w:pos="2760"/>
                      <w:tab w:val="clear" w:pos="1845"/>
                    </w:tabs>
                    <w:adjustRightInd/>
                    <w:spacing w:line="240" w:lineRule="auto"/>
                    <w:rPr>
                      <w:rFonts w:ascii="Times New Roman" w:cs="Times New Roman"/>
                      <w:b w:val="0"/>
                      <w:color w:val="auto"/>
                      <w:sz w:val="21"/>
                      <w:szCs w:val="21"/>
                    </w:rPr>
                  </w:pPr>
                </w:p>
                <w:p w14:paraId="1A1B29C7">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苋科</w:t>
                  </w:r>
                </w:p>
              </w:tc>
              <w:tc>
                <w:tcPr>
                  <w:tcW w:w="1987" w:type="dxa"/>
                </w:tcPr>
                <w:p w14:paraId="1F1E6826">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梭梭</w:t>
                  </w:r>
                </w:p>
              </w:tc>
              <w:tc>
                <w:tcPr>
                  <w:tcW w:w="3907" w:type="dxa"/>
                </w:tcPr>
                <w:p w14:paraId="6C8E3DC3">
                  <w:pPr>
                    <w:pStyle w:val="61"/>
                    <w:tabs>
                      <w:tab w:val="left" w:pos="2760"/>
                      <w:tab w:val="clear" w:pos="1845"/>
                    </w:tabs>
                    <w:adjustRightInd/>
                    <w:spacing w:line="240" w:lineRule="auto"/>
                    <w:rPr>
                      <w:rFonts w:ascii="Times New Roman" w:cs="Times New Roman"/>
                      <w:b w:val="0"/>
                      <w:i/>
                      <w:iCs/>
                      <w:color w:val="auto"/>
                      <w:sz w:val="21"/>
                      <w:szCs w:val="21"/>
                    </w:rPr>
                  </w:pPr>
                  <w:r>
                    <w:rPr>
                      <w:rFonts w:ascii="Times New Roman" w:cs="Times New Roman"/>
                      <w:b w:val="0"/>
                      <w:i/>
                      <w:iCs/>
                      <w:color w:val="auto"/>
                      <w:sz w:val="21"/>
                      <w:szCs w:val="21"/>
                    </w:rPr>
                    <w:t>Haloxylon ammodendron (C. A. Mey.) Bunge</w:t>
                  </w:r>
                </w:p>
              </w:tc>
              <w:tc>
                <w:tcPr>
                  <w:tcW w:w="1058" w:type="dxa"/>
                </w:tcPr>
                <w:p w14:paraId="27E45861">
                  <w:pPr>
                    <w:jc w:val="center"/>
                    <w:rPr>
                      <w:color w:val="auto"/>
                      <w:szCs w:val="21"/>
                    </w:rPr>
                  </w:pPr>
                  <w:r>
                    <w:rPr>
                      <w:color w:val="auto"/>
                      <w:szCs w:val="21"/>
                    </w:rPr>
                    <w:t>无</w:t>
                  </w:r>
                </w:p>
              </w:tc>
            </w:tr>
            <w:tr w14:paraId="6670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10470A5C">
                  <w:pPr>
                    <w:pStyle w:val="61"/>
                    <w:tabs>
                      <w:tab w:val="left" w:pos="2760"/>
                      <w:tab w:val="clear" w:pos="1845"/>
                    </w:tabs>
                    <w:adjustRightInd/>
                    <w:spacing w:line="240" w:lineRule="auto"/>
                    <w:rPr>
                      <w:rFonts w:ascii="Times New Roman" w:cs="Times New Roman"/>
                      <w:b w:val="0"/>
                      <w:color w:val="auto"/>
                      <w:sz w:val="21"/>
                      <w:szCs w:val="21"/>
                    </w:rPr>
                  </w:pPr>
                </w:p>
              </w:tc>
              <w:tc>
                <w:tcPr>
                  <w:tcW w:w="1987" w:type="dxa"/>
                  <w:shd w:val="clear" w:color="auto" w:fill="auto"/>
                </w:tcPr>
                <w:p w14:paraId="10652798">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盐生假木贼</w:t>
                  </w:r>
                </w:p>
              </w:tc>
              <w:tc>
                <w:tcPr>
                  <w:tcW w:w="3907" w:type="dxa"/>
                  <w:shd w:val="clear" w:color="auto" w:fill="auto"/>
                </w:tcPr>
                <w:p w14:paraId="13ACA03A">
                  <w:pPr>
                    <w:pStyle w:val="61"/>
                    <w:tabs>
                      <w:tab w:val="left" w:pos="2760"/>
                      <w:tab w:val="clear" w:pos="1845"/>
                    </w:tabs>
                    <w:adjustRightInd/>
                    <w:spacing w:line="240" w:lineRule="auto"/>
                    <w:rPr>
                      <w:rFonts w:ascii="Times New Roman" w:cs="Times New Roman"/>
                      <w:b w:val="0"/>
                      <w:i/>
                      <w:iCs/>
                      <w:color w:val="auto"/>
                      <w:sz w:val="21"/>
                      <w:szCs w:val="21"/>
                    </w:rPr>
                  </w:pPr>
                  <w:r>
                    <w:rPr>
                      <w:rFonts w:ascii="Times New Roman" w:cs="Times New Roman"/>
                      <w:b w:val="0"/>
                      <w:i/>
                      <w:iCs/>
                      <w:color w:val="auto"/>
                      <w:sz w:val="21"/>
                      <w:szCs w:val="21"/>
                    </w:rPr>
                    <w:t>Anabasissalsa</w:t>
                  </w:r>
                </w:p>
              </w:tc>
              <w:tc>
                <w:tcPr>
                  <w:tcW w:w="1058" w:type="dxa"/>
                  <w:shd w:val="clear" w:color="auto" w:fill="auto"/>
                </w:tcPr>
                <w:p w14:paraId="608B98C6">
                  <w:pPr>
                    <w:jc w:val="center"/>
                    <w:rPr>
                      <w:color w:val="auto"/>
                      <w:szCs w:val="21"/>
                    </w:rPr>
                  </w:pPr>
                  <w:r>
                    <w:rPr>
                      <w:color w:val="auto"/>
                      <w:kern w:val="0"/>
                      <w:szCs w:val="21"/>
                      <w:lang w:bidi="ar"/>
                    </w:rPr>
                    <w:t>无</w:t>
                  </w:r>
                </w:p>
              </w:tc>
            </w:tr>
            <w:tr w14:paraId="31C3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12F2A947">
                  <w:pPr>
                    <w:pStyle w:val="61"/>
                    <w:tabs>
                      <w:tab w:val="left" w:pos="2760"/>
                      <w:tab w:val="clear" w:pos="1845"/>
                    </w:tabs>
                    <w:adjustRightInd/>
                    <w:spacing w:line="240" w:lineRule="auto"/>
                    <w:rPr>
                      <w:rFonts w:ascii="Times New Roman" w:cs="Times New Roman"/>
                      <w:b w:val="0"/>
                      <w:color w:val="auto"/>
                      <w:sz w:val="21"/>
                      <w:szCs w:val="21"/>
                    </w:rPr>
                  </w:pPr>
                </w:p>
              </w:tc>
              <w:tc>
                <w:tcPr>
                  <w:tcW w:w="1987" w:type="dxa"/>
                </w:tcPr>
                <w:p w14:paraId="0254C916">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驼绒藜</w:t>
                  </w:r>
                </w:p>
              </w:tc>
              <w:tc>
                <w:tcPr>
                  <w:tcW w:w="3907" w:type="dxa"/>
                </w:tcPr>
                <w:p w14:paraId="09B2FEA1">
                  <w:pPr>
                    <w:pStyle w:val="61"/>
                    <w:tabs>
                      <w:tab w:val="left" w:pos="2760"/>
                      <w:tab w:val="clear" w:pos="1845"/>
                    </w:tabs>
                    <w:adjustRightInd/>
                    <w:spacing w:line="240" w:lineRule="auto"/>
                    <w:rPr>
                      <w:rFonts w:ascii="Times New Roman" w:cs="Times New Roman"/>
                      <w:b w:val="0"/>
                      <w:i/>
                      <w:iCs/>
                      <w:color w:val="auto"/>
                      <w:sz w:val="21"/>
                      <w:szCs w:val="21"/>
                    </w:rPr>
                  </w:pPr>
                  <w:r>
                    <w:rPr>
                      <w:rFonts w:ascii="Times New Roman" w:cs="Times New Roman"/>
                      <w:b w:val="0"/>
                      <w:i/>
                      <w:iCs/>
                      <w:color w:val="auto"/>
                      <w:sz w:val="21"/>
                      <w:szCs w:val="21"/>
                    </w:rPr>
                    <w:t>Krascheninnikovia ceratoides (L.) Gueldenst.</w:t>
                  </w:r>
                </w:p>
              </w:tc>
              <w:tc>
                <w:tcPr>
                  <w:tcW w:w="1058" w:type="dxa"/>
                </w:tcPr>
                <w:p w14:paraId="32DF0B5B">
                  <w:pPr>
                    <w:jc w:val="center"/>
                    <w:rPr>
                      <w:color w:val="auto"/>
                      <w:szCs w:val="21"/>
                    </w:rPr>
                  </w:pPr>
                  <w:r>
                    <w:rPr>
                      <w:color w:val="auto"/>
                      <w:kern w:val="0"/>
                      <w:szCs w:val="21"/>
                      <w:lang w:bidi="ar"/>
                    </w:rPr>
                    <w:t>无</w:t>
                  </w:r>
                </w:p>
              </w:tc>
            </w:tr>
            <w:tr w14:paraId="03A2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3343BE74">
                  <w:pPr>
                    <w:pStyle w:val="61"/>
                    <w:tabs>
                      <w:tab w:val="left" w:pos="2760"/>
                      <w:tab w:val="clear" w:pos="1845"/>
                    </w:tabs>
                    <w:adjustRightInd/>
                    <w:spacing w:line="240" w:lineRule="auto"/>
                    <w:rPr>
                      <w:rFonts w:ascii="Times New Roman" w:cs="Times New Roman"/>
                      <w:b w:val="0"/>
                      <w:color w:val="auto"/>
                      <w:sz w:val="21"/>
                      <w:szCs w:val="21"/>
                    </w:rPr>
                  </w:pPr>
                </w:p>
              </w:tc>
              <w:tc>
                <w:tcPr>
                  <w:tcW w:w="1987" w:type="dxa"/>
                  <w:shd w:val="clear" w:color="auto" w:fill="auto"/>
                </w:tcPr>
                <w:p w14:paraId="48EE2911">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粗枝梯翅蓬（别名粗枝猪毛菜）</w:t>
                  </w:r>
                </w:p>
              </w:tc>
              <w:tc>
                <w:tcPr>
                  <w:tcW w:w="3907" w:type="dxa"/>
                  <w:shd w:val="clear" w:color="auto" w:fill="auto"/>
                </w:tcPr>
                <w:p w14:paraId="73AA46DA">
                  <w:pPr>
                    <w:pStyle w:val="61"/>
                    <w:tabs>
                      <w:tab w:val="left" w:pos="2760"/>
                      <w:tab w:val="clear" w:pos="1845"/>
                    </w:tabs>
                    <w:adjustRightInd/>
                    <w:spacing w:line="240" w:lineRule="auto"/>
                    <w:rPr>
                      <w:rFonts w:ascii="Times New Roman" w:cs="Times New Roman"/>
                      <w:b w:val="0"/>
                      <w:i/>
                      <w:iCs/>
                      <w:color w:val="auto"/>
                      <w:sz w:val="21"/>
                      <w:szCs w:val="21"/>
                    </w:rPr>
                  </w:pPr>
                  <w:r>
                    <w:rPr>
                      <w:rFonts w:ascii="Times New Roman" w:cs="Times New Roman"/>
                      <w:b w:val="0"/>
                      <w:i/>
                      <w:iCs/>
                      <w:color w:val="auto"/>
                      <w:sz w:val="21"/>
                      <w:szCs w:val="21"/>
                    </w:rPr>
                    <w:t>Climacoptera subcrassa (Popov) Botschantz.</w:t>
                  </w:r>
                </w:p>
              </w:tc>
              <w:tc>
                <w:tcPr>
                  <w:tcW w:w="1058" w:type="dxa"/>
                </w:tcPr>
                <w:p w14:paraId="666D2143">
                  <w:pPr>
                    <w:jc w:val="center"/>
                    <w:rPr>
                      <w:color w:val="auto"/>
                      <w:szCs w:val="21"/>
                    </w:rPr>
                  </w:pPr>
                  <w:r>
                    <w:rPr>
                      <w:color w:val="auto"/>
                      <w:kern w:val="0"/>
                      <w:szCs w:val="21"/>
                      <w:lang w:bidi="ar"/>
                    </w:rPr>
                    <w:t>无</w:t>
                  </w:r>
                </w:p>
              </w:tc>
            </w:tr>
            <w:tr w14:paraId="34E4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79393A7A">
                  <w:pPr>
                    <w:pStyle w:val="61"/>
                    <w:tabs>
                      <w:tab w:val="left" w:pos="2760"/>
                      <w:tab w:val="clear" w:pos="1845"/>
                    </w:tabs>
                    <w:adjustRightInd/>
                    <w:spacing w:line="240" w:lineRule="auto"/>
                    <w:rPr>
                      <w:rFonts w:ascii="Times New Roman" w:cs="Times New Roman"/>
                      <w:b w:val="0"/>
                      <w:color w:val="auto"/>
                      <w:sz w:val="21"/>
                      <w:szCs w:val="21"/>
                    </w:rPr>
                  </w:pPr>
                </w:p>
              </w:tc>
              <w:tc>
                <w:tcPr>
                  <w:tcW w:w="1987" w:type="dxa"/>
                  <w:shd w:val="clear" w:color="auto" w:fill="auto"/>
                </w:tcPr>
                <w:p w14:paraId="23854FE3">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刺毛碱蓬</w:t>
                  </w:r>
                </w:p>
              </w:tc>
              <w:tc>
                <w:tcPr>
                  <w:tcW w:w="3907" w:type="dxa"/>
                  <w:shd w:val="clear" w:color="auto" w:fill="auto"/>
                </w:tcPr>
                <w:p w14:paraId="4C566ACA">
                  <w:pPr>
                    <w:pStyle w:val="61"/>
                    <w:tabs>
                      <w:tab w:val="left" w:pos="2760"/>
                      <w:tab w:val="clear" w:pos="1845"/>
                    </w:tabs>
                    <w:adjustRightInd/>
                    <w:spacing w:line="240" w:lineRule="auto"/>
                    <w:rPr>
                      <w:rFonts w:ascii="Times New Roman" w:cs="Times New Roman"/>
                      <w:b w:val="0"/>
                      <w:i/>
                      <w:iCs/>
                      <w:color w:val="auto"/>
                      <w:sz w:val="21"/>
                      <w:szCs w:val="21"/>
                    </w:rPr>
                  </w:pPr>
                  <w:r>
                    <w:rPr>
                      <w:rFonts w:ascii="Times New Roman" w:cs="Times New Roman"/>
                      <w:b w:val="0"/>
                      <w:i/>
                      <w:iCs/>
                      <w:color w:val="auto"/>
                      <w:sz w:val="21"/>
                      <w:szCs w:val="21"/>
                    </w:rPr>
                    <w:t>Suaeda acuminata (C. A. Mey.) Moq.</w:t>
                  </w:r>
                </w:p>
              </w:tc>
              <w:tc>
                <w:tcPr>
                  <w:tcW w:w="1058" w:type="dxa"/>
                </w:tcPr>
                <w:p w14:paraId="2A4BB17C">
                  <w:pPr>
                    <w:jc w:val="center"/>
                    <w:rPr>
                      <w:color w:val="auto"/>
                      <w:szCs w:val="21"/>
                    </w:rPr>
                  </w:pPr>
                  <w:r>
                    <w:rPr>
                      <w:color w:val="auto"/>
                      <w:kern w:val="0"/>
                      <w:szCs w:val="21"/>
                      <w:lang w:bidi="ar"/>
                    </w:rPr>
                    <w:t>无</w:t>
                  </w:r>
                </w:p>
              </w:tc>
            </w:tr>
            <w:tr w14:paraId="4367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Pr>
                <w:p w14:paraId="4173F9E7">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禾本科</w:t>
                  </w:r>
                </w:p>
              </w:tc>
              <w:tc>
                <w:tcPr>
                  <w:tcW w:w="1987" w:type="dxa"/>
                </w:tcPr>
                <w:p w14:paraId="1946E5B7">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针茅</w:t>
                  </w:r>
                </w:p>
              </w:tc>
              <w:tc>
                <w:tcPr>
                  <w:tcW w:w="3907" w:type="dxa"/>
                </w:tcPr>
                <w:p w14:paraId="4FE76C4E">
                  <w:pPr>
                    <w:pStyle w:val="61"/>
                    <w:tabs>
                      <w:tab w:val="left" w:pos="2760"/>
                      <w:tab w:val="clear" w:pos="1845"/>
                    </w:tabs>
                    <w:adjustRightInd/>
                    <w:spacing w:line="240" w:lineRule="auto"/>
                    <w:rPr>
                      <w:rFonts w:ascii="Times New Roman" w:cs="Times New Roman"/>
                      <w:b w:val="0"/>
                      <w:i/>
                      <w:iCs/>
                      <w:color w:val="auto"/>
                      <w:sz w:val="21"/>
                      <w:szCs w:val="21"/>
                    </w:rPr>
                  </w:pPr>
                  <w:r>
                    <w:rPr>
                      <w:rFonts w:ascii="Times New Roman" w:cs="Times New Roman"/>
                      <w:b w:val="0"/>
                      <w:i/>
                      <w:iCs/>
                      <w:color w:val="auto"/>
                      <w:sz w:val="21"/>
                      <w:szCs w:val="21"/>
                    </w:rPr>
                    <w:t>Stipa capillata L.</w:t>
                  </w:r>
                </w:p>
              </w:tc>
              <w:tc>
                <w:tcPr>
                  <w:tcW w:w="1058" w:type="dxa"/>
                </w:tcPr>
                <w:p w14:paraId="7C32C978">
                  <w:pPr>
                    <w:jc w:val="center"/>
                    <w:rPr>
                      <w:color w:val="auto"/>
                      <w:szCs w:val="21"/>
                    </w:rPr>
                  </w:pPr>
                  <w:r>
                    <w:rPr>
                      <w:color w:val="auto"/>
                      <w:kern w:val="0"/>
                      <w:szCs w:val="21"/>
                      <w:lang w:bidi="ar"/>
                    </w:rPr>
                    <w:t>无</w:t>
                  </w:r>
                </w:p>
              </w:tc>
            </w:tr>
            <w:tr w14:paraId="1403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06AE928C">
                  <w:pPr>
                    <w:pStyle w:val="61"/>
                    <w:tabs>
                      <w:tab w:val="left" w:pos="2760"/>
                      <w:tab w:val="clear" w:pos="1845"/>
                    </w:tabs>
                    <w:adjustRightInd/>
                    <w:spacing w:line="240" w:lineRule="auto"/>
                    <w:rPr>
                      <w:rFonts w:ascii="Times New Roman" w:cs="Times New Roman"/>
                      <w:b w:val="0"/>
                      <w:color w:val="auto"/>
                      <w:sz w:val="21"/>
                      <w:szCs w:val="21"/>
                    </w:rPr>
                  </w:pPr>
                </w:p>
              </w:tc>
              <w:tc>
                <w:tcPr>
                  <w:tcW w:w="1987" w:type="dxa"/>
                  <w:shd w:val="clear" w:color="auto" w:fill="auto"/>
                </w:tcPr>
                <w:p w14:paraId="7238CB24">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狗尾草</w:t>
                  </w:r>
                </w:p>
              </w:tc>
              <w:tc>
                <w:tcPr>
                  <w:tcW w:w="3907" w:type="dxa"/>
                  <w:shd w:val="clear" w:color="auto" w:fill="auto"/>
                </w:tcPr>
                <w:p w14:paraId="07D60C75">
                  <w:pPr>
                    <w:pStyle w:val="61"/>
                    <w:tabs>
                      <w:tab w:val="left" w:pos="2760"/>
                      <w:tab w:val="clear" w:pos="1845"/>
                    </w:tabs>
                    <w:adjustRightInd/>
                    <w:spacing w:line="240" w:lineRule="auto"/>
                    <w:rPr>
                      <w:rFonts w:ascii="Times New Roman" w:cs="Times New Roman"/>
                      <w:b w:val="0"/>
                      <w:i/>
                      <w:iCs/>
                      <w:color w:val="auto"/>
                      <w:sz w:val="21"/>
                      <w:szCs w:val="21"/>
                    </w:rPr>
                  </w:pPr>
                  <w:r>
                    <w:rPr>
                      <w:rFonts w:ascii="Times New Roman" w:cs="Times New Roman"/>
                      <w:b w:val="0"/>
                      <w:i/>
                      <w:iCs/>
                      <w:color w:val="auto"/>
                      <w:sz w:val="21"/>
                      <w:szCs w:val="21"/>
                    </w:rPr>
                    <w:t>Setaria viridis (L.) P. Beauv.</w:t>
                  </w:r>
                </w:p>
              </w:tc>
              <w:tc>
                <w:tcPr>
                  <w:tcW w:w="1058" w:type="dxa"/>
                </w:tcPr>
                <w:p w14:paraId="39A89908">
                  <w:pPr>
                    <w:jc w:val="center"/>
                    <w:rPr>
                      <w:color w:val="auto"/>
                      <w:szCs w:val="21"/>
                    </w:rPr>
                  </w:pPr>
                  <w:r>
                    <w:rPr>
                      <w:color w:val="auto"/>
                      <w:kern w:val="0"/>
                      <w:szCs w:val="21"/>
                      <w:lang w:bidi="ar"/>
                    </w:rPr>
                    <w:t>无</w:t>
                  </w:r>
                </w:p>
              </w:tc>
            </w:tr>
            <w:tr w14:paraId="7D4F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Pr>
                <w:p w14:paraId="6686FA6A">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kern w:val="0"/>
                      <w:sz w:val="21"/>
                      <w:szCs w:val="21"/>
                      <w:lang w:bidi="ar"/>
                    </w:rPr>
                    <w:t>藜科</w:t>
                  </w:r>
                </w:p>
              </w:tc>
              <w:tc>
                <w:tcPr>
                  <w:tcW w:w="1987" w:type="dxa"/>
                </w:tcPr>
                <w:p w14:paraId="6341AE57">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小蓬</w:t>
                  </w:r>
                </w:p>
              </w:tc>
              <w:tc>
                <w:tcPr>
                  <w:tcW w:w="3907" w:type="dxa"/>
                </w:tcPr>
                <w:p w14:paraId="69CA26C8">
                  <w:pPr>
                    <w:pStyle w:val="61"/>
                    <w:tabs>
                      <w:tab w:val="left" w:pos="2760"/>
                      <w:tab w:val="clear" w:pos="1845"/>
                    </w:tabs>
                    <w:adjustRightInd/>
                    <w:spacing w:line="240" w:lineRule="auto"/>
                    <w:rPr>
                      <w:rFonts w:ascii="Times New Roman" w:cs="Times New Roman"/>
                      <w:b w:val="0"/>
                      <w:i/>
                      <w:iCs/>
                      <w:color w:val="auto"/>
                      <w:sz w:val="21"/>
                      <w:szCs w:val="21"/>
                    </w:rPr>
                  </w:pPr>
                  <w:r>
                    <w:rPr>
                      <w:rFonts w:ascii="Times New Roman" w:cs="Times New Roman"/>
                      <w:b w:val="0"/>
                      <w:i/>
                      <w:iCs/>
                      <w:color w:val="auto"/>
                      <w:sz w:val="21"/>
                      <w:szCs w:val="21"/>
                    </w:rPr>
                    <w:t>Nanophytonerinaceum</w:t>
                  </w:r>
                </w:p>
              </w:tc>
              <w:tc>
                <w:tcPr>
                  <w:tcW w:w="1058" w:type="dxa"/>
                </w:tcPr>
                <w:p w14:paraId="0B3EA512">
                  <w:pPr>
                    <w:jc w:val="center"/>
                    <w:rPr>
                      <w:color w:val="auto"/>
                      <w:szCs w:val="21"/>
                    </w:rPr>
                  </w:pPr>
                  <w:r>
                    <w:rPr>
                      <w:color w:val="auto"/>
                      <w:kern w:val="0"/>
                      <w:szCs w:val="21"/>
                      <w:lang w:bidi="ar"/>
                    </w:rPr>
                    <w:t>无</w:t>
                  </w:r>
                </w:p>
              </w:tc>
            </w:tr>
            <w:tr w14:paraId="17DD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67068EEB">
                  <w:pPr>
                    <w:pStyle w:val="61"/>
                    <w:tabs>
                      <w:tab w:val="left" w:pos="2760"/>
                      <w:tab w:val="clear" w:pos="1845"/>
                    </w:tabs>
                    <w:adjustRightInd/>
                    <w:spacing w:line="240" w:lineRule="auto"/>
                    <w:rPr>
                      <w:rFonts w:ascii="Times New Roman" w:cs="Times New Roman"/>
                      <w:b w:val="0"/>
                      <w:color w:val="auto"/>
                      <w:sz w:val="21"/>
                      <w:szCs w:val="21"/>
                    </w:rPr>
                  </w:pPr>
                </w:p>
              </w:tc>
              <w:tc>
                <w:tcPr>
                  <w:tcW w:w="1987" w:type="dxa"/>
                </w:tcPr>
                <w:p w14:paraId="01A5B29A">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叉毛蓬</w:t>
                  </w:r>
                </w:p>
              </w:tc>
              <w:tc>
                <w:tcPr>
                  <w:tcW w:w="3907" w:type="dxa"/>
                </w:tcPr>
                <w:p w14:paraId="4CC180A2">
                  <w:pPr>
                    <w:pStyle w:val="61"/>
                    <w:tabs>
                      <w:tab w:val="left" w:pos="2760"/>
                      <w:tab w:val="clear" w:pos="1845"/>
                    </w:tabs>
                    <w:adjustRightInd/>
                    <w:spacing w:line="240" w:lineRule="auto"/>
                    <w:rPr>
                      <w:rFonts w:ascii="Times New Roman" w:cs="Times New Roman"/>
                      <w:b w:val="0"/>
                      <w:i/>
                      <w:iCs/>
                      <w:color w:val="auto"/>
                      <w:sz w:val="21"/>
                      <w:szCs w:val="21"/>
                    </w:rPr>
                  </w:pPr>
                  <w:r>
                    <w:rPr>
                      <w:rFonts w:ascii="Times New Roman" w:cs="Times New Roman"/>
                      <w:b w:val="0"/>
                      <w:i/>
                      <w:iCs/>
                      <w:color w:val="auto"/>
                      <w:sz w:val="21"/>
                      <w:szCs w:val="21"/>
                    </w:rPr>
                    <w:t>Petrosimonia sibirica (Pall.) Bunge</w:t>
                  </w:r>
                </w:p>
              </w:tc>
              <w:tc>
                <w:tcPr>
                  <w:tcW w:w="1058" w:type="dxa"/>
                </w:tcPr>
                <w:p w14:paraId="367093A8">
                  <w:pPr>
                    <w:jc w:val="center"/>
                    <w:rPr>
                      <w:color w:val="auto"/>
                      <w:szCs w:val="21"/>
                    </w:rPr>
                  </w:pPr>
                  <w:r>
                    <w:rPr>
                      <w:color w:val="auto"/>
                      <w:kern w:val="0"/>
                      <w:szCs w:val="21"/>
                      <w:lang w:bidi="ar"/>
                    </w:rPr>
                    <w:t>无</w:t>
                  </w:r>
                </w:p>
              </w:tc>
            </w:tr>
            <w:tr w14:paraId="245A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21D03816">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菊科</w:t>
                  </w:r>
                </w:p>
              </w:tc>
              <w:tc>
                <w:tcPr>
                  <w:tcW w:w="1987" w:type="dxa"/>
                </w:tcPr>
                <w:p w14:paraId="4C046D0C">
                  <w:pPr>
                    <w:pStyle w:val="61"/>
                    <w:tabs>
                      <w:tab w:val="left" w:pos="2760"/>
                      <w:tab w:val="clear" w:pos="1845"/>
                    </w:tabs>
                    <w:adjustRightInd/>
                    <w:spacing w:line="240" w:lineRule="auto"/>
                    <w:rPr>
                      <w:rFonts w:ascii="Times New Roman" w:cs="Times New Roman"/>
                      <w:b w:val="0"/>
                      <w:color w:val="auto"/>
                      <w:sz w:val="21"/>
                      <w:szCs w:val="21"/>
                    </w:rPr>
                  </w:pPr>
                  <w:r>
                    <w:rPr>
                      <w:rFonts w:ascii="Times New Roman" w:cs="Times New Roman"/>
                      <w:b w:val="0"/>
                      <w:color w:val="auto"/>
                      <w:sz w:val="21"/>
                      <w:szCs w:val="21"/>
                    </w:rPr>
                    <w:t>新疆绢蒿</w:t>
                  </w:r>
                </w:p>
              </w:tc>
              <w:tc>
                <w:tcPr>
                  <w:tcW w:w="3907" w:type="dxa"/>
                </w:tcPr>
                <w:p w14:paraId="60D84305">
                  <w:pPr>
                    <w:pStyle w:val="61"/>
                    <w:tabs>
                      <w:tab w:val="left" w:pos="2760"/>
                      <w:tab w:val="clear" w:pos="1845"/>
                    </w:tabs>
                    <w:adjustRightInd/>
                    <w:spacing w:line="240" w:lineRule="auto"/>
                    <w:rPr>
                      <w:rFonts w:ascii="Times New Roman" w:cs="Times New Roman"/>
                      <w:b w:val="0"/>
                      <w:i/>
                      <w:iCs/>
                      <w:color w:val="auto"/>
                      <w:sz w:val="21"/>
                      <w:szCs w:val="21"/>
                    </w:rPr>
                  </w:pPr>
                  <w:r>
                    <w:rPr>
                      <w:rFonts w:ascii="Times New Roman" w:cs="Times New Roman"/>
                      <w:b w:val="0"/>
                      <w:i/>
                      <w:iCs/>
                      <w:color w:val="auto"/>
                      <w:sz w:val="21"/>
                      <w:szCs w:val="21"/>
                    </w:rPr>
                    <w:t>Seriphidium kaschgaricum (Krasch.) Poljakov</w:t>
                  </w:r>
                </w:p>
              </w:tc>
              <w:tc>
                <w:tcPr>
                  <w:tcW w:w="1058" w:type="dxa"/>
                </w:tcPr>
                <w:p w14:paraId="638FF29A">
                  <w:pPr>
                    <w:jc w:val="center"/>
                    <w:rPr>
                      <w:color w:val="auto"/>
                      <w:szCs w:val="21"/>
                    </w:rPr>
                  </w:pPr>
                  <w:r>
                    <w:rPr>
                      <w:color w:val="auto"/>
                      <w:kern w:val="0"/>
                      <w:szCs w:val="21"/>
                      <w:lang w:bidi="ar"/>
                    </w:rPr>
                    <w:t>无</w:t>
                  </w:r>
                </w:p>
              </w:tc>
            </w:tr>
          </w:tbl>
          <w:p w14:paraId="62103DE2">
            <w:pPr>
              <w:adjustRightInd w:val="0"/>
              <w:snapToGrid w:val="0"/>
              <w:spacing w:line="360" w:lineRule="auto"/>
              <w:ind w:firstLine="480" w:firstLineChars="200"/>
              <w:rPr>
                <w:snapToGrid w:val="0"/>
                <w:color w:val="auto"/>
                <w:kern w:val="0"/>
                <w:sz w:val="24"/>
              </w:rPr>
            </w:pPr>
            <w:r>
              <w:rPr>
                <w:rFonts w:hint="eastAsia"/>
                <w:snapToGrid w:val="0"/>
                <w:color w:val="auto"/>
                <w:kern w:val="0"/>
                <w:sz w:val="24"/>
              </w:rPr>
              <w:t>对照《国家重点保护野生植物名录》国家林业和草原局 农业农村部公告（2021年第15号）、《新疆维吾尔自治区重点保护野生植物名录》（新政发〔2023〕63号），本项目不涉及国家重点保护野生植物名录、新疆维吾尔自治区重点保护野生植物名录中所列重点保护野生植物种类。</w:t>
            </w:r>
          </w:p>
          <w:p w14:paraId="4F0349F0">
            <w:pPr>
              <w:adjustRightInd w:val="0"/>
              <w:snapToGrid w:val="0"/>
              <w:spacing w:line="360" w:lineRule="auto"/>
              <w:ind w:firstLine="480" w:firstLineChars="200"/>
              <w:rPr>
                <w:bCs/>
                <w:color w:val="auto"/>
                <w:sz w:val="24"/>
              </w:rPr>
            </w:pPr>
            <w:r>
              <w:rPr>
                <w:rFonts w:hint="eastAsia"/>
                <w:snapToGrid w:val="0"/>
                <w:color w:val="auto"/>
                <w:kern w:val="0"/>
                <w:sz w:val="24"/>
              </w:rPr>
              <w:t>（5）</w:t>
            </w:r>
            <w:r>
              <w:rPr>
                <w:bCs/>
                <w:color w:val="auto"/>
                <w:sz w:val="24"/>
              </w:rPr>
              <w:t>野生动物现状</w:t>
            </w:r>
          </w:p>
          <w:p w14:paraId="4C385427">
            <w:pPr>
              <w:pStyle w:val="4"/>
              <w:spacing w:line="384" w:lineRule="auto"/>
              <w:ind w:firstLine="480" w:firstLineChars="200"/>
              <w:contextualSpacing/>
              <w:rPr>
                <w:rFonts w:ascii="Times New Roman" w:hAnsi="Times New Roman" w:cs="Times New Roman"/>
                <w:color w:val="auto"/>
                <w:sz w:val="24"/>
                <w:szCs w:val="24"/>
              </w:rPr>
            </w:pPr>
            <w:r>
              <w:rPr>
                <w:rFonts w:hint="eastAsia" w:ascii="Times New Roman" w:hAnsi="Times New Roman" w:cs="Times New Roman"/>
                <w:color w:val="auto"/>
                <w:sz w:val="24"/>
                <w:szCs w:val="24"/>
              </w:rPr>
              <w:t>本项目评价区域只有鼠类、蜥蜴等小型动物及少数麻雀、喜鹊等鸟类出没，对照《国家重点保护野生动物名录》（国家林业和草原局 农业农村部公告2021年第3号）、《新疆国家重点保护野生动物名录》（2021年）、《新疆维吾尔自治区重点保护野生动物名录（修订）》（新政发〔2022〕75号），项目所在区域未见国家级、自治区级重点保护野生动物。</w:t>
            </w:r>
          </w:p>
          <w:p w14:paraId="28013F73">
            <w:pPr>
              <w:pStyle w:val="4"/>
              <w:spacing w:line="384" w:lineRule="auto"/>
              <w:contextualSpacing/>
              <w:rPr>
                <w:rFonts w:ascii="Times New Roman" w:hAnsi="Times New Roman" w:cs="Times New Roman"/>
                <w:color w:val="auto"/>
                <w:sz w:val="24"/>
                <w:szCs w:val="24"/>
              </w:rPr>
            </w:pPr>
            <w:r>
              <w:rPr>
                <w:rFonts w:ascii="Times New Roman" w:hAnsi="Times New Roman" w:cs="Times New Roman"/>
                <w:b/>
                <w:bCs/>
                <w:color w:val="auto"/>
                <w:sz w:val="24"/>
                <w:szCs w:val="24"/>
              </w:rPr>
              <w:t>2、项目所在区域环境质量现状</w:t>
            </w:r>
          </w:p>
          <w:p w14:paraId="52EBEC1A">
            <w:pPr>
              <w:spacing w:line="384" w:lineRule="auto"/>
              <w:rPr>
                <w:b/>
                <w:bCs/>
                <w:color w:val="auto"/>
                <w:sz w:val="24"/>
              </w:rPr>
            </w:pPr>
            <w:r>
              <w:rPr>
                <w:rFonts w:hint="eastAsia"/>
                <w:b/>
                <w:bCs/>
                <w:color w:val="auto"/>
                <w:sz w:val="24"/>
              </w:rPr>
              <w:t>2.1环境空气质量现状</w:t>
            </w:r>
          </w:p>
          <w:p w14:paraId="3FCD8CAB">
            <w:pPr>
              <w:spacing w:line="384" w:lineRule="auto"/>
              <w:ind w:firstLine="480" w:firstLineChars="200"/>
              <w:rPr>
                <w:color w:val="auto"/>
                <w:sz w:val="24"/>
              </w:rPr>
            </w:pPr>
            <w:r>
              <w:rPr>
                <w:rFonts w:hint="eastAsia"/>
                <w:color w:val="auto"/>
                <w:sz w:val="24"/>
              </w:rPr>
              <w:t>（1）</w:t>
            </w:r>
            <w:r>
              <w:rPr>
                <w:color w:val="auto"/>
                <w:sz w:val="24"/>
              </w:rPr>
              <w:t>环境空气</w:t>
            </w:r>
            <w:r>
              <w:rPr>
                <w:color w:val="auto"/>
                <w:sz w:val="24"/>
                <w:shd w:val="clear" w:color="auto" w:fill="FFFFFF"/>
              </w:rPr>
              <w:t>评价基本污染物</w:t>
            </w:r>
          </w:p>
          <w:p w14:paraId="048D916A">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①数据来源</w:t>
            </w:r>
          </w:p>
          <w:p w14:paraId="5A7A2A24">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根据《环境影响评价技术导则</w:t>
            </w:r>
            <w:r>
              <w:rPr>
                <w:rFonts w:hint="eastAsia" w:ascii="TimesNewRomanPSMT" w:hAnsi="TimesNewRomanPSMT" w:eastAsia="宋体" w:cs="TimesNewRomanPSMT"/>
                <w:b w:val="0"/>
                <w:bCs w:val="0"/>
                <w:color w:val="auto"/>
                <w:sz w:val="24"/>
                <w:szCs w:val="24"/>
                <w:lang w:val="en-US" w:eastAsia="zh-CN"/>
              </w:rPr>
              <w:t xml:space="preserve"> </w:t>
            </w:r>
            <w:r>
              <w:rPr>
                <w:rFonts w:ascii="宋体" w:hAnsi="宋体" w:eastAsia="宋体" w:cs="宋体"/>
                <w:b w:val="0"/>
                <w:bCs w:val="0"/>
                <w:color w:val="auto"/>
                <w:sz w:val="24"/>
                <w:szCs w:val="24"/>
              </w:rPr>
              <w:t>大气环境》（</w:t>
            </w:r>
            <w:r>
              <w:rPr>
                <w:rFonts w:hint="default" w:ascii="TimesNewRomanPSMT" w:hAnsi="TimesNewRomanPSMT" w:eastAsia="TimesNewRomanPSMT" w:cs="TimesNewRomanPSMT"/>
                <w:b w:val="0"/>
                <w:bCs w:val="0"/>
                <w:color w:val="auto"/>
                <w:sz w:val="24"/>
                <w:szCs w:val="24"/>
              </w:rPr>
              <w:t>H.J2.2-2018</w:t>
            </w:r>
            <w:r>
              <w:rPr>
                <w:rFonts w:ascii="宋体" w:hAnsi="宋体" w:eastAsia="宋体" w:cs="宋体"/>
                <w:b w:val="0"/>
                <w:bCs w:val="0"/>
                <w:color w:val="auto"/>
                <w:sz w:val="24"/>
                <w:szCs w:val="24"/>
              </w:rPr>
              <w:t>）对环境质量现状 数据的要求，选择距离项目最近的奇台县空气自动站监测</w:t>
            </w:r>
            <w:r>
              <w:rPr>
                <w:rFonts w:hint="default" w:ascii="TimesNewRomanPSMT" w:hAnsi="TimesNewRomanPSMT" w:eastAsia="TimesNewRomanPSMT" w:cs="TimesNewRomanPSMT"/>
                <w:b w:val="0"/>
                <w:bCs w:val="0"/>
                <w:color w:val="auto"/>
                <w:sz w:val="24"/>
                <w:szCs w:val="24"/>
              </w:rPr>
              <w:t>2022</w:t>
            </w:r>
            <w:r>
              <w:rPr>
                <w:rFonts w:ascii="宋体" w:hAnsi="宋体" w:eastAsia="宋体" w:cs="宋体"/>
                <w:b w:val="0"/>
                <w:bCs w:val="0"/>
                <w:color w:val="auto"/>
                <w:sz w:val="24"/>
                <w:szCs w:val="24"/>
              </w:rPr>
              <w:t>年的监测数据。 作为本项目环境空气现状评价基本污染物</w:t>
            </w:r>
            <w:r>
              <w:rPr>
                <w:rFonts w:hint="default" w:ascii="TimesNewRomanPSMT" w:hAnsi="TimesNewRomanPSMT" w:eastAsia="TimesNewRomanPSMT" w:cs="TimesNewRomanPSMT"/>
                <w:b w:val="0"/>
                <w:bCs w:val="0"/>
                <w:color w:val="auto"/>
                <w:sz w:val="24"/>
                <w:szCs w:val="24"/>
              </w:rPr>
              <w:t>SO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NO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10</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2.5</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CO</w:t>
            </w:r>
            <w:r>
              <w:rPr>
                <w:rFonts w:ascii="宋体" w:hAnsi="宋体" w:eastAsia="宋体" w:cs="宋体"/>
                <w:b w:val="0"/>
                <w:bCs w:val="0"/>
                <w:color w:val="auto"/>
                <w:sz w:val="24"/>
                <w:szCs w:val="24"/>
              </w:rPr>
              <w:t>和</w:t>
            </w:r>
            <w:r>
              <w:rPr>
                <w:rFonts w:hint="default" w:ascii="TimesNewRomanPSMT" w:hAnsi="TimesNewRomanPSMT" w:eastAsia="TimesNewRomanPSMT" w:cs="TimesNewRomanPSMT"/>
                <w:b w:val="0"/>
                <w:bCs w:val="0"/>
                <w:color w:val="auto"/>
                <w:sz w:val="24"/>
                <w:szCs w:val="24"/>
              </w:rPr>
              <w:t>O</w:t>
            </w:r>
            <w:r>
              <w:rPr>
                <w:rFonts w:hint="default" w:ascii="TimesNewRomanPSMT" w:hAnsi="TimesNewRomanPSMT" w:eastAsia="TimesNewRomanPSMT" w:cs="TimesNewRomanPSMT"/>
                <w:b w:val="0"/>
                <w:bCs w:val="0"/>
                <w:color w:val="auto"/>
                <w:sz w:val="15"/>
                <w:szCs w:val="15"/>
              </w:rPr>
              <w:t>3</w:t>
            </w:r>
            <w:r>
              <w:rPr>
                <w:rFonts w:ascii="宋体" w:hAnsi="宋体" w:eastAsia="宋体" w:cs="宋体"/>
                <w:b w:val="0"/>
                <w:bCs w:val="0"/>
                <w:color w:val="auto"/>
                <w:sz w:val="24"/>
                <w:szCs w:val="24"/>
              </w:rPr>
              <w:t>的数据来源，数据从空间和时间上均符合《环境影响评价技术导则 大气环境》（</w:t>
            </w:r>
            <w:r>
              <w:rPr>
                <w:rFonts w:hint="default" w:ascii="TimesNewRomanPSMT" w:hAnsi="TimesNewRomanPSMT" w:eastAsia="TimesNewRomanPSMT" w:cs="TimesNewRomanPSMT"/>
                <w:b w:val="0"/>
                <w:bCs w:val="0"/>
                <w:color w:val="auto"/>
                <w:sz w:val="24"/>
                <w:szCs w:val="24"/>
              </w:rPr>
              <w:t>HJ2.2-2018</w:t>
            </w:r>
            <w:r>
              <w:rPr>
                <w:rFonts w:ascii="宋体" w:hAnsi="宋体" w:eastAsia="宋体" w:cs="宋体"/>
                <w:b w:val="0"/>
                <w:bCs w:val="0"/>
                <w:color w:val="auto"/>
                <w:sz w:val="24"/>
                <w:szCs w:val="24"/>
              </w:rPr>
              <w:t>）的要求。</w:t>
            </w:r>
          </w:p>
          <w:p w14:paraId="46F72304">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奇台县无国控监测站，因此选取奇台县空气自动站</w:t>
            </w:r>
            <w:r>
              <w:rPr>
                <w:rFonts w:hint="default" w:ascii="TimesNewRomanPSMT" w:hAnsi="TimesNewRomanPSMT" w:eastAsia="TimesNewRomanPSMT" w:cs="TimesNewRomanPSMT"/>
                <w:b w:val="0"/>
                <w:bCs w:val="0"/>
                <w:color w:val="auto"/>
                <w:sz w:val="24"/>
                <w:szCs w:val="24"/>
              </w:rPr>
              <w:t>2022</w:t>
            </w:r>
            <w:r>
              <w:rPr>
                <w:rFonts w:ascii="宋体" w:hAnsi="宋体" w:eastAsia="宋体" w:cs="宋体"/>
                <w:b w:val="0"/>
                <w:bCs w:val="0"/>
                <w:color w:val="auto"/>
                <w:sz w:val="24"/>
                <w:szCs w:val="24"/>
              </w:rPr>
              <w:t>年的监测数据作为本项目环境空气现状评价基本污染物的数据来源基本满足《环境影响评价技术导则</w:t>
            </w:r>
            <w:r>
              <w:rPr>
                <w:rFonts w:hint="eastAsia" w:ascii="TimesNewRomanPSMT" w:hAnsi="TimesNewRomanPSMT" w:eastAsia="宋体" w:cs="TimesNewRomanPSMT"/>
                <w:b w:val="0"/>
                <w:bCs w:val="0"/>
                <w:color w:val="auto"/>
                <w:sz w:val="24"/>
                <w:szCs w:val="24"/>
                <w:lang w:val="en-US" w:eastAsia="zh-CN"/>
              </w:rPr>
              <w:t xml:space="preserve"> </w:t>
            </w:r>
            <w:r>
              <w:rPr>
                <w:rFonts w:ascii="宋体" w:hAnsi="宋体" w:eastAsia="宋体" w:cs="宋体"/>
                <w:b w:val="0"/>
                <w:bCs w:val="0"/>
                <w:color w:val="auto"/>
                <w:sz w:val="24"/>
                <w:szCs w:val="24"/>
              </w:rPr>
              <w:t>大气环境》</w:t>
            </w:r>
            <w:r>
              <w:rPr>
                <w:rFonts w:hint="default" w:ascii="TimesNewRomanPSMT" w:hAnsi="TimesNewRomanPSMT" w:eastAsia="TimesNewRomanPSMT" w:cs="TimesNewRomanPSMT"/>
                <w:b w:val="0"/>
                <w:bCs w:val="0"/>
                <w:color w:val="auto"/>
                <w:sz w:val="24"/>
                <w:szCs w:val="24"/>
              </w:rPr>
              <w:t>(H.J2.2-2018)</w:t>
            </w:r>
            <w:r>
              <w:rPr>
                <w:rFonts w:ascii="宋体" w:hAnsi="宋体" w:eastAsia="宋体" w:cs="宋体"/>
                <w:b w:val="0"/>
                <w:bCs w:val="0"/>
                <w:color w:val="auto"/>
                <w:sz w:val="24"/>
                <w:szCs w:val="24"/>
              </w:rPr>
              <w:t xml:space="preserve">。 </w:t>
            </w:r>
          </w:p>
          <w:p w14:paraId="57E55A58">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②评价标准</w:t>
            </w:r>
          </w:p>
          <w:p w14:paraId="4068183F">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基本污染物</w:t>
            </w:r>
            <w:r>
              <w:rPr>
                <w:rFonts w:hint="default" w:ascii="TimesNewRomanPSMT" w:hAnsi="TimesNewRomanPSMT" w:eastAsia="TimesNewRomanPSMT" w:cs="TimesNewRomanPSMT"/>
                <w:b w:val="0"/>
                <w:bCs w:val="0"/>
                <w:color w:val="auto"/>
                <w:sz w:val="24"/>
                <w:szCs w:val="24"/>
              </w:rPr>
              <w:t>SO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NO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10</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2.5</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CO</w:t>
            </w:r>
            <w:r>
              <w:rPr>
                <w:rFonts w:ascii="宋体" w:hAnsi="宋体" w:eastAsia="宋体" w:cs="宋体"/>
                <w:b w:val="0"/>
                <w:bCs w:val="0"/>
                <w:color w:val="auto"/>
                <w:sz w:val="24"/>
                <w:szCs w:val="24"/>
              </w:rPr>
              <w:t>和</w:t>
            </w:r>
            <w:r>
              <w:rPr>
                <w:rFonts w:hint="default" w:ascii="TimesNewRomanPSMT" w:hAnsi="TimesNewRomanPSMT" w:eastAsia="TimesNewRomanPSMT" w:cs="TimesNewRomanPSMT"/>
                <w:b w:val="0"/>
                <w:bCs w:val="0"/>
                <w:color w:val="auto"/>
                <w:sz w:val="24"/>
                <w:szCs w:val="24"/>
              </w:rPr>
              <w:t>O</w:t>
            </w:r>
            <w:r>
              <w:rPr>
                <w:rFonts w:hint="default" w:ascii="TimesNewRomanPSMT" w:hAnsi="TimesNewRomanPSMT" w:eastAsia="TimesNewRomanPSMT" w:cs="TimesNewRomanPSMT"/>
                <w:b w:val="0"/>
                <w:bCs w:val="0"/>
                <w:color w:val="auto"/>
                <w:sz w:val="15"/>
                <w:szCs w:val="15"/>
              </w:rPr>
              <w:t>3</w:t>
            </w:r>
            <w:r>
              <w:rPr>
                <w:rFonts w:ascii="宋体" w:hAnsi="宋体" w:eastAsia="宋体" w:cs="宋体"/>
                <w:b w:val="0"/>
                <w:bCs w:val="0"/>
                <w:color w:val="auto"/>
                <w:sz w:val="24"/>
                <w:szCs w:val="24"/>
              </w:rPr>
              <w:t>执行《环境空气质量标准》 （</w:t>
            </w:r>
            <w:r>
              <w:rPr>
                <w:rFonts w:hint="default" w:ascii="TimesNewRomanPSMT" w:hAnsi="TimesNewRomanPSMT" w:eastAsia="TimesNewRomanPSMT" w:cs="TimesNewRomanPSMT"/>
                <w:b w:val="0"/>
                <w:bCs w:val="0"/>
                <w:color w:val="auto"/>
                <w:sz w:val="24"/>
                <w:szCs w:val="24"/>
              </w:rPr>
              <w:t>GB3095-2012</w:t>
            </w:r>
            <w:r>
              <w:rPr>
                <w:rFonts w:ascii="宋体" w:hAnsi="宋体" w:eastAsia="宋体" w:cs="宋体"/>
                <w:b w:val="0"/>
                <w:bCs w:val="0"/>
                <w:color w:val="auto"/>
                <w:sz w:val="24"/>
                <w:szCs w:val="24"/>
              </w:rPr>
              <w:t>）中的二级标准。</w:t>
            </w:r>
          </w:p>
          <w:p w14:paraId="59C9AA95">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③评价方法</w:t>
            </w:r>
          </w:p>
          <w:p w14:paraId="78BC95A4">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基本污染物按照《环境空气质量评价技术规范（试行）》（</w:t>
            </w:r>
            <w:r>
              <w:rPr>
                <w:rFonts w:hint="default" w:ascii="TimesNewRomanPSMT" w:hAnsi="TimesNewRomanPSMT" w:eastAsia="TimesNewRomanPSMT" w:cs="TimesNewRomanPSMT"/>
                <w:b w:val="0"/>
                <w:bCs w:val="0"/>
                <w:color w:val="auto"/>
                <w:sz w:val="24"/>
                <w:szCs w:val="24"/>
              </w:rPr>
              <w:t>HJ663-2013</w:t>
            </w:r>
            <w:r>
              <w:rPr>
                <w:rFonts w:ascii="宋体" w:hAnsi="宋体" w:eastAsia="宋体" w:cs="宋体"/>
                <w:b w:val="0"/>
                <w:bCs w:val="0"/>
                <w:color w:val="auto"/>
                <w:sz w:val="24"/>
                <w:szCs w:val="24"/>
              </w:rPr>
              <w:t>） 中各评价项目的年评价指标进行判定。年评价指标中的年均浓度和相应百分位数</w:t>
            </w:r>
            <w:r>
              <w:rPr>
                <w:rFonts w:hint="default" w:ascii="TimesNewRomanPSMT" w:hAnsi="TimesNewRomanPSMT" w:eastAsia="TimesNewRomanPSMT" w:cs="TimesNewRomanPSMT"/>
                <w:b w:val="0"/>
                <w:bCs w:val="0"/>
                <w:color w:val="auto"/>
                <w:sz w:val="24"/>
                <w:szCs w:val="24"/>
              </w:rPr>
              <w:t>24h</w:t>
            </w:r>
            <w:r>
              <w:rPr>
                <w:rFonts w:ascii="宋体" w:hAnsi="宋体" w:eastAsia="宋体" w:cs="宋体"/>
                <w:b w:val="0"/>
                <w:bCs w:val="0"/>
                <w:color w:val="auto"/>
                <w:sz w:val="24"/>
                <w:szCs w:val="24"/>
              </w:rPr>
              <w:t>平均或</w:t>
            </w:r>
            <w:r>
              <w:rPr>
                <w:rFonts w:hint="default" w:ascii="TimesNewRomanPSMT" w:hAnsi="TimesNewRomanPSMT" w:eastAsia="TimesNewRomanPSMT" w:cs="TimesNewRomanPSMT"/>
                <w:b w:val="0"/>
                <w:bCs w:val="0"/>
                <w:color w:val="auto"/>
                <w:sz w:val="24"/>
                <w:szCs w:val="24"/>
              </w:rPr>
              <w:t>8h</w:t>
            </w:r>
            <w:r>
              <w:rPr>
                <w:rFonts w:ascii="宋体" w:hAnsi="宋体" w:eastAsia="宋体" w:cs="宋体"/>
                <w:b w:val="0"/>
                <w:bCs w:val="0"/>
                <w:color w:val="auto"/>
                <w:sz w:val="24"/>
                <w:szCs w:val="24"/>
              </w:rPr>
              <w:t>平均质量浓度满足</w:t>
            </w:r>
            <w:r>
              <w:rPr>
                <w:rFonts w:hint="default" w:ascii="TimesNewRomanPSMT" w:hAnsi="TimesNewRomanPSMT" w:eastAsia="TimesNewRomanPSMT" w:cs="TimesNewRomanPSMT"/>
                <w:b w:val="0"/>
                <w:bCs w:val="0"/>
                <w:color w:val="auto"/>
                <w:sz w:val="24"/>
                <w:szCs w:val="24"/>
              </w:rPr>
              <w:t>GB3095-2012</w:t>
            </w:r>
            <w:r>
              <w:rPr>
                <w:rFonts w:ascii="宋体" w:hAnsi="宋体" w:eastAsia="宋体" w:cs="宋体"/>
                <w:b w:val="0"/>
                <w:bCs w:val="0"/>
                <w:color w:val="auto"/>
                <w:sz w:val="24"/>
                <w:szCs w:val="24"/>
              </w:rPr>
              <w:t>中浓度限值要求的即为达标。对于超标的污染物，计算其超标倍数。</w:t>
            </w:r>
          </w:p>
          <w:p w14:paraId="2A0F8E83">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④空气质量达标区判定</w:t>
            </w:r>
          </w:p>
          <w:p w14:paraId="4B9A5330">
            <w:pPr>
              <w:spacing w:line="384" w:lineRule="auto"/>
              <w:ind w:firstLine="480" w:firstLineChars="200"/>
              <w:rPr>
                <w:color w:val="auto"/>
                <w:sz w:val="24"/>
              </w:rPr>
            </w:pPr>
            <w:r>
              <w:rPr>
                <w:rFonts w:ascii="宋体" w:hAnsi="宋体" w:eastAsia="宋体" w:cs="宋体"/>
                <w:b w:val="0"/>
                <w:bCs w:val="0"/>
                <w:color w:val="auto"/>
                <w:sz w:val="24"/>
                <w:szCs w:val="24"/>
              </w:rPr>
              <w:t>空气质量达标区判定结果见</w:t>
            </w:r>
            <w:r>
              <w:rPr>
                <w:color w:val="auto"/>
                <w:sz w:val="24"/>
              </w:rPr>
              <w:t>表</w:t>
            </w:r>
            <w:r>
              <w:rPr>
                <w:rFonts w:hint="eastAsia"/>
                <w:color w:val="auto"/>
                <w:sz w:val="24"/>
              </w:rPr>
              <w:t>3-</w:t>
            </w:r>
            <w:r>
              <w:rPr>
                <w:rFonts w:hint="eastAsia"/>
                <w:color w:val="auto"/>
                <w:sz w:val="24"/>
                <w:lang w:val="en-US" w:eastAsia="zh-CN"/>
              </w:rPr>
              <w:t>4</w:t>
            </w:r>
            <w:r>
              <w:rPr>
                <w:color w:val="auto"/>
                <w:sz w:val="24"/>
              </w:rPr>
              <w:t>。</w:t>
            </w:r>
          </w:p>
          <w:p w14:paraId="7A7634D2">
            <w:pPr>
              <w:jc w:val="center"/>
              <w:rPr>
                <w:b/>
                <w:bCs/>
                <w:color w:val="auto"/>
                <w:kern w:val="44"/>
                <w:szCs w:val="20"/>
              </w:rPr>
            </w:pPr>
            <w:r>
              <w:rPr>
                <w:rFonts w:hint="eastAsia"/>
                <w:b/>
                <w:bCs/>
                <w:color w:val="auto"/>
                <w:kern w:val="44"/>
                <w:szCs w:val="20"/>
              </w:rPr>
              <w:t>表3-</w:t>
            </w:r>
            <w:r>
              <w:rPr>
                <w:rFonts w:hint="eastAsia"/>
                <w:b/>
                <w:bCs/>
                <w:color w:val="auto"/>
                <w:kern w:val="44"/>
                <w:szCs w:val="20"/>
                <w:lang w:val="en-US" w:eastAsia="zh-CN"/>
              </w:rPr>
              <w:t>4</w:t>
            </w:r>
            <w:r>
              <w:rPr>
                <w:rFonts w:hint="eastAsia"/>
                <w:b/>
                <w:bCs/>
                <w:color w:val="auto"/>
                <w:kern w:val="44"/>
                <w:szCs w:val="20"/>
              </w:rPr>
              <w:t xml:space="preserve">    基本污染物空气质量现状评价表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3484"/>
              <w:gridCol w:w="1193"/>
              <w:gridCol w:w="1018"/>
              <w:gridCol w:w="859"/>
              <w:gridCol w:w="808"/>
            </w:tblGrid>
            <w:tr w14:paraId="18D1212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23D55B12">
                  <w:pPr>
                    <w:ind w:left="-63" w:leftChars="-30" w:right="-63" w:rightChars="-30"/>
                    <w:jc w:val="center"/>
                    <w:rPr>
                      <w:bCs/>
                      <w:color w:val="auto"/>
                      <w:szCs w:val="21"/>
                    </w:rPr>
                  </w:pPr>
                  <w:r>
                    <w:rPr>
                      <w:bCs/>
                      <w:color w:val="auto"/>
                      <w:szCs w:val="21"/>
                    </w:rPr>
                    <w:t>评价</w:t>
                  </w:r>
                </w:p>
                <w:p w14:paraId="4B1381E7">
                  <w:pPr>
                    <w:ind w:left="-63" w:leftChars="-30" w:right="-63" w:rightChars="-30"/>
                    <w:jc w:val="center"/>
                    <w:rPr>
                      <w:bCs/>
                      <w:color w:val="auto"/>
                      <w:szCs w:val="21"/>
                    </w:rPr>
                  </w:pPr>
                  <w:r>
                    <w:rPr>
                      <w:bCs/>
                      <w:color w:val="auto"/>
                      <w:szCs w:val="21"/>
                    </w:rPr>
                    <w:t>因子</w:t>
                  </w:r>
                </w:p>
              </w:tc>
              <w:tc>
                <w:tcPr>
                  <w:tcW w:w="3484" w:type="dxa"/>
                  <w:vAlign w:val="center"/>
                </w:tcPr>
                <w:p w14:paraId="466B55E1">
                  <w:pPr>
                    <w:ind w:left="-63" w:leftChars="-30" w:right="-63" w:rightChars="-30"/>
                    <w:jc w:val="center"/>
                    <w:rPr>
                      <w:bCs/>
                      <w:color w:val="auto"/>
                      <w:szCs w:val="21"/>
                    </w:rPr>
                  </w:pPr>
                  <w:r>
                    <w:rPr>
                      <w:rFonts w:hint="eastAsia"/>
                      <w:bCs/>
                      <w:color w:val="auto"/>
                      <w:szCs w:val="21"/>
                    </w:rPr>
                    <w:t>年度</w:t>
                  </w:r>
                  <w:r>
                    <w:rPr>
                      <w:bCs/>
                      <w:color w:val="auto"/>
                      <w:szCs w:val="21"/>
                    </w:rPr>
                    <w:t>评价指标</w:t>
                  </w:r>
                </w:p>
              </w:tc>
              <w:tc>
                <w:tcPr>
                  <w:tcW w:w="1193" w:type="dxa"/>
                  <w:vAlign w:val="center"/>
                </w:tcPr>
                <w:p w14:paraId="1ECA8636">
                  <w:pPr>
                    <w:ind w:left="-63" w:leftChars="-30" w:right="-63" w:rightChars="-30"/>
                    <w:jc w:val="center"/>
                    <w:rPr>
                      <w:bCs/>
                      <w:color w:val="auto"/>
                      <w:szCs w:val="21"/>
                    </w:rPr>
                  </w:pPr>
                  <w:r>
                    <w:rPr>
                      <w:bCs/>
                      <w:color w:val="auto"/>
                      <w:szCs w:val="21"/>
                    </w:rPr>
                    <w:t>现状浓度</w:t>
                  </w:r>
                </w:p>
                <w:p w14:paraId="5A8B878E">
                  <w:pPr>
                    <w:ind w:left="-63" w:leftChars="-30" w:right="-63" w:rightChars="-30"/>
                    <w:jc w:val="center"/>
                    <w:rPr>
                      <w:bCs/>
                      <w:color w:val="auto"/>
                      <w:szCs w:val="21"/>
                    </w:rPr>
                  </w:pPr>
                  <w:r>
                    <w:rPr>
                      <w:rFonts w:hint="eastAsia"/>
                      <w:bCs/>
                      <w:color w:val="auto"/>
                      <w:szCs w:val="21"/>
                    </w:rPr>
                    <w:t>(</w:t>
                  </w:r>
                  <w:r>
                    <w:rPr>
                      <w:bCs/>
                      <w:color w:val="auto"/>
                      <w:szCs w:val="21"/>
                    </w:rPr>
                    <w:t>μg/m</w:t>
                  </w:r>
                  <w:r>
                    <w:rPr>
                      <w:bCs/>
                      <w:color w:val="auto"/>
                      <w:szCs w:val="21"/>
                      <w:vertAlign w:val="superscript"/>
                    </w:rPr>
                    <w:t>3</w:t>
                  </w:r>
                  <w:r>
                    <w:rPr>
                      <w:rFonts w:hint="eastAsia"/>
                      <w:bCs/>
                      <w:color w:val="auto"/>
                      <w:szCs w:val="21"/>
                      <w:vertAlign w:val="superscript"/>
                      <w:lang w:eastAsia="zh-CN"/>
                    </w:rPr>
                    <w:t>)</w:t>
                  </w:r>
                </w:p>
              </w:tc>
              <w:tc>
                <w:tcPr>
                  <w:tcW w:w="1018" w:type="dxa"/>
                  <w:vAlign w:val="center"/>
                </w:tcPr>
                <w:p w14:paraId="35DC266F">
                  <w:pPr>
                    <w:ind w:left="-63" w:leftChars="-30" w:right="-63" w:rightChars="-30"/>
                    <w:jc w:val="center"/>
                    <w:rPr>
                      <w:bCs/>
                      <w:color w:val="auto"/>
                      <w:szCs w:val="21"/>
                    </w:rPr>
                  </w:pPr>
                  <w:r>
                    <w:rPr>
                      <w:bCs/>
                      <w:color w:val="auto"/>
                      <w:szCs w:val="21"/>
                    </w:rPr>
                    <w:t>标准限值（μg/m</w:t>
                  </w:r>
                  <w:r>
                    <w:rPr>
                      <w:bCs/>
                      <w:color w:val="auto"/>
                      <w:szCs w:val="21"/>
                      <w:vertAlign w:val="superscript"/>
                    </w:rPr>
                    <w:t>3</w:t>
                  </w:r>
                  <w:r>
                    <w:rPr>
                      <w:bCs/>
                      <w:color w:val="auto"/>
                      <w:szCs w:val="21"/>
                    </w:rPr>
                    <w:t>）</w:t>
                  </w:r>
                </w:p>
              </w:tc>
              <w:tc>
                <w:tcPr>
                  <w:tcW w:w="859" w:type="dxa"/>
                  <w:vAlign w:val="center"/>
                </w:tcPr>
                <w:p w14:paraId="59BB2D9D">
                  <w:pPr>
                    <w:ind w:left="-63" w:leftChars="-30" w:right="-63" w:rightChars="-30"/>
                    <w:jc w:val="center"/>
                    <w:rPr>
                      <w:bCs/>
                      <w:color w:val="auto"/>
                      <w:szCs w:val="21"/>
                    </w:rPr>
                  </w:pPr>
                  <w:r>
                    <w:rPr>
                      <w:bCs/>
                      <w:color w:val="auto"/>
                      <w:szCs w:val="21"/>
                    </w:rPr>
                    <w:t>占标率（%）</w:t>
                  </w:r>
                </w:p>
              </w:tc>
              <w:tc>
                <w:tcPr>
                  <w:tcW w:w="808" w:type="dxa"/>
                  <w:vAlign w:val="center"/>
                </w:tcPr>
                <w:p w14:paraId="7CD1D033">
                  <w:pPr>
                    <w:ind w:left="-63" w:leftChars="-30" w:right="-63" w:rightChars="-30"/>
                    <w:jc w:val="center"/>
                    <w:rPr>
                      <w:bCs/>
                      <w:color w:val="auto"/>
                      <w:szCs w:val="21"/>
                    </w:rPr>
                  </w:pPr>
                  <w:r>
                    <w:rPr>
                      <w:bCs/>
                      <w:color w:val="auto"/>
                      <w:szCs w:val="21"/>
                    </w:rPr>
                    <w:t>达标</w:t>
                  </w:r>
                </w:p>
                <w:p w14:paraId="182D3183">
                  <w:pPr>
                    <w:ind w:left="-63" w:leftChars="-30" w:right="-63" w:rightChars="-30"/>
                    <w:jc w:val="center"/>
                    <w:rPr>
                      <w:bCs/>
                      <w:color w:val="auto"/>
                      <w:szCs w:val="21"/>
                    </w:rPr>
                  </w:pPr>
                  <w:r>
                    <w:rPr>
                      <w:bCs/>
                      <w:color w:val="auto"/>
                      <w:szCs w:val="21"/>
                    </w:rPr>
                    <w:t>情况</w:t>
                  </w:r>
                </w:p>
              </w:tc>
            </w:tr>
            <w:tr w14:paraId="17A586C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29F23967">
                  <w:pPr>
                    <w:ind w:left="-63" w:leftChars="-30" w:right="-63" w:rightChars="-30"/>
                    <w:jc w:val="center"/>
                    <w:rPr>
                      <w:color w:val="auto"/>
                      <w:szCs w:val="21"/>
                    </w:rPr>
                  </w:pPr>
                  <w:r>
                    <w:rPr>
                      <w:color w:val="auto"/>
                      <w:szCs w:val="21"/>
                    </w:rPr>
                    <w:t>SO</w:t>
                  </w:r>
                  <w:r>
                    <w:rPr>
                      <w:color w:val="auto"/>
                      <w:szCs w:val="21"/>
                      <w:vertAlign w:val="subscript"/>
                    </w:rPr>
                    <w:t>2</w:t>
                  </w:r>
                </w:p>
              </w:tc>
              <w:tc>
                <w:tcPr>
                  <w:tcW w:w="3484" w:type="dxa"/>
                  <w:vAlign w:val="center"/>
                </w:tcPr>
                <w:p w14:paraId="4C90E288">
                  <w:pPr>
                    <w:ind w:left="-63" w:leftChars="-30" w:right="-63" w:rightChars="-30"/>
                    <w:jc w:val="center"/>
                    <w:rPr>
                      <w:color w:val="auto"/>
                      <w:szCs w:val="21"/>
                    </w:rPr>
                  </w:pPr>
                  <w:r>
                    <w:rPr>
                      <w:color w:val="auto"/>
                      <w:szCs w:val="21"/>
                    </w:rPr>
                    <w:t>年平均</w:t>
                  </w:r>
                </w:p>
              </w:tc>
              <w:tc>
                <w:tcPr>
                  <w:tcW w:w="1193" w:type="dxa"/>
                  <w:vAlign w:val="center"/>
                </w:tcPr>
                <w:p w14:paraId="6D4F6B7F">
                  <w:pPr>
                    <w:ind w:left="-63" w:leftChars="-30" w:right="-63" w:rightChars="-30"/>
                    <w:jc w:val="center"/>
                    <w:rPr>
                      <w:color w:val="auto"/>
                      <w:szCs w:val="21"/>
                    </w:rPr>
                  </w:pPr>
                  <w:r>
                    <w:rPr>
                      <w:rFonts w:hint="eastAsia"/>
                      <w:color w:val="auto"/>
                      <w:szCs w:val="21"/>
                    </w:rPr>
                    <w:t>7</w:t>
                  </w:r>
                </w:p>
              </w:tc>
              <w:tc>
                <w:tcPr>
                  <w:tcW w:w="1018" w:type="dxa"/>
                  <w:vAlign w:val="center"/>
                </w:tcPr>
                <w:p w14:paraId="1ADBDD27">
                  <w:pPr>
                    <w:ind w:left="-63" w:leftChars="-30" w:right="-63" w:rightChars="-30"/>
                    <w:jc w:val="center"/>
                    <w:rPr>
                      <w:color w:val="auto"/>
                      <w:szCs w:val="21"/>
                    </w:rPr>
                  </w:pPr>
                  <w:r>
                    <w:rPr>
                      <w:rFonts w:hint="eastAsia"/>
                      <w:color w:val="auto"/>
                      <w:szCs w:val="21"/>
                    </w:rPr>
                    <w:t>60</w:t>
                  </w:r>
                </w:p>
              </w:tc>
              <w:tc>
                <w:tcPr>
                  <w:tcW w:w="859" w:type="dxa"/>
                  <w:vAlign w:val="center"/>
                </w:tcPr>
                <w:p w14:paraId="7FBFD7F0">
                  <w:pPr>
                    <w:ind w:left="-63" w:leftChars="-30" w:right="-63" w:rightChars="-30"/>
                    <w:jc w:val="center"/>
                    <w:rPr>
                      <w:rFonts w:hint="default" w:eastAsia="宋体"/>
                      <w:color w:val="auto"/>
                      <w:szCs w:val="21"/>
                      <w:lang w:val="en-US" w:eastAsia="zh-CN"/>
                    </w:rPr>
                  </w:pPr>
                  <w:r>
                    <w:rPr>
                      <w:rFonts w:hint="eastAsia"/>
                      <w:color w:val="auto"/>
                      <w:szCs w:val="21"/>
                      <w:lang w:val="en-US" w:eastAsia="zh-CN"/>
                    </w:rPr>
                    <w:t>11.67</w:t>
                  </w:r>
                </w:p>
              </w:tc>
              <w:tc>
                <w:tcPr>
                  <w:tcW w:w="808" w:type="dxa"/>
                  <w:vAlign w:val="center"/>
                </w:tcPr>
                <w:p w14:paraId="7DCC09EB">
                  <w:pPr>
                    <w:ind w:left="-63" w:leftChars="-30" w:right="-63" w:rightChars="-30"/>
                    <w:jc w:val="center"/>
                    <w:rPr>
                      <w:color w:val="auto"/>
                      <w:szCs w:val="21"/>
                    </w:rPr>
                  </w:pPr>
                  <w:r>
                    <w:rPr>
                      <w:rFonts w:hint="eastAsia"/>
                      <w:color w:val="auto"/>
                      <w:szCs w:val="21"/>
                    </w:rPr>
                    <w:t>达标</w:t>
                  </w:r>
                </w:p>
              </w:tc>
            </w:tr>
            <w:tr w14:paraId="0F29B05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442FD390">
                  <w:pPr>
                    <w:ind w:left="-63" w:leftChars="-30" w:right="-63" w:rightChars="-30"/>
                    <w:jc w:val="center"/>
                    <w:rPr>
                      <w:color w:val="auto"/>
                      <w:szCs w:val="21"/>
                    </w:rPr>
                  </w:pPr>
                  <w:r>
                    <w:rPr>
                      <w:color w:val="auto"/>
                      <w:szCs w:val="21"/>
                    </w:rPr>
                    <w:t>NO</w:t>
                  </w:r>
                  <w:r>
                    <w:rPr>
                      <w:color w:val="auto"/>
                      <w:szCs w:val="21"/>
                      <w:vertAlign w:val="subscript"/>
                    </w:rPr>
                    <w:t>2</w:t>
                  </w:r>
                </w:p>
              </w:tc>
              <w:tc>
                <w:tcPr>
                  <w:tcW w:w="3484" w:type="dxa"/>
                  <w:vAlign w:val="center"/>
                </w:tcPr>
                <w:p w14:paraId="79D4044A">
                  <w:pPr>
                    <w:ind w:left="-63" w:leftChars="-30" w:right="-63" w:rightChars="-30"/>
                    <w:jc w:val="center"/>
                    <w:rPr>
                      <w:color w:val="auto"/>
                      <w:szCs w:val="21"/>
                    </w:rPr>
                  </w:pPr>
                  <w:r>
                    <w:rPr>
                      <w:color w:val="auto"/>
                      <w:szCs w:val="21"/>
                    </w:rPr>
                    <w:t>年平均</w:t>
                  </w:r>
                </w:p>
              </w:tc>
              <w:tc>
                <w:tcPr>
                  <w:tcW w:w="1193" w:type="dxa"/>
                  <w:vAlign w:val="center"/>
                </w:tcPr>
                <w:p w14:paraId="55B587F0">
                  <w:pPr>
                    <w:ind w:left="-63" w:leftChars="-30" w:right="-63" w:rightChars="-30"/>
                    <w:jc w:val="center"/>
                    <w:rPr>
                      <w:rFonts w:hint="default" w:eastAsia="宋体"/>
                      <w:color w:val="auto"/>
                      <w:szCs w:val="21"/>
                      <w:lang w:val="en-US" w:eastAsia="zh-CN"/>
                    </w:rPr>
                  </w:pPr>
                  <w:r>
                    <w:rPr>
                      <w:rFonts w:hint="eastAsia"/>
                      <w:color w:val="auto"/>
                      <w:szCs w:val="21"/>
                      <w:lang w:val="en-US" w:eastAsia="zh-CN"/>
                    </w:rPr>
                    <w:t>16</w:t>
                  </w:r>
                </w:p>
              </w:tc>
              <w:tc>
                <w:tcPr>
                  <w:tcW w:w="1018" w:type="dxa"/>
                  <w:vAlign w:val="center"/>
                </w:tcPr>
                <w:p w14:paraId="302CE22C">
                  <w:pPr>
                    <w:ind w:left="-63" w:leftChars="-30" w:right="-63" w:rightChars="-30"/>
                    <w:jc w:val="center"/>
                    <w:rPr>
                      <w:color w:val="auto"/>
                      <w:szCs w:val="21"/>
                    </w:rPr>
                  </w:pPr>
                  <w:r>
                    <w:rPr>
                      <w:rFonts w:hint="eastAsia"/>
                      <w:color w:val="auto"/>
                      <w:szCs w:val="21"/>
                    </w:rPr>
                    <w:t>40</w:t>
                  </w:r>
                </w:p>
              </w:tc>
              <w:tc>
                <w:tcPr>
                  <w:tcW w:w="859" w:type="dxa"/>
                  <w:vAlign w:val="center"/>
                </w:tcPr>
                <w:p w14:paraId="44ED7F9C">
                  <w:pPr>
                    <w:ind w:left="-63" w:leftChars="-30" w:right="-63" w:rightChars="-30"/>
                    <w:jc w:val="center"/>
                    <w:rPr>
                      <w:rFonts w:hint="default" w:eastAsia="宋体"/>
                      <w:color w:val="auto"/>
                      <w:szCs w:val="21"/>
                      <w:lang w:val="en-US" w:eastAsia="zh-CN"/>
                    </w:rPr>
                  </w:pPr>
                  <w:r>
                    <w:rPr>
                      <w:rFonts w:hint="eastAsia"/>
                      <w:color w:val="auto"/>
                      <w:szCs w:val="21"/>
                      <w:lang w:val="en-US" w:eastAsia="zh-CN"/>
                    </w:rPr>
                    <w:t>40</w:t>
                  </w:r>
                </w:p>
              </w:tc>
              <w:tc>
                <w:tcPr>
                  <w:tcW w:w="808" w:type="dxa"/>
                  <w:vAlign w:val="center"/>
                </w:tcPr>
                <w:p w14:paraId="66456467">
                  <w:pPr>
                    <w:ind w:left="-63" w:leftChars="-30" w:right="-63" w:rightChars="-30"/>
                    <w:jc w:val="center"/>
                    <w:rPr>
                      <w:color w:val="auto"/>
                      <w:szCs w:val="21"/>
                    </w:rPr>
                  </w:pPr>
                  <w:r>
                    <w:rPr>
                      <w:rFonts w:hint="eastAsia"/>
                      <w:color w:val="auto"/>
                      <w:szCs w:val="21"/>
                    </w:rPr>
                    <w:t>达标</w:t>
                  </w:r>
                </w:p>
              </w:tc>
            </w:tr>
            <w:tr w14:paraId="6ACB016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621" w:type="dxa"/>
                  <w:vAlign w:val="center"/>
                </w:tcPr>
                <w:p w14:paraId="4D5FBDAB">
                  <w:pPr>
                    <w:ind w:left="-63" w:leftChars="-30" w:right="-63" w:rightChars="-30"/>
                    <w:jc w:val="center"/>
                    <w:rPr>
                      <w:color w:val="auto"/>
                      <w:szCs w:val="21"/>
                    </w:rPr>
                  </w:pPr>
                  <w:r>
                    <w:rPr>
                      <w:color w:val="auto"/>
                      <w:szCs w:val="21"/>
                    </w:rPr>
                    <w:t>CO</w:t>
                  </w:r>
                </w:p>
              </w:tc>
              <w:tc>
                <w:tcPr>
                  <w:tcW w:w="3484" w:type="dxa"/>
                  <w:vAlign w:val="center"/>
                </w:tcPr>
                <w:p w14:paraId="6CFC39D0">
                  <w:pPr>
                    <w:ind w:left="-63" w:leftChars="-30" w:right="-63" w:rightChars="-30"/>
                    <w:jc w:val="center"/>
                    <w:rPr>
                      <w:color w:val="auto"/>
                      <w:szCs w:val="21"/>
                    </w:rPr>
                  </w:pPr>
                  <w:r>
                    <w:rPr>
                      <w:color w:val="auto"/>
                      <w:szCs w:val="21"/>
                    </w:rPr>
                    <w:t>24小时平均第95百分位数</w:t>
                  </w:r>
                </w:p>
              </w:tc>
              <w:tc>
                <w:tcPr>
                  <w:tcW w:w="1193" w:type="dxa"/>
                  <w:vAlign w:val="center"/>
                </w:tcPr>
                <w:p w14:paraId="2342C199">
                  <w:pPr>
                    <w:ind w:left="-63" w:leftChars="-30" w:right="-63" w:rightChars="-30"/>
                    <w:jc w:val="center"/>
                    <w:rPr>
                      <w:rFonts w:hint="default" w:eastAsia="宋体"/>
                      <w:color w:val="auto"/>
                      <w:szCs w:val="21"/>
                      <w:lang w:val="en-US" w:eastAsia="zh-CN"/>
                    </w:rPr>
                  </w:pPr>
                  <w:r>
                    <w:rPr>
                      <w:rFonts w:hint="eastAsia"/>
                      <w:color w:val="auto"/>
                      <w:szCs w:val="21"/>
                    </w:rPr>
                    <w:t>1</w:t>
                  </w:r>
                  <w:r>
                    <w:rPr>
                      <w:rFonts w:hint="eastAsia"/>
                      <w:color w:val="auto"/>
                      <w:szCs w:val="21"/>
                      <w:lang w:val="en-US" w:eastAsia="zh-CN"/>
                    </w:rPr>
                    <w:t>000</w:t>
                  </w:r>
                </w:p>
              </w:tc>
              <w:tc>
                <w:tcPr>
                  <w:tcW w:w="1018" w:type="dxa"/>
                  <w:vAlign w:val="center"/>
                </w:tcPr>
                <w:p w14:paraId="5309C6C0">
                  <w:pPr>
                    <w:ind w:left="-63" w:leftChars="-30" w:right="-63" w:rightChars="-30"/>
                    <w:jc w:val="center"/>
                    <w:rPr>
                      <w:color w:val="auto"/>
                      <w:szCs w:val="21"/>
                    </w:rPr>
                  </w:pPr>
                  <w:r>
                    <w:rPr>
                      <w:rFonts w:hint="eastAsia"/>
                      <w:color w:val="auto"/>
                      <w:szCs w:val="21"/>
                    </w:rPr>
                    <w:t>4000</w:t>
                  </w:r>
                </w:p>
              </w:tc>
              <w:tc>
                <w:tcPr>
                  <w:tcW w:w="859" w:type="dxa"/>
                  <w:vAlign w:val="center"/>
                </w:tcPr>
                <w:p w14:paraId="391A881F">
                  <w:pPr>
                    <w:ind w:left="-63" w:leftChars="-30" w:right="-63" w:rightChars="-30"/>
                    <w:jc w:val="center"/>
                    <w:rPr>
                      <w:rFonts w:hint="default" w:eastAsia="宋体"/>
                      <w:color w:val="auto"/>
                      <w:szCs w:val="21"/>
                      <w:lang w:val="en-US" w:eastAsia="zh-CN"/>
                    </w:rPr>
                  </w:pPr>
                  <w:r>
                    <w:rPr>
                      <w:rFonts w:hint="eastAsia"/>
                      <w:color w:val="auto"/>
                      <w:szCs w:val="21"/>
                      <w:lang w:val="en-US" w:eastAsia="zh-CN"/>
                    </w:rPr>
                    <w:t>25</w:t>
                  </w:r>
                </w:p>
              </w:tc>
              <w:tc>
                <w:tcPr>
                  <w:tcW w:w="808" w:type="dxa"/>
                  <w:vAlign w:val="center"/>
                </w:tcPr>
                <w:p w14:paraId="49E4D4F8">
                  <w:pPr>
                    <w:ind w:left="-63" w:leftChars="-30" w:right="-63" w:rightChars="-30"/>
                    <w:jc w:val="center"/>
                    <w:rPr>
                      <w:color w:val="auto"/>
                      <w:szCs w:val="21"/>
                    </w:rPr>
                  </w:pPr>
                  <w:r>
                    <w:rPr>
                      <w:rFonts w:hint="eastAsia"/>
                      <w:color w:val="auto"/>
                      <w:szCs w:val="21"/>
                    </w:rPr>
                    <w:t>达标</w:t>
                  </w:r>
                </w:p>
              </w:tc>
            </w:tr>
            <w:tr w14:paraId="489D139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621" w:type="dxa"/>
                  <w:vAlign w:val="center"/>
                </w:tcPr>
                <w:p w14:paraId="090218C0">
                  <w:pPr>
                    <w:ind w:left="-63" w:leftChars="-30" w:right="-63" w:rightChars="-30"/>
                    <w:jc w:val="center"/>
                    <w:rPr>
                      <w:color w:val="auto"/>
                      <w:szCs w:val="21"/>
                    </w:rPr>
                  </w:pPr>
                  <w:r>
                    <w:rPr>
                      <w:color w:val="auto"/>
                      <w:szCs w:val="21"/>
                    </w:rPr>
                    <w:t>O</w:t>
                  </w:r>
                  <w:r>
                    <w:rPr>
                      <w:color w:val="auto"/>
                      <w:szCs w:val="21"/>
                      <w:vertAlign w:val="subscript"/>
                    </w:rPr>
                    <w:t>3</w:t>
                  </w:r>
                </w:p>
              </w:tc>
              <w:tc>
                <w:tcPr>
                  <w:tcW w:w="3484" w:type="dxa"/>
                  <w:vAlign w:val="center"/>
                </w:tcPr>
                <w:p w14:paraId="307C3E1D">
                  <w:pPr>
                    <w:ind w:left="-63" w:leftChars="-30" w:right="-63" w:rightChars="-30"/>
                    <w:jc w:val="center"/>
                    <w:rPr>
                      <w:color w:val="auto"/>
                      <w:szCs w:val="21"/>
                    </w:rPr>
                  </w:pPr>
                  <w:r>
                    <w:rPr>
                      <w:color w:val="auto"/>
                      <w:szCs w:val="21"/>
                    </w:rPr>
                    <w:t>最大8小时平均第90百分位数日均值</w:t>
                  </w:r>
                </w:p>
              </w:tc>
              <w:tc>
                <w:tcPr>
                  <w:tcW w:w="1193" w:type="dxa"/>
                  <w:vAlign w:val="center"/>
                </w:tcPr>
                <w:p w14:paraId="2967B980">
                  <w:pPr>
                    <w:ind w:left="-63" w:leftChars="-30" w:right="-63" w:rightChars="-30"/>
                    <w:jc w:val="center"/>
                    <w:rPr>
                      <w:rFonts w:hint="default" w:eastAsia="宋体"/>
                      <w:color w:val="auto"/>
                      <w:szCs w:val="21"/>
                      <w:lang w:val="en-US" w:eastAsia="zh-CN"/>
                    </w:rPr>
                  </w:pPr>
                  <w:r>
                    <w:rPr>
                      <w:rFonts w:hint="eastAsia"/>
                      <w:color w:val="auto"/>
                      <w:szCs w:val="21"/>
                      <w:lang w:val="en-US" w:eastAsia="zh-CN"/>
                    </w:rPr>
                    <w:t>93</w:t>
                  </w:r>
                </w:p>
              </w:tc>
              <w:tc>
                <w:tcPr>
                  <w:tcW w:w="1018" w:type="dxa"/>
                  <w:vAlign w:val="center"/>
                </w:tcPr>
                <w:p w14:paraId="0B442A9C">
                  <w:pPr>
                    <w:ind w:left="-63" w:leftChars="-30" w:right="-63" w:rightChars="-30"/>
                    <w:jc w:val="center"/>
                    <w:rPr>
                      <w:color w:val="auto"/>
                      <w:szCs w:val="21"/>
                    </w:rPr>
                  </w:pPr>
                  <w:r>
                    <w:rPr>
                      <w:rFonts w:hint="eastAsia"/>
                      <w:color w:val="auto"/>
                      <w:szCs w:val="21"/>
                    </w:rPr>
                    <w:t>160</w:t>
                  </w:r>
                </w:p>
              </w:tc>
              <w:tc>
                <w:tcPr>
                  <w:tcW w:w="859" w:type="dxa"/>
                  <w:vAlign w:val="center"/>
                </w:tcPr>
                <w:p w14:paraId="5123649C">
                  <w:pPr>
                    <w:ind w:left="-63" w:leftChars="-30" w:right="-63" w:rightChars="-30"/>
                    <w:jc w:val="center"/>
                    <w:rPr>
                      <w:rFonts w:hint="default" w:eastAsia="宋体"/>
                      <w:color w:val="auto"/>
                      <w:szCs w:val="21"/>
                      <w:lang w:val="en-US" w:eastAsia="zh-CN"/>
                    </w:rPr>
                  </w:pPr>
                  <w:r>
                    <w:rPr>
                      <w:rFonts w:hint="eastAsia"/>
                      <w:color w:val="auto"/>
                      <w:szCs w:val="21"/>
                      <w:lang w:val="en-US" w:eastAsia="zh-CN"/>
                    </w:rPr>
                    <w:t>58.13</w:t>
                  </w:r>
                </w:p>
              </w:tc>
              <w:tc>
                <w:tcPr>
                  <w:tcW w:w="808" w:type="dxa"/>
                  <w:vAlign w:val="center"/>
                </w:tcPr>
                <w:p w14:paraId="55D78884">
                  <w:pPr>
                    <w:ind w:left="-63" w:leftChars="-30" w:right="-63" w:rightChars="-30"/>
                    <w:jc w:val="center"/>
                    <w:rPr>
                      <w:color w:val="auto"/>
                      <w:szCs w:val="21"/>
                    </w:rPr>
                  </w:pPr>
                  <w:r>
                    <w:rPr>
                      <w:rFonts w:hint="eastAsia"/>
                      <w:color w:val="auto"/>
                      <w:szCs w:val="21"/>
                    </w:rPr>
                    <w:t>达标</w:t>
                  </w:r>
                </w:p>
              </w:tc>
            </w:tr>
            <w:tr w14:paraId="19A96D3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4D06117A">
                  <w:pPr>
                    <w:ind w:left="-63" w:leftChars="-30" w:right="-63" w:rightChars="-30"/>
                    <w:jc w:val="center"/>
                    <w:rPr>
                      <w:color w:val="auto"/>
                      <w:szCs w:val="21"/>
                    </w:rPr>
                  </w:pPr>
                  <w:r>
                    <w:rPr>
                      <w:color w:val="auto"/>
                      <w:szCs w:val="21"/>
                    </w:rPr>
                    <w:t>PM</w:t>
                  </w:r>
                  <w:r>
                    <w:rPr>
                      <w:color w:val="auto"/>
                      <w:szCs w:val="21"/>
                      <w:vertAlign w:val="subscript"/>
                    </w:rPr>
                    <w:t>10</w:t>
                  </w:r>
                </w:p>
              </w:tc>
              <w:tc>
                <w:tcPr>
                  <w:tcW w:w="3484" w:type="dxa"/>
                  <w:vAlign w:val="center"/>
                </w:tcPr>
                <w:p w14:paraId="7CD94BEF">
                  <w:pPr>
                    <w:ind w:left="-63" w:leftChars="-30" w:right="-63" w:rightChars="-30"/>
                    <w:jc w:val="center"/>
                    <w:rPr>
                      <w:color w:val="auto"/>
                      <w:szCs w:val="21"/>
                    </w:rPr>
                  </w:pPr>
                  <w:r>
                    <w:rPr>
                      <w:color w:val="auto"/>
                      <w:szCs w:val="21"/>
                    </w:rPr>
                    <w:t>年平均</w:t>
                  </w:r>
                </w:p>
              </w:tc>
              <w:tc>
                <w:tcPr>
                  <w:tcW w:w="1193" w:type="dxa"/>
                  <w:vAlign w:val="center"/>
                </w:tcPr>
                <w:p w14:paraId="37430F21">
                  <w:pPr>
                    <w:ind w:left="-63" w:leftChars="-30" w:right="-63" w:rightChars="-30"/>
                    <w:jc w:val="center"/>
                    <w:rPr>
                      <w:rFonts w:hint="default" w:eastAsia="宋体"/>
                      <w:color w:val="auto"/>
                      <w:szCs w:val="21"/>
                      <w:lang w:val="en-US" w:eastAsia="zh-CN"/>
                    </w:rPr>
                  </w:pPr>
                  <w:r>
                    <w:rPr>
                      <w:rFonts w:hint="eastAsia"/>
                      <w:color w:val="auto"/>
                      <w:szCs w:val="21"/>
                      <w:lang w:val="en-US" w:eastAsia="zh-CN"/>
                    </w:rPr>
                    <w:t>62</w:t>
                  </w:r>
                </w:p>
              </w:tc>
              <w:tc>
                <w:tcPr>
                  <w:tcW w:w="1018" w:type="dxa"/>
                  <w:vAlign w:val="center"/>
                </w:tcPr>
                <w:p w14:paraId="22A82FD8">
                  <w:pPr>
                    <w:ind w:left="-63" w:leftChars="-30" w:right="-63" w:rightChars="-30"/>
                    <w:jc w:val="center"/>
                    <w:rPr>
                      <w:color w:val="auto"/>
                      <w:szCs w:val="21"/>
                    </w:rPr>
                  </w:pPr>
                  <w:r>
                    <w:rPr>
                      <w:rFonts w:hint="eastAsia"/>
                      <w:color w:val="auto"/>
                      <w:szCs w:val="21"/>
                    </w:rPr>
                    <w:t>70</w:t>
                  </w:r>
                </w:p>
              </w:tc>
              <w:tc>
                <w:tcPr>
                  <w:tcW w:w="859" w:type="dxa"/>
                  <w:vAlign w:val="center"/>
                </w:tcPr>
                <w:p w14:paraId="2940368E">
                  <w:pPr>
                    <w:ind w:left="-63" w:leftChars="-30" w:right="-63" w:rightChars="-30"/>
                    <w:jc w:val="center"/>
                    <w:rPr>
                      <w:rFonts w:hint="default" w:eastAsia="宋体"/>
                      <w:color w:val="auto"/>
                      <w:szCs w:val="21"/>
                      <w:lang w:val="en-US" w:eastAsia="zh-CN"/>
                    </w:rPr>
                  </w:pPr>
                  <w:r>
                    <w:rPr>
                      <w:rFonts w:hint="eastAsia"/>
                      <w:color w:val="auto"/>
                      <w:szCs w:val="21"/>
                      <w:lang w:val="en-US" w:eastAsia="zh-CN"/>
                    </w:rPr>
                    <w:t>88.57</w:t>
                  </w:r>
                </w:p>
              </w:tc>
              <w:tc>
                <w:tcPr>
                  <w:tcW w:w="808" w:type="dxa"/>
                  <w:vAlign w:val="center"/>
                </w:tcPr>
                <w:p w14:paraId="1F79AB32">
                  <w:pPr>
                    <w:ind w:left="-63" w:leftChars="-30" w:right="-63" w:rightChars="-30"/>
                    <w:jc w:val="center"/>
                    <w:rPr>
                      <w:color w:val="auto"/>
                      <w:szCs w:val="21"/>
                    </w:rPr>
                  </w:pPr>
                  <w:r>
                    <w:rPr>
                      <w:rFonts w:hint="eastAsia"/>
                      <w:color w:val="auto"/>
                      <w:szCs w:val="21"/>
                    </w:rPr>
                    <w:t>达标</w:t>
                  </w:r>
                </w:p>
              </w:tc>
            </w:tr>
            <w:tr w14:paraId="045712C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13CEA3FB">
                  <w:pPr>
                    <w:ind w:left="-63" w:leftChars="-30" w:right="-63" w:rightChars="-30"/>
                    <w:jc w:val="center"/>
                    <w:rPr>
                      <w:color w:val="auto"/>
                      <w:szCs w:val="21"/>
                    </w:rPr>
                  </w:pPr>
                  <w:r>
                    <w:rPr>
                      <w:color w:val="auto"/>
                      <w:szCs w:val="21"/>
                    </w:rPr>
                    <w:t>PM</w:t>
                  </w:r>
                  <w:r>
                    <w:rPr>
                      <w:color w:val="auto"/>
                      <w:szCs w:val="21"/>
                      <w:vertAlign w:val="subscript"/>
                    </w:rPr>
                    <w:t>2.5</w:t>
                  </w:r>
                </w:p>
              </w:tc>
              <w:tc>
                <w:tcPr>
                  <w:tcW w:w="3484" w:type="dxa"/>
                  <w:vAlign w:val="center"/>
                </w:tcPr>
                <w:p w14:paraId="797589FB">
                  <w:pPr>
                    <w:ind w:left="-63" w:leftChars="-30" w:right="-63" w:rightChars="-30"/>
                    <w:jc w:val="center"/>
                    <w:rPr>
                      <w:color w:val="auto"/>
                      <w:szCs w:val="21"/>
                    </w:rPr>
                  </w:pPr>
                  <w:r>
                    <w:rPr>
                      <w:color w:val="auto"/>
                      <w:szCs w:val="21"/>
                    </w:rPr>
                    <w:t>年平均</w:t>
                  </w:r>
                </w:p>
              </w:tc>
              <w:tc>
                <w:tcPr>
                  <w:tcW w:w="1193" w:type="dxa"/>
                  <w:vAlign w:val="center"/>
                </w:tcPr>
                <w:p w14:paraId="2D3B4C0F">
                  <w:pPr>
                    <w:ind w:left="-63" w:leftChars="-30" w:right="-63" w:rightChars="-30"/>
                    <w:jc w:val="center"/>
                    <w:rPr>
                      <w:rFonts w:hint="default" w:eastAsia="宋体"/>
                      <w:color w:val="auto"/>
                      <w:szCs w:val="21"/>
                      <w:lang w:val="en-US" w:eastAsia="zh-CN"/>
                    </w:rPr>
                  </w:pPr>
                  <w:r>
                    <w:rPr>
                      <w:rFonts w:hint="eastAsia"/>
                      <w:color w:val="auto"/>
                      <w:szCs w:val="21"/>
                      <w:lang w:val="en-US" w:eastAsia="zh-CN"/>
                    </w:rPr>
                    <w:t>29</w:t>
                  </w:r>
                </w:p>
              </w:tc>
              <w:tc>
                <w:tcPr>
                  <w:tcW w:w="1018" w:type="dxa"/>
                  <w:vAlign w:val="center"/>
                </w:tcPr>
                <w:p w14:paraId="56E1A840">
                  <w:pPr>
                    <w:ind w:left="-63" w:leftChars="-30" w:right="-63" w:rightChars="-30"/>
                    <w:jc w:val="center"/>
                    <w:rPr>
                      <w:color w:val="auto"/>
                      <w:szCs w:val="21"/>
                    </w:rPr>
                  </w:pPr>
                  <w:r>
                    <w:rPr>
                      <w:rFonts w:hint="eastAsia"/>
                      <w:color w:val="auto"/>
                      <w:szCs w:val="21"/>
                    </w:rPr>
                    <w:t>35</w:t>
                  </w:r>
                </w:p>
              </w:tc>
              <w:tc>
                <w:tcPr>
                  <w:tcW w:w="859" w:type="dxa"/>
                  <w:vAlign w:val="center"/>
                </w:tcPr>
                <w:p w14:paraId="2A00800F">
                  <w:pPr>
                    <w:ind w:left="-63" w:leftChars="-30" w:right="-63" w:rightChars="-30"/>
                    <w:jc w:val="center"/>
                    <w:rPr>
                      <w:rFonts w:hint="default" w:eastAsia="宋体"/>
                      <w:color w:val="auto"/>
                      <w:szCs w:val="21"/>
                      <w:lang w:val="en-US" w:eastAsia="zh-CN"/>
                    </w:rPr>
                  </w:pPr>
                  <w:r>
                    <w:rPr>
                      <w:rFonts w:hint="eastAsia"/>
                      <w:color w:val="auto"/>
                      <w:szCs w:val="21"/>
                      <w:lang w:val="en-US" w:eastAsia="zh-CN"/>
                    </w:rPr>
                    <w:t>82.86</w:t>
                  </w:r>
                </w:p>
              </w:tc>
              <w:tc>
                <w:tcPr>
                  <w:tcW w:w="808" w:type="dxa"/>
                  <w:vAlign w:val="center"/>
                </w:tcPr>
                <w:p w14:paraId="703D8CFF">
                  <w:pPr>
                    <w:ind w:left="-63" w:leftChars="-30" w:right="-63" w:rightChars="-30"/>
                    <w:jc w:val="center"/>
                    <w:rPr>
                      <w:color w:val="auto"/>
                      <w:szCs w:val="21"/>
                    </w:rPr>
                  </w:pPr>
                  <w:r>
                    <w:rPr>
                      <w:rFonts w:hint="eastAsia"/>
                      <w:color w:val="auto"/>
                      <w:szCs w:val="21"/>
                    </w:rPr>
                    <w:t>达标</w:t>
                  </w:r>
                </w:p>
              </w:tc>
            </w:tr>
          </w:tbl>
          <w:p w14:paraId="38DE4D7C">
            <w:pPr>
              <w:pStyle w:val="4"/>
              <w:spacing w:before="120" w:beforeLines="50" w:line="348" w:lineRule="auto"/>
              <w:ind w:firstLine="480" w:firstLineChars="200"/>
              <w:contextualSpacing/>
              <w:rPr>
                <w:rFonts w:ascii="宋体" w:hAnsi="宋体" w:eastAsia="宋体" w:cs="宋体"/>
                <w:b w:val="0"/>
                <w:bCs w:val="0"/>
                <w:color w:val="auto"/>
                <w:sz w:val="24"/>
                <w:szCs w:val="24"/>
              </w:rPr>
            </w:pPr>
            <w:r>
              <w:rPr>
                <w:rFonts w:hint="eastAsia" w:ascii="Times New Roman" w:hAnsi="Times New Roman" w:cs="Times New Roman"/>
                <w:color w:val="auto"/>
                <w:sz w:val="24"/>
              </w:rPr>
              <w:t>根据统计结果，</w:t>
            </w:r>
            <w:r>
              <w:rPr>
                <w:rFonts w:ascii="宋体" w:hAnsi="宋体" w:eastAsia="宋体" w:cs="宋体"/>
                <w:b w:val="0"/>
                <w:bCs w:val="0"/>
                <w:color w:val="auto"/>
                <w:sz w:val="24"/>
                <w:szCs w:val="24"/>
              </w:rPr>
              <w:t>本项目所在区域</w:t>
            </w:r>
            <w:r>
              <w:rPr>
                <w:rFonts w:ascii="TimesNewRomanPSMT" w:hAnsi="TimesNewRomanPSMT" w:eastAsia="TimesNewRomanPSMT" w:cs="TimesNewRomanPSMT"/>
                <w:b w:val="0"/>
                <w:bCs w:val="0"/>
                <w:color w:val="auto"/>
                <w:sz w:val="24"/>
                <w:szCs w:val="24"/>
              </w:rPr>
              <w:t>SO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NO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10</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2.5</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CO</w:t>
            </w:r>
            <w:r>
              <w:rPr>
                <w:rFonts w:ascii="宋体" w:hAnsi="宋体" w:eastAsia="宋体" w:cs="宋体"/>
                <w:b w:val="0"/>
                <w:bCs w:val="0"/>
                <w:color w:val="auto"/>
                <w:sz w:val="24"/>
                <w:szCs w:val="24"/>
              </w:rPr>
              <w:t>和</w:t>
            </w:r>
            <w:r>
              <w:rPr>
                <w:rFonts w:hint="default" w:ascii="TimesNewRomanPSMT" w:hAnsi="TimesNewRomanPSMT" w:eastAsia="TimesNewRomanPSMT" w:cs="TimesNewRomanPSMT"/>
                <w:b w:val="0"/>
                <w:bCs w:val="0"/>
                <w:color w:val="auto"/>
                <w:sz w:val="24"/>
                <w:szCs w:val="24"/>
              </w:rPr>
              <w:t>O</w:t>
            </w:r>
            <w:r>
              <w:rPr>
                <w:rFonts w:hint="default" w:ascii="TimesNewRomanPSMT" w:hAnsi="TimesNewRomanPSMT" w:eastAsia="TimesNewRomanPSMT" w:cs="TimesNewRomanPSMT"/>
                <w:b w:val="0"/>
                <w:bCs w:val="0"/>
                <w:color w:val="auto"/>
                <w:sz w:val="15"/>
                <w:szCs w:val="15"/>
              </w:rPr>
              <w:t>3</w:t>
            </w:r>
            <w:r>
              <w:rPr>
                <w:rFonts w:ascii="宋体" w:hAnsi="宋体" w:eastAsia="宋体" w:cs="宋体"/>
                <w:b w:val="0"/>
                <w:bCs w:val="0"/>
                <w:color w:val="auto"/>
                <w:sz w:val="24"/>
                <w:szCs w:val="24"/>
              </w:rPr>
              <w:t>的平均浓度均达标，因此本项目所在区域为达标区域。</w:t>
            </w:r>
          </w:p>
          <w:p w14:paraId="5A436888">
            <w:pPr>
              <w:pStyle w:val="4"/>
              <w:spacing w:before="120" w:beforeLines="50" w:line="348" w:lineRule="auto"/>
              <w:ind w:firstLine="480" w:firstLineChars="200"/>
              <w:contextualSpacing/>
              <w:rPr>
                <w:rFonts w:ascii="Times New Roman" w:hAnsi="Times New Roman" w:cs="Times New Roman"/>
                <w:color w:val="auto"/>
                <w:sz w:val="24"/>
              </w:rPr>
            </w:pPr>
            <w:r>
              <w:rPr>
                <w:rFonts w:hint="eastAsia" w:ascii="Times New Roman" w:hAnsi="Times New Roman" w:cs="Times New Roman"/>
                <w:color w:val="auto"/>
                <w:sz w:val="24"/>
              </w:rPr>
              <w:t>（2）特征</w:t>
            </w:r>
            <w:r>
              <w:rPr>
                <w:rFonts w:ascii="Times New Roman" w:hAnsi="Times New Roman" w:cs="Times New Roman"/>
                <w:color w:val="auto"/>
                <w:sz w:val="24"/>
              </w:rPr>
              <w:t>污染物</w:t>
            </w:r>
            <w:r>
              <w:rPr>
                <w:rFonts w:hint="eastAsia" w:ascii="Times New Roman" w:hAnsi="Times New Roman" w:cs="Times New Roman"/>
                <w:color w:val="auto"/>
                <w:sz w:val="24"/>
              </w:rPr>
              <w:t>环境质量现状</w:t>
            </w:r>
          </w:p>
          <w:p w14:paraId="670E1560">
            <w:pPr>
              <w:pStyle w:val="4"/>
              <w:spacing w:before="120" w:beforeLines="50" w:line="348" w:lineRule="auto"/>
              <w:ind w:firstLine="480" w:firstLineChars="200"/>
              <w:contextualSpacing/>
              <w:rPr>
                <w:rFonts w:ascii="Times New Roman" w:hAnsi="Times New Roman" w:cs="Times New Roman"/>
                <w:color w:val="auto"/>
                <w:sz w:val="24"/>
              </w:rPr>
            </w:pPr>
            <w:r>
              <w:rPr>
                <w:rFonts w:hint="eastAsia" w:ascii="Times New Roman" w:hAnsi="Times New Roman" w:cs="Times New Roman"/>
                <w:color w:val="auto"/>
                <w:sz w:val="24"/>
              </w:rPr>
              <w:t>本项目</w:t>
            </w:r>
            <w:r>
              <w:rPr>
                <w:rFonts w:ascii="Times New Roman" w:hAnsi="Times New Roman" w:cs="Times New Roman"/>
                <w:color w:val="auto"/>
                <w:kern w:val="0"/>
                <w:sz w:val="24"/>
                <w:szCs w:val="24"/>
                <w:lang w:bidi="ar"/>
              </w:rPr>
              <w:t>特征污染因子为颗粒物</w:t>
            </w:r>
            <w:r>
              <w:rPr>
                <w:rFonts w:hint="eastAsia" w:ascii="Times New Roman" w:hAnsi="Times New Roman" w:cs="Times New Roman"/>
                <w:color w:val="auto"/>
                <w:kern w:val="0"/>
                <w:sz w:val="24"/>
                <w:szCs w:val="24"/>
                <w:lang w:bidi="ar"/>
              </w:rPr>
              <w:t>（TSP），委托新疆西域质信检验检测有限公司</w:t>
            </w:r>
            <w:r>
              <w:rPr>
                <w:rFonts w:ascii="Times New Roman" w:hAnsi="Times New Roman" w:cs="Times New Roman"/>
                <w:snapToGrid w:val="0"/>
                <w:color w:val="auto"/>
                <w:kern w:val="0"/>
                <w:sz w:val="24"/>
              </w:rPr>
              <w:t>于20</w:t>
            </w:r>
            <w:r>
              <w:rPr>
                <w:rFonts w:hint="eastAsia" w:ascii="Times New Roman" w:hAnsi="Times New Roman" w:cs="Times New Roman"/>
                <w:snapToGrid w:val="0"/>
                <w:color w:val="auto"/>
                <w:kern w:val="0"/>
                <w:sz w:val="24"/>
              </w:rPr>
              <w:t>25</w:t>
            </w:r>
            <w:r>
              <w:rPr>
                <w:rFonts w:ascii="Times New Roman" w:hAnsi="Times New Roman" w:cs="Times New Roman"/>
                <w:snapToGrid w:val="0"/>
                <w:color w:val="auto"/>
                <w:kern w:val="0"/>
                <w:sz w:val="24"/>
              </w:rPr>
              <w:t>年</w:t>
            </w:r>
            <w:r>
              <w:rPr>
                <w:rFonts w:hint="eastAsia" w:ascii="Times New Roman" w:hAnsi="Times New Roman" w:cs="Times New Roman"/>
                <w:snapToGrid w:val="0"/>
                <w:color w:val="auto"/>
                <w:kern w:val="0"/>
                <w:sz w:val="24"/>
              </w:rPr>
              <w:t>1</w:t>
            </w:r>
            <w:r>
              <w:rPr>
                <w:rFonts w:ascii="Times New Roman" w:hAnsi="Times New Roman" w:cs="Times New Roman"/>
                <w:snapToGrid w:val="0"/>
                <w:color w:val="auto"/>
                <w:kern w:val="0"/>
                <w:sz w:val="24"/>
              </w:rPr>
              <w:t>月</w:t>
            </w:r>
            <w:r>
              <w:rPr>
                <w:rFonts w:hint="eastAsia" w:ascii="Times New Roman" w:hAnsi="Times New Roman" w:cs="Times New Roman"/>
                <w:snapToGrid w:val="0"/>
                <w:color w:val="auto"/>
                <w:kern w:val="0"/>
                <w:sz w:val="24"/>
              </w:rPr>
              <w:t>9</w:t>
            </w:r>
            <w:r>
              <w:rPr>
                <w:rFonts w:ascii="Times New Roman" w:hAnsi="Times New Roman" w:cs="Times New Roman"/>
                <w:snapToGrid w:val="0"/>
                <w:color w:val="auto"/>
                <w:kern w:val="0"/>
                <w:sz w:val="24"/>
              </w:rPr>
              <w:t>日~</w:t>
            </w:r>
            <w:r>
              <w:rPr>
                <w:rFonts w:hint="eastAsia" w:ascii="Times New Roman" w:hAnsi="Times New Roman" w:cs="Times New Roman"/>
                <w:snapToGrid w:val="0"/>
                <w:color w:val="auto"/>
                <w:kern w:val="0"/>
                <w:sz w:val="24"/>
              </w:rPr>
              <w:t>11</w:t>
            </w:r>
            <w:r>
              <w:rPr>
                <w:rFonts w:ascii="Times New Roman" w:hAnsi="Times New Roman" w:cs="Times New Roman"/>
                <w:snapToGrid w:val="0"/>
                <w:color w:val="auto"/>
                <w:kern w:val="0"/>
                <w:sz w:val="24"/>
              </w:rPr>
              <w:t>日</w:t>
            </w:r>
            <w:r>
              <w:rPr>
                <w:rFonts w:ascii="Times New Roman" w:hAnsi="Times New Roman" w:cs="Times New Roman"/>
                <w:color w:val="auto"/>
                <w:sz w:val="24"/>
              </w:rPr>
              <w:t>对项目区下风向</w:t>
            </w:r>
            <w:r>
              <w:rPr>
                <w:rFonts w:hint="eastAsia" w:ascii="Times New Roman" w:hAnsi="Times New Roman" w:cs="Times New Roman"/>
                <w:color w:val="auto"/>
                <w:sz w:val="24"/>
              </w:rPr>
              <w:t>（监测点坐标：E89°57′52.21″，N43°59′39.34″）</w:t>
            </w:r>
            <w:r>
              <w:rPr>
                <w:rFonts w:ascii="Times New Roman" w:hAnsi="Times New Roman" w:cs="Times New Roman"/>
                <w:color w:val="auto"/>
                <w:sz w:val="24"/>
              </w:rPr>
              <w:t>总悬浮颗粒物</w:t>
            </w:r>
            <w:r>
              <w:rPr>
                <w:rFonts w:hint="eastAsia" w:ascii="Times New Roman" w:hAnsi="Times New Roman" w:cs="Times New Roman"/>
                <w:color w:val="auto"/>
                <w:sz w:val="24"/>
              </w:rPr>
              <w:t>进行了</w:t>
            </w:r>
            <w:r>
              <w:rPr>
                <w:rFonts w:ascii="Times New Roman" w:hAnsi="Times New Roman" w:cs="Times New Roman"/>
                <w:color w:val="auto"/>
                <w:sz w:val="24"/>
              </w:rPr>
              <w:t>现状监测。监测数据见表</w:t>
            </w:r>
            <w:r>
              <w:rPr>
                <w:rFonts w:hint="eastAsia" w:ascii="Times New Roman" w:hAnsi="Times New Roman" w:cs="Times New Roman"/>
                <w:color w:val="auto"/>
                <w:sz w:val="24"/>
              </w:rPr>
              <w:t>3-</w:t>
            </w:r>
            <w:r>
              <w:rPr>
                <w:rFonts w:hint="eastAsia" w:ascii="Times New Roman" w:hAnsi="Times New Roman" w:cs="Times New Roman"/>
                <w:color w:val="auto"/>
                <w:sz w:val="24"/>
                <w:lang w:val="en-US" w:eastAsia="zh-CN"/>
              </w:rPr>
              <w:t>5</w:t>
            </w:r>
            <w:r>
              <w:rPr>
                <w:rFonts w:hint="eastAsia" w:ascii="Times New Roman" w:hAnsi="Times New Roman" w:cs="Times New Roman"/>
                <w:color w:val="auto"/>
                <w:sz w:val="24"/>
              </w:rPr>
              <w:t>，项目监测布点图见图3-</w:t>
            </w:r>
            <w:r>
              <w:rPr>
                <w:rFonts w:hint="eastAsia" w:ascii="Times New Roman" w:hAnsi="Times New Roman" w:cs="Times New Roman"/>
                <w:color w:val="auto"/>
                <w:sz w:val="24"/>
                <w:lang w:val="en-US" w:eastAsia="zh-CN"/>
              </w:rPr>
              <w:t>5</w:t>
            </w:r>
            <w:r>
              <w:rPr>
                <w:rFonts w:hint="eastAsia" w:ascii="Times New Roman" w:hAnsi="Times New Roman" w:cs="Times New Roman"/>
                <w:color w:val="auto"/>
                <w:sz w:val="24"/>
              </w:rPr>
              <w:t>。</w:t>
            </w:r>
          </w:p>
          <w:p w14:paraId="2256FA44">
            <w:pPr>
              <w:jc w:val="center"/>
              <w:rPr>
                <w:b/>
                <w:bCs/>
                <w:color w:val="auto"/>
                <w:kern w:val="44"/>
                <w:szCs w:val="20"/>
              </w:rPr>
            </w:pPr>
            <w:r>
              <w:rPr>
                <w:rFonts w:hint="eastAsia"/>
                <w:b/>
                <w:bCs/>
                <w:color w:val="auto"/>
                <w:kern w:val="44"/>
                <w:szCs w:val="20"/>
              </w:rPr>
              <w:t>表3-</w:t>
            </w:r>
            <w:r>
              <w:rPr>
                <w:rFonts w:hint="eastAsia"/>
                <w:b/>
                <w:bCs/>
                <w:color w:val="auto"/>
                <w:kern w:val="44"/>
                <w:szCs w:val="20"/>
                <w:lang w:val="en-US" w:eastAsia="zh-CN"/>
              </w:rPr>
              <w:t xml:space="preserve">5  </w:t>
            </w:r>
            <w:r>
              <w:rPr>
                <w:rFonts w:hint="eastAsia"/>
                <w:b/>
                <w:bCs/>
                <w:color w:val="auto"/>
                <w:kern w:val="44"/>
                <w:szCs w:val="20"/>
              </w:rPr>
              <w:t xml:space="preserve">  监测与评价结果一览表</w:t>
            </w:r>
          </w:p>
          <w:tbl>
            <w:tblPr>
              <w:tblStyle w:val="29"/>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48"/>
              <w:gridCol w:w="1148"/>
              <w:gridCol w:w="1148"/>
              <w:gridCol w:w="1148"/>
              <w:gridCol w:w="1148"/>
              <w:gridCol w:w="1149"/>
            </w:tblGrid>
            <w:tr w14:paraId="626C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7DCBB5E0">
                  <w:pPr>
                    <w:jc w:val="center"/>
                    <w:rPr>
                      <w:color w:val="auto"/>
                      <w:kern w:val="44"/>
                      <w:szCs w:val="20"/>
                    </w:rPr>
                  </w:pPr>
                  <w:r>
                    <w:rPr>
                      <w:rFonts w:hint="eastAsia"/>
                      <w:color w:val="auto"/>
                      <w:kern w:val="44"/>
                      <w:szCs w:val="20"/>
                    </w:rPr>
                    <w:t>监测点位</w:t>
                  </w:r>
                </w:p>
              </w:tc>
              <w:tc>
                <w:tcPr>
                  <w:tcW w:w="1148" w:type="dxa"/>
                </w:tcPr>
                <w:p w14:paraId="0B0D54E7">
                  <w:pPr>
                    <w:jc w:val="center"/>
                    <w:rPr>
                      <w:color w:val="auto"/>
                      <w:kern w:val="44"/>
                      <w:szCs w:val="20"/>
                    </w:rPr>
                  </w:pPr>
                  <w:r>
                    <w:rPr>
                      <w:rFonts w:hint="eastAsia"/>
                      <w:color w:val="auto"/>
                      <w:kern w:val="44"/>
                      <w:szCs w:val="20"/>
                    </w:rPr>
                    <w:t>监测因子</w:t>
                  </w:r>
                </w:p>
              </w:tc>
              <w:tc>
                <w:tcPr>
                  <w:tcW w:w="1148" w:type="dxa"/>
                </w:tcPr>
                <w:p w14:paraId="197EE595">
                  <w:pPr>
                    <w:jc w:val="center"/>
                    <w:rPr>
                      <w:color w:val="auto"/>
                      <w:kern w:val="44"/>
                      <w:szCs w:val="20"/>
                    </w:rPr>
                  </w:pPr>
                  <w:r>
                    <w:rPr>
                      <w:rFonts w:hint="eastAsia"/>
                      <w:color w:val="auto"/>
                      <w:kern w:val="44"/>
                      <w:szCs w:val="20"/>
                    </w:rPr>
                    <w:t>采样日期</w:t>
                  </w:r>
                </w:p>
              </w:tc>
              <w:tc>
                <w:tcPr>
                  <w:tcW w:w="1148" w:type="dxa"/>
                </w:tcPr>
                <w:p w14:paraId="343A396E">
                  <w:pPr>
                    <w:jc w:val="center"/>
                    <w:rPr>
                      <w:color w:val="auto"/>
                      <w:kern w:val="44"/>
                      <w:szCs w:val="20"/>
                    </w:rPr>
                  </w:pPr>
                  <w:r>
                    <w:rPr>
                      <w:rFonts w:hint="eastAsia"/>
                      <w:color w:val="auto"/>
                      <w:kern w:val="44"/>
                      <w:szCs w:val="20"/>
                    </w:rPr>
                    <w:t>监测结果</w:t>
                  </w:r>
                  <w:r>
                    <w:rPr>
                      <w:color w:val="auto"/>
                      <w:szCs w:val="21"/>
                    </w:rPr>
                    <w:t>（μg/m</w:t>
                  </w:r>
                  <w:r>
                    <w:rPr>
                      <w:color w:val="auto"/>
                      <w:szCs w:val="21"/>
                      <w:vertAlign w:val="superscript"/>
                    </w:rPr>
                    <w:t>3</w:t>
                  </w:r>
                  <w:r>
                    <w:rPr>
                      <w:color w:val="auto"/>
                      <w:szCs w:val="21"/>
                    </w:rPr>
                    <w:t>）</w:t>
                  </w:r>
                </w:p>
              </w:tc>
              <w:tc>
                <w:tcPr>
                  <w:tcW w:w="1148" w:type="dxa"/>
                </w:tcPr>
                <w:p w14:paraId="38BA028F">
                  <w:pPr>
                    <w:jc w:val="center"/>
                    <w:rPr>
                      <w:color w:val="auto"/>
                      <w:kern w:val="44"/>
                      <w:szCs w:val="20"/>
                    </w:rPr>
                  </w:pPr>
                  <w:r>
                    <w:rPr>
                      <w:rFonts w:hint="eastAsia"/>
                      <w:color w:val="auto"/>
                      <w:kern w:val="44"/>
                      <w:szCs w:val="20"/>
                    </w:rPr>
                    <w:t>标准值</w:t>
                  </w:r>
                  <w:r>
                    <w:rPr>
                      <w:color w:val="auto"/>
                      <w:szCs w:val="21"/>
                    </w:rPr>
                    <w:t>（μg/m</w:t>
                  </w:r>
                  <w:r>
                    <w:rPr>
                      <w:color w:val="auto"/>
                      <w:szCs w:val="21"/>
                      <w:vertAlign w:val="superscript"/>
                    </w:rPr>
                    <w:t>3</w:t>
                  </w:r>
                  <w:r>
                    <w:rPr>
                      <w:color w:val="auto"/>
                      <w:szCs w:val="21"/>
                    </w:rPr>
                    <w:t>）</w:t>
                  </w:r>
                </w:p>
              </w:tc>
              <w:tc>
                <w:tcPr>
                  <w:tcW w:w="1148" w:type="dxa"/>
                </w:tcPr>
                <w:p w14:paraId="5300FA5F">
                  <w:pPr>
                    <w:jc w:val="center"/>
                    <w:rPr>
                      <w:color w:val="auto"/>
                      <w:kern w:val="44"/>
                      <w:szCs w:val="20"/>
                    </w:rPr>
                  </w:pPr>
                  <w:r>
                    <w:rPr>
                      <w:rFonts w:hint="eastAsia"/>
                      <w:color w:val="auto"/>
                      <w:kern w:val="44"/>
                      <w:szCs w:val="20"/>
                    </w:rPr>
                    <w:t>占标率（%）</w:t>
                  </w:r>
                </w:p>
              </w:tc>
              <w:tc>
                <w:tcPr>
                  <w:tcW w:w="1149" w:type="dxa"/>
                </w:tcPr>
                <w:p w14:paraId="6791E0DB">
                  <w:pPr>
                    <w:jc w:val="center"/>
                    <w:rPr>
                      <w:color w:val="auto"/>
                      <w:kern w:val="44"/>
                      <w:szCs w:val="20"/>
                    </w:rPr>
                  </w:pPr>
                  <w:r>
                    <w:rPr>
                      <w:rFonts w:hint="eastAsia"/>
                      <w:color w:val="auto"/>
                      <w:kern w:val="44"/>
                      <w:szCs w:val="20"/>
                    </w:rPr>
                    <w:t>达标情况</w:t>
                  </w:r>
                </w:p>
              </w:tc>
            </w:tr>
            <w:tr w14:paraId="306C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tcPr>
                <w:p w14:paraId="69931078">
                  <w:pPr>
                    <w:jc w:val="center"/>
                    <w:rPr>
                      <w:color w:val="auto"/>
                      <w:kern w:val="44"/>
                      <w:szCs w:val="20"/>
                    </w:rPr>
                  </w:pPr>
                  <w:r>
                    <w:rPr>
                      <w:rFonts w:hint="eastAsia"/>
                      <w:color w:val="auto"/>
                      <w:kern w:val="44"/>
                      <w:szCs w:val="20"/>
                    </w:rPr>
                    <w:t>项目区下风向</w:t>
                  </w:r>
                </w:p>
              </w:tc>
              <w:tc>
                <w:tcPr>
                  <w:tcW w:w="1148" w:type="dxa"/>
                  <w:vMerge w:val="restart"/>
                </w:tcPr>
                <w:p w14:paraId="49EBC115">
                  <w:pPr>
                    <w:jc w:val="center"/>
                    <w:rPr>
                      <w:color w:val="auto"/>
                      <w:kern w:val="44"/>
                      <w:szCs w:val="20"/>
                    </w:rPr>
                  </w:pPr>
                  <w:r>
                    <w:rPr>
                      <w:rFonts w:hint="eastAsia"/>
                      <w:color w:val="auto"/>
                      <w:kern w:val="44"/>
                      <w:szCs w:val="20"/>
                    </w:rPr>
                    <w:t>TSP</w:t>
                  </w:r>
                </w:p>
              </w:tc>
              <w:tc>
                <w:tcPr>
                  <w:tcW w:w="1148" w:type="dxa"/>
                </w:tcPr>
                <w:p w14:paraId="745B1546">
                  <w:pPr>
                    <w:jc w:val="center"/>
                    <w:rPr>
                      <w:color w:val="auto"/>
                      <w:kern w:val="44"/>
                      <w:szCs w:val="20"/>
                    </w:rPr>
                  </w:pPr>
                  <w:r>
                    <w:rPr>
                      <w:rFonts w:hint="eastAsia"/>
                      <w:color w:val="auto"/>
                      <w:kern w:val="44"/>
                      <w:szCs w:val="20"/>
                    </w:rPr>
                    <w:t>2025.1.9</w:t>
                  </w:r>
                </w:p>
              </w:tc>
              <w:tc>
                <w:tcPr>
                  <w:tcW w:w="1148" w:type="dxa"/>
                </w:tcPr>
                <w:p w14:paraId="654C05AE">
                  <w:pPr>
                    <w:jc w:val="center"/>
                    <w:rPr>
                      <w:color w:val="auto"/>
                      <w:kern w:val="44"/>
                      <w:szCs w:val="20"/>
                    </w:rPr>
                  </w:pPr>
                  <w:r>
                    <w:rPr>
                      <w:rFonts w:hint="eastAsia"/>
                      <w:color w:val="auto"/>
                      <w:kern w:val="44"/>
                      <w:szCs w:val="20"/>
                    </w:rPr>
                    <w:t>175</w:t>
                  </w:r>
                </w:p>
              </w:tc>
              <w:tc>
                <w:tcPr>
                  <w:tcW w:w="1148" w:type="dxa"/>
                  <w:vMerge w:val="restart"/>
                </w:tcPr>
                <w:p w14:paraId="3082C9BD">
                  <w:pPr>
                    <w:jc w:val="center"/>
                    <w:rPr>
                      <w:color w:val="auto"/>
                      <w:kern w:val="44"/>
                      <w:szCs w:val="20"/>
                    </w:rPr>
                  </w:pPr>
                  <w:r>
                    <w:rPr>
                      <w:rFonts w:hint="eastAsia"/>
                      <w:color w:val="auto"/>
                      <w:kern w:val="44"/>
                      <w:szCs w:val="20"/>
                    </w:rPr>
                    <w:t>300</w:t>
                  </w:r>
                </w:p>
              </w:tc>
              <w:tc>
                <w:tcPr>
                  <w:tcW w:w="1148" w:type="dxa"/>
                </w:tcPr>
                <w:p w14:paraId="24823639">
                  <w:pPr>
                    <w:jc w:val="center"/>
                    <w:rPr>
                      <w:color w:val="auto"/>
                      <w:kern w:val="44"/>
                      <w:szCs w:val="20"/>
                    </w:rPr>
                  </w:pPr>
                  <w:r>
                    <w:rPr>
                      <w:rFonts w:hint="eastAsia"/>
                      <w:color w:val="auto"/>
                      <w:kern w:val="44"/>
                      <w:szCs w:val="20"/>
                    </w:rPr>
                    <w:t>58.3</w:t>
                  </w:r>
                </w:p>
              </w:tc>
              <w:tc>
                <w:tcPr>
                  <w:tcW w:w="1149" w:type="dxa"/>
                </w:tcPr>
                <w:p w14:paraId="3266E507">
                  <w:pPr>
                    <w:jc w:val="center"/>
                    <w:rPr>
                      <w:color w:val="auto"/>
                      <w:kern w:val="44"/>
                      <w:szCs w:val="20"/>
                    </w:rPr>
                  </w:pPr>
                  <w:r>
                    <w:rPr>
                      <w:rFonts w:hint="eastAsia"/>
                      <w:color w:val="auto"/>
                      <w:kern w:val="44"/>
                      <w:szCs w:val="20"/>
                    </w:rPr>
                    <w:t>达标</w:t>
                  </w:r>
                </w:p>
              </w:tc>
            </w:tr>
            <w:tr w14:paraId="74A8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Pr>
                <w:p w14:paraId="5FABEFDF">
                  <w:pPr>
                    <w:jc w:val="center"/>
                    <w:rPr>
                      <w:color w:val="auto"/>
                      <w:kern w:val="44"/>
                      <w:szCs w:val="20"/>
                    </w:rPr>
                  </w:pPr>
                </w:p>
              </w:tc>
              <w:tc>
                <w:tcPr>
                  <w:tcW w:w="1148" w:type="dxa"/>
                  <w:vMerge w:val="continue"/>
                </w:tcPr>
                <w:p w14:paraId="621E3871">
                  <w:pPr>
                    <w:jc w:val="center"/>
                    <w:rPr>
                      <w:color w:val="auto"/>
                      <w:kern w:val="44"/>
                      <w:szCs w:val="20"/>
                    </w:rPr>
                  </w:pPr>
                </w:p>
              </w:tc>
              <w:tc>
                <w:tcPr>
                  <w:tcW w:w="1148" w:type="dxa"/>
                </w:tcPr>
                <w:p w14:paraId="3C683F9C">
                  <w:pPr>
                    <w:jc w:val="center"/>
                    <w:rPr>
                      <w:color w:val="auto"/>
                      <w:kern w:val="44"/>
                      <w:szCs w:val="20"/>
                    </w:rPr>
                  </w:pPr>
                  <w:r>
                    <w:rPr>
                      <w:rFonts w:hint="eastAsia"/>
                      <w:color w:val="auto"/>
                      <w:kern w:val="44"/>
                      <w:szCs w:val="20"/>
                    </w:rPr>
                    <w:t>2025.1.10</w:t>
                  </w:r>
                </w:p>
              </w:tc>
              <w:tc>
                <w:tcPr>
                  <w:tcW w:w="1148" w:type="dxa"/>
                </w:tcPr>
                <w:p w14:paraId="065D277B">
                  <w:pPr>
                    <w:jc w:val="center"/>
                    <w:rPr>
                      <w:color w:val="auto"/>
                      <w:kern w:val="44"/>
                      <w:szCs w:val="20"/>
                    </w:rPr>
                  </w:pPr>
                  <w:r>
                    <w:rPr>
                      <w:rFonts w:hint="eastAsia"/>
                      <w:color w:val="auto"/>
                      <w:kern w:val="44"/>
                      <w:szCs w:val="20"/>
                    </w:rPr>
                    <w:t>148</w:t>
                  </w:r>
                </w:p>
              </w:tc>
              <w:tc>
                <w:tcPr>
                  <w:tcW w:w="1148" w:type="dxa"/>
                  <w:vMerge w:val="continue"/>
                </w:tcPr>
                <w:p w14:paraId="3EC04B10">
                  <w:pPr>
                    <w:jc w:val="center"/>
                    <w:rPr>
                      <w:color w:val="auto"/>
                      <w:kern w:val="44"/>
                      <w:szCs w:val="20"/>
                    </w:rPr>
                  </w:pPr>
                </w:p>
              </w:tc>
              <w:tc>
                <w:tcPr>
                  <w:tcW w:w="1148" w:type="dxa"/>
                </w:tcPr>
                <w:p w14:paraId="720C732F">
                  <w:pPr>
                    <w:jc w:val="center"/>
                    <w:rPr>
                      <w:color w:val="auto"/>
                      <w:kern w:val="44"/>
                      <w:szCs w:val="20"/>
                    </w:rPr>
                  </w:pPr>
                  <w:r>
                    <w:rPr>
                      <w:rFonts w:hint="eastAsia"/>
                      <w:color w:val="auto"/>
                      <w:kern w:val="44"/>
                      <w:szCs w:val="20"/>
                    </w:rPr>
                    <w:t>49.3</w:t>
                  </w:r>
                </w:p>
              </w:tc>
              <w:tc>
                <w:tcPr>
                  <w:tcW w:w="1149" w:type="dxa"/>
                </w:tcPr>
                <w:p w14:paraId="62ABD220">
                  <w:pPr>
                    <w:jc w:val="center"/>
                    <w:rPr>
                      <w:color w:val="auto"/>
                      <w:kern w:val="44"/>
                      <w:szCs w:val="20"/>
                    </w:rPr>
                  </w:pPr>
                  <w:r>
                    <w:rPr>
                      <w:rFonts w:hint="eastAsia"/>
                      <w:color w:val="auto"/>
                      <w:kern w:val="44"/>
                      <w:szCs w:val="20"/>
                    </w:rPr>
                    <w:t>达标</w:t>
                  </w:r>
                </w:p>
              </w:tc>
            </w:tr>
            <w:tr w14:paraId="3ED0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Pr>
                <w:p w14:paraId="126A1DB6">
                  <w:pPr>
                    <w:jc w:val="center"/>
                    <w:rPr>
                      <w:color w:val="auto"/>
                      <w:kern w:val="44"/>
                      <w:szCs w:val="20"/>
                    </w:rPr>
                  </w:pPr>
                </w:p>
              </w:tc>
              <w:tc>
                <w:tcPr>
                  <w:tcW w:w="1148" w:type="dxa"/>
                  <w:vMerge w:val="continue"/>
                </w:tcPr>
                <w:p w14:paraId="0C02987A">
                  <w:pPr>
                    <w:jc w:val="center"/>
                    <w:rPr>
                      <w:color w:val="auto"/>
                      <w:kern w:val="44"/>
                      <w:szCs w:val="20"/>
                    </w:rPr>
                  </w:pPr>
                </w:p>
              </w:tc>
              <w:tc>
                <w:tcPr>
                  <w:tcW w:w="1148" w:type="dxa"/>
                </w:tcPr>
                <w:p w14:paraId="5AA02D20">
                  <w:pPr>
                    <w:jc w:val="center"/>
                    <w:rPr>
                      <w:color w:val="auto"/>
                      <w:kern w:val="44"/>
                      <w:szCs w:val="20"/>
                    </w:rPr>
                  </w:pPr>
                  <w:r>
                    <w:rPr>
                      <w:rFonts w:hint="eastAsia"/>
                      <w:color w:val="auto"/>
                      <w:kern w:val="44"/>
                      <w:szCs w:val="20"/>
                    </w:rPr>
                    <w:t>2025.1.11</w:t>
                  </w:r>
                </w:p>
              </w:tc>
              <w:tc>
                <w:tcPr>
                  <w:tcW w:w="1148" w:type="dxa"/>
                </w:tcPr>
                <w:p w14:paraId="4DF0164A">
                  <w:pPr>
                    <w:jc w:val="center"/>
                    <w:rPr>
                      <w:color w:val="auto"/>
                      <w:kern w:val="44"/>
                      <w:szCs w:val="20"/>
                    </w:rPr>
                  </w:pPr>
                  <w:r>
                    <w:rPr>
                      <w:rFonts w:hint="eastAsia"/>
                      <w:color w:val="auto"/>
                      <w:kern w:val="44"/>
                      <w:szCs w:val="20"/>
                    </w:rPr>
                    <w:t>181</w:t>
                  </w:r>
                </w:p>
              </w:tc>
              <w:tc>
                <w:tcPr>
                  <w:tcW w:w="1148" w:type="dxa"/>
                  <w:vMerge w:val="continue"/>
                </w:tcPr>
                <w:p w14:paraId="0E9403C8">
                  <w:pPr>
                    <w:jc w:val="center"/>
                    <w:rPr>
                      <w:color w:val="auto"/>
                      <w:kern w:val="44"/>
                      <w:szCs w:val="20"/>
                    </w:rPr>
                  </w:pPr>
                </w:p>
              </w:tc>
              <w:tc>
                <w:tcPr>
                  <w:tcW w:w="1148" w:type="dxa"/>
                </w:tcPr>
                <w:p w14:paraId="5F61BC89">
                  <w:pPr>
                    <w:jc w:val="center"/>
                    <w:rPr>
                      <w:color w:val="auto"/>
                      <w:kern w:val="44"/>
                      <w:szCs w:val="20"/>
                    </w:rPr>
                  </w:pPr>
                  <w:r>
                    <w:rPr>
                      <w:rFonts w:hint="eastAsia"/>
                      <w:color w:val="auto"/>
                      <w:kern w:val="44"/>
                      <w:szCs w:val="20"/>
                    </w:rPr>
                    <w:t>60.3</w:t>
                  </w:r>
                </w:p>
              </w:tc>
              <w:tc>
                <w:tcPr>
                  <w:tcW w:w="1149" w:type="dxa"/>
                </w:tcPr>
                <w:p w14:paraId="438ACC67">
                  <w:pPr>
                    <w:jc w:val="center"/>
                    <w:rPr>
                      <w:color w:val="auto"/>
                      <w:kern w:val="44"/>
                      <w:szCs w:val="20"/>
                    </w:rPr>
                  </w:pPr>
                  <w:r>
                    <w:rPr>
                      <w:rFonts w:hint="eastAsia"/>
                      <w:color w:val="auto"/>
                      <w:kern w:val="44"/>
                      <w:szCs w:val="20"/>
                    </w:rPr>
                    <w:t>达标</w:t>
                  </w:r>
                </w:p>
              </w:tc>
            </w:tr>
          </w:tbl>
          <w:p w14:paraId="5E53096B">
            <w:pPr>
              <w:jc w:val="center"/>
              <w:rPr>
                <w:b/>
                <w:bCs/>
                <w:color w:val="auto"/>
                <w:kern w:val="44"/>
                <w:szCs w:val="20"/>
              </w:rPr>
            </w:pPr>
          </w:p>
          <w:p w14:paraId="329D42FC">
            <w:pPr>
              <w:adjustRightInd w:val="0"/>
              <w:snapToGrid w:val="0"/>
              <w:spacing w:line="360" w:lineRule="auto"/>
              <w:ind w:firstLine="480" w:firstLineChars="200"/>
              <w:rPr>
                <w:color w:val="auto"/>
                <w:sz w:val="24"/>
                <w:szCs w:val="21"/>
              </w:rPr>
            </w:pPr>
            <w:r>
              <w:rPr>
                <w:rFonts w:hint="eastAsia"/>
                <w:color w:val="auto"/>
                <w:sz w:val="24"/>
                <w:szCs w:val="21"/>
              </w:rPr>
              <w:t>由上述监测结果可知，项目区域现状TSP污染物浓度满足《环境空气质量标准》（GB3095-2012）及修改单</w:t>
            </w:r>
            <w:r>
              <w:rPr>
                <w:rFonts w:hint="eastAsia"/>
                <w:color w:val="auto"/>
                <w:sz w:val="24"/>
                <w:szCs w:val="21"/>
                <w:lang w:val="en-US" w:eastAsia="zh-CN"/>
              </w:rPr>
              <w:t>中</w:t>
            </w:r>
            <w:r>
              <w:rPr>
                <w:rFonts w:hint="eastAsia"/>
                <w:color w:val="auto"/>
                <w:sz w:val="24"/>
                <w:szCs w:val="21"/>
              </w:rPr>
              <w:t>二级标准。</w:t>
            </w:r>
          </w:p>
          <w:p w14:paraId="561F93B7">
            <w:pPr>
              <w:adjustRightInd w:val="0"/>
              <w:snapToGrid w:val="0"/>
              <w:spacing w:line="360" w:lineRule="auto"/>
              <w:rPr>
                <w:b/>
                <w:bCs/>
                <w:color w:val="auto"/>
                <w:sz w:val="24"/>
                <w:szCs w:val="21"/>
              </w:rPr>
            </w:pPr>
            <w:r>
              <w:rPr>
                <w:rFonts w:hint="eastAsia"/>
                <w:b/>
                <w:bCs/>
                <w:color w:val="auto"/>
                <w:sz w:val="24"/>
                <w:szCs w:val="21"/>
              </w:rPr>
              <w:t>2.2</w:t>
            </w:r>
            <w:r>
              <w:rPr>
                <w:b/>
                <w:bCs/>
                <w:color w:val="auto"/>
                <w:sz w:val="24"/>
                <w:szCs w:val="21"/>
              </w:rPr>
              <w:t>水环境质量现状</w:t>
            </w:r>
          </w:p>
          <w:p w14:paraId="1472A8FA">
            <w:pPr>
              <w:adjustRightInd w:val="0"/>
              <w:snapToGrid w:val="0"/>
              <w:spacing w:line="360" w:lineRule="auto"/>
              <w:ind w:firstLine="480" w:firstLineChars="200"/>
              <w:rPr>
                <w:color w:val="auto"/>
                <w:sz w:val="24"/>
                <w:szCs w:val="21"/>
              </w:rPr>
            </w:pPr>
            <w:r>
              <w:rPr>
                <w:rFonts w:hint="eastAsia"/>
                <w:color w:val="auto"/>
                <w:sz w:val="24"/>
                <w:szCs w:val="21"/>
              </w:rPr>
              <w:t>（1）地表水环境</w:t>
            </w:r>
          </w:p>
          <w:p w14:paraId="0DC93BF7">
            <w:pPr>
              <w:adjustRightInd w:val="0"/>
              <w:snapToGrid w:val="0"/>
              <w:spacing w:line="360" w:lineRule="auto"/>
              <w:ind w:firstLine="480" w:firstLineChars="200"/>
              <w:rPr>
                <w:color w:val="auto"/>
                <w:sz w:val="24"/>
                <w:szCs w:val="21"/>
              </w:rPr>
            </w:pPr>
            <w:r>
              <w:rPr>
                <w:rFonts w:hint="eastAsia"/>
                <w:color w:val="auto"/>
                <w:sz w:val="24"/>
                <w:szCs w:val="21"/>
              </w:rPr>
              <w:t>本项目运营期无生产废水产生；车辆清洗废水经沉淀池处理后，用于车辆清洗</w:t>
            </w:r>
            <w:r>
              <w:rPr>
                <w:rFonts w:hint="eastAsia"/>
                <w:color w:val="auto"/>
                <w:sz w:val="24"/>
                <w:szCs w:val="21"/>
                <w:lang w:eastAsia="zh-CN"/>
              </w:rPr>
              <w:t>；</w:t>
            </w:r>
            <w:r>
              <w:rPr>
                <w:rFonts w:hint="eastAsia"/>
                <w:color w:val="auto"/>
                <w:sz w:val="24"/>
              </w:rPr>
              <w:t>运营期设1处环保厕所</w:t>
            </w:r>
            <w:r>
              <w:rPr>
                <w:rFonts w:hint="eastAsia"/>
                <w:color w:val="auto"/>
                <w:sz w:val="24"/>
                <w:lang w:val="en-US" w:eastAsia="zh-CN"/>
              </w:rPr>
              <w:t>和1座防渗化粪池（15m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，人员如厕废水定期由吸污车拉运至奇台县污水处理厂进一步处理</w:t>
            </w:r>
            <w:r>
              <w:rPr>
                <w:rFonts w:hint="eastAsia"/>
                <w:color w:val="auto"/>
                <w:sz w:val="24"/>
                <w:szCs w:val="21"/>
              </w:rPr>
              <w:t>。根据《环境影响评价技术导则 地表水环境》（HJ2.3-2018），地表水评价等级为三级B。本次不进行地表水环境质量现状评价。</w:t>
            </w:r>
          </w:p>
          <w:p w14:paraId="7C0E2E98">
            <w:pPr>
              <w:adjustRightInd w:val="0"/>
              <w:snapToGrid w:val="0"/>
              <w:spacing w:line="360" w:lineRule="auto"/>
              <w:ind w:firstLine="480" w:firstLineChars="200"/>
              <w:rPr>
                <w:color w:val="auto"/>
                <w:sz w:val="24"/>
                <w:szCs w:val="21"/>
              </w:rPr>
            </w:pPr>
            <w:r>
              <w:rPr>
                <w:rFonts w:hint="eastAsia"/>
                <w:color w:val="auto"/>
                <w:sz w:val="24"/>
                <w:szCs w:val="21"/>
              </w:rPr>
              <w:t>（2）地下水环境</w:t>
            </w:r>
          </w:p>
          <w:p w14:paraId="471E8271">
            <w:pPr>
              <w:adjustRightInd w:val="0"/>
              <w:snapToGrid w:val="0"/>
              <w:spacing w:line="360" w:lineRule="auto"/>
              <w:ind w:firstLine="480" w:firstLineChars="200"/>
              <w:rPr>
                <w:color w:val="auto"/>
                <w:sz w:val="24"/>
                <w:szCs w:val="21"/>
              </w:rPr>
            </w:pPr>
            <w:r>
              <w:rPr>
                <w:rFonts w:hint="eastAsia"/>
                <w:color w:val="auto"/>
                <w:sz w:val="24"/>
                <w:szCs w:val="21"/>
              </w:rPr>
              <w:t>根据《环境影响评价技术导则 地下水环境》（HJ610-2016）附录A，本项目属于J“非金属矿采选及制造业”中第54项土砂石开采项目，项目地下水环境影响评价项目类别为IV类项目，地下水环境敏感程度为不敏感。因此本项目不开展地下水环境影响评价。</w:t>
            </w:r>
          </w:p>
          <w:p w14:paraId="787F0163">
            <w:pPr>
              <w:adjustRightInd w:val="0"/>
              <w:snapToGrid w:val="0"/>
              <w:spacing w:line="360" w:lineRule="auto"/>
              <w:rPr>
                <w:b/>
                <w:bCs/>
                <w:color w:val="auto"/>
                <w:sz w:val="24"/>
                <w:szCs w:val="21"/>
                <w:lang w:val="zh-CN"/>
              </w:rPr>
            </w:pPr>
            <w:r>
              <w:rPr>
                <w:rFonts w:hint="eastAsia"/>
                <w:b/>
                <w:bCs/>
                <w:color w:val="auto"/>
                <w:sz w:val="24"/>
                <w:szCs w:val="21"/>
              </w:rPr>
              <w:t>2.3</w:t>
            </w:r>
            <w:r>
              <w:rPr>
                <w:b/>
                <w:bCs/>
                <w:color w:val="auto"/>
                <w:sz w:val="24"/>
                <w:szCs w:val="21"/>
                <w:lang w:val="zh-CN"/>
              </w:rPr>
              <w:t>声环境质量</w:t>
            </w:r>
            <w:r>
              <w:rPr>
                <w:rFonts w:hint="eastAsia"/>
                <w:b/>
                <w:bCs/>
                <w:color w:val="auto"/>
                <w:sz w:val="24"/>
                <w:szCs w:val="21"/>
              </w:rPr>
              <w:t>现状</w:t>
            </w:r>
          </w:p>
          <w:p w14:paraId="3B653916">
            <w:pPr>
              <w:widowControl/>
              <w:spacing w:line="360" w:lineRule="auto"/>
              <w:ind w:firstLine="480" w:firstLineChars="200"/>
              <w:rPr>
                <w:color w:val="auto"/>
                <w:sz w:val="24"/>
                <w:szCs w:val="21"/>
              </w:rPr>
            </w:pPr>
            <w:r>
              <w:rPr>
                <w:rFonts w:hint="eastAsia"/>
                <w:color w:val="auto"/>
                <w:sz w:val="24"/>
                <w:szCs w:val="21"/>
                <w:lang w:val="en-US" w:eastAsia="zh-CN"/>
              </w:rPr>
              <w:t>本项目南侧65m处为养殖区、西北方向140m处有零星养殖户。</w:t>
            </w:r>
            <w:r>
              <w:rPr>
                <w:rFonts w:hint="eastAsia"/>
                <w:color w:val="auto"/>
                <w:sz w:val="24"/>
                <w:szCs w:val="21"/>
              </w:rPr>
              <w:t>根据《建设项目环境影响报告表编制技术指南（生态影响类）（试行）》要求，项目区50m范围内无声环境敏感点，因此本次不进行声环境质量现状评价。</w:t>
            </w:r>
          </w:p>
          <w:p w14:paraId="354BE03A">
            <w:pPr>
              <w:widowControl/>
              <w:spacing w:line="360" w:lineRule="auto"/>
              <w:rPr>
                <w:color w:val="auto"/>
                <w:sz w:val="24"/>
                <w:szCs w:val="21"/>
              </w:rPr>
            </w:pPr>
            <w:r>
              <w:rPr>
                <w:rFonts w:hint="eastAsia"/>
                <w:b/>
                <w:bCs/>
                <w:color w:val="auto"/>
                <w:sz w:val="24"/>
                <w:szCs w:val="21"/>
              </w:rPr>
              <w:t>2.4土壤</w:t>
            </w:r>
            <w:r>
              <w:rPr>
                <w:b/>
                <w:bCs/>
                <w:color w:val="auto"/>
                <w:sz w:val="24"/>
                <w:szCs w:val="21"/>
              </w:rPr>
              <w:t>环境质量</w:t>
            </w:r>
            <w:r>
              <w:rPr>
                <w:rFonts w:hint="eastAsia"/>
                <w:b/>
                <w:bCs/>
                <w:color w:val="auto"/>
                <w:sz w:val="24"/>
                <w:szCs w:val="21"/>
              </w:rPr>
              <w:t>现状</w:t>
            </w:r>
          </w:p>
          <w:p w14:paraId="3AE5E5BD">
            <w:pPr>
              <w:widowControl/>
              <w:spacing w:line="360" w:lineRule="auto"/>
              <w:ind w:firstLine="480" w:firstLineChars="200"/>
              <w:rPr>
                <w:color w:val="auto"/>
                <w:sz w:val="24"/>
                <w:szCs w:val="21"/>
              </w:rPr>
            </w:pPr>
            <w:r>
              <w:rPr>
                <w:rFonts w:hint="eastAsia"/>
                <w:color w:val="auto"/>
                <w:sz w:val="24"/>
                <w:szCs w:val="21"/>
              </w:rPr>
              <w:t>根据《环境影响评价技术导则 土壤环境（试行）》（HJ964-2018）中“5.2.1”</w:t>
            </w:r>
          </w:p>
          <w:p w14:paraId="20AB673E">
            <w:pPr>
              <w:widowControl/>
              <w:spacing w:line="360" w:lineRule="auto"/>
              <w:rPr>
                <w:color w:val="auto"/>
                <w:sz w:val="24"/>
                <w:szCs w:val="21"/>
              </w:rPr>
            </w:pPr>
            <w:r>
              <w:rPr>
                <w:rFonts w:hint="eastAsia"/>
                <w:color w:val="auto"/>
                <w:sz w:val="24"/>
                <w:szCs w:val="21"/>
              </w:rPr>
              <w:t>要求，本项目为建筑用砂露天开采项目，属于《环境影响评价技术导则 土壤环境（试行）》（HJ964-2018）附录A中Ⅲ类项目。项目所在地多年平均</w:t>
            </w:r>
          </w:p>
          <w:p w14:paraId="6AA4785B">
            <w:pPr>
              <w:widowControl/>
              <w:spacing w:line="360" w:lineRule="auto"/>
              <w:rPr>
                <w:color w:val="auto"/>
                <w:sz w:val="24"/>
                <w:szCs w:val="21"/>
              </w:rPr>
            </w:pPr>
            <w:r>
              <w:rPr>
                <w:rFonts w:hint="eastAsia"/>
                <w:color w:val="auto"/>
                <w:sz w:val="24"/>
                <w:szCs w:val="21"/>
              </w:rPr>
              <w:t>蒸发量 2135.72mm，年平均降水量178.77mm，干燥度为11.95；项目所在地地下水位埋深大于50m。</w:t>
            </w:r>
          </w:p>
          <w:p w14:paraId="42AA3C29">
            <w:pPr>
              <w:widowControl/>
              <w:spacing w:line="360" w:lineRule="auto"/>
              <w:ind w:firstLine="480"/>
              <w:rPr>
                <w:color w:val="auto"/>
                <w:kern w:val="0"/>
                <w:sz w:val="24"/>
                <w:lang w:bidi="ar"/>
              </w:rPr>
            </w:pPr>
            <w:r>
              <w:rPr>
                <w:rFonts w:hint="eastAsia"/>
                <w:color w:val="auto"/>
                <w:kern w:val="0"/>
                <w:sz w:val="24"/>
                <w:lang w:bidi="ar"/>
              </w:rPr>
              <w:t>为了解矿区土壤中pH值和含盐量情况，建设单位委托新疆西域质信检验检测有限公司对矿区及矿区东侧200m处退耕还林地、矿区西侧130m处退耕还林地处土壤开展监测，采样时间2025年1月9日，监测布点见表3-</w:t>
            </w:r>
            <w:r>
              <w:rPr>
                <w:rFonts w:hint="eastAsia"/>
                <w:color w:val="auto"/>
                <w:kern w:val="0"/>
                <w:sz w:val="24"/>
                <w:lang w:val="en-US" w:eastAsia="zh-CN" w:bidi="ar"/>
              </w:rPr>
              <w:t>6</w:t>
            </w:r>
            <w:r>
              <w:rPr>
                <w:rFonts w:hint="eastAsia"/>
                <w:color w:val="auto"/>
                <w:kern w:val="0"/>
                <w:sz w:val="24"/>
                <w:lang w:bidi="ar"/>
              </w:rPr>
              <w:t>，监测布点图见图3-</w:t>
            </w:r>
            <w:r>
              <w:rPr>
                <w:rFonts w:hint="eastAsia"/>
                <w:color w:val="auto"/>
                <w:kern w:val="0"/>
                <w:sz w:val="24"/>
                <w:lang w:val="en-US" w:eastAsia="zh-CN" w:bidi="ar"/>
              </w:rPr>
              <w:t>5</w:t>
            </w:r>
            <w:r>
              <w:rPr>
                <w:rFonts w:hint="eastAsia"/>
                <w:color w:val="auto"/>
                <w:kern w:val="0"/>
                <w:sz w:val="24"/>
                <w:lang w:bidi="ar"/>
              </w:rPr>
              <w:t>。</w:t>
            </w:r>
          </w:p>
          <w:p w14:paraId="17D2C976">
            <w:pPr>
              <w:jc w:val="center"/>
              <w:rPr>
                <w:b/>
                <w:bCs/>
                <w:color w:val="auto"/>
                <w:kern w:val="44"/>
                <w:szCs w:val="20"/>
              </w:rPr>
            </w:pPr>
            <w:r>
              <w:rPr>
                <w:rFonts w:hint="eastAsia"/>
                <w:b/>
                <w:bCs/>
                <w:color w:val="auto"/>
                <w:kern w:val="44"/>
                <w:szCs w:val="20"/>
              </w:rPr>
              <w:t>表3-</w:t>
            </w:r>
            <w:r>
              <w:rPr>
                <w:rFonts w:hint="eastAsia"/>
                <w:b/>
                <w:bCs/>
                <w:color w:val="auto"/>
                <w:kern w:val="44"/>
                <w:szCs w:val="20"/>
                <w:lang w:val="en-US" w:eastAsia="zh-CN"/>
              </w:rPr>
              <w:t>6</w:t>
            </w:r>
            <w:r>
              <w:rPr>
                <w:rFonts w:hint="eastAsia"/>
                <w:b/>
                <w:bCs/>
                <w:color w:val="auto"/>
                <w:kern w:val="44"/>
                <w:szCs w:val="20"/>
              </w:rPr>
              <w:t xml:space="preserve">    土壤监测布点及监测因子一览表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5"/>
              <w:gridCol w:w="1801"/>
              <w:gridCol w:w="995"/>
              <w:gridCol w:w="3251"/>
              <w:gridCol w:w="1485"/>
            </w:tblGrid>
            <w:tr w14:paraId="65DB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8" w:type="pct"/>
                  <w:vAlign w:val="center"/>
                </w:tcPr>
                <w:p w14:paraId="0C87822C">
                  <w:pPr>
                    <w:jc w:val="center"/>
                    <w:rPr>
                      <w:color w:val="auto"/>
                      <w:spacing w:val="8"/>
                      <w:szCs w:val="21"/>
                    </w:rPr>
                  </w:pPr>
                  <w:r>
                    <w:rPr>
                      <w:color w:val="auto"/>
                      <w:spacing w:val="8"/>
                      <w:szCs w:val="21"/>
                    </w:rPr>
                    <w:t>序号</w:t>
                  </w:r>
                </w:p>
              </w:tc>
              <w:tc>
                <w:tcPr>
                  <w:tcW w:w="1121" w:type="pct"/>
                  <w:vAlign w:val="center"/>
                </w:tcPr>
                <w:p w14:paraId="45997E58">
                  <w:pPr>
                    <w:jc w:val="center"/>
                    <w:rPr>
                      <w:color w:val="auto"/>
                      <w:spacing w:val="8"/>
                      <w:szCs w:val="21"/>
                    </w:rPr>
                  </w:pPr>
                  <w:r>
                    <w:rPr>
                      <w:color w:val="auto"/>
                      <w:spacing w:val="8"/>
                      <w:szCs w:val="21"/>
                    </w:rPr>
                    <w:t>监测</w:t>
                  </w:r>
                </w:p>
                <w:p w14:paraId="2C90BDD4">
                  <w:pPr>
                    <w:jc w:val="center"/>
                    <w:rPr>
                      <w:color w:val="auto"/>
                      <w:spacing w:val="8"/>
                      <w:szCs w:val="21"/>
                    </w:rPr>
                  </w:pPr>
                  <w:r>
                    <w:rPr>
                      <w:color w:val="auto"/>
                      <w:spacing w:val="8"/>
                      <w:szCs w:val="21"/>
                    </w:rPr>
                    <w:t>布点</w:t>
                  </w:r>
                </w:p>
              </w:tc>
              <w:tc>
                <w:tcPr>
                  <w:tcW w:w="620" w:type="pct"/>
                  <w:vAlign w:val="center"/>
                </w:tcPr>
                <w:p w14:paraId="47CF28E9">
                  <w:pPr>
                    <w:jc w:val="center"/>
                    <w:rPr>
                      <w:color w:val="auto"/>
                      <w:spacing w:val="8"/>
                      <w:szCs w:val="21"/>
                    </w:rPr>
                  </w:pPr>
                  <w:r>
                    <w:rPr>
                      <w:color w:val="auto"/>
                      <w:spacing w:val="8"/>
                      <w:szCs w:val="21"/>
                    </w:rPr>
                    <w:t>取样</w:t>
                  </w:r>
                </w:p>
                <w:p w14:paraId="716143A4">
                  <w:pPr>
                    <w:jc w:val="center"/>
                    <w:rPr>
                      <w:color w:val="auto"/>
                      <w:spacing w:val="8"/>
                      <w:szCs w:val="21"/>
                    </w:rPr>
                  </w:pPr>
                  <w:r>
                    <w:rPr>
                      <w:color w:val="auto"/>
                      <w:spacing w:val="8"/>
                      <w:szCs w:val="21"/>
                    </w:rPr>
                    <w:t>深度</w:t>
                  </w:r>
                </w:p>
              </w:tc>
              <w:tc>
                <w:tcPr>
                  <w:tcW w:w="2024" w:type="pct"/>
                  <w:vAlign w:val="center"/>
                </w:tcPr>
                <w:p w14:paraId="3B6CD1FB">
                  <w:pPr>
                    <w:jc w:val="center"/>
                    <w:rPr>
                      <w:color w:val="auto"/>
                      <w:spacing w:val="8"/>
                      <w:szCs w:val="21"/>
                    </w:rPr>
                  </w:pPr>
                  <w:r>
                    <w:rPr>
                      <w:color w:val="auto"/>
                      <w:spacing w:val="8"/>
                      <w:szCs w:val="21"/>
                    </w:rPr>
                    <w:t>坐标</w:t>
                  </w:r>
                </w:p>
              </w:tc>
              <w:tc>
                <w:tcPr>
                  <w:tcW w:w="925" w:type="pct"/>
                  <w:vAlign w:val="center"/>
                </w:tcPr>
                <w:p w14:paraId="58C05722">
                  <w:pPr>
                    <w:jc w:val="center"/>
                    <w:rPr>
                      <w:color w:val="auto"/>
                      <w:spacing w:val="8"/>
                      <w:szCs w:val="21"/>
                    </w:rPr>
                  </w:pPr>
                  <w:r>
                    <w:rPr>
                      <w:color w:val="auto"/>
                      <w:spacing w:val="8"/>
                      <w:szCs w:val="21"/>
                    </w:rPr>
                    <w:t>监测因子</w:t>
                  </w:r>
                </w:p>
              </w:tc>
            </w:tr>
            <w:tr w14:paraId="0B0E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8" w:type="pct"/>
                  <w:vAlign w:val="center"/>
                </w:tcPr>
                <w:p w14:paraId="35E65E64">
                  <w:pPr>
                    <w:jc w:val="center"/>
                    <w:rPr>
                      <w:color w:val="auto"/>
                      <w:spacing w:val="8"/>
                      <w:szCs w:val="21"/>
                    </w:rPr>
                  </w:pPr>
                  <w:r>
                    <w:rPr>
                      <w:color w:val="auto"/>
                      <w:spacing w:val="8"/>
                      <w:szCs w:val="21"/>
                    </w:rPr>
                    <w:t>1#</w:t>
                  </w:r>
                </w:p>
              </w:tc>
              <w:tc>
                <w:tcPr>
                  <w:tcW w:w="1801" w:type="dxa"/>
                  <w:vAlign w:val="center"/>
                </w:tcPr>
                <w:p w14:paraId="61BFFCD7">
                  <w:pPr>
                    <w:jc w:val="center"/>
                    <w:rPr>
                      <w:color w:val="auto"/>
                      <w:spacing w:val="8"/>
                      <w:szCs w:val="21"/>
                    </w:rPr>
                  </w:pPr>
                  <w:r>
                    <w:rPr>
                      <w:color w:val="auto"/>
                      <w:spacing w:val="8"/>
                      <w:szCs w:val="21"/>
                    </w:rPr>
                    <w:t>占地范围内</w:t>
                  </w:r>
                </w:p>
              </w:tc>
              <w:tc>
                <w:tcPr>
                  <w:tcW w:w="620" w:type="pct"/>
                  <w:vMerge w:val="restart"/>
                  <w:vAlign w:val="center"/>
                </w:tcPr>
                <w:p w14:paraId="1D53AE22">
                  <w:pPr>
                    <w:jc w:val="center"/>
                    <w:rPr>
                      <w:color w:val="auto"/>
                      <w:spacing w:val="8"/>
                      <w:szCs w:val="21"/>
                    </w:rPr>
                  </w:pPr>
                  <w:r>
                    <w:rPr>
                      <w:color w:val="auto"/>
                      <w:spacing w:val="8"/>
                      <w:szCs w:val="21"/>
                    </w:rPr>
                    <w:t>表层样</w:t>
                  </w:r>
                </w:p>
              </w:tc>
              <w:tc>
                <w:tcPr>
                  <w:tcW w:w="3250" w:type="dxa"/>
                  <w:vAlign w:val="center"/>
                </w:tcPr>
                <w:p w14:paraId="2E4C02A7">
                  <w:pPr>
                    <w:jc w:val="center"/>
                    <w:rPr>
                      <w:color w:val="auto"/>
                      <w:spacing w:val="8"/>
                      <w:szCs w:val="21"/>
                    </w:rPr>
                  </w:pPr>
                  <w:r>
                    <w:rPr>
                      <w:rFonts w:hint="eastAsia"/>
                      <w:color w:val="auto"/>
                      <w:spacing w:val="8"/>
                      <w:szCs w:val="21"/>
                    </w:rPr>
                    <w:t>E89°56′57.560″,N43°59′24.705″</w:t>
                  </w:r>
                </w:p>
              </w:tc>
              <w:tc>
                <w:tcPr>
                  <w:tcW w:w="925" w:type="pct"/>
                  <w:vAlign w:val="center"/>
                </w:tcPr>
                <w:p w14:paraId="350E9244">
                  <w:pPr>
                    <w:jc w:val="center"/>
                    <w:rPr>
                      <w:color w:val="auto"/>
                      <w:spacing w:val="-6"/>
                      <w:szCs w:val="21"/>
                    </w:rPr>
                  </w:pPr>
                  <w:r>
                    <w:rPr>
                      <w:bCs/>
                      <w:color w:val="auto"/>
                      <w:kern w:val="0"/>
                      <w:szCs w:val="21"/>
                    </w:rPr>
                    <w:t>pH、含盐量</w:t>
                  </w:r>
                </w:p>
              </w:tc>
            </w:tr>
            <w:tr w14:paraId="0814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8" w:type="pct"/>
                  <w:vAlign w:val="center"/>
                </w:tcPr>
                <w:p w14:paraId="351A56F9">
                  <w:pPr>
                    <w:jc w:val="center"/>
                    <w:rPr>
                      <w:color w:val="auto"/>
                      <w:spacing w:val="8"/>
                      <w:szCs w:val="21"/>
                    </w:rPr>
                  </w:pPr>
                  <w:r>
                    <w:rPr>
                      <w:color w:val="auto"/>
                      <w:spacing w:val="8"/>
                      <w:szCs w:val="21"/>
                    </w:rPr>
                    <w:t>2#</w:t>
                  </w:r>
                </w:p>
              </w:tc>
              <w:tc>
                <w:tcPr>
                  <w:tcW w:w="1801" w:type="dxa"/>
                  <w:vAlign w:val="center"/>
                </w:tcPr>
                <w:p w14:paraId="4E8759D6">
                  <w:pPr>
                    <w:jc w:val="center"/>
                    <w:rPr>
                      <w:color w:val="auto"/>
                      <w:spacing w:val="8"/>
                      <w:szCs w:val="21"/>
                    </w:rPr>
                  </w:pPr>
                  <w:r>
                    <w:rPr>
                      <w:rFonts w:hint="eastAsia"/>
                      <w:color w:val="auto"/>
                      <w:spacing w:val="8"/>
                      <w:szCs w:val="21"/>
                    </w:rPr>
                    <w:t>矿区东侧200m处退耕还林地</w:t>
                  </w:r>
                </w:p>
              </w:tc>
              <w:tc>
                <w:tcPr>
                  <w:tcW w:w="620" w:type="pct"/>
                  <w:vMerge w:val="continue"/>
                  <w:vAlign w:val="center"/>
                </w:tcPr>
                <w:p w14:paraId="398E363E">
                  <w:pPr>
                    <w:jc w:val="center"/>
                    <w:rPr>
                      <w:color w:val="auto"/>
                      <w:spacing w:val="8"/>
                      <w:szCs w:val="21"/>
                    </w:rPr>
                  </w:pPr>
                </w:p>
              </w:tc>
              <w:tc>
                <w:tcPr>
                  <w:tcW w:w="3250" w:type="dxa"/>
                  <w:vAlign w:val="center"/>
                </w:tcPr>
                <w:p w14:paraId="1FC3B7A6">
                  <w:pPr>
                    <w:jc w:val="center"/>
                    <w:rPr>
                      <w:color w:val="auto"/>
                      <w:spacing w:val="8"/>
                      <w:szCs w:val="21"/>
                    </w:rPr>
                  </w:pPr>
                  <w:r>
                    <w:rPr>
                      <w:rFonts w:hint="eastAsia"/>
                      <w:color w:val="auto"/>
                      <w:spacing w:val="8"/>
                      <w:szCs w:val="21"/>
                    </w:rPr>
                    <w:t>E89°57′12.121″,N43°59′37.721″</w:t>
                  </w:r>
                </w:p>
              </w:tc>
              <w:tc>
                <w:tcPr>
                  <w:tcW w:w="925" w:type="pct"/>
                  <w:vAlign w:val="center"/>
                </w:tcPr>
                <w:p w14:paraId="32692DF4">
                  <w:pPr>
                    <w:jc w:val="center"/>
                    <w:rPr>
                      <w:color w:val="auto"/>
                      <w:spacing w:val="-6"/>
                      <w:szCs w:val="21"/>
                    </w:rPr>
                  </w:pPr>
                  <w:r>
                    <w:rPr>
                      <w:bCs/>
                      <w:color w:val="auto"/>
                      <w:kern w:val="0"/>
                      <w:szCs w:val="21"/>
                    </w:rPr>
                    <w:t>pH、含盐量</w:t>
                  </w:r>
                </w:p>
              </w:tc>
            </w:tr>
            <w:tr w14:paraId="4D97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308" w:type="pct"/>
                  <w:vAlign w:val="center"/>
                </w:tcPr>
                <w:p w14:paraId="1BDEE26C">
                  <w:pPr>
                    <w:jc w:val="center"/>
                    <w:rPr>
                      <w:color w:val="auto"/>
                      <w:spacing w:val="8"/>
                      <w:szCs w:val="21"/>
                    </w:rPr>
                  </w:pPr>
                  <w:r>
                    <w:rPr>
                      <w:color w:val="auto"/>
                      <w:spacing w:val="8"/>
                      <w:szCs w:val="21"/>
                    </w:rPr>
                    <w:t>3#</w:t>
                  </w:r>
                </w:p>
              </w:tc>
              <w:tc>
                <w:tcPr>
                  <w:tcW w:w="1801" w:type="dxa"/>
                  <w:vAlign w:val="center"/>
                </w:tcPr>
                <w:p w14:paraId="50A119DB">
                  <w:pPr>
                    <w:jc w:val="center"/>
                    <w:rPr>
                      <w:color w:val="auto"/>
                      <w:spacing w:val="8"/>
                      <w:szCs w:val="21"/>
                    </w:rPr>
                  </w:pPr>
                  <w:r>
                    <w:rPr>
                      <w:rFonts w:hint="eastAsia"/>
                      <w:color w:val="auto"/>
                      <w:spacing w:val="8"/>
                      <w:szCs w:val="21"/>
                    </w:rPr>
                    <w:t>矿区西侧130m处退耕还林地</w:t>
                  </w:r>
                </w:p>
              </w:tc>
              <w:tc>
                <w:tcPr>
                  <w:tcW w:w="620" w:type="pct"/>
                  <w:vMerge w:val="continue"/>
                  <w:vAlign w:val="center"/>
                </w:tcPr>
                <w:p w14:paraId="4F69D17B">
                  <w:pPr>
                    <w:jc w:val="center"/>
                    <w:rPr>
                      <w:color w:val="auto"/>
                      <w:spacing w:val="8"/>
                      <w:szCs w:val="21"/>
                    </w:rPr>
                  </w:pPr>
                </w:p>
              </w:tc>
              <w:tc>
                <w:tcPr>
                  <w:tcW w:w="3250" w:type="dxa"/>
                  <w:vAlign w:val="center"/>
                </w:tcPr>
                <w:p w14:paraId="29963D3E">
                  <w:pPr>
                    <w:jc w:val="center"/>
                    <w:rPr>
                      <w:color w:val="auto"/>
                      <w:spacing w:val="8"/>
                      <w:szCs w:val="21"/>
                    </w:rPr>
                  </w:pPr>
                  <w:r>
                    <w:rPr>
                      <w:rFonts w:hint="eastAsia"/>
                      <w:color w:val="auto"/>
                      <w:spacing w:val="8"/>
                      <w:szCs w:val="21"/>
                    </w:rPr>
                    <w:t>E89°56′46.861″,N43°59′23.353″</w:t>
                  </w:r>
                </w:p>
              </w:tc>
              <w:tc>
                <w:tcPr>
                  <w:tcW w:w="925" w:type="pct"/>
                  <w:vAlign w:val="center"/>
                </w:tcPr>
                <w:p w14:paraId="03B83A09">
                  <w:pPr>
                    <w:jc w:val="center"/>
                    <w:rPr>
                      <w:color w:val="auto"/>
                      <w:spacing w:val="-6"/>
                      <w:szCs w:val="21"/>
                    </w:rPr>
                  </w:pPr>
                  <w:r>
                    <w:rPr>
                      <w:bCs/>
                      <w:color w:val="auto"/>
                      <w:kern w:val="0"/>
                      <w:szCs w:val="21"/>
                    </w:rPr>
                    <w:t>pH、含盐量</w:t>
                  </w:r>
                </w:p>
              </w:tc>
            </w:tr>
          </w:tbl>
          <w:p w14:paraId="39133C1A">
            <w:pPr>
              <w:widowControl/>
              <w:spacing w:line="360" w:lineRule="auto"/>
              <w:ind w:firstLine="480"/>
              <w:rPr>
                <w:color w:val="auto"/>
                <w:kern w:val="0"/>
                <w:sz w:val="24"/>
                <w:lang w:bidi="ar"/>
              </w:rPr>
            </w:pPr>
            <w:r>
              <w:rPr>
                <w:rFonts w:hint="eastAsia"/>
                <w:color w:val="auto"/>
                <w:kern w:val="0"/>
                <w:sz w:val="24"/>
                <w:lang w:bidi="ar"/>
              </w:rPr>
              <w:t>土壤监测数据及评价结果见表3-</w:t>
            </w:r>
            <w:r>
              <w:rPr>
                <w:rFonts w:hint="eastAsia"/>
                <w:color w:val="auto"/>
                <w:kern w:val="0"/>
                <w:sz w:val="24"/>
                <w:lang w:val="en-US" w:eastAsia="zh-CN" w:bidi="ar"/>
              </w:rPr>
              <w:t>7</w:t>
            </w:r>
            <w:r>
              <w:rPr>
                <w:rFonts w:hint="eastAsia"/>
                <w:color w:val="auto"/>
                <w:kern w:val="0"/>
                <w:sz w:val="24"/>
                <w:lang w:bidi="ar"/>
              </w:rPr>
              <w:t>。</w:t>
            </w:r>
          </w:p>
          <w:p w14:paraId="31F5921B">
            <w:pPr>
              <w:jc w:val="center"/>
              <w:rPr>
                <w:b/>
                <w:bCs/>
                <w:color w:val="auto"/>
                <w:kern w:val="44"/>
                <w:szCs w:val="20"/>
              </w:rPr>
            </w:pPr>
            <w:r>
              <w:rPr>
                <w:rFonts w:hint="eastAsia"/>
                <w:b/>
                <w:bCs/>
                <w:color w:val="auto"/>
                <w:kern w:val="44"/>
                <w:szCs w:val="20"/>
              </w:rPr>
              <w:t>表3-</w:t>
            </w:r>
            <w:r>
              <w:rPr>
                <w:rFonts w:hint="eastAsia"/>
                <w:b/>
                <w:bCs/>
                <w:color w:val="auto"/>
                <w:kern w:val="44"/>
                <w:szCs w:val="20"/>
                <w:lang w:val="en-US" w:eastAsia="zh-CN"/>
              </w:rPr>
              <w:t>7</w:t>
            </w:r>
            <w:r>
              <w:rPr>
                <w:rFonts w:hint="eastAsia"/>
                <w:b/>
                <w:bCs/>
                <w:color w:val="auto"/>
                <w:kern w:val="44"/>
                <w:szCs w:val="20"/>
              </w:rPr>
              <w:t xml:space="preserve">    土壤现状监测及评价结果</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1416"/>
              <w:gridCol w:w="2119"/>
              <w:gridCol w:w="2008"/>
            </w:tblGrid>
            <w:tr w14:paraId="0A15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Merge w:val="restart"/>
                </w:tcPr>
                <w:p w14:paraId="34F2D56C">
                  <w:pPr>
                    <w:jc w:val="center"/>
                    <w:rPr>
                      <w:b/>
                      <w:bCs/>
                      <w:color w:val="auto"/>
                      <w:kern w:val="44"/>
                      <w:szCs w:val="20"/>
                    </w:rPr>
                  </w:pPr>
                  <w:r>
                    <w:rPr>
                      <w:rFonts w:hint="eastAsia"/>
                      <w:b/>
                      <w:bCs/>
                      <w:color w:val="auto"/>
                      <w:kern w:val="44"/>
                      <w:szCs w:val="20"/>
                    </w:rPr>
                    <w:t>监测项目</w:t>
                  </w:r>
                </w:p>
              </w:tc>
              <w:tc>
                <w:tcPr>
                  <w:tcW w:w="5543" w:type="dxa"/>
                  <w:gridSpan w:val="3"/>
                  <w:vAlign w:val="center"/>
                </w:tcPr>
                <w:p w14:paraId="62F2723D">
                  <w:pPr>
                    <w:jc w:val="center"/>
                    <w:rPr>
                      <w:b/>
                      <w:bCs/>
                      <w:color w:val="auto"/>
                      <w:kern w:val="44"/>
                      <w:szCs w:val="20"/>
                    </w:rPr>
                  </w:pPr>
                  <w:r>
                    <w:rPr>
                      <w:rFonts w:hint="eastAsia"/>
                      <w:b/>
                      <w:bCs/>
                      <w:color w:val="auto"/>
                      <w:kern w:val="44"/>
                      <w:szCs w:val="20"/>
                    </w:rPr>
                    <w:t>监测点位</w:t>
                  </w:r>
                </w:p>
              </w:tc>
            </w:tr>
            <w:tr w14:paraId="61AA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Merge w:val="continue"/>
                </w:tcPr>
                <w:p w14:paraId="75A1F2DF">
                  <w:pPr>
                    <w:jc w:val="center"/>
                    <w:rPr>
                      <w:b/>
                      <w:bCs/>
                      <w:color w:val="auto"/>
                      <w:kern w:val="44"/>
                      <w:szCs w:val="20"/>
                    </w:rPr>
                  </w:pPr>
                </w:p>
              </w:tc>
              <w:tc>
                <w:tcPr>
                  <w:tcW w:w="1416" w:type="dxa"/>
                  <w:shd w:val="clear" w:color="auto" w:fill="auto"/>
                  <w:vAlign w:val="center"/>
                </w:tcPr>
                <w:p w14:paraId="60EF4C12">
                  <w:pPr>
                    <w:jc w:val="center"/>
                    <w:rPr>
                      <w:b/>
                      <w:bCs/>
                      <w:color w:val="auto"/>
                      <w:kern w:val="44"/>
                      <w:szCs w:val="20"/>
                    </w:rPr>
                  </w:pPr>
                  <w:r>
                    <w:rPr>
                      <w:color w:val="auto"/>
                      <w:szCs w:val="21"/>
                    </w:rPr>
                    <w:t>占地范围内</w:t>
                  </w:r>
                </w:p>
              </w:tc>
              <w:tc>
                <w:tcPr>
                  <w:tcW w:w="2119" w:type="dxa"/>
                  <w:shd w:val="clear" w:color="auto" w:fill="auto"/>
                  <w:vAlign w:val="center"/>
                </w:tcPr>
                <w:p w14:paraId="57464081">
                  <w:pPr>
                    <w:jc w:val="center"/>
                    <w:rPr>
                      <w:b/>
                      <w:bCs/>
                      <w:color w:val="auto"/>
                      <w:kern w:val="44"/>
                      <w:szCs w:val="20"/>
                    </w:rPr>
                  </w:pPr>
                  <w:r>
                    <w:rPr>
                      <w:rFonts w:hint="eastAsia"/>
                      <w:color w:val="auto"/>
                      <w:szCs w:val="21"/>
                    </w:rPr>
                    <w:t>矿区东侧200m处退耕还林地</w:t>
                  </w:r>
                </w:p>
              </w:tc>
              <w:tc>
                <w:tcPr>
                  <w:tcW w:w="2008" w:type="dxa"/>
                  <w:shd w:val="clear" w:color="auto" w:fill="auto"/>
                  <w:vAlign w:val="center"/>
                </w:tcPr>
                <w:p w14:paraId="3D257945">
                  <w:pPr>
                    <w:jc w:val="center"/>
                    <w:rPr>
                      <w:b/>
                      <w:bCs/>
                      <w:color w:val="auto"/>
                      <w:kern w:val="44"/>
                      <w:szCs w:val="20"/>
                    </w:rPr>
                  </w:pPr>
                  <w:r>
                    <w:rPr>
                      <w:rFonts w:hint="eastAsia"/>
                      <w:color w:val="auto"/>
                      <w:szCs w:val="21"/>
                    </w:rPr>
                    <w:t>矿区西侧130m处退耕还林地</w:t>
                  </w:r>
                </w:p>
              </w:tc>
            </w:tr>
            <w:tr w14:paraId="4C5E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Align w:val="center"/>
                </w:tcPr>
                <w:p w14:paraId="5407AEC9">
                  <w:pPr>
                    <w:snapToGrid w:val="0"/>
                    <w:ind w:left="72"/>
                    <w:jc w:val="center"/>
                    <w:rPr>
                      <w:b/>
                      <w:bCs/>
                      <w:color w:val="auto"/>
                      <w:kern w:val="44"/>
                      <w:szCs w:val="20"/>
                    </w:rPr>
                  </w:pPr>
                  <w:r>
                    <w:rPr>
                      <w:color w:val="auto"/>
                      <w:szCs w:val="21"/>
                    </w:rPr>
                    <w:t>pH</w:t>
                  </w:r>
                  <w:r>
                    <w:rPr>
                      <w:rFonts w:hint="eastAsia"/>
                      <w:color w:val="auto"/>
                      <w:szCs w:val="21"/>
                    </w:rPr>
                    <w:t>（</w:t>
                  </w:r>
                  <w:r>
                    <w:rPr>
                      <w:color w:val="auto"/>
                      <w:szCs w:val="21"/>
                    </w:rPr>
                    <w:t>无量纲</w:t>
                  </w:r>
                  <w:r>
                    <w:rPr>
                      <w:rFonts w:hint="eastAsia"/>
                      <w:color w:val="auto"/>
                      <w:szCs w:val="21"/>
                    </w:rPr>
                    <w:t>）</w:t>
                  </w:r>
                </w:p>
              </w:tc>
              <w:tc>
                <w:tcPr>
                  <w:tcW w:w="1416" w:type="dxa"/>
                  <w:vAlign w:val="center"/>
                </w:tcPr>
                <w:p w14:paraId="45C931B5">
                  <w:pPr>
                    <w:pStyle w:val="61"/>
                    <w:tabs>
                      <w:tab w:val="left" w:pos="2760"/>
                      <w:tab w:val="clear" w:pos="1845"/>
                    </w:tabs>
                    <w:spacing w:line="240" w:lineRule="auto"/>
                    <w:rPr>
                      <w:rFonts w:ascii="Times New Roman" w:cs="Times New Roman"/>
                      <w:b w:val="0"/>
                      <w:color w:val="auto"/>
                      <w:kern w:val="44"/>
                      <w:sz w:val="21"/>
                      <w:szCs w:val="20"/>
                    </w:rPr>
                  </w:pPr>
                  <w:r>
                    <w:rPr>
                      <w:rFonts w:hint="eastAsia" w:ascii="Times New Roman" w:cs="Times New Roman"/>
                      <w:b w:val="0"/>
                      <w:color w:val="auto"/>
                      <w:sz w:val="21"/>
                      <w:szCs w:val="21"/>
                    </w:rPr>
                    <w:t>8.2</w:t>
                  </w:r>
                </w:p>
              </w:tc>
              <w:tc>
                <w:tcPr>
                  <w:tcW w:w="2119" w:type="dxa"/>
                  <w:vAlign w:val="center"/>
                </w:tcPr>
                <w:p w14:paraId="5284BAAE">
                  <w:pPr>
                    <w:pStyle w:val="61"/>
                    <w:tabs>
                      <w:tab w:val="left" w:pos="2760"/>
                      <w:tab w:val="clear" w:pos="1845"/>
                    </w:tabs>
                    <w:spacing w:line="240" w:lineRule="auto"/>
                    <w:rPr>
                      <w:rFonts w:ascii="Times New Roman" w:cs="Times New Roman"/>
                      <w:b w:val="0"/>
                      <w:color w:val="auto"/>
                      <w:kern w:val="44"/>
                      <w:sz w:val="21"/>
                      <w:szCs w:val="20"/>
                    </w:rPr>
                  </w:pPr>
                  <w:r>
                    <w:rPr>
                      <w:rFonts w:hint="eastAsia" w:ascii="Times New Roman" w:cs="Times New Roman"/>
                      <w:b w:val="0"/>
                      <w:color w:val="auto"/>
                      <w:sz w:val="21"/>
                      <w:szCs w:val="21"/>
                    </w:rPr>
                    <w:t>8.0</w:t>
                  </w:r>
                </w:p>
              </w:tc>
              <w:tc>
                <w:tcPr>
                  <w:tcW w:w="2008" w:type="dxa"/>
                  <w:vAlign w:val="center"/>
                </w:tcPr>
                <w:p w14:paraId="48FA7B74">
                  <w:pPr>
                    <w:pStyle w:val="61"/>
                    <w:tabs>
                      <w:tab w:val="left" w:pos="2760"/>
                      <w:tab w:val="clear" w:pos="1845"/>
                    </w:tabs>
                    <w:spacing w:line="240" w:lineRule="auto"/>
                    <w:rPr>
                      <w:rFonts w:ascii="Times New Roman" w:cs="Times New Roman"/>
                      <w:b w:val="0"/>
                      <w:color w:val="auto"/>
                      <w:kern w:val="44"/>
                      <w:sz w:val="21"/>
                      <w:szCs w:val="20"/>
                    </w:rPr>
                  </w:pPr>
                  <w:r>
                    <w:rPr>
                      <w:rFonts w:hint="eastAsia" w:ascii="Times New Roman" w:cs="Times New Roman"/>
                      <w:b w:val="0"/>
                      <w:color w:val="auto"/>
                      <w:sz w:val="21"/>
                      <w:szCs w:val="21"/>
                    </w:rPr>
                    <w:t>8.2</w:t>
                  </w:r>
                </w:p>
              </w:tc>
            </w:tr>
            <w:tr w14:paraId="1D60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Align w:val="center"/>
                </w:tcPr>
                <w:p w14:paraId="70CE0C54">
                  <w:pPr>
                    <w:snapToGrid w:val="0"/>
                    <w:ind w:left="72"/>
                    <w:jc w:val="center"/>
                    <w:rPr>
                      <w:b/>
                      <w:bCs/>
                      <w:color w:val="auto"/>
                      <w:kern w:val="44"/>
                      <w:szCs w:val="20"/>
                    </w:rPr>
                  </w:pPr>
                  <w:r>
                    <w:rPr>
                      <w:color w:val="auto"/>
                      <w:szCs w:val="21"/>
                    </w:rPr>
                    <w:t>水溶性盐总量</w:t>
                  </w:r>
                  <w:r>
                    <w:rPr>
                      <w:rFonts w:hint="eastAsia"/>
                      <w:color w:val="auto"/>
                      <w:szCs w:val="21"/>
                    </w:rPr>
                    <w:t>（</w:t>
                  </w:r>
                  <w:r>
                    <w:rPr>
                      <w:color w:val="auto"/>
                      <w:szCs w:val="21"/>
                    </w:rPr>
                    <w:t>g/kg</w:t>
                  </w:r>
                  <w:r>
                    <w:rPr>
                      <w:rFonts w:hint="eastAsia"/>
                      <w:color w:val="auto"/>
                      <w:szCs w:val="21"/>
                    </w:rPr>
                    <w:t>）</w:t>
                  </w:r>
                </w:p>
              </w:tc>
              <w:tc>
                <w:tcPr>
                  <w:tcW w:w="1416" w:type="dxa"/>
                  <w:vAlign w:val="center"/>
                </w:tcPr>
                <w:p w14:paraId="2BBBD51F">
                  <w:pPr>
                    <w:pStyle w:val="61"/>
                    <w:tabs>
                      <w:tab w:val="left" w:pos="2760"/>
                      <w:tab w:val="clear" w:pos="1845"/>
                    </w:tabs>
                    <w:spacing w:line="240" w:lineRule="auto"/>
                    <w:rPr>
                      <w:rFonts w:ascii="Times New Roman" w:cs="Times New Roman"/>
                      <w:b w:val="0"/>
                      <w:color w:val="auto"/>
                      <w:kern w:val="44"/>
                      <w:sz w:val="21"/>
                      <w:szCs w:val="20"/>
                    </w:rPr>
                  </w:pPr>
                  <w:r>
                    <w:rPr>
                      <w:rFonts w:hint="eastAsia" w:ascii="Times New Roman" w:cs="Times New Roman"/>
                      <w:b w:val="0"/>
                      <w:color w:val="auto"/>
                      <w:sz w:val="21"/>
                      <w:szCs w:val="21"/>
                    </w:rPr>
                    <w:t>1.9</w:t>
                  </w:r>
                </w:p>
              </w:tc>
              <w:tc>
                <w:tcPr>
                  <w:tcW w:w="2119" w:type="dxa"/>
                  <w:vAlign w:val="center"/>
                </w:tcPr>
                <w:p w14:paraId="5FEBE199">
                  <w:pPr>
                    <w:pStyle w:val="61"/>
                    <w:tabs>
                      <w:tab w:val="left" w:pos="2760"/>
                      <w:tab w:val="clear" w:pos="1845"/>
                    </w:tabs>
                    <w:spacing w:line="240" w:lineRule="auto"/>
                    <w:rPr>
                      <w:rFonts w:ascii="Times New Roman" w:cs="Times New Roman"/>
                      <w:b w:val="0"/>
                      <w:color w:val="auto"/>
                      <w:kern w:val="44"/>
                      <w:sz w:val="21"/>
                      <w:szCs w:val="20"/>
                    </w:rPr>
                  </w:pPr>
                  <w:r>
                    <w:rPr>
                      <w:rFonts w:hint="eastAsia" w:ascii="Times New Roman" w:cs="Times New Roman"/>
                      <w:b w:val="0"/>
                      <w:color w:val="auto"/>
                      <w:sz w:val="21"/>
                      <w:szCs w:val="21"/>
                    </w:rPr>
                    <w:t>1.8</w:t>
                  </w:r>
                </w:p>
              </w:tc>
              <w:tc>
                <w:tcPr>
                  <w:tcW w:w="2008" w:type="dxa"/>
                  <w:vAlign w:val="center"/>
                </w:tcPr>
                <w:p w14:paraId="773A9487">
                  <w:pPr>
                    <w:pStyle w:val="61"/>
                    <w:tabs>
                      <w:tab w:val="left" w:pos="2760"/>
                      <w:tab w:val="clear" w:pos="1845"/>
                    </w:tabs>
                    <w:spacing w:line="240" w:lineRule="auto"/>
                    <w:rPr>
                      <w:rFonts w:ascii="Times New Roman" w:cs="Times New Roman"/>
                      <w:b w:val="0"/>
                      <w:color w:val="auto"/>
                      <w:kern w:val="44"/>
                      <w:sz w:val="21"/>
                      <w:szCs w:val="20"/>
                    </w:rPr>
                  </w:pPr>
                  <w:r>
                    <w:rPr>
                      <w:rFonts w:hint="eastAsia" w:ascii="Times New Roman" w:cs="Times New Roman"/>
                      <w:b w:val="0"/>
                      <w:color w:val="auto"/>
                      <w:sz w:val="21"/>
                      <w:szCs w:val="21"/>
                    </w:rPr>
                    <w:t>1.8</w:t>
                  </w:r>
                </w:p>
              </w:tc>
            </w:tr>
          </w:tbl>
          <w:p w14:paraId="2C41303D">
            <w:pPr>
              <w:jc w:val="center"/>
              <w:rPr>
                <w:b/>
                <w:bCs/>
                <w:color w:val="auto"/>
                <w:kern w:val="44"/>
                <w:szCs w:val="20"/>
              </w:rPr>
            </w:pPr>
          </w:p>
          <w:p w14:paraId="5BE46D2C">
            <w:pPr>
              <w:widowControl/>
              <w:spacing w:line="360" w:lineRule="auto"/>
              <w:ind w:firstLine="480" w:firstLineChars="200"/>
              <w:rPr>
                <w:color w:val="auto"/>
                <w:sz w:val="24"/>
                <w:szCs w:val="21"/>
              </w:rPr>
            </w:pPr>
            <w:r>
              <w:rPr>
                <w:rFonts w:hint="eastAsia"/>
                <w:color w:val="auto"/>
                <w:sz w:val="24"/>
                <w:szCs w:val="21"/>
              </w:rPr>
              <w:t>根据《环境影响评价技术导则 土壤环境（试行）》（HJ964—2018）中生态影响型敏感程度分级表，矿区及周边土壤5.5&lt;pH&lt;8.5，土壤含盐量&lt;2g/kg，敏感程度为不敏感。</w:t>
            </w:r>
          </w:p>
          <w:p w14:paraId="653D2918">
            <w:pPr>
              <w:jc w:val="center"/>
              <w:rPr>
                <w:b/>
                <w:bCs/>
                <w:color w:val="auto"/>
                <w:kern w:val="44"/>
                <w:szCs w:val="20"/>
              </w:rPr>
            </w:pPr>
            <w:r>
              <w:rPr>
                <w:rFonts w:hint="eastAsia"/>
                <w:b/>
                <w:bCs/>
                <w:color w:val="auto"/>
                <w:kern w:val="44"/>
                <w:szCs w:val="20"/>
              </w:rPr>
              <w:t>表3-</w:t>
            </w:r>
            <w:r>
              <w:rPr>
                <w:rFonts w:hint="eastAsia"/>
                <w:b/>
                <w:bCs/>
                <w:color w:val="auto"/>
                <w:kern w:val="44"/>
                <w:szCs w:val="20"/>
                <w:lang w:val="en-US" w:eastAsia="zh-CN"/>
              </w:rPr>
              <w:t>8</w:t>
            </w:r>
            <w:r>
              <w:rPr>
                <w:rFonts w:hint="eastAsia"/>
                <w:b/>
                <w:bCs/>
                <w:color w:val="auto"/>
                <w:kern w:val="44"/>
                <w:szCs w:val="20"/>
              </w:rPr>
              <w:t xml:space="preserve">   生态影响型敏感程度分级表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7"/>
              <w:gridCol w:w="4089"/>
              <w:gridCol w:w="1332"/>
              <w:gridCol w:w="1389"/>
            </w:tblGrid>
            <w:tr w14:paraId="052A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758" w:type="pct"/>
                  <w:vMerge w:val="restart"/>
                  <w:vAlign w:val="center"/>
                </w:tcPr>
                <w:p w14:paraId="765E5E13">
                  <w:pPr>
                    <w:pStyle w:val="59"/>
                    <w:widowControl/>
                    <w:adjustRightInd w:val="0"/>
                    <w:snapToGrid w:val="0"/>
                    <w:rPr>
                      <w:rFonts w:ascii="Times New Roman" w:hAnsi="Times New Roman" w:cs="Times New Roman"/>
                      <w:b/>
                      <w:color w:val="auto"/>
                      <w:szCs w:val="21"/>
                    </w:rPr>
                  </w:pPr>
                  <w:r>
                    <w:rPr>
                      <w:rFonts w:hint="eastAsia" w:ascii="Times New Roman" w:cs="Times New Roman"/>
                      <w:b/>
                      <w:color w:val="auto"/>
                      <w:szCs w:val="21"/>
                    </w:rPr>
                    <w:t>敏感程度</w:t>
                  </w:r>
                </w:p>
              </w:tc>
              <w:tc>
                <w:tcPr>
                  <w:tcW w:w="4242" w:type="pct"/>
                  <w:gridSpan w:val="3"/>
                  <w:vAlign w:val="center"/>
                </w:tcPr>
                <w:p w14:paraId="1D4BEF5F">
                  <w:pPr>
                    <w:pStyle w:val="59"/>
                    <w:adjustRightInd w:val="0"/>
                    <w:snapToGrid w:val="0"/>
                    <w:rPr>
                      <w:rFonts w:ascii="Times New Roman" w:hAnsi="Times New Roman" w:cs="Times New Roman"/>
                      <w:b/>
                      <w:color w:val="auto"/>
                      <w:szCs w:val="21"/>
                    </w:rPr>
                  </w:pPr>
                  <w:r>
                    <w:rPr>
                      <w:rFonts w:hint="eastAsia" w:ascii="Times New Roman" w:cs="Times New Roman"/>
                      <w:b/>
                      <w:color w:val="auto"/>
                      <w:szCs w:val="21"/>
                    </w:rPr>
                    <w:t>判别依据</w:t>
                  </w:r>
                </w:p>
              </w:tc>
            </w:tr>
            <w:tr w14:paraId="25EC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758" w:type="pct"/>
                  <w:vMerge w:val="continue"/>
                  <w:vAlign w:val="center"/>
                </w:tcPr>
                <w:p w14:paraId="583BCAE7">
                  <w:pPr>
                    <w:pStyle w:val="59"/>
                    <w:widowControl/>
                    <w:adjustRightInd w:val="0"/>
                    <w:snapToGrid w:val="0"/>
                    <w:ind w:firstLine="422"/>
                    <w:rPr>
                      <w:rFonts w:ascii="Times New Roman" w:hAnsi="Times New Roman" w:cs="Times New Roman"/>
                      <w:b/>
                      <w:color w:val="auto"/>
                      <w:szCs w:val="21"/>
                    </w:rPr>
                  </w:pPr>
                </w:p>
              </w:tc>
              <w:tc>
                <w:tcPr>
                  <w:tcW w:w="2547" w:type="pct"/>
                  <w:vAlign w:val="center"/>
                </w:tcPr>
                <w:p w14:paraId="08E3EE71">
                  <w:pPr>
                    <w:pStyle w:val="59"/>
                    <w:widowControl/>
                    <w:adjustRightInd w:val="0"/>
                    <w:snapToGrid w:val="0"/>
                    <w:rPr>
                      <w:rFonts w:ascii="Times New Roman" w:hAnsi="Times New Roman" w:cs="Times New Roman"/>
                      <w:b/>
                      <w:color w:val="auto"/>
                      <w:szCs w:val="21"/>
                    </w:rPr>
                  </w:pPr>
                  <w:r>
                    <w:rPr>
                      <w:rFonts w:hint="eastAsia" w:ascii="Times New Roman" w:cs="Times New Roman"/>
                      <w:b/>
                      <w:color w:val="auto"/>
                      <w:szCs w:val="21"/>
                    </w:rPr>
                    <w:t>盐化</w:t>
                  </w:r>
                </w:p>
              </w:tc>
              <w:tc>
                <w:tcPr>
                  <w:tcW w:w="830" w:type="pct"/>
                  <w:vAlign w:val="center"/>
                </w:tcPr>
                <w:p w14:paraId="2B3F1575">
                  <w:pPr>
                    <w:pStyle w:val="59"/>
                    <w:adjustRightInd w:val="0"/>
                    <w:snapToGrid w:val="0"/>
                    <w:rPr>
                      <w:rFonts w:ascii="Times New Roman" w:hAnsi="Times New Roman" w:cs="Times New Roman"/>
                      <w:b/>
                      <w:color w:val="auto"/>
                      <w:szCs w:val="21"/>
                    </w:rPr>
                  </w:pPr>
                  <w:r>
                    <w:rPr>
                      <w:rFonts w:hint="eastAsia" w:ascii="Times New Roman" w:cs="Times New Roman"/>
                      <w:b/>
                      <w:color w:val="auto"/>
                      <w:szCs w:val="21"/>
                    </w:rPr>
                    <w:t>酸化</w:t>
                  </w:r>
                </w:p>
              </w:tc>
              <w:tc>
                <w:tcPr>
                  <w:tcW w:w="865" w:type="pct"/>
                  <w:vAlign w:val="center"/>
                </w:tcPr>
                <w:p w14:paraId="2E26EA05">
                  <w:pPr>
                    <w:pStyle w:val="59"/>
                    <w:adjustRightInd w:val="0"/>
                    <w:snapToGrid w:val="0"/>
                    <w:rPr>
                      <w:rFonts w:ascii="Times New Roman" w:hAnsi="Times New Roman" w:cs="Times New Roman"/>
                      <w:b/>
                      <w:color w:val="auto"/>
                      <w:szCs w:val="21"/>
                    </w:rPr>
                  </w:pPr>
                  <w:r>
                    <w:rPr>
                      <w:rFonts w:hint="eastAsia" w:ascii="Times New Roman" w:cs="Times New Roman"/>
                      <w:b/>
                      <w:color w:val="auto"/>
                      <w:szCs w:val="21"/>
                    </w:rPr>
                    <w:t>碱化</w:t>
                  </w:r>
                </w:p>
              </w:tc>
            </w:tr>
            <w:tr w14:paraId="1838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8" w:type="pct"/>
                  <w:vAlign w:val="center"/>
                </w:tcPr>
                <w:p w14:paraId="7D9E55EC">
                  <w:pPr>
                    <w:pStyle w:val="59"/>
                    <w:widowControl/>
                    <w:adjustRightInd w:val="0"/>
                    <w:snapToGrid w:val="0"/>
                    <w:rPr>
                      <w:rFonts w:ascii="Times New Roman" w:hAnsi="Times New Roman" w:cs="Times New Roman"/>
                      <w:color w:val="auto"/>
                      <w:szCs w:val="21"/>
                    </w:rPr>
                  </w:pPr>
                  <w:r>
                    <w:rPr>
                      <w:rFonts w:hint="eastAsia" w:ascii="Times New Roman" w:cs="Times New Roman"/>
                      <w:color w:val="auto"/>
                      <w:szCs w:val="21"/>
                    </w:rPr>
                    <w:t>敏感</w:t>
                  </w:r>
                </w:p>
              </w:tc>
              <w:tc>
                <w:tcPr>
                  <w:tcW w:w="2547" w:type="pct"/>
                  <w:vAlign w:val="center"/>
                </w:tcPr>
                <w:p w14:paraId="3E5327C9">
                  <w:pPr>
                    <w:pStyle w:val="59"/>
                    <w:widowControl/>
                    <w:adjustRightInd w:val="0"/>
                    <w:snapToGrid w:val="0"/>
                    <w:rPr>
                      <w:rFonts w:ascii="Times New Roman" w:hAnsi="Times New Roman" w:cs="Times New Roman"/>
                      <w:color w:val="auto"/>
                      <w:szCs w:val="21"/>
                    </w:rPr>
                  </w:pPr>
                  <w:r>
                    <w:rPr>
                      <w:rFonts w:hint="eastAsia" w:ascii="Times New Roman" w:cs="Times New Roman"/>
                      <w:color w:val="auto"/>
                      <w:szCs w:val="21"/>
                    </w:rPr>
                    <w:t>建设项目所在地干燥度</w:t>
                  </w:r>
                  <w:r>
                    <w:rPr>
                      <w:rFonts w:ascii="Times New Roman" w:hAnsi="Times New Roman" w:cs="Times New Roman"/>
                      <w:color w:val="auto"/>
                      <w:szCs w:val="21"/>
                      <w:vertAlign w:val="superscript"/>
                    </w:rPr>
                    <w:t>a</w:t>
                  </w:r>
                  <w:r>
                    <w:rPr>
                      <w:rFonts w:hint="eastAsia" w:ascii="Times New Roman" w:cs="Times New Roman"/>
                      <w:color w:val="auto"/>
                      <w:szCs w:val="21"/>
                    </w:rPr>
                    <w:t>＞</w:t>
                  </w:r>
                  <w:r>
                    <w:rPr>
                      <w:rFonts w:ascii="Times New Roman" w:hAnsi="Times New Roman" w:cs="Times New Roman"/>
                      <w:color w:val="auto"/>
                      <w:szCs w:val="21"/>
                    </w:rPr>
                    <w:t>2.5</w:t>
                  </w:r>
                  <w:r>
                    <w:rPr>
                      <w:rFonts w:hint="eastAsia" w:ascii="Times New Roman" w:cs="Times New Roman"/>
                      <w:color w:val="auto"/>
                      <w:szCs w:val="21"/>
                    </w:rPr>
                    <w:t>且常年地下水位平均埋深＜</w:t>
                  </w:r>
                  <w:r>
                    <w:rPr>
                      <w:rFonts w:ascii="Times New Roman" w:hAnsi="Times New Roman" w:cs="Times New Roman"/>
                      <w:color w:val="auto"/>
                      <w:szCs w:val="21"/>
                    </w:rPr>
                    <w:t>1.5m</w:t>
                  </w:r>
                  <w:r>
                    <w:rPr>
                      <w:rFonts w:hint="eastAsia" w:ascii="Times New Roman" w:cs="Times New Roman"/>
                      <w:color w:val="auto"/>
                      <w:szCs w:val="21"/>
                    </w:rPr>
                    <w:t>的地势平坦区域；或土壤含盐量＞</w:t>
                  </w:r>
                  <w:r>
                    <w:rPr>
                      <w:rFonts w:ascii="Times New Roman" w:hAnsi="Times New Roman" w:cs="Times New Roman"/>
                      <w:color w:val="auto"/>
                      <w:szCs w:val="21"/>
                    </w:rPr>
                    <w:t>4g/kg</w:t>
                  </w:r>
                  <w:r>
                    <w:rPr>
                      <w:rFonts w:hint="eastAsia" w:ascii="Times New Roman" w:cs="Times New Roman"/>
                      <w:color w:val="auto"/>
                      <w:szCs w:val="21"/>
                    </w:rPr>
                    <w:t>的区域</w:t>
                  </w:r>
                </w:p>
              </w:tc>
              <w:tc>
                <w:tcPr>
                  <w:tcW w:w="830" w:type="pct"/>
                  <w:vAlign w:val="center"/>
                </w:tcPr>
                <w:p w14:paraId="172A16F9">
                  <w:pPr>
                    <w:pStyle w:val="59"/>
                    <w:adjustRightInd w:val="0"/>
                    <w:snapToGrid w:val="0"/>
                    <w:rPr>
                      <w:rFonts w:ascii="Times New Roman" w:hAnsi="Times New Roman" w:cs="Times New Roman"/>
                      <w:color w:val="auto"/>
                      <w:szCs w:val="21"/>
                    </w:rPr>
                  </w:pPr>
                  <w:r>
                    <w:rPr>
                      <w:rFonts w:ascii="Times New Roman" w:hAnsi="Times New Roman" w:cs="Times New Roman"/>
                      <w:color w:val="auto"/>
                      <w:szCs w:val="21"/>
                    </w:rPr>
                    <w:t>pH≤4.5</w:t>
                  </w:r>
                </w:p>
              </w:tc>
              <w:tc>
                <w:tcPr>
                  <w:tcW w:w="865" w:type="pct"/>
                  <w:vAlign w:val="center"/>
                </w:tcPr>
                <w:p w14:paraId="44C016D6">
                  <w:pPr>
                    <w:pStyle w:val="59"/>
                    <w:adjustRightInd w:val="0"/>
                    <w:snapToGrid w:val="0"/>
                    <w:rPr>
                      <w:rFonts w:ascii="Times New Roman" w:hAnsi="Times New Roman" w:cs="Times New Roman"/>
                      <w:color w:val="auto"/>
                      <w:szCs w:val="21"/>
                    </w:rPr>
                  </w:pPr>
                  <w:r>
                    <w:rPr>
                      <w:rFonts w:ascii="Times New Roman" w:hAnsi="Times New Roman" w:cs="Times New Roman"/>
                      <w:color w:val="auto"/>
                      <w:szCs w:val="21"/>
                    </w:rPr>
                    <w:t>pH≥9.0</w:t>
                  </w:r>
                </w:p>
              </w:tc>
            </w:tr>
            <w:tr w14:paraId="7CED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8" w:type="pct"/>
                  <w:vAlign w:val="center"/>
                </w:tcPr>
                <w:p w14:paraId="5D11EC05">
                  <w:pPr>
                    <w:pStyle w:val="59"/>
                    <w:widowControl/>
                    <w:adjustRightInd w:val="0"/>
                    <w:snapToGrid w:val="0"/>
                    <w:rPr>
                      <w:rFonts w:ascii="Times New Roman" w:hAnsi="Times New Roman" w:cs="Times New Roman"/>
                      <w:color w:val="auto"/>
                      <w:szCs w:val="21"/>
                    </w:rPr>
                  </w:pPr>
                  <w:r>
                    <w:rPr>
                      <w:rFonts w:hint="eastAsia" w:ascii="Times New Roman" w:cs="Times New Roman"/>
                      <w:color w:val="auto"/>
                      <w:szCs w:val="21"/>
                    </w:rPr>
                    <w:t>较敏感</w:t>
                  </w:r>
                </w:p>
              </w:tc>
              <w:tc>
                <w:tcPr>
                  <w:tcW w:w="2547" w:type="pct"/>
                  <w:vAlign w:val="center"/>
                </w:tcPr>
                <w:p w14:paraId="139865D8">
                  <w:pPr>
                    <w:pStyle w:val="59"/>
                    <w:widowControl/>
                    <w:adjustRightInd w:val="0"/>
                    <w:snapToGrid w:val="0"/>
                    <w:rPr>
                      <w:rFonts w:ascii="Times New Roman" w:hAnsi="Times New Roman" w:cs="Times New Roman"/>
                      <w:color w:val="auto"/>
                      <w:szCs w:val="21"/>
                    </w:rPr>
                  </w:pPr>
                  <w:r>
                    <w:rPr>
                      <w:rFonts w:hint="eastAsia" w:ascii="Times New Roman" w:cs="Times New Roman"/>
                      <w:color w:val="auto"/>
                      <w:szCs w:val="21"/>
                    </w:rPr>
                    <w:t>建设项目所在地干燥度＞</w:t>
                  </w:r>
                  <w:r>
                    <w:rPr>
                      <w:rFonts w:ascii="Times New Roman" w:hAnsi="Times New Roman" w:cs="Times New Roman"/>
                      <w:color w:val="auto"/>
                      <w:szCs w:val="21"/>
                    </w:rPr>
                    <w:t>2.5</w:t>
                  </w:r>
                  <w:r>
                    <w:rPr>
                      <w:rFonts w:hint="eastAsia" w:ascii="Times New Roman" w:cs="Times New Roman"/>
                      <w:color w:val="auto"/>
                      <w:szCs w:val="21"/>
                    </w:rPr>
                    <w:t>且常年地下水位平均埋深</w:t>
                  </w:r>
                  <w:r>
                    <w:rPr>
                      <w:rFonts w:ascii="Times New Roman" w:hAnsi="Times New Roman" w:cs="Times New Roman"/>
                      <w:color w:val="auto"/>
                      <w:szCs w:val="21"/>
                    </w:rPr>
                    <w:t>≥1.5m</w:t>
                  </w:r>
                  <w:r>
                    <w:rPr>
                      <w:rFonts w:hint="eastAsia" w:ascii="Times New Roman" w:cs="Times New Roman"/>
                      <w:color w:val="auto"/>
                      <w:szCs w:val="21"/>
                    </w:rPr>
                    <w:t>的，或</w:t>
                  </w:r>
                  <w:r>
                    <w:rPr>
                      <w:rFonts w:ascii="Times New Roman" w:hAnsi="Times New Roman" w:cs="Times New Roman"/>
                      <w:color w:val="auto"/>
                      <w:szCs w:val="21"/>
                    </w:rPr>
                    <w:t>1.8</w:t>
                  </w:r>
                  <w:r>
                    <w:rPr>
                      <w:rFonts w:hint="eastAsia" w:ascii="Times New Roman" w:cs="Times New Roman"/>
                      <w:color w:val="auto"/>
                      <w:szCs w:val="21"/>
                    </w:rPr>
                    <w:t>＜干燥度</w:t>
                  </w:r>
                  <w:r>
                    <w:rPr>
                      <w:rFonts w:ascii="Times New Roman" w:hAnsi="Times New Roman" w:cs="Times New Roman"/>
                      <w:color w:val="auto"/>
                      <w:szCs w:val="21"/>
                    </w:rPr>
                    <w:t>≤2.5</w:t>
                  </w:r>
                  <w:r>
                    <w:rPr>
                      <w:rFonts w:hint="eastAsia" w:ascii="Times New Roman" w:cs="Times New Roman"/>
                      <w:color w:val="auto"/>
                      <w:szCs w:val="21"/>
                    </w:rPr>
                    <w:t>且常年地下水位平均埋深＜</w:t>
                  </w:r>
                  <w:r>
                    <w:rPr>
                      <w:rFonts w:ascii="Times New Roman" w:hAnsi="Times New Roman" w:cs="Times New Roman"/>
                      <w:color w:val="auto"/>
                      <w:szCs w:val="21"/>
                    </w:rPr>
                    <w:t>1.8m</w:t>
                  </w:r>
                  <w:r>
                    <w:rPr>
                      <w:rFonts w:hint="eastAsia" w:ascii="Times New Roman" w:cs="Times New Roman"/>
                      <w:color w:val="auto"/>
                      <w:szCs w:val="21"/>
                    </w:rPr>
                    <w:t>的地势平坦区域；建设项目所在地干燥度＞</w:t>
                  </w:r>
                  <w:r>
                    <w:rPr>
                      <w:rFonts w:ascii="Times New Roman" w:hAnsi="Times New Roman" w:cs="Times New Roman"/>
                      <w:color w:val="auto"/>
                      <w:szCs w:val="21"/>
                    </w:rPr>
                    <w:t>2.5</w:t>
                  </w:r>
                  <w:r>
                    <w:rPr>
                      <w:rFonts w:hint="eastAsia" w:ascii="Times New Roman" w:cs="Times New Roman"/>
                      <w:color w:val="auto"/>
                      <w:szCs w:val="21"/>
                    </w:rPr>
                    <w:t>或常年地下水位平均埋深＜</w:t>
                  </w:r>
                  <w:r>
                    <w:rPr>
                      <w:rFonts w:ascii="Times New Roman" w:hAnsi="Times New Roman" w:cs="Times New Roman"/>
                      <w:color w:val="auto"/>
                      <w:szCs w:val="21"/>
                    </w:rPr>
                    <w:t>1.5m</w:t>
                  </w:r>
                  <w:r>
                    <w:rPr>
                      <w:rFonts w:hint="eastAsia" w:ascii="Times New Roman" w:cs="Times New Roman"/>
                      <w:color w:val="auto"/>
                      <w:szCs w:val="21"/>
                    </w:rPr>
                    <w:t>的平原区；或</w:t>
                  </w:r>
                  <w:r>
                    <w:rPr>
                      <w:rFonts w:ascii="Times New Roman" w:hAnsi="Times New Roman" w:cs="Times New Roman"/>
                      <w:color w:val="auto"/>
                      <w:szCs w:val="21"/>
                    </w:rPr>
                    <w:t>2g/kg</w:t>
                  </w:r>
                  <w:r>
                    <w:rPr>
                      <w:rFonts w:hint="eastAsia" w:ascii="Times New Roman" w:cs="Times New Roman"/>
                      <w:color w:val="auto"/>
                      <w:szCs w:val="21"/>
                    </w:rPr>
                    <w:t>＜土壤含盐量</w:t>
                  </w:r>
                  <w:r>
                    <w:rPr>
                      <w:rFonts w:ascii="Times New Roman" w:hAnsi="Times New Roman" w:cs="Times New Roman"/>
                      <w:color w:val="auto"/>
                      <w:szCs w:val="21"/>
                    </w:rPr>
                    <w:t>≤4 g/kg</w:t>
                  </w:r>
                  <w:r>
                    <w:rPr>
                      <w:rFonts w:hint="eastAsia" w:ascii="Times New Roman" w:cs="Times New Roman"/>
                      <w:color w:val="auto"/>
                      <w:szCs w:val="21"/>
                    </w:rPr>
                    <w:t>的区域</w:t>
                  </w:r>
                </w:p>
              </w:tc>
              <w:tc>
                <w:tcPr>
                  <w:tcW w:w="830" w:type="pct"/>
                  <w:vAlign w:val="center"/>
                </w:tcPr>
                <w:p w14:paraId="5887C3C4">
                  <w:pPr>
                    <w:pStyle w:val="59"/>
                    <w:adjustRightInd w:val="0"/>
                    <w:snapToGrid w:val="0"/>
                    <w:rPr>
                      <w:rFonts w:ascii="Times New Roman" w:hAnsi="Times New Roman" w:cs="Times New Roman"/>
                      <w:color w:val="auto"/>
                      <w:szCs w:val="21"/>
                    </w:rPr>
                  </w:pPr>
                  <w:r>
                    <w:rPr>
                      <w:rFonts w:ascii="Times New Roman" w:hAnsi="Times New Roman" w:cs="Times New Roman"/>
                      <w:color w:val="auto"/>
                      <w:szCs w:val="21"/>
                    </w:rPr>
                    <w:t>4.5</w:t>
                  </w:r>
                  <w:r>
                    <w:rPr>
                      <w:rFonts w:hint="eastAsia" w:ascii="Times New Roman" w:cs="Times New Roman"/>
                      <w:color w:val="auto"/>
                      <w:szCs w:val="21"/>
                    </w:rPr>
                    <w:t>＜</w:t>
                  </w:r>
                  <w:r>
                    <w:rPr>
                      <w:rFonts w:ascii="Times New Roman" w:hAnsi="Times New Roman" w:cs="Times New Roman"/>
                      <w:color w:val="auto"/>
                      <w:szCs w:val="21"/>
                    </w:rPr>
                    <w:t>pH≤5.5</w:t>
                  </w:r>
                </w:p>
              </w:tc>
              <w:tc>
                <w:tcPr>
                  <w:tcW w:w="865" w:type="pct"/>
                  <w:vAlign w:val="center"/>
                </w:tcPr>
                <w:p w14:paraId="6B6E2E29">
                  <w:pPr>
                    <w:pStyle w:val="59"/>
                    <w:adjustRightInd w:val="0"/>
                    <w:snapToGrid w:val="0"/>
                    <w:rPr>
                      <w:rFonts w:ascii="Times New Roman" w:hAnsi="Times New Roman" w:cs="Times New Roman"/>
                      <w:color w:val="auto"/>
                      <w:szCs w:val="21"/>
                    </w:rPr>
                  </w:pPr>
                  <w:r>
                    <w:rPr>
                      <w:rFonts w:ascii="Times New Roman" w:hAnsi="Times New Roman" w:cs="Times New Roman"/>
                      <w:color w:val="auto"/>
                      <w:szCs w:val="21"/>
                    </w:rPr>
                    <w:t>8.5≤pH</w:t>
                  </w:r>
                  <w:r>
                    <w:rPr>
                      <w:rFonts w:hint="eastAsia" w:ascii="Times New Roman" w:cs="Times New Roman"/>
                      <w:color w:val="auto"/>
                      <w:szCs w:val="21"/>
                    </w:rPr>
                    <w:t>＜</w:t>
                  </w:r>
                  <w:r>
                    <w:rPr>
                      <w:rFonts w:ascii="Times New Roman" w:hAnsi="Times New Roman" w:cs="Times New Roman"/>
                      <w:color w:val="auto"/>
                      <w:szCs w:val="21"/>
                    </w:rPr>
                    <w:t>9.0</w:t>
                  </w:r>
                </w:p>
              </w:tc>
            </w:tr>
            <w:tr w14:paraId="775E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8" w:type="pct"/>
                  <w:vAlign w:val="center"/>
                </w:tcPr>
                <w:p w14:paraId="4ADE8C8F">
                  <w:pPr>
                    <w:pStyle w:val="59"/>
                    <w:widowControl/>
                    <w:adjustRightInd w:val="0"/>
                    <w:snapToGrid w:val="0"/>
                    <w:rPr>
                      <w:rFonts w:ascii="Times New Roman" w:hAnsi="Times New Roman" w:cs="Times New Roman"/>
                      <w:color w:val="auto"/>
                      <w:szCs w:val="21"/>
                    </w:rPr>
                  </w:pPr>
                  <w:r>
                    <w:rPr>
                      <w:rFonts w:hint="eastAsia" w:ascii="Times New Roman" w:cs="Times New Roman"/>
                      <w:color w:val="auto"/>
                      <w:szCs w:val="21"/>
                    </w:rPr>
                    <w:t>不敏感</w:t>
                  </w:r>
                </w:p>
              </w:tc>
              <w:tc>
                <w:tcPr>
                  <w:tcW w:w="2547" w:type="pct"/>
                  <w:vAlign w:val="center"/>
                </w:tcPr>
                <w:p w14:paraId="56C31567">
                  <w:pPr>
                    <w:pStyle w:val="59"/>
                    <w:widowControl/>
                    <w:adjustRightInd w:val="0"/>
                    <w:snapToGrid w:val="0"/>
                    <w:rPr>
                      <w:rFonts w:ascii="Times New Roman" w:hAnsi="Times New Roman" w:cs="Times New Roman"/>
                      <w:color w:val="auto"/>
                      <w:szCs w:val="21"/>
                    </w:rPr>
                  </w:pPr>
                  <w:r>
                    <w:rPr>
                      <w:rFonts w:hint="eastAsia" w:ascii="Times New Roman" w:cs="Times New Roman"/>
                      <w:color w:val="auto"/>
                      <w:szCs w:val="21"/>
                    </w:rPr>
                    <w:t>其他</w:t>
                  </w:r>
                </w:p>
              </w:tc>
              <w:tc>
                <w:tcPr>
                  <w:tcW w:w="1695" w:type="pct"/>
                  <w:gridSpan w:val="2"/>
                  <w:vAlign w:val="center"/>
                </w:tcPr>
                <w:p w14:paraId="1518E6E3">
                  <w:pPr>
                    <w:pStyle w:val="59"/>
                    <w:adjustRightInd w:val="0"/>
                    <w:snapToGrid w:val="0"/>
                    <w:rPr>
                      <w:rFonts w:ascii="Times New Roman" w:hAnsi="Times New Roman" w:cs="Times New Roman"/>
                      <w:color w:val="auto"/>
                      <w:szCs w:val="21"/>
                    </w:rPr>
                  </w:pPr>
                  <w:r>
                    <w:rPr>
                      <w:rFonts w:ascii="Times New Roman" w:hAnsi="Times New Roman" w:cs="Times New Roman"/>
                      <w:color w:val="auto"/>
                      <w:szCs w:val="21"/>
                    </w:rPr>
                    <w:t>5.5</w:t>
                  </w:r>
                  <w:r>
                    <w:rPr>
                      <w:rFonts w:hint="eastAsia" w:ascii="Times New Roman" w:cs="Times New Roman"/>
                      <w:color w:val="auto"/>
                      <w:szCs w:val="21"/>
                    </w:rPr>
                    <w:t>＜</w:t>
                  </w:r>
                  <w:r>
                    <w:rPr>
                      <w:rFonts w:ascii="Times New Roman" w:hAnsi="Times New Roman" w:cs="Times New Roman"/>
                      <w:color w:val="auto"/>
                      <w:szCs w:val="21"/>
                    </w:rPr>
                    <w:t>pH</w:t>
                  </w:r>
                  <w:r>
                    <w:rPr>
                      <w:rFonts w:hint="eastAsia" w:ascii="Times New Roman" w:cs="Times New Roman"/>
                      <w:color w:val="auto"/>
                      <w:szCs w:val="21"/>
                    </w:rPr>
                    <w:t>＜</w:t>
                  </w:r>
                  <w:r>
                    <w:rPr>
                      <w:rFonts w:ascii="Times New Roman" w:hAnsi="Times New Roman" w:cs="Times New Roman"/>
                      <w:color w:val="auto"/>
                      <w:szCs w:val="21"/>
                    </w:rPr>
                    <w:t>8.5</w:t>
                  </w:r>
                </w:p>
              </w:tc>
            </w:tr>
            <w:tr w14:paraId="4EA9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5000" w:type="pct"/>
                  <w:gridSpan w:val="4"/>
                  <w:vAlign w:val="center"/>
                </w:tcPr>
                <w:p w14:paraId="7A34979C">
                  <w:pPr>
                    <w:pStyle w:val="59"/>
                    <w:adjustRightInd w:val="0"/>
                    <w:snapToGrid w:val="0"/>
                    <w:rPr>
                      <w:rFonts w:ascii="Times New Roman" w:hAnsi="Times New Roman" w:cs="Times New Roman"/>
                      <w:color w:val="auto"/>
                      <w:szCs w:val="21"/>
                    </w:rPr>
                  </w:pPr>
                  <w:r>
                    <w:rPr>
                      <w:rFonts w:ascii="Times New Roman" w:hAnsi="Times New Roman" w:cs="Times New Roman"/>
                      <w:color w:val="auto"/>
                      <w:szCs w:val="21"/>
                      <w:vertAlign w:val="superscript"/>
                    </w:rPr>
                    <w:t>a</w:t>
                  </w:r>
                  <w:r>
                    <w:rPr>
                      <w:rFonts w:hint="eastAsia" w:ascii="Times New Roman" w:cs="Times New Roman"/>
                      <w:color w:val="auto"/>
                      <w:szCs w:val="21"/>
                    </w:rPr>
                    <w:t>是指采用</w:t>
                  </w:r>
                  <w:r>
                    <w:rPr>
                      <w:rFonts w:ascii="Times New Roman" w:hAnsi="Times New Roman" w:cs="Times New Roman"/>
                      <w:color w:val="auto"/>
                      <w:szCs w:val="21"/>
                    </w:rPr>
                    <w:t>E601</w:t>
                  </w:r>
                  <w:r>
                    <w:rPr>
                      <w:rFonts w:hint="eastAsia" w:ascii="Times New Roman" w:cs="Times New Roman"/>
                      <w:color w:val="auto"/>
                      <w:szCs w:val="21"/>
                    </w:rPr>
                    <w:t>观测的多年平均水面蒸发量与降水量的比值，即蒸降比值</w:t>
                  </w:r>
                </w:p>
              </w:tc>
            </w:tr>
          </w:tbl>
          <w:p w14:paraId="4EE6410D">
            <w:pPr>
              <w:widowControl/>
              <w:spacing w:line="360" w:lineRule="auto"/>
              <w:ind w:firstLine="480" w:firstLineChars="200"/>
              <w:rPr>
                <w:color w:val="auto"/>
                <w:sz w:val="24"/>
                <w:szCs w:val="21"/>
              </w:rPr>
            </w:pPr>
            <w:r>
              <w:rPr>
                <w:rFonts w:hint="eastAsia"/>
                <w:color w:val="auto"/>
                <w:sz w:val="24"/>
                <w:szCs w:val="21"/>
              </w:rPr>
              <w:t>根据《环境影响评价技术导则 土壤环境（试行）》（HJ964 2018）附录A表1土壤环境影响评价项目类别，本项目为采矿业中的其他类，属于Ⅲ类项目。</w:t>
            </w:r>
          </w:p>
          <w:p w14:paraId="725A692F">
            <w:pPr>
              <w:jc w:val="center"/>
              <w:rPr>
                <w:b/>
                <w:bCs/>
                <w:color w:val="auto"/>
                <w:kern w:val="44"/>
                <w:szCs w:val="20"/>
              </w:rPr>
            </w:pPr>
            <w:r>
              <w:rPr>
                <w:rFonts w:hint="eastAsia"/>
                <w:b/>
                <w:bCs/>
                <w:color w:val="auto"/>
                <w:kern w:val="44"/>
                <w:szCs w:val="20"/>
              </w:rPr>
              <w:t>表3-</w:t>
            </w:r>
            <w:r>
              <w:rPr>
                <w:rFonts w:hint="eastAsia"/>
                <w:b/>
                <w:bCs/>
                <w:color w:val="auto"/>
                <w:kern w:val="44"/>
                <w:szCs w:val="20"/>
                <w:lang w:val="en-US" w:eastAsia="zh-CN"/>
              </w:rPr>
              <w:t>9</w:t>
            </w:r>
            <w:r>
              <w:rPr>
                <w:rFonts w:hint="eastAsia"/>
                <w:b/>
                <w:bCs/>
                <w:color w:val="auto"/>
                <w:kern w:val="44"/>
                <w:szCs w:val="20"/>
              </w:rPr>
              <w:t xml:space="preserve">    生态影响型评价工作等级划分表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1811"/>
              <w:gridCol w:w="2073"/>
              <w:gridCol w:w="2095"/>
            </w:tblGrid>
            <w:tr w14:paraId="4B06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 w:type="pct"/>
                  <w:vAlign w:val="center"/>
                </w:tcPr>
                <w:p w14:paraId="11822BA2">
                  <w:pPr>
                    <w:ind w:firstLine="420"/>
                    <w:rPr>
                      <w:color w:val="auto"/>
                      <w:szCs w:val="21"/>
                    </w:rPr>
                  </w:pPr>
                  <w:r>
                    <w:rPr>
                      <w:color w:val="auto"/>
                      <w:szCs w:val="21"/>
                    </w:rPr>
                    <mc:AlternateContent>
                      <mc:Choice Requires="wps">
                        <w:drawing>
                          <wp:anchor distT="0" distB="0" distL="114300" distR="114300" simplePos="0" relativeHeight="251666432" behindDoc="0" locked="0" layoutInCell="1" allowOverlap="1">
                            <wp:simplePos x="0" y="0"/>
                            <wp:positionH relativeFrom="column">
                              <wp:posOffset>957580</wp:posOffset>
                            </wp:positionH>
                            <wp:positionV relativeFrom="paragraph">
                              <wp:posOffset>193675</wp:posOffset>
                            </wp:positionV>
                            <wp:extent cx="275590" cy="322580"/>
                            <wp:effectExtent l="3810" t="3175" r="12700" b="4445"/>
                            <wp:wrapNone/>
                            <wp:docPr id="42" name="直接连接符 42"/>
                            <wp:cNvGraphicFramePr/>
                            <a:graphic xmlns:a="http://schemas.openxmlformats.org/drawingml/2006/main">
                              <a:graphicData uri="http://schemas.microsoft.com/office/word/2010/wordprocessingShape">
                                <wps:wsp>
                                  <wps:cNvCnPr/>
                                  <wps:spPr>
                                    <a:xfrm>
                                      <a:off x="2098040" y="4587875"/>
                                      <a:ext cx="275590" cy="32258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75.4pt;margin-top:15.25pt;height:25.4pt;width:21.7pt;z-index:251666432;mso-width-relative:page;mso-height-relative:page;" filled="f" stroked="t" coordsize="21600,21600" o:gfxdata="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a6H29cAAAAJAQAADwAAAAAAAAABACAAAAAiAAAA&#10;ZHJzL2Rvd25yZXYueG1sUEsBAhQAFAAAAAgAh07iQK2+vX8IAgAA8wMAAA4AAAAAAAAAAQAgAAAA&#10;JgEAAGRycy9lMm9Eb2MueG1sUEsFBgAAAAAGAAYAWQEAAKAFAAAAAA==&#10;">
                            <v:fill on="f" focussize="0,0"/>
                            <v:stroke color="#000000" joinstyle="round"/>
                            <v:imagedata o:title=""/>
                            <o:lock v:ext="edit" aspectratio="f"/>
                          </v:line>
                        </w:pict>
                      </mc:Fallback>
                    </mc:AlternateContent>
                  </w:r>
                  <w:r>
                    <w:rPr>
                      <w:color w:val="auto"/>
                      <w:szCs w:val="21"/>
                    </w:rPr>
                    <mc:AlternateContent>
                      <mc:Choice Requires="wps">
                        <w:drawing>
                          <wp:anchor distT="0" distB="0" distL="114300" distR="114300" simplePos="0" relativeHeight="251664384" behindDoc="0" locked="0" layoutInCell="1" allowOverlap="1">
                            <wp:simplePos x="0" y="0"/>
                            <wp:positionH relativeFrom="column">
                              <wp:posOffset>-66040</wp:posOffset>
                            </wp:positionH>
                            <wp:positionV relativeFrom="paragraph">
                              <wp:posOffset>194945</wp:posOffset>
                            </wp:positionV>
                            <wp:extent cx="1033780" cy="0"/>
                            <wp:effectExtent l="0" t="4445" r="0" b="5080"/>
                            <wp:wrapNone/>
                            <wp:docPr id="1" name="直接连接符 1"/>
                            <wp:cNvGraphicFramePr/>
                            <a:graphic xmlns:a="http://schemas.openxmlformats.org/drawingml/2006/main">
                              <a:graphicData uri="http://schemas.microsoft.com/office/word/2010/wordprocessingShape">
                                <wps:wsp>
                                  <wps:cNvCnPr/>
                                  <wps:spPr>
                                    <a:xfrm>
                                      <a:off x="1062990" y="4564380"/>
                                      <a:ext cx="103378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5.2pt;margin-top:15.35pt;height:0pt;width:81.4pt;z-index:251664384;mso-width-relative:page;mso-height-relative:page;" filled="f" stroked="t" coordsize="21600,21600" o:gfxdata="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PR/hzVAAAACQEAAA8AAAAAAAAAAQAgAAAAIgAAAGRycy9kb3du&#10;cmV2LnhtbFBLAQIUABQAAAAIAIdO4kD33vtVAgIAAO0DAAAOAAAAAAAAAAEAIAAAACQBAABkcnMv&#10;ZTJvRG9jLnhtbFBLBQYAAAAABgAGAFkBAACYBQAAAAA=&#10;">
                            <v:fill on="f" focussize="0,0"/>
                            <v:stroke color="#000000" joinstyle="round"/>
                            <v:imagedata o:title=""/>
                            <o:lock v:ext="edit" aspectratio="f"/>
                          </v:line>
                        </w:pict>
                      </mc:Fallback>
                    </mc:AlternateContent>
                  </w:r>
                  <w:r>
                    <w:rPr>
                      <w:rFonts w:hint="eastAsia"/>
                      <w:color w:val="auto"/>
                      <w:szCs w:val="21"/>
                    </w:rPr>
                    <w:t>项目类别</w:t>
                  </w:r>
                </w:p>
                <w:p w14:paraId="49D0AD8F">
                  <w:pPr>
                    <w:rPr>
                      <w:color w:val="auto"/>
                      <w:szCs w:val="21"/>
                    </w:rPr>
                  </w:pPr>
                  <w:r>
                    <w:rPr>
                      <w:color w:val="auto"/>
                      <w:szCs w:val="21"/>
                    </w:rPr>
                    <mc:AlternateContent>
                      <mc:Choice Requires="wps">
                        <w:drawing>
                          <wp:anchor distT="0" distB="0" distL="114300" distR="114300" simplePos="0" relativeHeight="251667456" behindDoc="0" locked="0" layoutInCell="1" allowOverlap="1">
                            <wp:simplePos x="0" y="0"/>
                            <wp:positionH relativeFrom="column">
                              <wp:posOffset>781685</wp:posOffset>
                            </wp:positionH>
                            <wp:positionV relativeFrom="paragraph">
                              <wp:posOffset>191770</wp:posOffset>
                            </wp:positionV>
                            <wp:extent cx="457835" cy="151765"/>
                            <wp:effectExtent l="1270" t="4445" r="10795" b="8890"/>
                            <wp:wrapNone/>
                            <wp:docPr id="43" name="直接连接符 43"/>
                            <wp:cNvGraphicFramePr/>
                            <a:graphic xmlns:a="http://schemas.openxmlformats.org/drawingml/2006/main">
                              <a:graphicData uri="http://schemas.microsoft.com/office/word/2010/wordprocessingShape">
                                <wps:wsp>
                                  <wps:cNvCnPr/>
                                  <wps:spPr>
                                    <a:xfrm>
                                      <a:off x="1924685" y="4778375"/>
                                      <a:ext cx="457835" cy="15176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61.55pt;margin-top:15.1pt;height:11.95pt;width:36.05pt;z-index:251667456;mso-width-relative:page;mso-height-relative:page;" filled="f" stroked="t" coordsize="21600,21600" o:gfxdata="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&#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b7NK1gAAAAkBAAAPAAAAAAAAAAEAIAAAACIAAABk&#10;cnMvZG93bnJldi54bWxQSwECFAAUAAAACACHTuJAa3ojtggCAADzAwAADgAAAAAAAAABACAAAAAl&#10;AQAAZHJzL2Uyb0RvYy54bWxQSwUGAAAAAAYABgBZAQAAnwUAAAAA&#10;">
                            <v:fill on="f" focussize="0,0"/>
                            <v:stroke color="#000000" joinstyle="round"/>
                            <v:imagedata o:title=""/>
                            <o:lock v:ext="edit" aspectratio="f"/>
                          </v:line>
                        </w:pict>
                      </mc:Fallback>
                    </mc:AlternateContent>
                  </w:r>
                  <w:r>
                    <w:rPr>
                      <w:color w:val="auto"/>
                      <w:szCs w:val="21"/>
                    </w:rPr>
                    <mc:AlternateContent>
                      <mc:Choice Requires="wps">
                        <w:drawing>
                          <wp:anchor distT="0" distB="0" distL="114300" distR="114300" simplePos="0" relativeHeight="251665408" behindDoc="0" locked="0" layoutInCell="1" allowOverlap="1">
                            <wp:simplePos x="0" y="0"/>
                            <wp:positionH relativeFrom="column">
                              <wp:posOffset>-66040</wp:posOffset>
                            </wp:positionH>
                            <wp:positionV relativeFrom="paragraph">
                              <wp:posOffset>191770</wp:posOffset>
                            </wp:positionV>
                            <wp:extent cx="846455" cy="0"/>
                            <wp:effectExtent l="0" t="4445" r="0" b="5080"/>
                            <wp:wrapNone/>
                            <wp:docPr id="41" name="直接连接符 41"/>
                            <wp:cNvGraphicFramePr/>
                            <a:graphic xmlns:a="http://schemas.openxmlformats.org/drawingml/2006/main">
                              <a:graphicData uri="http://schemas.microsoft.com/office/word/2010/wordprocessingShape">
                                <wps:wsp>
                                  <wps:cNvCnPr/>
                                  <wps:spPr>
                                    <a:xfrm>
                                      <a:off x="0" y="0"/>
                                      <a:ext cx="84645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5.2pt;margin-top:15.1pt;height:0pt;width:66.65pt;z-index:251665408;mso-width-relative:page;mso-height-relative:page;" filled="f" stroked="t" coordsize="21600,21600" o:gfxdata="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f32w1gAAAAkBAAAPAAAAAAAAAAEAIAAAACIAAABkcnMvZG93bnJldi54bWxQSwEC&#10;FAAUAAAACACHTuJAvMY92PYBAADiAwAADgAAAAAAAAABACAAAAAlAQAAZHJzL2Uyb0RvYy54bWxQ&#10;SwUGAAAAAAYABgBZAQAAjQUAAAAA&#10;">
                            <v:fill on="f" focussize="0,0"/>
                            <v:stroke color="#000000" joinstyle="round"/>
                            <v:imagedata o:title=""/>
                            <o:lock v:ext="edit" aspectratio="f"/>
                          </v:line>
                        </w:pict>
                      </mc:Fallback>
                    </mc:AlternateContent>
                  </w:r>
                  <w:r>
                    <w:rPr>
                      <w:color w:val="auto"/>
                      <w:szCs w:val="21"/>
                    </w:rPr>
                    <w:t>评价工作等级</w:t>
                  </w:r>
                </w:p>
                <w:p w14:paraId="659F1A44">
                  <w:pPr>
                    <w:jc w:val="center"/>
                    <w:rPr>
                      <w:color w:val="auto"/>
                      <w:szCs w:val="21"/>
                    </w:rPr>
                  </w:pPr>
                  <w:r>
                    <w:rPr>
                      <w:color w:val="auto"/>
                      <w:szCs w:val="21"/>
                    </w:rPr>
                    <w:t>敏感程度</w:t>
                  </w:r>
                </w:p>
              </w:tc>
              <w:tc>
                <w:tcPr>
                  <w:tcW w:w="1128" w:type="pct"/>
                  <w:vAlign w:val="center"/>
                </w:tcPr>
                <w:p w14:paraId="23BFA24F">
                  <w:pPr>
                    <w:widowControl/>
                    <w:jc w:val="center"/>
                    <w:rPr>
                      <w:b/>
                      <w:bCs/>
                      <w:color w:val="auto"/>
                      <w:szCs w:val="21"/>
                    </w:rPr>
                  </w:pPr>
                  <w:r>
                    <w:rPr>
                      <w:b/>
                      <w:bCs/>
                      <w:color w:val="auto"/>
                      <w:kern w:val="0"/>
                      <w:szCs w:val="21"/>
                    </w:rPr>
                    <w:t>Ⅰ类</w:t>
                  </w:r>
                </w:p>
              </w:tc>
              <w:tc>
                <w:tcPr>
                  <w:tcW w:w="1291" w:type="pct"/>
                  <w:vAlign w:val="center"/>
                </w:tcPr>
                <w:p w14:paraId="09C270FE">
                  <w:pPr>
                    <w:jc w:val="center"/>
                    <w:rPr>
                      <w:b/>
                      <w:bCs/>
                      <w:color w:val="auto"/>
                      <w:szCs w:val="21"/>
                    </w:rPr>
                  </w:pPr>
                  <w:r>
                    <w:rPr>
                      <w:b/>
                      <w:bCs/>
                      <w:color w:val="auto"/>
                      <w:kern w:val="0"/>
                      <w:szCs w:val="21"/>
                    </w:rPr>
                    <w:t>Ⅱ类</w:t>
                  </w:r>
                </w:p>
              </w:tc>
              <w:tc>
                <w:tcPr>
                  <w:tcW w:w="1303" w:type="pct"/>
                  <w:vAlign w:val="center"/>
                </w:tcPr>
                <w:p w14:paraId="03756DE9">
                  <w:pPr>
                    <w:jc w:val="center"/>
                    <w:rPr>
                      <w:b/>
                      <w:bCs/>
                      <w:color w:val="auto"/>
                      <w:szCs w:val="21"/>
                    </w:rPr>
                  </w:pPr>
                  <w:r>
                    <w:rPr>
                      <w:b/>
                      <w:bCs/>
                      <w:color w:val="auto"/>
                      <w:kern w:val="0"/>
                      <w:szCs w:val="21"/>
                    </w:rPr>
                    <w:t>Ⅲ类</w:t>
                  </w:r>
                </w:p>
              </w:tc>
            </w:tr>
            <w:tr w14:paraId="12C4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 w:type="pct"/>
                  <w:vAlign w:val="center"/>
                </w:tcPr>
                <w:p w14:paraId="464CEB27">
                  <w:pPr>
                    <w:jc w:val="center"/>
                    <w:rPr>
                      <w:color w:val="auto"/>
                      <w:szCs w:val="21"/>
                    </w:rPr>
                  </w:pPr>
                  <w:r>
                    <w:rPr>
                      <w:color w:val="auto"/>
                      <w:szCs w:val="21"/>
                    </w:rPr>
                    <w:t>敏感</w:t>
                  </w:r>
                </w:p>
              </w:tc>
              <w:tc>
                <w:tcPr>
                  <w:tcW w:w="1128" w:type="pct"/>
                  <w:vAlign w:val="center"/>
                </w:tcPr>
                <w:p w14:paraId="0FE60E8A">
                  <w:pPr>
                    <w:jc w:val="center"/>
                    <w:rPr>
                      <w:color w:val="auto"/>
                      <w:szCs w:val="21"/>
                    </w:rPr>
                  </w:pPr>
                  <w:r>
                    <w:rPr>
                      <w:color w:val="auto"/>
                      <w:szCs w:val="21"/>
                    </w:rPr>
                    <w:t>一级</w:t>
                  </w:r>
                </w:p>
              </w:tc>
              <w:tc>
                <w:tcPr>
                  <w:tcW w:w="1291" w:type="pct"/>
                  <w:vAlign w:val="center"/>
                </w:tcPr>
                <w:p w14:paraId="07C86FAB">
                  <w:pPr>
                    <w:jc w:val="center"/>
                    <w:rPr>
                      <w:color w:val="auto"/>
                      <w:szCs w:val="21"/>
                    </w:rPr>
                  </w:pPr>
                  <w:r>
                    <w:rPr>
                      <w:color w:val="auto"/>
                      <w:szCs w:val="21"/>
                    </w:rPr>
                    <w:t>二级</w:t>
                  </w:r>
                </w:p>
              </w:tc>
              <w:tc>
                <w:tcPr>
                  <w:tcW w:w="1303" w:type="pct"/>
                  <w:vAlign w:val="center"/>
                </w:tcPr>
                <w:p w14:paraId="2F70BB0E">
                  <w:pPr>
                    <w:jc w:val="center"/>
                    <w:rPr>
                      <w:color w:val="auto"/>
                      <w:szCs w:val="21"/>
                    </w:rPr>
                  </w:pPr>
                  <w:r>
                    <w:rPr>
                      <w:color w:val="auto"/>
                      <w:szCs w:val="21"/>
                    </w:rPr>
                    <w:t>三级</w:t>
                  </w:r>
                </w:p>
              </w:tc>
            </w:tr>
            <w:tr w14:paraId="0FCD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276" w:type="pct"/>
                  <w:vAlign w:val="center"/>
                </w:tcPr>
                <w:p w14:paraId="22843C28">
                  <w:pPr>
                    <w:jc w:val="center"/>
                    <w:rPr>
                      <w:color w:val="auto"/>
                      <w:szCs w:val="21"/>
                    </w:rPr>
                  </w:pPr>
                  <w:r>
                    <w:rPr>
                      <w:color w:val="auto"/>
                      <w:szCs w:val="21"/>
                    </w:rPr>
                    <w:t>较敏感</w:t>
                  </w:r>
                </w:p>
              </w:tc>
              <w:tc>
                <w:tcPr>
                  <w:tcW w:w="1128" w:type="pct"/>
                  <w:vAlign w:val="center"/>
                </w:tcPr>
                <w:p w14:paraId="46048BF2">
                  <w:pPr>
                    <w:jc w:val="center"/>
                    <w:rPr>
                      <w:color w:val="auto"/>
                      <w:szCs w:val="21"/>
                    </w:rPr>
                  </w:pPr>
                  <w:r>
                    <w:rPr>
                      <w:color w:val="auto"/>
                      <w:szCs w:val="21"/>
                    </w:rPr>
                    <w:t>二级</w:t>
                  </w:r>
                </w:p>
              </w:tc>
              <w:tc>
                <w:tcPr>
                  <w:tcW w:w="1291" w:type="pct"/>
                  <w:vAlign w:val="center"/>
                </w:tcPr>
                <w:p w14:paraId="37798C58">
                  <w:pPr>
                    <w:jc w:val="center"/>
                    <w:rPr>
                      <w:color w:val="auto"/>
                      <w:szCs w:val="21"/>
                    </w:rPr>
                  </w:pPr>
                  <w:r>
                    <w:rPr>
                      <w:color w:val="auto"/>
                      <w:szCs w:val="21"/>
                    </w:rPr>
                    <w:t>二级</w:t>
                  </w:r>
                </w:p>
              </w:tc>
              <w:tc>
                <w:tcPr>
                  <w:tcW w:w="1303" w:type="pct"/>
                  <w:vAlign w:val="center"/>
                </w:tcPr>
                <w:p w14:paraId="4D09E61B">
                  <w:pPr>
                    <w:jc w:val="center"/>
                    <w:rPr>
                      <w:color w:val="auto"/>
                      <w:szCs w:val="21"/>
                    </w:rPr>
                  </w:pPr>
                  <w:r>
                    <w:rPr>
                      <w:color w:val="auto"/>
                      <w:szCs w:val="21"/>
                    </w:rPr>
                    <w:t>三级</w:t>
                  </w:r>
                </w:p>
              </w:tc>
            </w:tr>
            <w:tr w14:paraId="0160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 w:type="pct"/>
                  <w:vAlign w:val="center"/>
                </w:tcPr>
                <w:p w14:paraId="5ACE76F6">
                  <w:pPr>
                    <w:jc w:val="center"/>
                    <w:rPr>
                      <w:color w:val="auto"/>
                      <w:szCs w:val="21"/>
                    </w:rPr>
                  </w:pPr>
                  <w:r>
                    <w:rPr>
                      <w:color w:val="auto"/>
                      <w:szCs w:val="21"/>
                    </w:rPr>
                    <w:t>不敏感</w:t>
                  </w:r>
                </w:p>
              </w:tc>
              <w:tc>
                <w:tcPr>
                  <w:tcW w:w="1128" w:type="pct"/>
                  <w:vAlign w:val="center"/>
                </w:tcPr>
                <w:p w14:paraId="3DB6B174">
                  <w:pPr>
                    <w:jc w:val="center"/>
                    <w:rPr>
                      <w:color w:val="auto"/>
                      <w:szCs w:val="21"/>
                    </w:rPr>
                  </w:pPr>
                  <w:r>
                    <w:rPr>
                      <w:color w:val="auto"/>
                      <w:szCs w:val="21"/>
                    </w:rPr>
                    <w:t>二级</w:t>
                  </w:r>
                </w:p>
              </w:tc>
              <w:tc>
                <w:tcPr>
                  <w:tcW w:w="1291" w:type="pct"/>
                  <w:vAlign w:val="center"/>
                </w:tcPr>
                <w:p w14:paraId="24C2932C">
                  <w:pPr>
                    <w:jc w:val="center"/>
                    <w:rPr>
                      <w:color w:val="auto"/>
                      <w:szCs w:val="21"/>
                    </w:rPr>
                  </w:pPr>
                  <w:r>
                    <w:rPr>
                      <w:color w:val="auto"/>
                      <w:szCs w:val="21"/>
                    </w:rPr>
                    <w:t>三级</w:t>
                  </w:r>
                </w:p>
              </w:tc>
              <w:tc>
                <w:tcPr>
                  <w:tcW w:w="1303" w:type="pct"/>
                  <w:vAlign w:val="center"/>
                </w:tcPr>
                <w:p w14:paraId="5794C544">
                  <w:pPr>
                    <w:jc w:val="center"/>
                    <w:rPr>
                      <w:color w:val="auto"/>
                      <w:szCs w:val="21"/>
                    </w:rPr>
                  </w:pPr>
                  <w:r>
                    <w:rPr>
                      <w:color w:val="auto"/>
                      <w:szCs w:val="21"/>
                    </w:rPr>
                    <w:t>—</w:t>
                  </w:r>
                </w:p>
              </w:tc>
            </w:tr>
            <w:tr w14:paraId="1295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vAlign w:val="center"/>
                </w:tcPr>
                <w:p w14:paraId="74699C13">
                  <w:pPr>
                    <w:rPr>
                      <w:color w:val="auto"/>
                      <w:szCs w:val="21"/>
                    </w:rPr>
                  </w:pPr>
                  <w:r>
                    <w:rPr>
                      <w:color w:val="auto"/>
                      <w:szCs w:val="21"/>
                    </w:rPr>
                    <w:t>注：“—”表示可不开展土壤环境影响评价工作</w:t>
                  </w:r>
                </w:p>
              </w:tc>
            </w:tr>
          </w:tbl>
          <w:p w14:paraId="0DFAB045">
            <w:pPr>
              <w:widowControl/>
              <w:spacing w:line="360" w:lineRule="auto"/>
              <w:ind w:firstLine="480" w:firstLineChars="200"/>
              <w:rPr>
                <w:color w:val="auto"/>
                <w:sz w:val="24"/>
                <w:szCs w:val="21"/>
              </w:rPr>
            </w:pPr>
            <w:r>
              <w:rPr>
                <w:rFonts w:hint="eastAsia"/>
                <w:color w:val="auto"/>
                <w:sz w:val="24"/>
                <w:szCs w:val="21"/>
              </w:rPr>
              <w:t>根据上表3-</w:t>
            </w:r>
            <w:r>
              <w:rPr>
                <w:rFonts w:hint="eastAsia"/>
                <w:color w:val="auto"/>
                <w:sz w:val="24"/>
                <w:szCs w:val="21"/>
                <w:lang w:val="en-US" w:eastAsia="zh-CN"/>
              </w:rPr>
              <w:t>9</w:t>
            </w:r>
            <w:r>
              <w:rPr>
                <w:rFonts w:hint="eastAsia"/>
                <w:color w:val="auto"/>
                <w:sz w:val="24"/>
                <w:szCs w:val="21"/>
              </w:rPr>
              <w:t>生态影响型评价工作等级划分表，本项目评价等级为“—”，故本项目可不开展土壤环境影响评价工作。</w:t>
            </w:r>
          </w:p>
        </w:tc>
      </w:tr>
      <w:tr w14:paraId="34A04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14:paraId="3BA0D997">
            <w:pPr>
              <w:adjustRightInd w:val="0"/>
              <w:snapToGrid w:val="0"/>
              <w:jc w:val="center"/>
              <w:rPr>
                <w:rFonts w:hint="eastAsia" w:ascii="宋体" w:hAnsi="宋体" w:cs="宋体"/>
                <w:color w:val="auto"/>
                <w:kern w:val="0"/>
                <w:sz w:val="24"/>
              </w:rPr>
            </w:pPr>
            <w:r>
              <w:rPr>
                <w:rFonts w:hint="eastAsia" w:ascii="宋体" w:hAnsi="宋体"/>
                <w:bCs/>
                <w:color w:val="auto"/>
                <w:sz w:val="24"/>
              </w:rPr>
              <w:t>与项目有关的原有环境污染和生态破坏问题</w:t>
            </w:r>
          </w:p>
        </w:tc>
        <w:tc>
          <w:tcPr>
            <w:tcW w:w="8253" w:type="dxa"/>
            <w:vAlign w:val="center"/>
          </w:tcPr>
          <w:p w14:paraId="24C85637">
            <w:pPr>
              <w:adjustRightInd w:val="0"/>
              <w:snapToGrid w:val="0"/>
              <w:spacing w:line="360" w:lineRule="auto"/>
              <w:ind w:firstLine="480" w:firstLineChars="200"/>
              <w:rPr>
                <w:rFonts w:hint="eastAsia" w:ascii="宋体" w:hAnsi="宋体" w:cs="宋体"/>
                <w:color w:val="auto"/>
                <w:kern w:val="0"/>
                <w:szCs w:val="21"/>
              </w:rPr>
            </w:pPr>
            <w:r>
              <w:rPr>
                <w:rFonts w:hint="eastAsia"/>
                <w:color w:val="auto"/>
                <w:sz w:val="24"/>
                <w:szCs w:val="21"/>
              </w:rPr>
              <w:t>本项目为新建项目，不存在与本项目有关的原有环境污染和生态破坏问题。</w:t>
            </w:r>
          </w:p>
        </w:tc>
      </w:tr>
      <w:tr w14:paraId="30ABE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8" w:hRule="atLeast"/>
          <w:jc w:val="center"/>
        </w:trPr>
        <w:tc>
          <w:tcPr>
            <w:tcW w:w="904" w:type="dxa"/>
            <w:vAlign w:val="center"/>
          </w:tcPr>
          <w:p w14:paraId="03AD8620">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生态环境保护目标</w:t>
            </w:r>
          </w:p>
        </w:tc>
        <w:tc>
          <w:tcPr>
            <w:tcW w:w="8253" w:type="dxa"/>
          </w:tcPr>
          <w:p w14:paraId="32FF1BB8">
            <w:pPr>
              <w:spacing w:line="360" w:lineRule="auto"/>
              <w:ind w:firstLine="480" w:firstLineChars="200"/>
              <w:rPr>
                <w:color w:val="auto"/>
                <w:sz w:val="24"/>
                <w:szCs w:val="28"/>
              </w:rPr>
            </w:pPr>
            <w:r>
              <w:rPr>
                <w:rFonts w:hint="eastAsia"/>
                <w:color w:val="auto"/>
                <w:sz w:val="24"/>
              </w:rPr>
              <w:t>本项目位于新疆维吾尔自治区昌吉回族自治州奇台县三个庄子镇青年村。</w:t>
            </w:r>
            <w:r>
              <w:rPr>
                <w:rFonts w:hint="eastAsia"/>
                <w:color w:val="auto"/>
                <w:sz w:val="24"/>
                <w:szCs w:val="28"/>
              </w:rPr>
              <w:t>本次评价确定的主要环境保护目标见表3-</w:t>
            </w:r>
            <w:r>
              <w:rPr>
                <w:rFonts w:hint="eastAsia"/>
                <w:color w:val="auto"/>
                <w:sz w:val="24"/>
                <w:szCs w:val="28"/>
                <w:lang w:val="en-US" w:eastAsia="zh-CN"/>
              </w:rPr>
              <w:t>10</w:t>
            </w:r>
            <w:r>
              <w:rPr>
                <w:rFonts w:hint="eastAsia"/>
                <w:color w:val="auto"/>
                <w:sz w:val="24"/>
                <w:szCs w:val="28"/>
              </w:rPr>
              <w:t>，本项目保护目标分布图见图3-</w:t>
            </w:r>
            <w:r>
              <w:rPr>
                <w:rFonts w:hint="eastAsia"/>
                <w:color w:val="auto"/>
                <w:sz w:val="24"/>
                <w:szCs w:val="28"/>
                <w:lang w:val="en-US" w:eastAsia="zh-CN"/>
              </w:rPr>
              <w:t>6</w:t>
            </w:r>
            <w:r>
              <w:rPr>
                <w:rFonts w:hint="eastAsia"/>
                <w:color w:val="auto"/>
                <w:sz w:val="24"/>
                <w:szCs w:val="28"/>
              </w:rPr>
              <w:t>。</w:t>
            </w:r>
          </w:p>
          <w:p w14:paraId="7FD72E1E">
            <w:pPr>
              <w:jc w:val="center"/>
              <w:rPr>
                <w:b/>
                <w:bCs/>
                <w:color w:val="auto"/>
                <w:kern w:val="44"/>
                <w:szCs w:val="20"/>
              </w:rPr>
            </w:pPr>
            <w:r>
              <w:rPr>
                <w:rFonts w:hint="eastAsia"/>
                <w:b/>
                <w:bCs/>
                <w:color w:val="auto"/>
                <w:kern w:val="44"/>
                <w:szCs w:val="20"/>
              </w:rPr>
              <w:t>表3-</w:t>
            </w:r>
            <w:r>
              <w:rPr>
                <w:rFonts w:hint="eastAsia"/>
                <w:b/>
                <w:bCs/>
                <w:color w:val="auto"/>
                <w:kern w:val="44"/>
                <w:szCs w:val="20"/>
                <w:lang w:val="en-US" w:eastAsia="zh-CN"/>
              </w:rPr>
              <w:t>10</w:t>
            </w:r>
            <w:r>
              <w:rPr>
                <w:rFonts w:hint="eastAsia"/>
                <w:b/>
                <w:bCs/>
                <w:color w:val="auto"/>
                <w:kern w:val="44"/>
                <w:szCs w:val="20"/>
              </w:rPr>
              <w:t xml:space="preserve">   主要环境保护目标</w:t>
            </w:r>
          </w:p>
          <w:tbl>
            <w:tblPr>
              <w:tblStyle w:val="29"/>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77"/>
              <w:gridCol w:w="678"/>
              <w:gridCol w:w="745"/>
              <w:gridCol w:w="855"/>
              <w:gridCol w:w="1122"/>
              <w:gridCol w:w="3102"/>
            </w:tblGrid>
            <w:tr w14:paraId="08AA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Merge w:val="restart"/>
                </w:tcPr>
                <w:p w14:paraId="7D1131A7">
                  <w:pPr>
                    <w:jc w:val="center"/>
                    <w:rPr>
                      <w:color w:val="auto"/>
                      <w:kern w:val="44"/>
                      <w:szCs w:val="21"/>
                    </w:rPr>
                  </w:pPr>
                  <w:r>
                    <w:rPr>
                      <w:rFonts w:hint="eastAsia"/>
                      <w:color w:val="auto"/>
                      <w:kern w:val="44"/>
                      <w:szCs w:val="21"/>
                    </w:rPr>
                    <w:t>环境要素</w:t>
                  </w:r>
                </w:p>
              </w:tc>
              <w:tc>
                <w:tcPr>
                  <w:tcW w:w="2200" w:type="dxa"/>
                  <w:gridSpan w:val="3"/>
                </w:tcPr>
                <w:p w14:paraId="17AABE25">
                  <w:pPr>
                    <w:jc w:val="center"/>
                    <w:rPr>
                      <w:color w:val="auto"/>
                      <w:kern w:val="44"/>
                      <w:szCs w:val="21"/>
                    </w:rPr>
                  </w:pPr>
                  <w:r>
                    <w:rPr>
                      <w:rFonts w:hint="eastAsia"/>
                      <w:color w:val="auto"/>
                      <w:kern w:val="44"/>
                      <w:szCs w:val="21"/>
                    </w:rPr>
                    <w:t>保护目标</w:t>
                  </w:r>
                </w:p>
              </w:tc>
              <w:tc>
                <w:tcPr>
                  <w:tcW w:w="1977" w:type="dxa"/>
                  <w:gridSpan w:val="2"/>
                </w:tcPr>
                <w:p w14:paraId="0C4D4944">
                  <w:pPr>
                    <w:jc w:val="center"/>
                    <w:rPr>
                      <w:color w:val="auto"/>
                      <w:kern w:val="44"/>
                      <w:szCs w:val="21"/>
                    </w:rPr>
                  </w:pPr>
                  <w:r>
                    <w:rPr>
                      <w:rFonts w:hint="eastAsia"/>
                      <w:color w:val="auto"/>
                      <w:kern w:val="44"/>
                      <w:szCs w:val="21"/>
                    </w:rPr>
                    <w:t>相对厂址</w:t>
                  </w:r>
                </w:p>
              </w:tc>
              <w:tc>
                <w:tcPr>
                  <w:tcW w:w="3102" w:type="dxa"/>
                  <w:vMerge w:val="restart"/>
                </w:tcPr>
                <w:p w14:paraId="0C00758C">
                  <w:pPr>
                    <w:jc w:val="center"/>
                    <w:rPr>
                      <w:color w:val="auto"/>
                      <w:kern w:val="44"/>
                      <w:szCs w:val="21"/>
                    </w:rPr>
                  </w:pPr>
                  <w:r>
                    <w:rPr>
                      <w:rFonts w:hint="eastAsia"/>
                      <w:color w:val="auto"/>
                      <w:kern w:val="44"/>
                      <w:szCs w:val="21"/>
                    </w:rPr>
                    <w:t>保护级别</w:t>
                  </w:r>
                </w:p>
              </w:tc>
            </w:tr>
            <w:tr w14:paraId="7DCC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vMerge w:val="continue"/>
                </w:tcPr>
                <w:p w14:paraId="028257F4">
                  <w:pPr>
                    <w:jc w:val="center"/>
                    <w:rPr>
                      <w:color w:val="auto"/>
                      <w:kern w:val="44"/>
                      <w:szCs w:val="21"/>
                    </w:rPr>
                  </w:pPr>
                </w:p>
              </w:tc>
              <w:tc>
                <w:tcPr>
                  <w:tcW w:w="777" w:type="dxa"/>
                </w:tcPr>
                <w:p w14:paraId="5D74EAF4">
                  <w:pPr>
                    <w:jc w:val="center"/>
                    <w:rPr>
                      <w:color w:val="auto"/>
                      <w:kern w:val="44"/>
                      <w:szCs w:val="21"/>
                    </w:rPr>
                  </w:pPr>
                  <w:r>
                    <w:rPr>
                      <w:rFonts w:hint="eastAsia"/>
                      <w:color w:val="auto"/>
                      <w:kern w:val="44"/>
                      <w:szCs w:val="21"/>
                    </w:rPr>
                    <w:t>名称</w:t>
                  </w:r>
                </w:p>
              </w:tc>
              <w:tc>
                <w:tcPr>
                  <w:tcW w:w="678" w:type="dxa"/>
                </w:tcPr>
                <w:p w14:paraId="69667F23">
                  <w:pPr>
                    <w:jc w:val="center"/>
                    <w:rPr>
                      <w:color w:val="auto"/>
                      <w:kern w:val="44"/>
                      <w:szCs w:val="21"/>
                    </w:rPr>
                  </w:pPr>
                  <w:r>
                    <w:rPr>
                      <w:rFonts w:hint="eastAsia"/>
                      <w:color w:val="auto"/>
                      <w:kern w:val="44"/>
                      <w:szCs w:val="21"/>
                    </w:rPr>
                    <w:t>位置</w:t>
                  </w:r>
                </w:p>
              </w:tc>
              <w:tc>
                <w:tcPr>
                  <w:tcW w:w="745" w:type="dxa"/>
                </w:tcPr>
                <w:p w14:paraId="1C285329">
                  <w:pPr>
                    <w:jc w:val="center"/>
                    <w:rPr>
                      <w:color w:val="auto"/>
                      <w:kern w:val="44"/>
                      <w:szCs w:val="21"/>
                    </w:rPr>
                  </w:pPr>
                  <w:r>
                    <w:rPr>
                      <w:rFonts w:hint="eastAsia"/>
                      <w:color w:val="auto"/>
                      <w:kern w:val="44"/>
                      <w:szCs w:val="21"/>
                    </w:rPr>
                    <w:t>人数</w:t>
                  </w:r>
                </w:p>
              </w:tc>
              <w:tc>
                <w:tcPr>
                  <w:tcW w:w="855" w:type="dxa"/>
                </w:tcPr>
                <w:p w14:paraId="520AFF85">
                  <w:pPr>
                    <w:jc w:val="center"/>
                    <w:rPr>
                      <w:color w:val="auto"/>
                      <w:kern w:val="44"/>
                      <w:szCs w:val="21"/>
                    </w:rPr>
                  </w:pPr>
                  <w:r>
                    <w:rPr>
                      <w:rFonts w:hint="eastAsia"/>
                      <w:color w:val="auto"/>
                      <w:kern w:val="44"/>
                      <w:szCs w:val="21"/>
                    </w:rPr>
                    <w:t>方向</w:t>
                  </w:r>
                </w:p>
              </w:tc>
              <w:tc>
                <w:tcPr>
                  <w:tcW w:w="1122" w:type="dxa"/>
                </w:tcPr>
                <w:p w14:paraId="0AF970EE">
                  <w:pPr>
                    <w:jc w:val="center"/>
                    <w:rPr>
                      <w:color w:val="auto"/>
                      <w:kern w:val="44"/>
                      <w:szCs w:val="21"/>
                    </w:rPr>
                  </w:pPr>
                  <w:r>
                    <w:rPr>
                      <w:rFonts w:hint="eastAsia"/>
                      <w:color w:val="auto"/>
                      <w:kern w:val="44"/>
                      <w:szCs w:val="21"/>
                    </w:rPr>
                    <w:t>距离</w:t>
                  </w:r>
                </w:p>
              </w:tc>
              <w:tc>
                <w:tcPr>
                  <w:tcW w:w="3102" w:type="dxa"/>
                  <w:vMerge w:val="continue"/>
                </w:tcPr>
                <w:p w14:paraId="1E6E053F">
                  <w:pPr>
                    <w:jc w:val="center"/>
                    <w:rPr>
                      <w:color w:val="auto"/>
                      <w:kern w:val="44"/>
                      <w:szCs w:val="21"/>
                    </w:rPr>
                  </w:pPr>
                </w:p>
              </w:tc>
            </w:tr>
            <w:tr w14:paraId="1E3A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vMerge w:val="restart"/>
                </w:tcPr>
                <w:p w14:paraId="18AFB2FF">
                  <w:pPr>
                    <w:jc w:val="center"/>
                    <w:rPr>
                      <w:color w:val="auto"/>
                      <w:kern w:val="44"/>
                      <w:szCs w:val="21"/>
                    </w:rPr>
                  </w:pPr>
                  <w:r>
                    <w:rPr>
                      <w:rFonts w:hint="eastAsia"/>
                      <w:color w:val="auto"/>
                      <w:kern w:val="44"/>
                      <w:szCs w:val="21"/>
                    </w:rPr>
                    <w:t>环境空气</w:t>
                  </w:r>
                </w:p>
              </w:tc>
              <w:tc>
                <w:tcPr>
                  <w:tcW w:w="777" w:type="dxa"/>
                </w:tcPr>
                <w:p w14:paraId="2772A9D8">
                  <w:pPr>
                    <w:jc w:val="center"/>
                    <w:rPr>
                      <w:color w:val="auto"/>
                      <w:kern w:val="44"/>
                      <w:szCs w:val="21"/>
                    </w:rPr>
                  </w:pPr>
                  <w:r>
                    <w:rPr>
                      <w:rFonts w:hint="eastAsia"/>
                      <w:color w:val="auto"/>
                      <w:kern w:val="44"/>
                      <w:szCs w:val="21"/>
                    </w:rPr>
                    <w:t>零星养殖户</w:t>
                  </w:r>
                </w:p>
              </w:tc>
              <w:tc>
                <w:tcPr>
                  <w:tcW w:w="678" w:type="dxa"/>
                  <w:vMerge w:val="restart"/>
                </w:tcPr>
                <w:p w14:paraId="74EA88B3">
                  <w:pPr>
                    <w:jc w:val="center"/>
                    <w:rPr>
                      <w:color w:val="auto"/>
                      <w:kern w:val="44"/>
                      <w:szCs w:val="21"/>
                    </w:rPr>
                  </w:pPr>
                  <w:r>
                    <w:rPr>
                      <w:rFonts w:hint="eastAsia"/>
                      <w:color w:val="auto"/>
                      <w:kern w:val="44"/>
                      <w:szCs w:val="21"/>
                    </w:rPr>
                    <w:t>奇台县三个庄子镇青年村</w:t>
                  </w:r>
                </w:p>
              </w:tc>
              <w:tc>
                <w:tcPr>
                  <w:tcW w:w="745" w:type="dxa"/>
                </w:tcPr>
                <w:p w14:paraId="648B34EF">
                  <w:pPr>
                    <w:jc w:val="center"/>
                    <w:rPr>
                      <w:color w:val="auto"/>
                      <w:kern w:val="44"/>
                      <w:szCs w:val="21"/>
                    </w:rPr>
                  </w:pPr>
                  <w:r>
                    <w:rPr>
                      <w:rFonts w:hint="eastAsia"/>
                      <w:color w:val="auto"/>
                      <w:kern w:val="44"/>
                      <w:szCs w:val="21"/>
                    </w:rPr>
                    <w:t>4</w:t>
                  </w:r>
                </w:p>
              </w:tc>
              <w:tc>
                <w:tcPr>
                  <w:tcW w:w="855" w:type="dxa"/>
                </w:tcPr>
                <w:p w14:paraId="4B7AA30B">
                  <w:pPr>
                    <w:jc w:val="center"/>
                    <w:rPr>
                      <w:color w:val="auto"/>
                      <w:kern w:val="44"/>
                      <w:szCs w:val="21"/>
                    </w:rPr>
                  </w:pPr>
                  <w:r>
                    <w:rPr>
                      <w:rFonts w:hint="eastAsia"/>
                      <w:color w:val="auto"/>
                      <w:kern w:val="44"/>
                      <w:szCs w:val="21"/>
                    </w:rPr>
                    <w:t>西北</w:t>
                  </w:r>
                </w:p>
              </w:tc>
              <w:tc>
                <w:tcPr>
                  <w:tcW w:w="1122" w:type="dxa"/>
                </w:tcPr>
                <w:p w14:paraId="3ACDBE41">
                  <w:pPr>
                    <w:jc w:val="center"/>
                    <w:rPr>
                      <w:color w:val="auto"/>
                      <w:kern w:val="44"/>
                      <w:szCs w:val="21"/>
                    </w:rPr>
                  </w:pPr>
                  <w:r>
                    <w:rPr>
                      <w:rFonts w:hint="eastAsia"/>
                      <w:color w:val="auto"/>
                      <w:kern w:val="44"/>
                      <w:szCs w:val="21"/>
                    </w:rPr>
                    <w:t>140m</w:t>
                  </w:r>
                </w:p>
              </w:tc>
              <w:tc>
                <w:tcPr>
                  <w:tcW w:w="3102" w:type="dxa"/>
                  <w:vMerge w:val="restart"/>
                </w:tcPr>
                <w:p w14:paraId="0208949D">
                  <w:pPr>
                    <w:jc w:val="center"/>
                    <w:rPr>
                      <w:color w:val="auto"/>
                      <w:kern w:val="44"/>
                      <w:szCs w:val="21"/>
                    </w:rPr>
                  </w:pPr>
                  <w:r>
                    <w:rPr>
                      <w:rFonts w:hint="eastAsia"/>
                      <w:color w:val="auto"/>
                      <w:kern w:val="44"/>
                      <w:szCs w:val="21"/>
                    </w:rPr>
                    <w:t>《环境空气质量标准》（GB3095-2012）及修改单的二级标准</w:t>
                  </w:r>
                </w:p>
              </w:tc>
            </w:tr>
            <w:tr w14:paraId="7CF0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vMerge w:val="continue"/>
                </w:tcPr>
                <w:p w14:paraId="33EE01DB">
                  <w:pPr>
                    <w:jc w:val="center"/>
                    <w:rPr>
                      <w:color w:val="auto"/>
                      <w:kern w:val="44"/>
                      <w:szCs w:val="21"/>
                    </w:rPr>
                  </w:pPr>
                </w:p>
              </w:tc>
              <w:tc>
                <w:tcPr>
                  <w:tcW w:w="777" w:type="dxa"/>
                </w:tcPr>
                <w:p w14:paraId="4CCA0DF1">
                  <w:pPr>
                    <w:jc w:val="center"/>
                    <w:rPr>
                      <w:color w:val="auto"/>
                      <w:kern w:val="44"/>
                      <w:szCs w:val="21"/>
                    </w:rPr>
                  </w:pPr>
                  <w:r>
                    <w:rPr>
                      <w:rFonts w:hint="eastAsia"/>
                      <w:color w:val="auto"/>
                      <w:kern w:val="44"/>
                      <w:szCs w:val="21"/>
                    </w:rPr>
                    <w:t>零星住户</w:t>
                  </w:r>
                </w:p>
              </w:tc>
              <w:tc>
                <w:tcPr>
                  <w:tcW w:w="678" w:type="dxa"/>
                  <w:vMerge w:val="continue"/>
                </w:tcPr>
                <w:p w14:paraId="7E85B927">
                  <w:pPr>
                    <w:jc w:val="center"/>
                    <w:rPr>
                      <w:color w:val="auto"/>
                      <w:kern w:val="44"/>
                      <w:szCs w:val="21"/>
                    </w:rPr>
                  </w:pPr>
                </w:p>
              </w:tc>
              <w:tc>
                <w:tcPr>
                  <w:tcW w:w="745" w:type="dxa"/>
                </w:tcPr>
                <w:p w14:paraId="6B1D0EDE">
                  <w:pPr>
                    <w:jc w:val="center"/>
                    <w:rPr>
                      <w:color w:val="auto"/>
                      <w:kern w:val="44"/>
                      <w:szCs w:val="21"/>
                    </w:rPr>
                  </w:pPr>
                  <w:r>
                    <w:rPr>
                      <w:rFonts w:hint="eastAsia"/>
                      <w:color w:val="auto"/>
                      <w:kern w:val="44"/>
                      <w:szCs w:val="21"/>
                    </w:rPr>
                    <w:t>5</w:t>
                  </w:r>
                </w:p>
              </w:tc>
              <w:tc>
                <w:tcPr>
                  <w:tcW w:w="855" w:type="dxa"/>
                </w:tcPr>
                <w:p w14:paraId="54D044AC">
                  <w:pPr>
                    <w:jc w:val="center"/>
                    <w:rPr>
                      <w:color w:val="auto"/>
                      <w:kern w:val="44"/>
                      <w:szCs w:val="21"/>
                    </w:rPr>
                  </w:pPr>
                  <w:r>
                    <w:rPr>
                      <w:rFonts w:hint="eastAsia"/>
                      <w:color w:val="auto"/>
                      <w:kern w:val="44"/>
                      <w:szCs w:val="21"/>
                    </w:rPr>
                    <w:t>西</w:t>
                  </w:r>
                </w:p>
              </w:tc>
              <w:tc>
                <w:tcPr>
                  <w:tcW w:w="1122" w:type="dxa"/>
                </w:tcPr>
                <w:p w14:paraId="54E75539">
                  <w:pPr>
                    <w:jc w:val="center"/>
                    <w:rPr>
                      <w:color w:val="auto"/>
                      <w:kern w:val="44"/>
                      <w:szCs w:val="21"/>
                    </w:rPr>
                  </w:pPr>
                  <w:r>
                    <w:rPr>
                      <w:rFonts w:hint="eastAsia"/>
                      <w:color w:val="auto"/>
                      <w:kern w:val="44"/>
                      <w:szCs w:val="21"/>
                    </w:rPr>
                    <w:t>320m</w:t>
                  </w:r>
                </w:p>
              </w:tc>
              <w:tc>
                <w:tcPr>
                  <w:tcW w:w="3102" w:type="dxa"/>
                  <w:vMerge w:val="continue"/>
                </w:tcPr>
                <w:p w14:paraId="49BD4446">
                  <w:pPr>
                    <w:jc w:val="center"/>
                    <w:rPr>
                      <w:color w:val="auto"/>
                      <w:spacing w:val="-10"/>
                      <w:szCs w:val="21"/>
                    </w:rPr>
                  </w:pPr>
                </w:p>
              </w:tc>
            </w:tr>
            <w:tr w14:paraId="51CD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vMerge w:val="continue"/>
                </w:tcPr>
                <w:p w14:paraId="0864FF36">
                  <w:pPr>
                    <w:jc w:val="center"/>
                    <w:rPr>
                      <w:color w:val="auto"/>
                      <w:kern w:val="44"/>
                      <w:szCs w:val="21"/>
                    </w:rPr>
                  </w:pPr>
                </w:p>
              </w:tc>
              <w:tc>
                <w:tcPr>
                  <w:tcW w:w="777" w:type="dxa"/>
                </w:tcPr>
                <w:p w14:paraId="421E818C">
                  <w:pPr>
                    <w:jc w:val="center"/>
                    <w:rPr>
                      <w:color w:val="auto"/>
                      <w:kern w:val="44"/>
                      <w:szCs w:val="21"/>
                    </w:rPr>
                  </w:pPr>
                  <w:r>
                    <w:rPr>
                      <w:rFonts w:hint="eastAsia"/>
                      <w:color w:val="auto"/>
                      <w:kern w:val="44"/>
                      <w:szCs w:val="21"/>
                    </w:rPr>
                    <w:t>养殖区</w:t>
                  </w:r>
                </w:p>
              </w:tc>
              <w:tc>
                <w:tcPr>
                  <w:tcW w:w="678" w:type="dxa"/>
                  <w:vMerge w:val="continue"/>
                </w:tcPr>
                <w:p w14:paraId="47D8BB27">
                  <w:pPr>
                    <w:jc w:val="center"/>
                    <w:rPr>
                      <w:color w:val="auto"/>
                      <w:kern w:val="44"/>
                      <w:szCs w:val="21"/>
                    </w:rPr>
                  </w:pPr>
                </w:p>
              </w:tc>
              <w:tc>
                <w:tcPr>
                  <w:tcW w:w="745" w:type="dxa"/>
                </w:tcPr>
                <w:p w14:paraId="389ABB09">
                  <w:pPr>
                    <w:jc w:val="center"/>
                    <w:rPr>
                      <w:color w:val="auto"/>
                      <w:kern w:val="44"/>
                      <w:szCs w:val="21"/>
                    </w:rPr>
                  </w:pPr>
                  <w:r>
                    <w:rPr>
                      <w:rFonts w:hint="eastAsia"/>
                      <w:color w:val="auto"/>
                      <w:kern w:val="44"/>
                      <w:szCs w:val="21"/>
                    </w:rPr>
                    <w:t>10</w:t>
                  </w:r>
                </w:p>
              </w:tc>
              <w:tc>
                <w:tcPr>
                  <w:tcW w:w="855" w:type="dxa"/>
                </w:tcPr>
                <w:p w14:paraId="0AEB5B9E">
                  <w:pPr>
                    <w:jc w:val="center"/>
                    <w:rPr>
                      <w:color w:val="auto"/>
                      <w:kern w:val="44"/>
                      <w:szCs w:val="21"/>
                    </w:rPr>
                  </w:pPr>
                  <w:r>
                    <w:rPr>
                      <w:rFonts w:hint="eastAsia"/>
                      <w:color w:val="auto"/>
                      <w:kern w:val="44"/>
                      <w:szCs w:val="21"/>
                    </w:rPr>
                    <w:t>南</w:t>
                  </w:r>
                </w:p>
              </w:tc>
              <w:tc>
                <w:tcPr>
                  <w:tcW w:w="1122" w:type="dxa"/>
                </w:tcPr>
                <w:p w14:paraId="07B22E1D">
                  <w:pPr>
                    <w:jc w:val="center"/>
                    <w:rPr>
                      <w:color w:val="auto"/>
                      <w:kern w:val="44"/>
                      <w:szCs w:val="21"/>
                    </w:rPr>
                  </w:pPr>
                  <w:r>
                    <w:rPr>
                      <w:rFonts w:hint="eastAsia"/>
                      <w:color w:val="auto"/>
                      <w:kern w:val="44"/>
                      <w:szCs w:val="21"/>
                    </w:rPr>
                    <w:t>65m</w:t>
                  </w:r>
                </w:p>
              </w:tc>
              <w:tc>
                <w:tcPr>
                  <w:tcW w:w="3102" w:type="dxa"/>
                  <w:vMerge w:val="continue"/>
                </w:tcPr>
                <w:p w14:paraId="313A1816">
                  <w:pPr>
                    <w:jc w:val="center"/>
                    <w:rPr>
                      <w:color w:val="auto"/>
                      <w:spacing w:val="-10"/>
                      <w:szCs w:val="21"/>
                    </w:rPr>
                  </w:pPr>
                </w:p>
              </w:tc>
            </w:tr>
            <w:tr w14:paraId="2305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448F7BA8">
                  <w:pPr>
                    <w:jc w:val="center"/>
                    <w:rPr>
                      <w:color w:val="auto"/>
                      <w:kern w:val="44"/>
                      <w:szCs w:val="21"/>
                    </w:rPr>
                  </w:pPr>
                  <w:r>
                    <w:rPr>
                      <w:rFonts w:hint="eastAsia"/>
                      <w:color w:val="auto"/>
                      <w:kern w:val="44"/>
                      <w:szCs w:val="21"/>
                    </w:rPr>
                    <w:t>地下水</w:t>
                  </w:r>
                </w:p>
              </w:tc>
              <w:tc>
                <w:tcPr>
                  <w:tcW w:w="4177" w:type="dxa"/>
                  <w:gridSpan w:val="5"/>
                </w:tcPr>
                <w:p w14:paraId="4F87A3E3">
                  <w:pPr>
                    <w:widowControl/>
                    <w:jc w:val="center"/>
                    <w:rPr>
                      <w:color w:val="auto"/>
                      <w:kern w:val="44"/>
                      <w:szCs w:val="21"/>
                    </w:rPr>
                  </w:pPr>
                  <w:r>
                    <w:rPr>
                      <w:rFonts w:hint="eastAsia" w:ascii="宋体" w:hAnsi="宋体" w:cs="宋体"/>
                      <w:color w:val="auto"/>
                      <w:kern w:val="0"/>
                      <w:szCs w:val="21"/>
                      <w:lang w:bidi="ar"/>
                    </w:rPr>
                    <w:t>矿界外</w:t>
                  </w:r>
                  <w:r>
                    <w:rPr>
                      <w:color w:val="auto"/>
                      <w:kern w:val="0"/>
                      <w:szCs w:val="21"/>
                      <w:lang w:bidi="ar"/>
                    </w:rPr>
                    <w:t>500m</w:t>
                  </w:r>
                  <w:r>
                    <w:rPr>
                      <w:rFonts w:hint="eastAsia" w:ascii="宋体" w:hAnsi="宋体" w:cs="宋体"/>
                      <w:color w:val="auto"/>
                      <w:kern w:val="0"/>
                      <w:szCs w:val="21"/>
                      <w:lang w:bidi="ar"/>
                    </w:rPr>
                    <w:t>范围内无地下水集中式饮用水水源和热水、矿泉水、温泉等特殊地下水资源。</w:t>
                  </w:r>
                </w:p>
              </w:tc>
              <w:tc>
                <w:tcPr>
                  <w:tcW w:w="3102" w:type="dxa"/>
                </w:tcPr>
                <w:p w14:paraId="21A71CB9">
                  <w:pPr>
                    <w:jc w:val="center"/>
                    <w:rPr>
                      <w:color w:val="auto"/>
                      <w:spacing w:val="-10"/>
                      <w:szCs w:val="21"/>
                    </w:rPr>
                  </w:pPr>
                  <w:r>
                    <w:rPr>
                      <w:color w:val="auto"/>
                      <w:szCs w:val="21"/>
                    </w:rPr>
                    <w:t>《地下水质量标准》（GB/T14848-2017）中Ⅲ类标准</w:t>
                  </w:r>
                </w:p>
              </w:tc>
            </w:tr>
            <w:tr w14:paraId="08FF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2D2BD04B">
                  <w:pPr>
                    <w:jc w:val="center"/>
                    <w:rPr>
                      <w:color w:val="auto"/>
                      <w:kern w:val="44"/>
                      <w:szCs w:val="21"/>
                    </w:rPr>
                  </w:pPr>
                  <w:r>
                    <w:rPr>
                      <w:rFonts w:hint="eastAsia"/>
                      <w:color w:val="auto"/>
                      <w:kern w:val="44"/>
                      <w:szCs w:val="21"/>
                    </w:rPr>
                    <w:t>声环境</w:t>
                  </w:r>
                </w:p>
              </w:tc>
              <w:tc>
                <w:tcPr>
                  <w:tcW w:w="4177" w:type="dxa"/>
                  <w:gridSpan w:val="5"/>
                </w:tcPr>
                <w:p w14:paraId="04E29A34">
                  <w:pPr>
                    <w:widowControl/>
                    <w:jc w:val="center"/>
                    <w:rPr>
                      <w:color w:val="auto"/>
                      <w:szCs w:val="21"/>
                    </w:rPr>
                  </w:pPr>
                  <w:r>
                    <w:rPr>
                      <w:rFonts w:hint="eastAsia" w:ascii="宋体" w:hAnsi="宋体" w:cs="宋体"/>
                      <w:color w:val="auto"/>
                      <w:kern w:val="0"/>
                      <w:szCs w:val="21"/>
                      <w:lang w:bidi="ar"/>
                    </w:rPr>
                    <w:t>场界外</w:t>
                  </w:r>
                  <w:r>
                    <w:rPr>
                      <w:color w:val="auto"/>
                      <w:kern w:val="0"/>
                      <w:szCs w:val="21"/>
                      <w:lang w:bidi="ar"/>
                    </w:rPr>
                    <w:t>50m</w:t>
                  </w:r>
                  <w:r>
                    <w:rPr>
                      <w:rFonts w:hint="eastAsia" w:ascii="宋体" w:hAnsi="宋体" w:cs="宋体"/>
                      <w:color w:val="auto"/>
                      <w:kern w:val="0"/>
                      <w:szCs w:val="21"/>
                      <w:lang w:bidi="ar"/>
                    </w:rPr>
                    <w:t>范围内无声环境保护目标。</w:t>
                  </w:r>
                </w:p>
                <w:p w14:paraId="04425EE9">
                  <w:pPr>
                    <w:widowControl/>
                    <w:jc w:val="center"/>
                    <w:rPr>
                      <w:rFonts w:hint="eastAsia" w:ascii="宋体" w:hAnsi="宋体" w:cs="宋体"/>
                      <w:color w:val="auto"/>
                      <w:kern w:val="0"/>
                      <w:szCs w:val="21"/>
                      <w:lang w:bidi="ar"/>
                    </w:rPr>
                  </w:pPr>
                </w:p>
              </w:tc>
              <w:tc>
                <w:tcPr>
                  <w:tcW w:w="3102" w:type="dxa"/>
                </w:tcPr>
                <w:p w14:paraId="013FD5F5">
                  <w:pPr>
                    <w:widowControl/>
                    <w:jc w:val="center"/>
                    <w:rPr>
                      <w:color w:val="auto"/>
                      <w:szCs w:val="21"/>
                    </w:rPr>
                  </w:pPr>
                  <w:r>
                    <w:rPr>
                      <w:rFonts w:hint="eastAsia" w:ascii="宋体" w:hAnsi="宋体" w:cs="宋体"/>
                      <w:color w:val="auto"/>
                      <w:kern w:val="0"/>
                      <w:szCs w:val="21"/>
                      <w:lang w:bidi="ar"/>
                    </w:rPr>
                    <w:t>《声环境质量标准》（</w:t>
                  </w:r>
                  <w:r>
                    <w:rPr>
                      <w:color w:val="auto"/>
                      <w:kern w:val="0"/>
                      <w:szCs w:val="21"/>
                      <w:lang w:bidi="ar"/>
                    </w:rPr>
                    <w:t>GB3096-2008</w:t>
                  </w:r>
                  <w:r>
                    <w:rPr>
                      <w:rFonts w:hint="eastAsia" w:ascii="宋体" w:hAnsi="宋体" w:cs="宋体"/>
                      <w:color w:val="auto"/>
                      <w:kern w:val="0"/>
                      <w:szCs w:val="21"/>
                      <w:lang w:bidi="ar"/>
                    </w:rPr>
                    <w:t>）</w:t>
                  </w:r>
                  <w:r>
                    <w:rPr>
                      <w:color w:val="auto"/>
                      <w:kern w:val="0"/>
                      <w:szCs w:val="21"/>
                      <w:lang w:bidi="ar"/>
                    </w:rPr>
                    <w:t xml:space="preserve">2 </w:t>
                  </w:r>
                  <w:r>
                    <w:rPr>
                      <w:rFonts w:hint="eastAsia" w:ascii="宋体" w:hAnsi="宋体" w:cs="宋体"/>
                      <w:color w:val="auto"/>
                      <w:kern w:val="0"/>
                      <w:szCs w:val="21"/>
                      <w:lang w:bidi="ar"/>
                    </w:rPr>
                    <w:t>类标准</w:t>
                  </w:r>
                </w:p>
              </w:tc>
            </w:tr>
            <w:tr w14:paraId="2891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5847DE31">
                  <w:pPr>
                    <w:jc w:val="center"/>
                    <w:rPr>
                      <w:color w:val="auto"/>
                      <w:kern w:val="44"/>
                      <w:szCs w:val="21"/>
                    </w:rPr>
                  </w:pPr>
                  <w:r>
                    <w:rPr>
                      <w:rFonts w:hint="eastAsia"/>
                      <w:color w:val="auto"/>
                      <w:kern w:val="44"/>
                      <w:szCs w:val="21"/>
                    </w:rPr>
                    <w:t>生态环境</w:t>
                  </w:r>
                </w:p>
              </w:tc>
              <w:tc>
                <w:tcPr>
                  <w:tcW w:w="4177" w:type="dxa"/>
                  <w:gridSpan w:val="5"/>
                </w:tcPr>
                <w:p w14:paraId="5823E3F7">
                  <w:pPr>
                    <w:widowControl/>
                    <w:jc w:val="center"/>
                    <w:rPr>
                      <w:color w:val="auto"/>
                      <w:szCs w:val="21"/>
                    </w:rPr>
                  </w:pPr>
                  <w:r>
                    <w:rPr>
                      <w:rFonts w:hint="eastAsia" w:ascii="宋体" w:hAnsi="宋体" w:cs="宋体"/>
                      <w:color w:val="auto"/>
                      <w:kern w:val="0"/>
                      <w:szCs w:val="21"/>
                      <w:lang w:bidi="ar"/>
                    </w:rPr>
                    <w:t>矿区及周边退耕还林地（梭梭）、植被、动物及生态环境</w:t>
                  </w:r>
                </w:p>
                <w:p w14:paraId="73ED5AF0">
                  <w:pPr>
                    <w:widowControl/>
                    <w:jc w:val="center"/>
                    <w:rPr>
                      <w:rFonts w:hint="eastAsia" w:ascii="宋体" w:hAnsi="宋体" w:cs="宋体"/>
                      <w:color w:val="auto"/>
                      <w:kern w:val="0"/>
                      <w:szCs w:val="21"/>
                      <w:lang w:bidi="ar"/>
                    </w:rPr>
                  </w:pPr>
                </w:p>
              </w:tc>
              <w:tc>
                <w:tcPr>
                  <w:tcW w:w="3102" w:type="dxa"/>
                </w:tcPr>
                <w:p w14:paraId="73C68BB7">
                  <w:pPr>
                    <w:widowControl/>
                    <w:jc w:val="center"/>
                    <w:rPr>
                      <w:color w:val="auto"/>
                      <w:szCs w:val="21"/>
                    </w:rPr>
                  </w:pPr>
                  <w:r>
                    <w:rPr>
                      <w:rFonts w:hint="eastAsia" w:ascii="宋体" w:hAnsi="宋体" w:cs="宋体"/>
                      <w:color w:val="auto"/>
                      <w:kern w:val="0"/>
                      <w:szCs w:val="21"/>
                      <w:lang w:bidi="ar"/>
                    </w:rPr>
                    <w:t>矿区周边退耕还林地（梭梭）及植被不因项目运行而减少，不造成周边动物种群类型减少及数量明显下降，不因水土流失降低区域生态功能，区域生态环境不恶化。</w:t>
                  </w:r>
                </w:p>
                <w:p w14:paraId="22EAE64A">
                  <w:pPr>
                    <w:jc w:val="center"/>
                    <w:rPr>
                      <w:color w:val="auto"/>
                      <w:szCs w:val="21"/>
                    </w:rPr>
                  </w:pPr>
                </w:p>
              </w:tc>
            </w:tr>
            <w:tr w14:paraId="79DB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6F0DE404">
                  <w:pPr>
                    <w:jc w:val="center"/>
                    <w:rPr>
                      <w:color w:val="auto"/>
                      <w:kern w:val="44"/>
                      <w:szCs w:val="21"/>
                    </w:rPr>
                  </w:pPr>
                  <w:r>
                    <w:rPr>
                      <w:rFonts w:hint="eastAsia"/>
                      <w:color w:val="auto"/>
                      <w:kern w:val="44"/>
                      <w:szCs w:val="21"/>
                    </w:rPr>
                    <w:t>土壤环境</w:t>
                  </w:r>
                </w:p>
              </w:tc>
              <w:tc>
                <w:tcPr>
                  <w:tcW w:w="4177" w:type="dxa"/>
                  <w:gridSpan w:val="5"/>
                </w:tcPr>
                <w:p w14:paraId="02F16950">
                  <w:pPr>
                    <w:widowControl/>
                    <w:jc w:val="center"/>
                    <w:rPr>
                      <w:color w:val="auto"/>
                      <w:szCs w:val="21"/>
                    </w:rPr>
                  </w:pPr>
                  <w:r>
                    <w:rPr>
                      <w:rFonts w:hint="eastAsia" w:ascii="宋体" w:hAnsi="宋体" w:cs="宋体"/>
                      <w:color w:val="auto"/>
                      <w:kern w:val="0"/>
                      <w:szCs w:val="21"/>
                      <w:lang w:bidi="ar"/>
                    </w:rPr>
                    <w:t>项目占地区域、周边退耕还林地及耕地</w:t>
                  </w:r>
                </w:p>
                <w:p w14:paraId="0261DF48">
                  <w:pPr>
                    <w:widowControl/>
                    <w:jc w:val="center"/>
                    <w:rPr>
                      <w:rFonts w:hint="eastAsia" w:ascii="宋体" w:hAnsi="宋体" w:cs="宋体"/>
                      <w:color w:val="auto"/>
                      <w:kern w:val="0"/>
                      <w:szCs w:val="21"/>
                      <w:lang w:bidi="ar"/>
                    </w:rPr>
                  </w:pPr>
                </w:p>
              </w:tc>
              <w:tc>
                <w:tcPr>
                  <w:tcW w:w="3102" w:type="dxa"/>
                </w:tcPr>
                <w:p w14:paraId="7303F502">
                  <w:pPr>
                    <w:widowControl/>
                    <w:jc w:val="center"/>
                    <w:rPr>
                      <w:color w:val="auto"/>
                      <w:szCs w:val="21"/>
                    </w:rPr>
                  </w:pPr>
                  <w:r>
                    <w:rPr>
                      <w:rFonts w:hint="eastAsia"/>
                      <w:color w:val="auto"/>
                      <w:szCs w:val="21"/>
                    </w:rPr>
                    <w:t>《土壤环境质量 农用地土壤污染风险管控标准》（GB15618-2018）</w:t>
                  </w:r>
                </w:p>
              </w:tc>
            </w:tr>
          </w:tbl>
          <w:p w14:paraId="6A9D53FC">
            <w:pPr>
              <w:adjustRightInd w:val="0"/>
              <w:snapToGrid w:val="0"/>
              <w:rPr>
                <w:rFonts w:hint="eastAsia" w:ascii="宋体" w:hAnsi="宋体" w:cs="宋体"/>
                <w:color w:val="auto"/>
                <w:kern w:val="0"/>
                <w:szCs w:val="21"/>
              </w:rPr>
            </w:pPr>
          </w:p>
        </w:tc>
      </w:tr>
      <w:tr w14:paraId="11AF8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1" w:hRule="atLeast"/>
          <w:jc w:val="center"/>
        </w:trPr>
        <w:tc>
          <w:tcPr>
            <w:tcW w:w="904" w:type="dxa"/>
            <w:vAlign w:val="center"/>
          </w:tcPr>
          <w:p w14:paraId="4CD86AC0">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评价</w:t>
            </w:r>
          </w:p>
          <w:p w14:paraId="25843047">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标准</w:t>
            </w:r>
          </w:p>
        </w:tc>
        <w:tc>
          <w:tcPr>
            <w:tcW w:w="8253" w:type="dxa"/>
            <w:vAlign w:val="center"/>
          </w:tcPr>
          <w:p w14:paraId="5B3CD62E">
            <w:pPr>
              <w:adjustRightInd w:val="0"/>
              <w:snapToGrid w:val="0"/>
              <w:spacing w:line="360" w:lineRule="auto"/>
              <w:jc w:val="left"/>
              <w:rPr>
                <w:b/>
                <w:bCs/>
                <w:color w:val="auto"/>
                <w:kern w:val="0"/>
                <w:sz w:val="24"/>
              </w:rPr>
            </w:pPr>
            <w:r>
              <w:rPr>
                <w:rFonts w:hint="eastAsia"/>
                <w:b/>
                <w:bCs/>
                <w:color w:val="auto"/>
                <w:kern w:val="0"/>
                <w:sz w:val="24"/>
              </w:rPr>
              <w:t>1</w:t>
            </w:r>
            <w:r>
              <w:rPr>
                <w:b/>
                <w:bCs/>
                <w:color w:val="auto"/>
                <w:kern w:val="0"/>
                <w:sz w:val="24"/>
              </w:rPr>
              <w:t>、环境质量标准</w:t>
            </w:r>
          </w:p>
          <w:p w14:paraId="47F17A01">
            <w:pPr>
              <w:adjustRightInd w:val="0"/>
              <w:snapToGrid w:val="0"/>
              <w:spacing w:line="360" w:lineRule="auto"/>
              <w:ind w:firstLine="480" w:firstLineChars="200"/>
              <w:rPr>
                <w:color w:val="auto"/>
                <w:sz w:val="24"/>
              </w:rPr>
            </w:pPr>
            <w:r>
              <w:rPr>
                <w:color w:val="auto"/>
                <w:sz w:val="24"/>
              </w:rPr>
              <w:t>大气环境：</w:t>
            </w:r>
            <w:r>
              <w:rPr>
                <w:rFonts w:hint="eastAsia"/>
                <w:color w:val="auto"/>
                <w:sz w:val="24"/>
              </w:rPr>
              <w:t>《环境空气质量标准》（GB3095-2012）及修改单的二级标准</w:t>
            </w:r>
            <w:r>
              <w:rPr>
                <w:color w:val="auto"/>
                <w:sz w:val="24"/>
              </w:rPr>
              <w:t>；</w:t>
            </w:r>
          </w:p>
          <w:p w14:paraId="15E2434B">
            <w:pPr>
              <w:adjustRightInd w:val="0"/>
              <w:snapToGrid w:val="0"/>
              <w:spacing w:line="360" w:lineRule="auto"/>
              <w:ind w:firstLine="480" w:firstLineChars="200"/>
              <w:rPr>
                <w:color w:val="auto"/>
                <w:sz w:val="24"/>
              </w:rPr>
            </w:pPr>
            <w:r>
              <w:rPr>
                <w:color w:val="auto"/>
                <w:sz w:val="24"/>
              </w:rPr>
              <w:t>声环境：《声环境质量标准》（GB3096-2008）中2类标准值；</w:t>
            </w:r>
          </w:p>
          <w:p w14:paraId="243C604D">
            <w:pPr>
              <w:adjustRightInd w:val="0"/>
              <w:snapToGrid w:val="0"/>
              <w:spacing w:line="360" w:lineRule="auto"/>
              <w:ind w:firstLine="480" w:firstLineChars="200"/>
              <w:jc w:val="left"/>
              <w:rPr>
                <w:color w:val="auto"/>
                <w:sz w:val="24"/>
              </w:rPr>
            </w:pPr>
            <w:r>
              <w:rPr>
                <w:color w:val="auto"/>
                <w:sz w:val="24"/>
              </w:rPr>
              <w:t>水环境：《地下水质量标准》（GB/T14848-2017）中Ⅲ类标准</w:t>
            </w:r>
            <w:r>
              <w:rPr>
                <w:rFonts w:hint="eastAsia"/>
                <w:color w:val="auto"/>
                <w:sz w:val="24"/>
              </w:rPr>
              <w:t>；</w:t>
            </w:r>
          </w:p>
          <w:p w14:paraId="3B472B76">
            <w:pPr>
              <w:adjustRightInd w:val="0"/>
              <w:snapToGrid w:val="0"/>
              <w:spacing w:line="360" w:lineRule="auto"/>
              <w:ind w:firstLine="480" w:firstLineChars="200"/>
              <w:jc w:val="left"/>
              <w:rPr>
                <w:color w:val="auto"/>
                <w:kern w:val="0"/>
                <w:sz w:val="24"/>
              </w:rPr>
            </w:pPr>
            <w:r>
              <w:rPr>
                <w:rFonts w:hint="eastAsia"/>
                <w:color w:val="auto"/>
                <w:sz w:val="24"/>
              </w:rPr>
              <w:t>土壤环境：《土壤环境质量 农用地土壤污染风险管控标准土壤污染风险管控标准》（GB15618-2018）</w:t>
            </w:r>
            <w:r>
              <w:rPr>
                <w:color w:val="auto"/>
                <w:sz w:val="24"/>
              </w:rPr>
              <w:t>。</w:t>
            </w:r>
          </w:p>
          <w:p w14:paraId="345B1E44">
            <w:pPr>
              <w:adjustRightInd w:val="0"/>
              <w:snapToGrid w:val="0"/>
              <w:spacing w:line="360" w:lineRule="auto"/>
              <w:jc w:val="left"/>
              <w:rPr>
                <w:b/>
                <w:bCs/>
                <w:color w:val="auto"/>
                <w:kern w:val="0"/>
                <w:sz w:val="24"/>
              </w:rPr>
            </w:pPr>
            <w:r>
              <w:rPr>
                <w:rFonts w:hint="eastAsia"/>
                <w:b/>
                <w:bCs/>
                <w:color w:val="auto"/>
                <w:kern w:val="0"/>
                <w:sz w:val="24"/>
              </w:rPr>
              <w:t>2</w:t>
            </w:r>
            <w:r>
              <w:rPr>
                <w:b/>
                <w:bCs/>
                <w:color w:val="auto"/>
                <w:kern w:val="0"/>
                <w:sz w:val="24"/>
              </w:rPr>
              <w:t>、污染物排放标准</w:t>
            </w:r>
          </w:p>
          <w:p w14:paraId="0E06F1C9">
            <w:pPr>
              <w:adjustRightInd w:val="0"/>
              <w:snapToGrid w:val="0"/>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（1）大气污染物排放标准</w:t>
            </w:r>
          </w:p>
          <w:p w14:paraId="3494ABAB">
            <w:pPr>
              <w:adjustRightInd w:val="0"/>
              <w:snapToGrid w:val="0"/>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施工期</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扬尘执行《大气污染物综合排放标准》（GB16297-1996）表2中无组织排放监控浓度限值（周界外浓度最高点1.0mg/m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w:t>
            </w:r>
          </w:p>
          <w:p w14:paraId="412A9D08">
            <w:pPr>
              <w:adjustRightInd w:val="0"/>
              <w:snapToGrid w:val="0"/>
              <w:spacing w:line="360" w:lineRule="auto"/>
              <w:ind w:firstLine="480" w:firstLineChars="200"/>
              <w:jc w:val="both"/>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运营期：</w:t>
            </w:r>
            <w:r>
              <w:rPr>
                <w:rFonts w:hint="eastAsia" w:ascii="Times New Roman" w:hAnsi="Times New Roman" w:eastAsia="宋体" w:cs="Times New Roman"/>
                <w:color w:val="auto"/>
                <w:sz w:val="24"/>
                <w:lang w:val="en-US" w:eastAsia="zh-CN"/>
              </w:rPr>
              <w:t>露天采场</w:t>
            </w:r>
            <w:r>
              <w:rPr>
                <w:rFonts w:ascii="Times New Roman" w:hAnsi="Times New Roman" w:eastAsia="宋体" w:cs="Times New Roman"/>
                <w:color w:val="auto"/>
                <w:sz w:val="24"/>
                <w:lang w:eastAsia="zh-CN"/>
              </w:rPr>
              <w:t>排放的颗粒物执行《大气污染物综合排放标准》（GB16297-1996）</w:t>
            </w:r>
            <w:r>
              <w:rPr>
                <w:rFonts w:hint="eastAsia" w:ascii="Times New Roman" w:hAnsi="Times New Roman" w:eastAsia="宋体" w:cs="Times New Roman"/>
                <w:color w:val="auto"/>
                <w:sz w:val="24"/>
                <w:lang w:eastAsia="zh-CN"/>
              </w:rPr>
              <w:t>表</w:t>
            </w:r>
            <w:r>
              <w:rPr>
                <w:rFonts w:hint="eastAsia" w:ascii="Times New Roman" w:hAnsi="Times New Roman" w:eastAsia="宋体" w:cs="Times New Roman"/>
                <w:color w:val="auto"/>
                <w:sz w:val="24"/>
                <w:lang w:val="en-US" w:eastAsia="zh-CN"/>
              </w:rPr>
              <w:t>2新污染源大气污染物排放限值</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限值详见表3-11。</w:t>
            </w:r>
          </w:p>
          <w:p w14:paraId="16A724F0">
            <w:pPr>
              <w:pStyle w:val="9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auto"/>
                <w:kern w:val="21"/>
                <w:sz w:val="21"/>
                <w:szCs w:val="21"/>
                <w:lang w:eastAsia="zh-CN"/>
              </w:rPr>
            </w:pPr>
            <w:r>
              <w:rPr>
                <w:rFonts w:hint="default" w:ascii="Times New Roman" w:hAnsi="Times New Roman" w:eastAsia="宋体" w:cs="Times New Roman"/>
                <w:b/>
                <w:bCs/>
                <w:color w:val="auto"/>
                <w:kern w:val="21"/>
                <w:sz w:val="21"/>
                <w:szCs w:val="21"/>
                <w:lang w:eastAsia="zh-CN"/>
              </w:rPr>
              <w:t>表3-</w:t>
            </w:r>
            <w:r>
              <w:rPr>
                <w:rFonts w:hint="eastAsia" w:ascii="Times New Roman" w:hAnsi="Times New Roman" w:cs="Times New Roman"/>
                <w:b/>
                <w:bCs/>
                <w:color w:val="auto"/>
                <w:kern w:val="21"/>
                <w:sz w:val="21"/>
                <w:szCs w:val="21"/>
                <w:lang w:val="en-US" w:eastAsia="zh-CN"/>
              </w:rPr>
              <w:t>11</w:t>
            </w:r>
            <w:r>
              <w:rPr>
                <w:rFonts w:hint="default" w:ascii="Times New Roman" w:hAnsi="Times New Roman" w:eastAsia="宋体" w:cs="Times New Roman"/>
                <w:b/>
                <w:bCs/>
                <w:color w:val="auto"/>
                <w:kern w:val="21"/>
                <w:sz w:val="21"/>
                <w:szCs w:val="21"/>
                <w:lang w:eastAsia="zh-CN"/>
              </w:rPr>
              <w:t xml:space="preserve"> </w:t>
            </w:r>
            <w:r>
              <w:rPr>
                <w:rFonts w:hint="eastAsia" w:ascii="Times New Roman" w:hAnsi="Times New Roman" w:eastAsia="宋体" w:cs="Times New Roman"/>
                <w:b/>
                <w:bCs/>
                <w:color w:val="auto"/>
                <w:kern w:val="21"/>
                <w:sz w:val="21"/>
                <w:szCs w:val="21"/>
                <w:lang w:val="en-US" w:eastAsia="zh-CN"/>
              </w:rPr>
              <w:t xml:space="preserve">  </w:t>
            </w:r>
            <w:r>
              <w:rPr>
                <w:rFonts w:hint="default" w:ascii="Times New Roman" w:hAnsi="Times New Roman" w:eastAsia="宋体" w:cs="Times New Roman"/>
                <w:b/>
                <w:bCs/>
                <w:color w:val="auto"/>
                <w:kern w:val="21"/>
                <w:sz w:val="21"/>
                <w:szCs w:val="21"/>
                <w:lang w:eastAsia="zh-CN"/>
              </w:rPr>
              <w:t xml:space="preserve"> </w:t>
            </w:r>
            <w:r>
              <w:rPr>
                <w:rFonts w:hint="eastAsia" w:ascii="Times New Roman" w:hAnsi="Times New Roman" w:eastAsia="宋体" w:cs="Times New Roman"/>
                <w:b/>
                <w:bCs/>
                <w:color w:val="auto"/>
                <w:kern w:val="21"/>
                <w:sz w:val="21"/>
                <w:szCs w:val="21"/>
                <w:lang w:eastAsia="zh-CN"/>
              </w:rPr>
              <w:t>大气污染物排放</w:t>
            </w:r>
            <w:r>
              <w:rPr>
                <w:rFonts w:hint="default" w:ascii="Times New Roman" w:hAnsi="Times New Roman" w:eastAsia="宋体" w:cs="Times New Roman"/>
                <w:b/>
                <w:bCs/>
                <w:color w:val="auto"/>
                <w:kern w:val="21"/>
                <w:sz w:val="21"/>
                <w:szCs w:val="21"/>
                <w:lang w:eastAsia="zh-CN"/>
              </w:rPr>
              <w:t>标准</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1008"/>
              <w:gridCol w:w="2547"/>
            </w:tblGrid>
            <w:tr w14:paraId="38AA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85" w:type="pct"/>
                  <w:vMerge w:val="restart"/>
                  <w:tcBorders>
                    <w:tl2br w:val="nil"/>
                    <w:tr2bl w:val="nil"/>
                  </w:tcBorders>
                  <w:shd w:val="clear" w:color="auto" w:fill="auto"/>
                  <w:vAlign w:val="center"/>
                </w:tcPr>
                <w:p w14:paraId="0EBF02C1">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标准名称</w:t>
                  </w:r>
                </w:p>
              </w:tc>
              <w:tc>
                <w:tcPr>
                  <w:tcW w:w="627" w:type="pct"/>
                  <w:vMerge w:val="restart"/>
                  <w:tcBorders>
                    <w:tl2br w:val="nil"/>
                    <w:tr2bl w:val="nil"/>
                  </w:tcBorders>
                  <w:shd w:val="clear" w:color="auto" w:fill="auto"/>
                  <w:vAlign w:val="center"/>
                </w:tcPr>
                <w:p w14:paraId="028C6181">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w:t>
                  </w:r>
                </w:p>
              </w:tc>
              <w:tc>
                <w:tcPr>
                  <w:tcW w:w="1586" w:type="pct"/>
                  <w:vMerge w:val="restart"/>
                  <w:tcBorders>
                    <w:tl2br w:val="nil"/>
                    <w:tr2bl w:val="nil"/>
                  </w:tcBorders>
                  <w:shd w:val="clear" w:color="auto" w:fill="auto"/>
                  <w:vAlign w:val="center"/>
                </w:tcPr>
                <w:p w14:paraId="2B541A4A">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无组织排放监控浓度限值</w:t>
                  </w:r>
                </w:p>
              </w:tc>
            </w:tr>
            <w:tr w14:paraId="1BF0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85" w:type="pct"/>
                  <w:vMerge w:val="continue"/>
                  <w:tcBorders>
                    <w:tl2br w:val="nil"/>
                    <w:tr2bl w:val="nil"/>
                  </w:tcBorders>
                  <w:shd w:val="clear" w:color="auto" w:fill="auto"/>
                  <w:vAlign w:val="center"/>
                </w:tcPr>
                <w:p w14:paraId="7070BE26">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p>
              </w:tc>
              <w:tc>
                <w:tcPr>
                  <w:tcW w:w="627" w:type="pct"/>
                  <w:vMerge w:val="continue"/>
                  <w:tcBorders>
                    <w:tl2br w:val="nil"/>
                    <w:tr2bl w:val="nil"/>
                  </w:tcBorders>
                  <w:shd w:val="clear" w:color="auto" w:fill="auto"/>
                  <w:vAlign w:val="center"/>
                </w:tcPr>
                <w:p w14:paraId="73D9D1C1">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p>
              </w:tc>
              <w:tc>
                <w:tcPr>
                  <w:tcW w:w="1586" w:type="pct"/>
                  <w:vMerge w:val="continue"/>
                  <w:tcBorders>
                    <w:tl2br w:val="nil"/>
                    <w:tr2bl w:val="nil"/>
                  </w:tcBorders>
                  <w:shd w:val="clear" w:color="auto" w:fill="auto"/>
                  <w:vAlign w:val="center"/>
                </w:tcPr>
                <w:p w14:paraId="50A24739">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lang w:eastAsia="zh-CN"/>
                    </w:rPr>
                  </w:pPr>
                </w:p>
              </w:tc>
            </w:tr>
            <w:tr w14:paraId="77A2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785" w:type="pct"/>
                  <w:tcBorders>
                    <w:tl2br w:val="nil"/>
                    <w:tr2bl w:val="nil"/>
                  </w:tcBorders>
                  <w:shd w:val="clear" w:color="auto" w:fill="auto"/>
                  <w:vAlign w:val="center"/>
                </w:tcPr>
                <w:p w14:paraId="01BEF5B7">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《大气污染物综合排放标准》(GB16297-1996)</w:t>
                  </w:r>
                </w:p>
              </w:tc>
              <w:tc>
                <w:tcPr>
                  <w:tcW w:w="627" w:type="pct"/>
                  <w:tcBorders>
                    <w:tl2br w:val="nil"/>
                    <w:tr2bl w:val="nil"/>
                  </w:tcBorders>
                  <w:shd w:val="clear" w:color="auto" w:fill="auto"/>
                  <w:vAlign w:val="center"/>
                </w:tcPr>
                <w:p w14:paraId="71B7E16C">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颗粒物</w:t>
                  </w:r>
                </w:p>
              </w:tc>
              <w:tc>
                <w:tcPr>
                  <w:tcW w:w="1586" w:type="pct"/>
                  <w:tcBorders>
                    <w:tl2br w:val="nil"/>
                    <w:tr2bl w:val="nil"/>
                  </w:tcBorders>
                  <w:shd w:val="clear" w:color="auto" w:fill="auto"/>
                  <w:vAlign w:val="center"/>
                </w:tcPr>
                <w:p w14:paraId="14E53B1C">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mg/m</w:t>
                  </w:r>
                  <w:r>
                    <w:rPr>
                      <w:rFonts w:hint="default" w:ascii="Times New Roman" w:hAnsi="Times New Roman" w:eastAsia="宋体" w:cs="Times New Roman"/>
                      <w:b w:val="0"/>
                      <w:bCs w:val="0"/>
                      <w:color w:val="auto"/>
                      <w:sz w:val="21"/>
                      <w:szCs w:val="21"/>
                      <w:vertAlign w:val="superscript"/>
                    </w:rPr>
                    <w:t>3</w:t>
                  </w:r>
                </w:p>
              </w:tc>
            </w:tr>
          </w:tbl>
          <w:p w14:paraId="06613397">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auto"/>
                <w:sz w:val="24"/>
                <w:lang w:val="zh-CN"/>
              </w:rPr>
            </w:pPr>
            <w:r>
              <w:rPr>
                <w:rFonts w:hint="eastAsia" w:ascii="Times New Roman" w:hAnsi="Times New Roman" w:eastAsia="宋体"/>
                <w:color w:val="auto"/>
                <w:sz w:val="24"/>
                <w:lang w:val="zh-CN"/>
              </w:rPr>
              <w:t>（</w:t>
            </w:r>
            <w:r>
              <w:rPr>
                <w:rFonts w:hint="eastAsia" w:ascii="Times New Roman" w:hAnsi="Times New Roman" w:eastAsia="宋体"/>
                <w:color w:val="auto"/>
                <w:sz w:val="24"/>
              </w:rPr>
              <w:t>2</w:t>
            </w:r>
            <w:r>
              <w:rPr>
                <w:rFonts w:hint="eastAsia" w:ascii="Times New Roman" w:hAnsi="Times New Roman" w:eastAsia="宋体"/>
                <w:color w:val="auto"/>
                <w:sz w:val="24"/>
                <w:lang w:val="zh-CN"/>
              </w:rPr>
              <w:t>）废水排放标准</w:t>
            </w:r>
          </w:p>
          <w:p w14:paraId="127C516E">
            <w:pPr>
              <w:topLinePunct/>
              <w:spacing w:line="360" w:lineRule="auto"/>
              <w:ind w:firstLine="480" w:firstLineChars="200"/>
              <w:rPr>
                <w:rFonts w:ascii="Times New Roman" w:hAnsi="Times New Roman" w:eastAsia="宋体"/>
                <w:caps w:val="0"/>
                <w:color w:val="auto"/>
                <w:kern w:val="0"/>
                <w:sz w:val="24"/>
                <w:highlight w:val="none"/>
              </w:rPr>
            </w:pPr>
            <w:r>
              <w:rPr>
                <w:rFonts w:hint="eastAsia" w:ascii="Times New Roman" w:hAnsi="Times New Roman" w:eastAsia="宋体"/>
                <w:color w:val="auto"/>
                <w:sz w:val="24"/>
              </w:rPr>
              <w:t>运营期无生产废水产生，</w:t>
            </w:r>
            <w:r>
              <w:rPr>
                <w:rFonts w:hint="default" w:ascii="Times New Roman" w:hAnsi="Times New Roman" w:eastAsia="宋体" w:cs="Times New Roman"/>
                <w:color w:val="auto"/>
                <w:sz w:val="24"/>
                <w:szCs w:val="24"/>
                <w:highlight w:val="none"/>
                <w:lang w:val="en-US" w:eastAsia="zh-CN"/>
              </w:rPr>
              <w:t>产生的废水主要为</w:t>
            </w:r>
            <w:r>
              <w:rPr>
                <w:rFonts w:hint="eastAsia"/>
                <w:color w:val="auto"/>
                <w:sz w:val="24"/>
              </w:rPr>
              <w:t>人员如厕废水</w:t>
            </w:r>
            <w:r>
              <w:rPr>
                <w:rFonts w:hint="eastAsia"/>
                <w:color w:val="auto"/>
                <w:sz w:val="24"/>
                <w:lang w:eastAsia="zh-CN"/>
              </w:rPr>
              <w:t>，</w:t>
            </w:r>
            <w:r>
              <w:rPr>
                <w:rFonts w:hint="eastAsia"/>
                <w:color w:val="auto"/>
                <w:sz w:val="24"/>
              </w:rPr>
              <w:t>定期由吸污车拉运至奇台县污水处理厂进一步处理</w:t>
            </w:r>
            <w:r>
              <w:rPr>
                <w:rFonts w:hint="eastAsia" w:ascii="Times New Roman" w:hAnsi="Times New Roman" w:eastAsia="宋体" w:cs="Times New Roman"/>
                <w:color w:val="auto"/>
                <w:kern w:val="21"/>
                <w:sz w:val="24"/>
                <w:szCs w:val="24"/>
                <w:lang w:val="en-US" w:eastAsia="zh-CN"/>
              </w:rPr>
              <w:t>。废水满足</w:t>
            </w:r>
            <w:r>
              <w:rPr>
                <w:rFonts w:ascii="Times New Roman" w:hAnsi="Times New Roman" w:eastAsia="宋体"/>
                <w:caps w:val="0"/>
                <w:color w:val="auto"/>
                <w:kern w:val="0"/>
                <w:sz w:val="24"/>
                <w:highlight w:val="none"/>
              </w:rPr>
              <w:t>《污水</w:t>
            </w:r>
            <w:r>
              <w:rPr>
                <w:rFonts w:hint="eastAsia" w:ascii="Times New Roman" w:hAnsi="Times New Roman" w:eastAsia="宋体"/>
                <w:caps w:val="0"/>
                <w:color w:val="auto"/>
                <w:kern w:val="0"/>
                <w:sz w:val="24"/>
                <w:highlight w:val="none"/>
                <w:lang w:val="en-US" w:eastAsia="zh-CN"/>
              </w:rPr>
              <w:t>综合排放</w:t>
            </w:r>
            <w:r>
              <w:rPr>
                <w:rFonts w:hint="eastAsia" w:ascii="Times New Roman" w:hAnsi="Times New Roman" w:eastAsia="宋体"/>
                <w:caps w:val="0"/>
                <w:color w:val="auto"/>
                <w:kern w:val="0"/>
                <w:sz w:val="24"/>
                <w:highlight w:val="none"/>
              </w:rPr>
              <w:t>标准</w:t>
            </w:r>
            <w:r>
              <w:rPr>
                <w:rFonts w:ascii="Times New Roman" w:hAnsi="Times New Roman" w:eastAsia="宋体"/>
                <w:caps w:val="0"/>
                <w:color w:val="auto"/>
                <w:kern w:val="0"/>
                <w:sz w:val="24"/>
                <w:highlight w:val="none"/>
              </w:rPr>
              <w:t>》</w:t>
            </w:r>
            <w:r>
              <w:rPr>
                <w:rFonts w:hint="eastAsia" w:ascii="Times New Roman" w:hAnsi="Times New Roman" w:eastAsia="宋体"/>
                <w:caps w:val="0"/>
                <w:color w:val="auto"/>
                <w:kern w:val="0"/>
                <w:sz w:val="24"/>
                <w:highlight w:val="none"/>
              </w:rPr>
              <w:t>（</w:t>
            </w:r>
            <w:r>
              <w:rPr>
                <w:rFonts w:ascii="Times New Roman" w:hAnsi="Times New Roman" w:eastAsia="宋体"/>
                <w:caps w:val="0"/>
                <w:color w:val="auto"/>
                <w:kern w:val="0"/>
                <w:sz w:val="24"/>
                <w:highlight w:val="none"/>
              </w:rPr>
              <w:t>GB</w:t>
            </w:r>
            <w:r>
              <w:rPr>
                <w:rFonts w:hint="eastAsia" w:ascii="Times New Roman" w:hAnsi="Times New Roman" w:eastAsia="宋体"/>
                <w:caps w:val="0"/>
                <w:color w:val="auto"/>
                <w:kern w:val="0"/>
                <w:sz w:val="24"/>
                <w:highlight w:val="none"/>
                <w:lang w:val="en-US" w:eastAsia="zh-CN"/>
              </w:rPr>
              <w:t>8978-1996</w:t>
            </w:r>
            <w:r>
              <w:rPr>
                <w:rFonts w:hint="eastAsia" w:ascii="Times New Roman" w:hAnsi="Times New Roman" w:eastAsia="宋体"/>
                <w:caps w:val="0"/>
                <w:color w:val="auto"/>
                <w:kern w:val="0"/>
                <w:sz w:val="24"/>
                <w:highlight w:val="none"/>
              </w:rPr>
              <w:t>）</w:t>
            </w:r>
            <w:r>
              <w:rPr>
                <w:rFonts w:ascii="Times New Roman" w:hAnsi="Times New Roman" w:eastAsia="宋体"/>
                <w:caps w:val="0"/>
                <w:color w:val="auto"/>
                <w:kern w:val="0"/>
                <w:sz w:val="24"/>
                <w:highlight w:val="none"/>
              </w:rPr>
              <w:t>表</w:t>
            </w:r>
            <w:r>
              <w:rPr>
                <w:rFonts w:hint="eastAsia" w:ascii="Times New Roman" w:hAnsi="Times New Roman" w:eastAsia="宋体"/>
                <w:caps w:val="0"/>
                <w:color w:val="auto"/>
                <w:kern w:val="0"/>
                <w:sz w:val="24"/>
                <w:highlight w:val="none"/>
                <w:lang w:val="en-US" w:eastAsia="zh-CN"/>
              </w:rPr>
              <w:t>4</w:t>
            </w:r>
            <w:r>
              <w:rPr>
                <w:rFonts w:ascii="Times New Roman" w:hAnsi="Times New Roman" w:eastAsia="宋体"/>
                <w:caps w:val="0"/>
                <w:color w:val="auto"/>
                <w:kern w:val="0"/>
                <w:sz w:val="24"/>
                <w:highlight w:val="none"/>
              </w:rPr>
              <w:t>中</w:t>
            </w:r>
            <w:r>
              <w:rPr>
                <w:rFonts w:hint="eastAsia" w:ascii="Times New Roman" w:hAnsi="Times New Roman" w:eastAsia="宋体"/>
                <w:caps w:val="0"/>
                <w:color w:val="auto"/>
                <w:kern w:val="0"/>
                <w:sz w:val="24"/>
                <w:highlight w:val="none"/>
                <w:lang w:val="en-US" w:eastAsia="zh-CN"/>
              </w:rPr>
              <w:t>三</w:t>
            </w:r>
            <w:r>
              <w:rPr>
                <w:rFonts w:hint="eastAsia" w:ascii="Times New Roman" w:hAnsi="Times New Roman" w:eastAsia="宋体"/>
                <w:caps w:val="0"/>
                <w:color w:val="auto"/>
                <w:kern w:val="0"/>
                <w:sz w:val="24"/>
                <w:highlight w:val="none"/>
              </w:rPr>
              <w:t>级</w:t>
            </w:r>
            <w:r>
              <w:rPr>
                <w:rFonts w:hint="eastAsia" w:ascii="Times New Roman" w:hAnsi="Times New Roman" w:eastAsia="宋体"/>
                <w:caps w:val="0"/>
                <w:color w:val="auto"/>
                <w:kern w:val="0"/>
                <w:sz w:val="24"/>
                <w:highlight w:val="none"/>
                <w:lang w:val="en-US" w:eastAsia="zh-CN"/>
              </w:rPr>
              <w:t>标准</w:t>
            </w:r>
            <w:r>
              <w:rPr>
                <w:rFonts w:hint="eastAsia" w:ascii="Times New Roman" w:hAnsi="Times New Roman" w:eastAsia="宋体"/>
                <w:caps w:val="0"/>
                <w:color w:val="auto"/>
                <w:kern w:val="0"/>
                <w:sz w:val="24"/>
                <w:highlight w:val="none"/>
              </w:rPr>
              <w:t>规定限值，</w:t>
            </w:r>
            <w:r>
              <w:rPr>
                <w:rFonts w:ascii="Times New Roman" w:hAnsi="Times New Roman" w:eastAsia="宋体"/>
                <w:caps w:val="0"/>
                <w:color w:val="auto"/>
                <w:kern w:val="0"/>
                <w:sz w:val="24"/>
                <w:highlight w:val="none"/>
              </w:rPr>
              <w:t>具体指标详见表</w:t>
            </w:r>
            <w:r>
              <w:rPr>
                <w:rFonts w:hint="eastAsia" w:ascii="Times New Roman" w:hAnsi="Times New Roman" w:eastAsia="宋体"/>
                <w:caps w:val="0"/>
                <w:color w:val="auto"/>
                <w:kern w:val="0"/>
                <w:sz w:val="24"/>
                <w:highlight w:val="none"/>
              </w:rPr>
              <w:t>3-</w:t>
            </w:r>
            <w:r>
              <w:rPr>
                <w:rFonts w:hint="eastAsia"/>
                <w:caps w:val="0"/>
                <w:color w:val="auto"/>
                <w:kern w:val="0"/>
                <w:sz w:val="24"/>
                <w:highlight w:val="none"/>
                <w:lang w:val="en-US" w:eastAsia="zh-CN"/>
              </w:rPr>
              <w:t>12</w:t>
            </w:r>
            <w:r>
              <w:rPr>
                <w:rFonts w:ascii="Times New Roman" w:hAnsi="Times New Roman" w:eastAsia="宋体"/>
                <w:caps w:val="0"/>
                <w:color w:val="auto"/>
                <w:kern w:val="0"/>
                <w:sz w:val="24"/>
                <w:highlight w:val="none"/>
              </w:rPr>
              <w:t>。</w:t>
            </w:r>
          </w:p>
          <w:p w14:paraId="2492A297">
            <w:pPr>
              <w:pStyle w:val="9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auto"/>
                <w:kern w:val="21"/>
                <w:sz w:val="21"/>
                <w:szCs w:val="21"/>
                <w:lang w:eastAsia="zh-CN"/>
              </w:rPr>
            </w:pPr>
            <w:r>
              <w:rPr>
                <w:rFonts w:hint="default" w:ascii="Times New Roman" w:hAnsi="Times New Roman" w:eastAsia="宋体" w:cs="Times New Roman"/>
                <w:b/>
                <w:bCs/>
                <w:color w:val="auto"/>
                <w:kern w:val="21"/>
                <w:sz w:val="21"/>
                <w:szCs w:val="21"/>
                <w:lang w:eastAsia="zh-CN"/>
              </w:rPr>
              <w:t>表</w:t>
            </w:r>
            <w:r>
              <w:rPr>
                <w:rFonts w:hint="eastAsia" w:ascii="Times New Roman" w:hAnsi="Times New Roman" w:eastAsia="宋体" w:cs="Times New Roman"/>
                <w:b/>
                <w:bCs/>
                <w:color w:val="auto"/>
                <w:kern w:val="21"/>
                <w:sz w:val="21"/>
                <w:szCs w:val="21"/>
                <w:lang w:eastAsia="zh-CN"/>
              </w:rPr>
              <w:t>3-</w:t>
            </w:r>
            <w:r>
              <w:rPr>
                <w:rFonts w:hint="eastAsia" w:ascii="Times New Roman" w:hAnsi="Times New Roman" w:cs="Times New Roman"/>
                <w:b/>
                <w:bCs/>
                <w:color w:val="auto"/>
                <w:kern w:val="21"/>
                <w:sz w:val="21"/>
                <w:szCs w:val="21"/>
                <w:lang w:val="en-US" w:eastAsia="zh-CN"/>
              </w:rPr>
              <w:t>12</w:t>
            </w:r>
            <w:r>
              <w:rPr>
                <w:rFonts w:hint="default" w:ascii="Times New Roman" w:hAnsi="Times New Roman" w:eastAsia="宋体" w:cs="Times New Roman"/>
                <w:b/>
                <w:bCs/>
                <w:color w:val="auto"/>
                <w:kern w:val="21"/>
                <w:sz w:val="21"/>
                <w:szCs w:val="21"/>
                <w:lang w:eastAsia="zh-CN"/>
              </w:rPr>
              <w:t xml:space="preserve">  </w:t>
            </w:r>
            <w:r>
              <w:rPr>
                <w:rFonts w:hint="eastAsia" w:ascii="Times New Roman" w:hAnsi="Times New Roman" w:eastAsia="宋体" w:cs="Times New Roman"/>
                <w:b/>
                <w:bCs/>
                <w:color w:val="auto"/>
                <w:kern w:val="21"/>
                <w:sz w:val="21"/>
                <w:szCs w:val="21"/>
                <w:lang w:eastAsia="zh-CN"/>
              </w:rPr>
              <w:t xml:space="preserve"> 污水</w:t>
            </w:r>
            <w:r>
              <w:rPr>
                <w:rFonts w:hint="eastAsia" w:ascii="Times New Roman" w:hAnsi="Times New Roman" w:eastAsia="宋体" w:cs="Times New Roman"/>
                <w:b/>
                <w:bCs/>
                <w:color w:val="auto"/>
                <w:kern w:val="21"/>
                <w:sz w:val="21"/>
                <w:szCs w:val="21"/>
                <w:lang w:val="en-US" w:eastAsia="zh-CN"/>
              </w:rPr>
              <w:t>综合排放</w:t>
            </w:r>
            <w:r>
              <w:rPr>
                <w:rFonts w:hint="eastAsia" w:ascii="Times New Roman" w:hAnsi="Times New Roman" w:eastAsia="宋体" w:cs="Times New Roman"/>
                <w:b/>
                <w:bCs/>
                <w:color w:val="auto"/>
                <w:kern w:val="21"/>
                <w:sz w:val="21"/>
                <w:szCs w:val="21"/>
                <w:lang w:eastAsia="zh-CN"/>
              </w:rPr>
              <w:t>标准</w:t>
            </w:r>
            <w:r>
              <w:rPr>
                <w:rFonts w:hint="eastAsia" w:ascii="Times New Roman" w:hAnsi="Times New Roman" w:eastAsia="宋体" w:cs="Times New Roman"/>
                <w:b/>
                <w:bCs/>
                <w:color w:val="auto"/>
                <w:kern w:val="21"/>
                <w:sz w:val="21"/>
                <w:szCs w:val="21"/>
                <w:lang w:val="en-US" w:eastAsia="zh-CN"/>
              </w:rPr>
              <w:t>三级标准</w:t>
            </w:r>
            <w:r>
              <w:rPr>
                <w:rFonts w:hint="eastAsia" w:ascii="Times New Roman" w:hAnsi="Times New Roman" w:eastAsia="宋体" w:cs="Times New Roman"/>
                <w:b/>
                <w:bCs/>
                <w:color w:val="auto"/>
                <w:kern w:val="21"/>
                <w:sz w:val="21"/>
                <w:szCs w:val="21"/>
                <w:lang w:eastAsia="zh-CN"/>
              </w:rPr>
              <w:t>规定限值</w:t>
            </w:r>
            <w:r>
              <w:rPr>
                <w:rFonts w:hint="default" w:ascii="Times New Roman" w:hAnsi="Times New Roman" w:eastAsia="宋体" w:cs="Times New Roman"/>
                <w:b/>
                <w:bCs/>
                <w:color w:val="auto"/>
                <w:kern w:val="21"/>
                <w:sz w:val="21"/>
                <w:szCs w:val="21"/>
                <w:lang w:eastAsia="zh-CN"/>
              </w:rPr>
              <w:t xml:space="preserve">      （单位：mg/L）</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156"/>
              <w:gridCol w:w="1277"/>
              <w:gridCol w:w="1133"/>
              <w:gridCol w:w="1111"/>
              <w:gridCol w:w="1850"/>
            </w:tblGrid>
            <w:tr w14:paraId="6414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2" w:type="pct"/>
                  <w:noWrap w:val="0"/>
                  <w:vAlign w:val="center"/>
                </w:tcPr>
                <w:p w14:paraId="6462AFA6">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hint="eastAsia" w:ascii="Times New Roman" w:hAnsi="Times New Roman" w:eastAsia="宋体"/>
                      <w:caps w:val="0"/>
                      <w:color w:val="auto"/>
                      <w:szCs w:val="21"/>
                      <w:highlight w:val="none"/>
                      <w:lang w:val="en-US" w:eastAsia="zh-CN"/>
                    </w:rPr>
                    <w:t>p</w:t>
                  </w:r>
                  <w:r>
                    <w:rPr>
                      <w:rFonts w:ascii="Times New Roman" w:hAnsi="Times New Roman" w:eastAsia="宋体"/>
                      <w:caps w:val="0"/>
                      <w:color w:val="auto"/>
                      <w:szCs w:val="21"/>
                      <w:highlight w:val="none"/>
                    </w:rPr>
                    <w:cr/>
                  </w:r>
                  <w:r>
                    <w:rPr>
                      <w:rFonts w:ascii="Times New Roman" w:hAnsi="Times New Roman" w:eastAsia="宋体"/>
                      <w:caps w:val="0"/>
                      <w:color w:val="auto"/>
                      <w:szCs w:val="21"/>
                      <w:highlight w:val="none"/>
                    </w:rPr>
                    <w:t>H</w:t>
                  </w:r>
                </w:p>
              </w:tc>
              <w:tc>
                <w:tcPr>
                  <w:tcW w:w="720" w:type="pct"/>
                  <w:noWrap w:val="0"/>
                  <w:vAlign w:val="center"/>
                </w:tcPr>
                <w:p w14:paraId="7B664BC6">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COD</w:t>
                  </w:r>
                </w:p>
              </w:tc>
              <w:tc>
                <w:tcPr>
                  <w:tcW w:w="795" w:type="pct"/>
                  <w:noWrap w:val="0"/>
                  <w:vAlign w:val="center"/>
                </w:tcPr>
                <w:p w14:paraId="2B98FC0A">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BOD</w:t>
                  </w:r>
                  <w:r>
                    <w:rPr>
                      <w:rFonts w:ascii="Times New Roman" w:hAnsi="Times New Roman" w:eastAsia="宋体"/>
                      <w:caps w:val="0"/>
                      <w:color w:val="auto"/>
                      <w:szCs w:val="21"/>
                      <w:highlight w:val="none"/>
                      <w:vertAlign w:val="subscript"/>
                    </w:rPr>
                    <w:t>5</w:t>
                  </w:r>
                </w:p>
              </w:tc>
              <w:tc>
                <w:tcPr>
                  <w:tcW w:w="705" w:type="pct"/>
                  <w:noWrap w:val="0"/>
                  <w:vAlign w:val="center"/>
                </w:tcPr>
                <w:p w14:paraId="3233EBF8">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SS</w:t>
                  </w:r>
                </w:p>
              </w:tc>
              <w:tc>
                <w:tcPr>
                  <w:tcW w:w="692" w:type="pct"/>
                  <w:noWrap w:val="0"/>
                  <w:vAlign w:val="center"/>
                </w:tcPr>
                <w:p w14:paraId="37725061">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氨氮</w:t>
                  </w:r>
                </w:p>
              </w:tc>
              <w:tc>
                <w:tcPr>
                  <w:tcW w:w="1152" w:type="pct"/>
                  <w:noWrap w:val="0"/>
                  <w:vAlign w:val="center"/>
                </w:tcPr>
                <w:p w14:paraId="585DE144">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动植物油</w:t>
                  </w:r>
                </w:p>
              </w:tc>
            </w:tr>
            <w:tr w14:paraId="53D9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2" w:type="pct"/>
                  <w:noWrap w:val="0"/>
                  <w:vAlign w:val="center"/>
                </w:tcPr>
                <w:p w14:paraId="69CFD42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aps w:val="0"/>
                      <w:color w:val="auto"/>
                      <w:szCs w:val="21"/>
                      <w:highlight w:val="none"/>
                      <w:lang w:eastAsia="zh-CN"/>
                    </w:rPr>
                  </w:pPr>
                  <w:r>
                    <w:rPr>
                      <w:rFonts w:ascii="Times New Roman" w:hAnsi="Times New Roman" w:eastAsia="宋体"/>
                      <w:caps w:val="0"/>
                      <w:color w:val="auto"/>
                      <w:szCs w:val="21"/>
                      <w:highlight w:val="none"/>
                    </w:rPr>
                    <w:t>6.</w:t>
                  </w:r>
                  <w:r>
                    <w:rPr>
                      <w:rFonts w:hint="eastAsia" w:ascii="Times New Roman" w:hAnsi="Times New Roman" w:eastAsia="宋体"/>
                      <w:caps w:val="0"/>
                      <w:color w:val="auto"/>
                      <w:szCs w:val="21"/>
                      <w:highlight w:val="none"/>
                      <w:lang w:val="en-US" w:eastAsia="zh-CN"/>
                    </w:rPr>
                    <w:t>0</w:t>
                  </w:r>
                  <w:r>
                    <w:rPr>
                      <w:rFonts w:ascii="Times New Roman" w:hAnsi="Times New Roman" w:eastAsia="宋体"/>
                      <w:caps w:val="0"/>
                      <w:color w:val="auto"/>
                      <w:szCs w:val="21"/>
                      <w:highlight w:val="none"/>
                    </w:rPr>
                    <w:t>~9.</w:t>
                  </w:r>
                  <w:r>
                    <w:rPr>
                      <w:rFonts w:hint="eastAsia" w:ascii="Times New Roman" w:hAnsi="Times New Roman" w:eastAsia="宋体"/>
                      <w:caps w:val="0"/>
                      <w:color w:val="auto"/>
                      <w:szCs w:val="21"/>
                      <w:highlight w:val="none"/>
                      <w:lang w:val="en-US" w:eastAsia="zh-CN"/>
                    </w:rPr>
                    <w:t>0</w:t>
                  </w:r>
                </w:p>
              </w:tc>
              <w:tc>
                <w:tcPr>
                  <w:tcW w:w="720" w:type="pct"/>
                  <w:noWrap w:val="0"/>
                  <w:vAlign w:val="center"/>
                </w:tcPr>
                <w:p w14:paraId="1DBBD51C">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≤500</w:t>
                  </w:r>
                </w:p>
              </w:tc>
              <w:tc>
                <w:tcPr>
                  <w:tcW w:w="795" w:type="pct"/>
                  <w:noWrap w:val="0"/>
                  <w:vAlign w:val="center"/>
                </w:tcPr>
                <w:p w14:paraId="6B34B112">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≤3</w:t>
                  </w:r>
                  <w:r>
                    <w:rPr>
                      <w:rFonts w:hint="eastAsia" w:ascii="Times New Roman" w:hAnsi="Times New Roman" w:eastAsia="宋体"/>
                      <w:caps w:val="0"/>
                      <w:color w:val="auto"/>
                      <w:szCs w:val="21"/>
                      <w:highlight w:val="none"/>
                      <w:lang w:val="en-US" w:eastAsia="zh-CN"/>
                    </w:rPr>
                    <w:t>0</w:t>
                  </w:r>
                  <w:r>
                    <w:rPr>
                      <w:rFonts w:ascii="Times New Roman" w:hAnsi="Times New Roman" w:eastAsia="宋体"/>
                      <w:caps w:val="0"/>
                      <w:color w:val="auto"/>
                      <w:szCs w:val="21"/>
                      <w:highlight w:val="none"/>
                    </w:rPr>
                    <w:t>0</w:t>
                  </w:r>
                </w:p>
              </w:tc>
              <w:tc>
                <w:tcPr>
                  <w:tcW w:w="705" w:type="pct"/>
                  <w:noWrap w:val="0"/>
                  <w:vAlign w:val="center"/>
                </w:tcPr>
                <w:p w14:paraId="29A1154B">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≤400</w:t>
                  </w:r>
                </w:p>
              </w:tc>
              <w:tc>
                <w:tcPr>
                  <w:tcW w:w="692" w:type="pct"/>
                  <w:noWrap w:val="0"/>
                  <w:vAlign w:val="center"/>
                </w:tcPr>
                <w:p w14:paraId="0DC1C8D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aps w:val="0"/>
                      <w:color w:val="auto"/>
                      <w:szCs w:val="21"/>
                      <w:highlight w:val="none"/>
                      <w:lang w:val="en-US" w:eastAsia="zh-CN"/>
                    </w:rPr>
                  </w:pPr>
                  <w:r>
                    <w:rPr>
                      <w:rFonts w:hint="eastAsia" w:ascii="Times New Roman" w:hAnsi="Times New Roman" w:eastAsia="宋体"/>
                      <w:caps w:val="0"/>
                      <w:color w:val="auto"/>
                      <w:szCs w:val="21"/>
                      <w:highlight w:val="none"/>
                      <w:lang w:val="en-US" w:eastAsia="zh-CN"/>
                    </w:rPr>
                    <w:t>--</w:t>
                  </w:r>
                </w:p>
              </w:tc>
              <w:tc>
                <w:tcPr>
                  <w:tcW w:w="1152" w:type="pct"/>
                  <w:noWrap w:val="0"/>
                  <w:vAlign w:val="center"/>
                </w:tcPr>
                <w:p w14:paraId="53EC1777">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≤100</w:t>
                  </w:r>
                </w:p>
              </w:tc>
            </w:tr>
          </w:tbl>
          <w:p w14:paraId="7CF35B3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auto"/>
                <w:sz w:val="24"/>
                <w:lang w:val="zh-CN"/>
              </w:rPr>
            </w:pPr>
            <w:r>
              <w:rPr>
                <w:rFonts w:ascii="Times New Roman" w:hAnsi="Times New Roman" w:eastAsia="宋体"/>
                <w:color w:val="auto"/>
                <w:sz w:val="24"/>
                <w:lang w:val="zh-CN"/>
              </w:rPr>
              <w:t>（</w:t>
            </w:r>
            <w:r>
              <w:rPr>
                <w:rFonts w:hint="eastAsia" w:ascii="Times New Roman" w:hAnsi="Times New Roman" w:eastAsia="宋体"/>
                <w:color w:val="auto"/>
                <w:sz w:val="24"/>
              </w:rPr>
              <w:t>3</w:t>
            </w:r>
            <w:r>
              <w:rPr>
                <w:rFonts w:ascii="Times New Roman" w:hAnsi="Times New Roman" w:eastAsia="宋体"/>
                <w:color w:val="auto"/>
                <w:sz w:val="24"/>
                <w:lang w:val="zh-CN"/>
              </w:rPr>
              <w:t>）噪声排放标准</w:t>
            </w:r>
          </w:p>
          <w:p w14:paraId="2689F7F3">
            <w:pPr>
              <w:pageBreakBefore w:val="0"/>
              <w:kinsoku/>
              <w:wordWrap/>
              <w:bidi w:val="0"/>
              <w:adjustRightInd/>
              <w:snapToGrid/>
              <w:spacing w:line="360" w:lineRule="auto"/>
              <w:ind w:firstLine="480" w:firstLineChars="200"/>
              <w:outlineLvl w:val="9"/>
              <w:rPr>
                <w:rFonts w:ascii="Times New Roman" w:hAnsi="Times New Roman" w:eastAsia="宋体"/>
                <w:color w:val="auto"/>
                <w:sz w:val="24"/>
              </w:rPr>
            </w:pPr>
            <w:r>
              <w:rPr>
                <w:rFonts w:ascii="Times New Roman" w:hAnsi="Times New Roman" w:eastAsia="宋体"/>
                <w:color w:val="auto"/>
                <w:sz w:val="24"/>
              </w:rPr>
              <w:t>施工期</w:t>
            </w:r>
            <w:r>
              <w:rPr>
                <w:rFonts w:hint="eastAsia" w:ascii="Times New Roman" w:hAnsi="Times New Roman" w:eastAsia="宋体"/>
                <w:color w:val="auto"/>
                <w:sz w:val="24"/>
              </w:rPr>
              <w:t>：</w:t>
            </w:r>
            <w:r>
              <w:rPr>
                <w:rFonts w:ascii="Times New Roman" w:hAnsi="Times New Roman" w:eastAsia="宋体"/>
                <w:color w:val="auto"/>
                <w:sz w:val="24"/>
              </w:rPr>
              <w:t>噪声执行《建筑施工场界环境噪声排放标准》（GB12523-2011）。</w:t>
            </w:r>
          </w:p>
          <w:p w14:paraId="487FE909">
            <w:pPr>
              <w:pStyle w:val="98"/>
              <w:pageBreakBefore w:val="0"/>
              <w:kinsoku/>
              <w:wordWrap/>
              <w:bidi w:val="0"/>
              <w:adjustRightInd/>
              <w:snapToGrid/>
              <w:spacing w:line="360" w:lineRule="auto"/>
              <w:outlineLvl w:val="9"/>
              <w:rPr>
                <w:rFonts w:ascii="Times New Roman" w:hAnsi="Times New Roman" w:eastAsia="宋体"/>
                <w:color w:val="auto"/>
              </w:rPr>
            </w:pPr>
            <w:r>
              <w:rPr>
                <w:rFonts w:ascii="Times New Roman" w:hAnsi="Times New Roman" w:eastAsia="宋体"/>
                <w:color w:val="auto"/>
              </w:rPr>
              <w:t>营运期</w:t>
            </w:r>
            <w:r>
              <w:rPr>
                <w:rFonts w:hint="eastAsia" w:ascii="Times New Roman" w:hAnsi="Times New Roman" w:eastAsia="宋体"/>
                <w:color w:val="auto"/>
              </w:rPr>
              <w:t>：</w:t>
            </w:r>
            <w:r>
              <w:rPr>
                <w:rFonts w:hint="eastAsia" w:ascii="Times New Roman" w:hAnsi="Times New Roman" w:eastAsia="宋体"/>
                <w:color w:val="auto"/>
                <w:lang w:eastAsia="zh-CN"/>
              </w:rPr>
              <w:t>噪声</w:t>
            </w:r>
            <w:r>
              <w:rPr>
                <w:rFonts w:ascii="Times New Roman" w:hAnsi="Times New Roman" w:eastAsia="宋体"/>
                <w:color w:val="auto"/>
              </w:rPr>
              <w:t>执行《工业企业厂界环境噪声排放标准》（GB12348-2008）中</w:t>
            </w:r>
            <w:r>
              <w:rPr>
                <w:rFonts w:hint="eastAsia" w:ascii="Times New Roman" w:hAnsi="Times New Roman" w:eastAsia="宋体"/>
                <w:color w:val="auto"/>
              </w:rPr>
              <w:t>2</w:t>
            </w:r>
            <w:r>
              <w:rPr>
                <w:rFonts w:ascii="Times New Roman" w:hAnsi="Times New Roman" w:eastAsia="宋体"/>
                <w:color w:val="auto"/>
              </w:rPr>
              <w:t>类标准</w:t>
            </w:r>
            <w:r>
              <w:rPr>
                <w:rFonts w:hint="eastAsia" w:ascii="Times New Roman" w:hAnsi="Times New Roman"/>
                <w:color w:val="auto"/>
                <w:lang w:eastAsia="zh-CN"/>
              </w:rPr>
              <w:t>，</w:t>
            </w:r>
            <w:r>
              <w:rPr>
                <w:rFonts w:hint="eastAsia" w:ascii="Times New Roman" w:hAnsi="Times New Roman"/>
                <w:color w:val="auto"/>
                <w:lang w:val="en-US" w:eastAsia="zh-CN"/>
              </w:rPr>
              <w:t>详见表3-13</w:t>
            </w:r>
            <w:r>
              <w:rPr>
                <w:rFonts w:ascii="Times New Roman" w:hAnsi="Times New Roman" w:eastAsia="宋体"/>
                <w:color w:val="auto"/>
              </w:rPr>
              <w:t>。</w:t>
            </w:r>
          </w:p>
          <w:p w14:paraId="6D791614">
            <w:pPr>
              <w:pStyle w:val="9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auto"/>
                <w:kern w:val="21"/>
                <w:sz w:val="21"/>
                <w:szCs w:val="21"/>
                <w:lang w:eastAsia="zh-CN"/>
              </w:rPr>
            </w:pPr>
            <w:r>
              <w:rPr>
                <w:rFonts w:hint="default" w:ascii="Times New Roman" w:hAnsi="Times New Roman" w:eastAsia="宋体" w:cs="Times New Roman"/>
                <w:b/>
                <w:bCs/>
                <w:color w:val="auto"/>
                <w:kern w:val="21"/>
                <w:sz w:val="21"/>
                <w:szCs w:val="21"/>
                <w:lang w:eastAsia="zh-CN"/>
              </w:rPr>
              <w:t>表3-</w:t>
            </w:r>
            <w:r>
              <w:rPr>
                <w:rFonts w:hint="eastAsia" w:ascii="Times New Roman" w:hAnsi="Times New Roman" w:eastAsia="宋体" w:cs="Times New Roman"/>
                <w:b/>
                <w:bCs/>
                <w:color w:val="auto"/>
                <w:kern w:val="21"/>
                <w:sz w:val="21"/>
                <w:szCs w:val="21"/>
                <w:lang w:val="en-US" w:eastAsia="zh-CN"/>
              </w:rPr>
              <w:t>1</w:t>
            </w:r>
            <w:r>
              <w:rPr>
                <w:rFonts w:hint="eastAsia" w:ascii="Times New Roman" w:hAnsi="Times New Roman" w:cs="Times New Roman"/>
                <w:b/>
                <w:bCs/>
                <w:color w:val="auto"/>
                <w:kern w:val="21"/>
                <w:sz w:val="21"/>
                <w:szCs w:val="21"/>
                <w:lang w:val="en-US" w:eastAsia="zh-CN"/>
              </w:rPr>
              <w:t>3</w:t>
            </w:r>
            <w:r>
              <w:rPr>
                <w:rFonts w:hint="default" w:ascii="Times New Roman" w:hAnsi="Times New Roman" w:eastAsia="宋体" w:cs="Times New Roman"/>
                <w:b/>
                <w:bCs/>
                <w:color w:val="auto"/>
                <w:kern w:val="21"/>
                <w:sz w:val="21"/>
                <w:szCs w:val="21"/>
                <w:lang w:eastAsia="zh-CN"/>
              </w:rPr>
              <w:t xml:space="preserve"> </w:t>
            </w:r>
            <w:r>
              <w:rPr>
                <w:rFonts w:hint="eastAsia" w:ascii="Times New Roman" w:hAnsi="Times New Roman" w:eastAsia="宋体" w:cs="Times New Roman"/>
                <w:b/>
                <w:bCs/>
                <w:color w:val="auto"/>
                <w:kern w:val="21"/>
                <w:sz w:val="21"/>
                <w:szCs w:val="21"/>
                <w:lang w:val="en-US" w:eastAsia="zh-CN"/>
              </w:rPr>
              <w:t xml:space="preserve">  </w:t>
            </w:r>
            <w:r>
              <w:rPr>
                <w:rFonts w:hint="default" w:ascii="Times New Roman" w:hAnsi="Times New Roman" w:eastAsia="宋体" w:cs="Times New Roman"/>
                <w:b/>
                <w:bCs/>
                <w:color w:val="auto"/>
                <w:kern w:val="21"/>
                <w:sz w:val="21"/>
                <w:szCs w:val="21"/>
                <w:lang w:eastAsia="zh-CN"/>
              </w:rPr>
              <w:t xml:space="preserve"> 噪声排放</w:t>
            </w:r>
            <w:r>
              <w:rPr>
                <w:rFonts w:hint="eastAsia" w:ascii="Times New Roman" w:hAnsi="Times New Roman" w:eastAsia="宋体" w:cs="Times New Roman"/>
                <w:b/>
                <w:bCs/>
                <w:color w:val="auto"/>
                <w:kern w:val="21"/>
                <w:sz w:val="21"/>
                <w:szCs w:val="21"/>
                <w:lang w:eastAsia="zh-CN"/>
              </w:rPr>
              <w:t>执行</w:t>
            </w:r>
            <w:r>
              <w:rPr>
                <w:rFonts w:hint="default" w:ascii="Times New Roman" w:hAnsi="Times New Roman" w:eastAsia="宋体" w:cs="Times New Roman"/>
                <w:b/>
                <w:bCs/>
                <w:color w:val="auto"/>
                <w:kern w:val="21"/>
                <w:sz w:val="21"/>
                <w:szCs w:val="21"/>
                <w:lang w:eastAsia="zh-CN"/>
              </w:rPr>
              <w:t>标准     单位：dB</w:t>
            </w:r>
            <w:r>
              <w:rPr>
                <w:rFonts w:hint="eastAsia" w:ascii="Times New Roman" w:hAnsi="Times New Roman" w:eastAsia="宋体" w:cs="Times New Roman"/>
                <w:b/>
                <w:bCs/>
                <w:color w:val="auto"/>
                <w:kern w:val="21"/>
                <w:sz w:val="21"/>
                <w:szCs w:val="21"/>
                <w:lang w:eastAsia="zh-CN"/>
              </w:rPr>
              <w:t>(A)</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Layout w:type="fixed"/>
              <w:tblCellMar>
                <w:top w:w="0" w:type="dxa"/>
                <w:left w:w="108" w:type="dxa"/>
                <w:bottom w:w="0" w:type="dxa"/>
                <w:right w:w="108" w:type="dxa"/>
              </w:tblCellMar>
            </w:tblPr>
            <w:tblGrid>
              <w:gridCol w:w="5873"/>
              <w:gridCol w:w="1107"/>
              <w:gridCol w:w="1047"/>
            </w:tblGrid>
            <w:tr w14:paraId="13ADC8FC">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16361C53">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标准名称</w:t>
                  </w:r>
                </w:p>
              </w:tc>
              <w:tc>
                <w:tcPr>
                  <w:tcW w:w="1065" w:type="dxa"/>
                  <w:tcBorders>
                    <w:tl2br w:val="nil"/>
                    <w:tr2bl w:val="nil"/>
                  </w:tcBorders>
                  <w:shd w:val="clear" w:color="auto" w:fill="auto"/>
                  <w:vAlign w:val="center"/>
                </w:tcPr>
                <w:p w14:paraId="196F92EE">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昼间</w:t>
                  </w:r>
                </w:p>
              </w:tc>
              <w:tc>
                <w:tcPr>
                  <w:tcW w:w="1006" w:type="dxa"/>
                  <w:tcBorders>
                    <w:tl2br w:val="nil"/>
                    <w:tr2bl w:val="nil"/>
                  </w:tcBorders>
                  <w:shd w:val="clear" w:color="auto" w:fill="auto"/>
                  <w:vAlign w:val="center"/>
                </w:tcPr>
                <w:p w14:paraId="6CDBB25C">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夜间</w:t>
                  </w:r>
                </w:p>
              </w:tc>
            </w:tr>
            <w:tr w14:paraId="610F0E81">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56E8143A">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《建筑施工场界环境噪声排放标准》（GB12523-2011）</w:t>
                  </w:r>
                </w:p>
              </w:tc>
              <w:tc>
                <w:tcPr>
                  <w:tcW w:w="1065" w:type="dxa"/>
                  <w:tcBorders>
                    <w:tl2br w:val="nil"/>
                    <w:tr2bl w:val="nil"/>
                  </w:tcBorders>
                  <w:shd w:val="clear" w:color="auto" w:fill="auto"/>
                  <w:vAlign w:val="center"/>
                </w:tcPr>
                <w:p w14:paraId="6968D905">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70</w:t>
                  </w:r>
                </w:p>
              </w:tc>
              <w:tc>
                <w:tcPr>
                  <w:tcW w:w="1006" w:type="dxa"/>
                  <w:tcBorders>
                    <w:tl2br w:val="nil"/>
                    <w:tr2bl w:val="nil"/>
                  </w:tcBorders>
                  <w:shd w:val="clear" w:color="auto" w:fill="auto"/>
                  <w:vAlign w:val="center"/>
                </w:tcPr>
                <w:p w14:paraId="46392075">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55</w:t>
                  </w:r>
                </w:p>
              </w:tc>
            </w:tr>
            <w:tr w14:paraId="023B42A8">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7852DB82">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《工业企业厂界环境噪声排放标准》（GB12348-2008）</w:t>
                  </w:r>
                  <w:r>
                    <w:rPr>
                      <w:rFonts w:hint="eastAsia" w:ascii="Times New Roman" w:hAnsi="Times New Roman" w:eastAsia="宋体"/>
                      <w:b w:val="0"/>
                      <w:bCs w:val="0"/>
                      <w:color w:val="auto"/>
                      <w:sz w:val="21"/>
                      <w:szCs w:val="21"/>
                    </w:rPr>
                    <w:t>2</w:t>
                  </w:r>
                  <w:r>
                    <w:rPr>
                      <w:rFonts w:ascii="Times New Roman" w:hAnsi="Times New Roman" w:eastAsia="宋体"/>
                      <w:b w:val="0"/>
                      <w:bCs w:val="0"/>
                      <w:color w:val="auto"/>
                      <w:sz w:val="21"/>
                      <w:szCs w:val="21"/>
                    </w:rPr>
                    <w:t>类</w:t>
                  </w:r>
                </w:p>
              </w:tc>
              <w:tc>
                <w:tcPr>
                  <w:tcW w:w="1065" w:type="dxa"/>
                  <w:tcBorders>
                    <w:tl2br w:val="nil"/>
                    <w:tr2bl w:val="nil"/>
                  </w:tcBorders>
                  <w:shd w:val="clear" w:color="auto" w:fill="auto"/>
                  <w:vAlign w:val="center"/>
                </w:tcPr>
                <w:p w14:paraId="46B5531B">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hint="eastAsia" w:ascii="Times New Roman" w:hAnsi="Times New Roman" w:eastAsia="宋体"/>
                      <w:b w:val="0"/>
                      <w:bCs w:val="0"/>
                      <w:color w:val="auto"/>
                      <w:sz w:val="21"/>
                      <w:szCs w:val="21"/>
                    </w:rPr>
                    <w:t>60</w:t>
                  </w:r>
                </w:p>
              </w:tc>
              <w:tc>
                <w:tcPr>
                  <w:tcW w:w="1006" w:type="dxa"/>
                  <w:tcBorders>
                    <w:tl2br w:val="nil"/>
                    <w:tr2bl w:val="nil"/>
                  </w:tcBorders>
                  <w:shd w:val="clear" w:color="auto" w:fill="auto"/>
                  <w:vAlign w:val="center"/>
                </w:tcPr>
                <w:p w14:paraId="32E34AFE">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hint="eastAsia" w:ascii="Times New Roman" w:hAnsi="Times New Roman" w:eastAsia="宋体"/>
                      <w:b w:val="0"/>
                      <w:bCs w:val="0"/>
                      <w:color w:val="auto"/>
                      <w:sz w:val="21"/>
                      <w:szCs w:val="21"/>
                    </w:rPr>
                    <w:t>50</w:t>
                  </w:r>
                </w:p>
              </w:tc>
            </w:tr>
          </w:tbl>
          <w:p w14:paraId="70E05E95">
            <w:pPr>
              <w:pageBreakBefore w:val="0"/>
              <w:kinsoku/>
              <w:wordWrap/>
              <w:bidi w:val="0"/>
              <w:adjustRightInd/>
              <w:snapToGrid/>
              <w:spacing w:line="360" w:lineRule="auto"/>
              <w:ind w:firstLine="480" w:firstLineChars="200"/>
              <w:outlineLvl w:val="9"/>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eastAsia="zh-CN"/>
              </w:rPr>
              <w:t>4</w:t>
            </w:r>
            <w:r>
              <w:rPr>
                <w:rFonts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eastAsia="zh-CN"/>
              </w:rPr>
              <w:t>固体废物</w:t>
            </w:r>
          </w:p>
          <w:p w14:paraId="2999F097">
            <w:pPr>
              <w:pageBreakBefore w:val="0"/>
              <w:kinsoku/>
              <w:wordWrap/>
              <w:bidi w:val="0"/>
              <w:adjustRightInd/>
              <w:snapToGrid/>
              <w:spacing w:line="360" w:lineRule="auto"/>
              <w:ind w:firstLine="480" w:firstLineChars="200"/>
              <w:outlineLvl w:val="9"/>
              <w:rPr>
                <w:rFonts w:hint="eastAsia" w:ascii="宋体" w:hAnsi="宋体" w:cs="宋体"/>
                <w:color w:val="auto"/>
                <w:kern w:val="0"/>
                <w:szCs w:val="21"/>
              </w:rPr>
            </w:pPr>
            <w:r>
              <w:rPr>
                <w:rFonts w:hint="eastAsia" w:ascii="Times New Roman" w:hAnsi="Times New Roman" w:eastAsia="宋体" w:cs="Times New Roman"/>
                <w:color w:val="auto"/>
                <w:sz w:val="24"/>
                <w:lang w:eastAsia="zh-CN"/>
              </w:rPr>
              <w:t>一般工业</w:t>
            </w:r>
            <w:r>
              <w:rPr>
                <w:rFonts w:ascii="Times New Roman" w:hAnsi="Times New Roman" w:eastAsia="宋体" w:cs="Times New Roman"/>
                <w:color w:val="auto"/>
                <w:sz w:val="24"/>
                <w:lang w:eastAsia="zh-CN"/>
              </w:rPr>
              <w:t>固体废物执行《一般工业固体废物贮存和填埋污染控制标准》（GB18599-2020）</w:t>
            </w:r>
            <w:r>
              <w:rPr>
                <w:rFonts w:hint="eastAsia" w:ascii="Times New Roman" w:hAnsi="Times New Roman" w:eastAsia="宋体" w:cs="Times New Roman"/>
                <w:color w:val="auto"/>
                <w:sz w:val="24"/>
              </w:rPr>
              <w:t>。</w:t>
            </w:r>
          </w:p>
        </w:tc>
      </w:tr>
      <w:tr w14:paraId="07E99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904" w:type="dxa"/>
            <w:vAlign w:val="center"/>
          </w:tcPr>
          <w:p w14:paraId="1699B55D">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其他</w:t>
            </w:r>
          </w:p>
        </w:tc>
        <w:tc>
          <w:tcPr>
            <w:tcW w:w="8253" w:type="dxa"/>
            <w:vAlign w:val="center"/>
          </w:tcPr>
          <w:p w14:paraId="21CF6576">
            <w:pPr>
              <w:adjustRightInd w:val="0"/>
              <w:snapToGrid w:val="0"/>
              <w:jc w:val="center"/>
              <w:rPr>
                <w:color w:val="auto"/>
                <w:sz w:val="24"/>
              </w:rPr>
            </w:pPr>
          </w:p>
          <w:p w14:paraId="2C742DF2">
            <w:pPr>
              <w:adjustRightInd w:val="0"/>
              <w:snapToGrid w:val="0"/>
              <w:jc w:val="center"/>
              <w:rPr>
                <w:color w:val="auto"/>
                <w:sz w:val="24"/>
              </w:rPr>
            </w:pPr>
          </w:p>
          <w:p w14:paraId="00135ABC">
            <w:pPr>
              <w:adjustRightInd w:val="0"/>
              <w:snapToGrid w:val="0"/>
              <w:spacing w:line="360" w:lineRule="auto"/>
              <w:ind w:firstLine="480" w:firstLineChars="200"/>
              <w:jc w:val="left"/>
              <w:rPr>
                <w:color w:val="auto"/>
                <w:sz w:val="24"/>
              </w:rPr>
            </w:pPr>
            <w:r>
              <w:rPr>
                <w:color w:val="auto"/>
                <w:sz w:val="24"/>
              </w:rPr>
              <w:t>结合本项目所在区域的环境特征及本项目排污情况，本项目废气</w:t>
            </w:r>
            <w:r>
              <w:rPr>
                <w:rFonts w:hint="eastAsia"/>
                <w:color w:val="auto"/>
                <w:sz w:val="24"/>
              </w:rPr>
              <w:t>均</w:t>
            </w:r>
            <w:r>
              <w:rPr>
                <w:color w:val="auto"/>
                <w:sz w:val="24"/>
              </w:rPr>
              <w:t>为无组织粉尘。因此，本项目不需要申请总量控制指标。</w:t>
            </w:r>
          </w:p>
          <w:p w14:paraId="018C8C28">
            <w:pPr>
              <w:adjustRightInd w:val="0"/>
              <w:snapToGrid w:val="0"/>
              <w:rPr>
                <w:color w:val="auto"/>
                <w:sz w:val="24"/>
              </w:rPr>
            </w:pPr>
          </w:p>
          <w:p w14:paraId="2B3C1BB5">
            <w:pPr>
              <w:adjustRightInd w:val="0"/>
              <w:snapToGrid w:val="0"/>
              <w:rPr>
                <w:color w:val="auto"/>
                <w:sz w:val="24"/>
              </w:rPr>
            </w:pPr>
          </w:p>
          <w:p w14:paraId="55DE3529">
            <w:pPr>
              <w:adjustRightInd w:val="0"/>
              <w:snapToGrid w:val="0"/>
              <w:rPr>
                <w:color w:val="auto"/>
                <w:sz w:val="24"/>
              </w:rPr>
            </w:pPr>
          </w:p>
          <w:p w14:paraId="1DFA19D3">
            <w:pPr>
              <w:adjustRightInd w:val="0"/>
              <w:snapToGrid w:val="0"/>
              <w:rPr>
                <w:color w:val="auto"/>
                <w:sz w:val="24"/>
              </w:rPr>
            </w:pPr>
          </w:p>
          <w:p w14:paraId="1064AFA3">
            <w:pPr>
              <w:adjustRightInd w:val="0"/>
              <w:snapToGrid w:val="0"/>
              <w:rPr>
                <w:color w:val="auto"/>
                <w:sz w:val="24"/>
              </w:rPr>
            </w:pPr>
          </w:p>
          <w:p w14:paraId="6A397F64">
            <w:pPr>
              <w:adjustRightInd w:val="0"/>
              <w:snapToGrid w:val="0"/>
              <w:rPr>
                <w:color w:val="auto"/>
                <w:sz w:val="24"/>
              </w:rPr>
            </w:pPr>
          </w:p>
          <w:p w14:paraId="05C9B1F1">
            <w:pPr>
              <w:pStyle w:val="13"/>
              <w:rPr>
                <w:color w:val="auto"/>
                <w:sz w:val="24"/>
              </w:rPr>
            </w:pPr>
          </w:p>
          <w:p w14:paraId="392C597B">
            <w:pPr>
              <w:adjustRightInd w:val="0"/>
              <w:snapToGrid w:val="0"/>
              <w:rPr>
                <w:color w:val="auto"/>
                <w:sz w:val="24"/>
              </w:rPr>
            </w:pPr>
          </w:p>
          <w:p w14:paraId="293139C0">
            <w:pPr>
              <w:adjustRightInd w:val="0"/>
              <w:snapToGrid w:val="0"/>
              <w:rPr>
                <w:color w:val="auto"/>
                <w:sz w:val="24"/>
              </w:rPr>
            </w:pPr>
          </w:p>
          <w:p w14:paraId="0C339354">
            <w:pPr>
              <w:adjustRightInd w:val="0"/>
              <w:snapToGrid w:val="0"/>
              <w:rPr>
                <w:color w:val="auto"/>
                <w:sz w:val="24"/>
              </w:rPr>
            </w:pPr>
          </w:p>
          <w:p w14:paraId="5AE8DF39">
            <w:pPr>
              <w:adjustRightInd w:val="0"/>
              <w:snapToGrid w:val="0"/>
              <w:rPr>
                <w:color w:val="auto"/>
                <w:sz w:val="24"/>
              </w:rPr>
            </w:pPr>
          </w:p>
          <w:p w14:paraId="320D3667">
            <w:pPr>
              <w:adjustRightInd w:val="0"/>
              <w:snapToGrid w:val="0"/>
              <w:rPr>
                <w:color w:val="auto"/>
                <w:sz w:val="24"/>
              </w:rPr>
            </w:pPr>
          </w:p>
        </w:tc>
      </w:tr>
    </w:tbl>
    <w:p w14:paraId="26EB3731">
      <w:pPr>
        <w:pStyle w:val="25"/>
        <w:jc w:val="center"/>
        <w:outlineLvl w:val="0"/>
        <w:rPr>
          <w:rFonts w:hint="eastAsia" w:ascii="黑体" w:hAnsi="黑体" w:eastAsia="黑体"/>
          <w:snapToGrid w:val="0"/>
          <w:color w:val="auto"/>
          <w:sz w:val="30"/>
          <w:szCs w:val="30"/>
        </w:rPr>
      </w:pPr>
      <w:bookmarkStart w:id="13" w:name="_Toc25789"/>
      <w:r>
        <w:rPr>
          <w:rFonts w:hint="eastAsia" w:ascii="黑体" w:hAnsi="黑体" w:eastAsia="黑体"/>
          <w:snapToGrid w:val="0"/>
          <w:color w:val="auto"/>
          <w:sz w:val="30"/>
          <w:szCs w:val="30"/>
        </w:rPr>
        <w:t>四、生态环境影响分析</w:t>
      </w:r>
      <w:bookmarkEnd w:id="13"/>
    </w:p>
    <w:tbl>
      <w:tblPr>
        <w:tblStyle w:val="28"/>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14:paraId="1D5B3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879" w:type="dxa"/>
            <w:tcMar>
              <w:left w:w="28" w:type="dxa"/>
              <w:right w:w="28" w:type="dxa"/>
            </w:tcMar>
            <w:vAlign w:val="center"/>
          </w:tcPr>
          <w:p w14:paraId="28B11A31">
            <w:pPr>
              <w:adjustRightInd w:val="0"/>
              <w:snapToGrid w:val="0"/>
              <w:jc w:val="center"/>
              <w:rPr>
                <w:color w:val="auto"/>
                <w:kern w:val="0"/>
                <w:sz w:val="24"/>
              </w:rPr>
            </w:pPr>
            <w:bookmarkStart w:id="14" w:name="_Hlk49796138"/>
            <w:r>
              <w:rPr>
                <w:rFonts w:hint="eastAsia"/>
                <w:color w:val="auto"/>
                <w:kern w:val="0"/>
                <w:sz w:val="24"/>
              </w:rPr>
              <w:t>施工期生态环境影响分析</w:t>
            </w:r>
            <w:bookmarkEnd w:id="14"/>
          </w:p>
        </w:tc>
        <w:tc>
          <w:tcPr>
            <w:tcW w:w="8363" w:type="dxa"/>
          </w:tcPr>
          <w:p w14:paraId="2D46891E">
            <w:pPr>
              <w:adjustRightInd w:val="0"/>
              <w:snapToGrid w:val="0"/>
              <w:spacing w:line="360" w:lineRule="auto"/>
              <w:rPr>
                <w:b/>
                <w:bCs/>
                <w:color w:val="auto"/>
                <w:sz w:val="24"/>
              </w:rPr>
            </w:pPr>
            <w:r>
              <w:rPr>
                <w:b/>
                <w:bCs/>
                <w:color w:val="auto"/>
                <w:sz w:val="24"/>
              </w:rPr>
              <w:t>1、生态环境影响分析</w:t>
            </w:r>
          </w:p>
          <w:p w14:paraId="06070A09">
            <w:pPr>
              <w:adjustRightInd w:val="0"/>
              <w:snapToGrid w:val="0"/>
              <w:spacing w:line="360" w:lineRule="auto"/>
              <w:ind w:firstLine="480" w:firstLineChars="200"/>
              <w:rPr>
                <w:color w:val="auto"/>
                <w:sz w:val="24"/>
              </w:rPr>
            </w:pPr>
            <w:r>
              <w:rPr>
                <w:rFonts w:hint="eastAsia"/>
                <w:color w:val="auto"/>
                <w:sz w:val="24"/>
              </w:rPr>
              <w:t>本矿区土地权为国有，用地界限无争议，本矿区属新建矿山，经现场调查，矿区目前未开采，矿区范围内没有进行任何与采矿有关的活动。</w:t>
            </w:r>
          </w:p>
          <w:p w14:paraId="5718AF58">
            <w:pPr>
              <w:adjustRightInd w:val="0"/>
              <w:snapToGrid w:val="0"/>
              <w:spacing w:line="360" w:lineRule="auto"/>
              <w:ind w:firstLine="480" w:firstLineChars="200"/>
              <w:rPr>
                <w:color w:val="auto"/>
                <w:sz w:val="24"/>
              </w:rPr>
            </w:pPr>
            <w:r>
              <w:rPr>
                <w:color w:val="auto"/>
                <w:sz w:val="24"/>
              </w:rPr>
              <w:t>本项目施工期主要为平整场地</w:t>
            </w:r>
            <w:r>
              <w:rPr>
                <w:rFonts w:hint="eastAsia"/>
                <w:color w:val="auto"/>
                <w:sz w:val="24"/>
              </w:rPr>
              <w:t>、</w:t>
            </w:r>
            <w:r>
              <w:rPr>
                <w:color w:val="auto"/>
                <w:sz w:val="24"/>
              </w:rPr>
              <w:t>铺设简易砂石道路</w:t>
            </w:r>
            <w:r>
              <w:rPr>
                <w:rFonts w:hint="eastAsia"/>
                <w:color w:val="auto"/>
                <w:sz w:val="24"/>
              </w:rPr>
              <w:t>，施工过程会使原来地表结构及地表植被完全遭到破坏，因此本工程施工期，施工活动对施工场地占地及附近生态环境的不利影响在土地利用、水土流失、植被覆盖、土地生产力等多个方面均有所体现。</w:t>
            </w:r>
          </w:p>
          <w:p w14:paraId="690BA606">
            <w:pPr>
              <w:adjustRightInd w:val="0"/>
              <w:snapToGrid w:val="0"/>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 xml:space="preserve">）工程占地 </w:t>
            </w:r>
          </w:p>
          <w:p w14:paraId="7EED12F6">
            <w:pPr>
              <w:adjustRightInd w:val="0"/>
              <w:snapToGrid w:val="0"/>
              <w:spacing w:line="360" w:lineRule="auto"/>
              <w:ind w:firstLine="480" w:firstLineChars="200"/>
              <w:rPr>
                <w:color w:val="auto"/>
                <w:sz w:val="24"/>
              </w:rPr>
            </w:pPr>
            <w:r>
              <w:rPr>
                <w:rFonts w:hint="eastAsia"/>
                <w:color w:val="auto"/>
                <w:sz w:val="24"/>
              </w:rPr>
              <w:t xml:space="preserve">经过现场调查可知，施工期主要生态破坏区域为矿区道路、表土堆场区，占地类型为其他草地，原有生态服务功能消失，但同时土地的利用价值得到了提高。服务期满后进行复垦工作，尽量恢复原有生态功能，因此项目工程占地对所在区域生态环境影响较小。 </w:t>
            </w:r>
          </w:p>
          <w:p w14:paraId="67FD5EF3">
            <w:pPr>
              <w:adjustRightInd w:val="0"/>
              <w:snapToGrid w:val="0"/>
              <w:spacing w:line="360" w:lineRule="auto"/>
              <w:ind w:firstLine="480" w:firstLineChars="200"/>
              <w:rPr>
                <w:color w:val="auto"/>
                <w:sz w:val="24"/>
              </w:rPr>
            </w:pPr>
            <w:r>
              <w:rPr>
                <w:rFonts w:hint="eastAsia"/>
                <w:color w:val="auto"/>
                <w:sz w:val="24"/>
              </w:rPr>
              <w:t>（2）对植被的影响</w:t>
            </w:r>
          </w:p>
          <w:p w14:paraId="1F1BD34F">
            <w:pPr>
              <w:adjustRightInd w:val="0"/>
              <w:snapToGrid w:val="0"/>
              <w:spacing w:line="360" w:lineRule="auto"/>
              <w:ind w:firstLine="480" w:firstLineChars="200"/>
              <w:rPr>
                <w:rFonts w:hint="default" w:eastAsia="宋体"/>
                <w:color w:val="auto"/>
                <w:sz w:val="24"/>
                <w:lang w:val="en-US" w:eastAsia="zh-CN"/>
              </w:rPr>
            </w:pPr>
            <w:r>
              <w:rPr>
                <w:rFonts w:hint="eastAsia"/>
                <w:color w:val="auto"/>
                <w:sz w:val="24"/>
                <w:lang w:val="en-US" w:eastAsia="zh-CN"/>
              </w:rPr>
              <w:t>①临时占地对植被的影响</w:t>
            </w:r>
          </w:p>
          <w:p w14:paraId="28AA4690">
            <w:pPr>
              <w:adjustRightInd w:val="0"/>
              <w:snapToGrid w:val="0"/>
              <w:spacing w:line="360" w:lineRule="auto"/>
              <w:ind w:firstLine="480" w:firstLineChars="200"/>
              <w:rPr>
                <w:rFonts w:hint="eastAsia"/>
                <w:color w:val="auto"/>
                <w:sz w:val="24"/>
              </w:rPr>
            </w:pPr>
            <w:r>
              <w:rPr>
                <w:rFonts w:hint="eastAsia"/>
                <w:color w:val="auto"/>
                <w:sz w:val="24"/>
              </w:rPr>
              <w:t>拟建项目对植被的影响主要体现在占地带来的地表植被破坏、生物量损失、地表扰动、水土流失等方面。包括表土堆放、砂石道路等。施工过程中的基础开挖和覆土回填等工程都会扰施工期动地表、破坏微地形，清除地表植物，剥离种植表土，造成土壤结构的破坏和生态环境影响肥力的下降，同时造成一定面积的地表裸露，严重时可导致水土流失；施工人员、机械对植被的践踏和碾压，损伤和</w:t>
            </w:r>
            <w:r>
              <w:rPr>
                <w:rFonts w:hint="eastAsia"/>
                <w:color w:val="auto"/>
                <w:sz w:val="24"/>
                <w:lang w:eastAsia="zh-CN"/>
              </w:rPr>
              <w:t>蹍死</w:t>
            </w:r>
            <w:r>
              <w:rPr>
                <w:rFonts w:hint="eastAsia"/>
                <w:color w:val="auto"/>
                <w:sz w:val="24"/>
              </w:rPr>
              <w:t>植物，过往车辆产生的扬尘会影响附近的植被，尘埃使植被叶的光合作用和呼吸作用能力降低，影响植物的生长。本项目在施工过程中对施工区域洒水抑尘，对堆放的物料采取苫布遮盖措施，可以有效降低施工期扬尘影响的范围和程度。</w:t>
            </w:r>
          </w:p>
          <w:p w14:paraId="5E1C4EBD">
            <w:pPr>
              <w:spacing w:line="372" w:lineRule="auto"/>
              <w:ind w:firstLine="480" w:firstLineChars="200"/>
              <w:rPr>
                <w:rFonts w:hint="default" w:eastAsia="宋体"/>
                <w:color w:val="auto"/>
                <w:sz w:val="24"/>
                <w:lang w:val="en-US" w:eastAsia="zh-CN"/>
              </w:rPr>
            </w:pPr>
            <w:r>
              <w:rPr>
                <w:rFonts w:hint="eastAsia"/>
                <w:color w:val="auto"/>
                <w:sz w:val="24"/>
                <w:lang w:val="en-US" w:eastAsia="zh-CN"/>
              </w:rPr>
              <w:t>②施工期对植被生物量损失的计算</w:t>
            </w:r>
          </w:p>
          <w:p w14:paraId="730BF520">
            <w:pPr>
              <w:spacing w:line="372" w:lineRule="auto"/>
              <w:ind w:firstLine="480" w:firstLineChars="200"/>
              <w:rPr>
                <w:rFonts w:hint="eastAsia"/>
                <w:color w:val="auto"/>
                <w:sz w:val="24"/>
              </w:rPr>
            </w:pPr>
            <w:r>
              <w:rPr>
                <w:rFonts w:hint="eastAsia"/>
                <w:color w:val="auto"/>
                <w:sz w:val="24"/>
              </w:rPr>
              <w:t>项目</w:t>
            </w:r>
            <w:r>
              <w:rPr>
                <w:rFonts w:hint="eastAsia"/>
                <w:color w:val="auto"/>
                <w:sz w:val="24"/>
                <w:lang w:val="en-US" w:eastAsia="zh-CN"/>
              </w:rPr>
              <w:t>前期施工阶段会导致一定量的植被损耗，</w:t>
            </w:r>
            <w:r>
              <w:rPr>
                <w:rFonts w:hint="eastAsia"/>
                <w:color w:val="auto"/>
                <w:sz w:val="24"/>
              </w:rPr>
              <w:t>施工</w:t>
            </w:r>
            <w:r>
              <w:rPr>
                <w:rFonts w:hint="eastAsia"/>
                <w:color w:val="auto"/>
                <w:sz w:val="24"/>
                <w:lang w:val="en-US" w:eastAsia="zh-CN"/>
              </w:rPr>
              <w:t>期间主要为平整场地、铺设简易砂石道路，扰动</w:t>
            </w:r>
            <w:r>
              <w:rPr>
                <w:rFonts w:hint="eastAsia"/>
                <w:color w:val="auto"/>
                <w:sz w:val="24"/>
              </w:rPr>
              <w:t>面积约</w:t>
            </w:r>
            <w:r>
              <w:rPr>
                <w:rFonts w:hint="eastAsia"/>
                <w:color w:val="auto"/>
                <w:sz w:val="24"/>
                <w:lang w:val="en-US" w:eastAsia="zh-CN"/>
              </w:rPr>
              <w:t>1.05</w:t>
            </w:r>
            <w:r>
              <w:rPr>
                <w:rFonts w:hint="eastAsia"/>
                <w:color w:val="auto"/>
                <w:sz w:val="24"/>
              </w:rPr>
              <w:t>hm</w:t>
            </w:r>
            <w:r>
              <w:rPr>
                <w:rFonts w:hint="eastAsia"/>
                <w:color w:val="auto"/>
                <w:sz w:val="24"/>
                <w:vertAlign w:val="superscript"/>
              </w:rPr>
              <w:t>3</w:t>
            </w:r>
            <w:r>
              <w:rPr>
                <w:rFonts w:hint="eastAsia"/>
                <w:color w:val="auto"/>
                <w:sz w:val="24"/>
              </w:rPr>
              <w:t>，扰动区域占地类型为</w:t>
            </w:r>
            <w:r>
              <w:rPr>
                <w:rFonts w:hint="eastAsia"/>
                <w:color w:val="auto"/>
                <w:sz w:val="24"/>
                <w:lang w:val="en-US" w:eastAsia="zh-CN"/>
              </w:rPr>
              <w:t>其他</w:t>
            </w:r>
            <w:r>
              <w:rPr>
                <w:rFonts w:hint="eastAsia"/>
                <w:color w:val="auto"/>
                <w:sz w:val="24"/>
              </w:rPr>
              <w:t>草地，草场等级为</w:t>
            </w:r>
            <w:r>
              <w:rPr>
                <w:rFonts w:hint="eastAsia"/>
                <w:snapToGrid w:val="0"/>
                <w:color w:val="auto"/>
                <w:kern w:val="0"/>
                <w:sz w:val="24"/>
              </w:rPr>
              <w:t>四等六级</w:t>
            </w:r>
            <w:r>
              <w:rPr>
                <w:rFonts w:hint="eastAsia"/>
                <w:color w:val="auto"/>
                <w:sz w:val="24"/>
              </w:rPr>
              <w:t>，项目</w:t>
            </w:r>
            <w:r>
              <w:rPr>
                <w:rFonts w:hint="eastAsia"/>
                <w:color w:val="auto"/>
                <w:sz w:val="24"/>
                <w:lang w:val="en-US" w:eastAsia="zh-CN"/>
              </w:rPr>
              <w:t>施工期间</w:t>
            </w:r>
            <w:r>
              <w:rPr>
                <w:rFonts w:hint="eastAsia"/>
                <w:color w:val="auto"/>
                <w:sz w:val="24"/>
              </w:rPr>
              <w:t>造成生物量损失，</w:t>
            </w:r>
            <w:r>
              <w:rPr>
                <w:rFonts w:hint="eastAsia"/>
                <w:color w:val="auto"/>
                <w:sz w:val="24"/>
                <w:lang w:val="en-US" w:eastAsia="zh-CN"/>
              </w:rPr>
              <w:t>依据</w:t>
            </w:r>
            <w:r>
              <w:rPr>
                <w:rFonts w:hint="eastAsia"/>
                <w:color w:val="auto"/>
                <w:sz w:val="24"/>
              </w:rPr>
              <w:t>《中国北方重点牧区草场资源调查大纲及技术规程》对草地资源等级评价的原则、标准及方法，</w:t>
            </w:r>
            <w:r>
              <w:rPr>
                <w:rFonts w:hint="eastAsia"/>
                <w:color w:val="auto"/>
                <w:sz w:val="24"/>
                <w:lang w:val="en-US" w:eastAsia="zh-CN"/>
              </w:rPr>
              <w:t>四</w:t>
            </w:r>
            <w:r>
              <w:rPr>
                <w:rFonts w:hint="eastAsia"/>
                <w:color w:val="auto"/>
                <w:sz w:val="24"/>
              </w:rPr>
              <w:t>等草地低等牧草占60%以上；中等及劣等占40%</w:t>
            </w:r>
            <w:r>
              <w:rPr>
                <w:rFonts w:hint="eastAsia"/>
                <w:color w:val="auto"/>
                <w:sz w:val="24"/>
                <w:lang w:eastAsia="zh-CN"/>
              </w:rPr>
              <w:t>；</w:t>
            </w:r>
            <w:r>
              <w:rPr>
                <w:rFonts w:hint="eastAsia"/>
                <w:color w:val="auto"/>
                <w:sz w:val="24"/>
                <w:lang w:val="en-US" w:eastAsia="zh-CN"/>
              </w:rPr>
              <w:t>六</w:t>
            </w:r>
            <w:r>
              <w:rPr>
                <w:rFonts w:hint="eastAsia"/>
                <w:color w:val="auto"/>
                <w:sz w:val="24"/>
              </w:rPr>
              <w:t xml:space="preserve">级草地每公顷产鲜草 </w:t>
            </w:r>
            <w:r>
              <w:rPr>
                <w:rFonts w:hint="eastAsia"/>
                <w:color w:val="auto"/>
                <w:sz w:val="24"/>
                <w:lang w:val="en-US" w:eastAsia="zh-CN"/>
              </w:rPr>
              <w:t>3</w:t>
            </w:r>
            <w:r>
              <w:rPr>
                <w:rFonts w:hint="eastAsia"/>
                <w:color w:val="auto"/>
                <w:sz w:val="24"/>
              </w:rPr>
              <w:t>000～</w:t>
            </w:r>
            <w:r>
              <w:rPr>
                <w:rFonts w:hint="eastAsia"/>
                <w:color w:val="auto"/>
                <w:sz w:val="24"/>
                <w:lang w:val="en-US" w:eastAsia="zh-CN"/>
              </w:rPr>
              <w:t>1</w:t>
            </w:r>
            <w:r>
              <w:rPr>
                <w:rFonts w:hint="eastAsia"/>
                <w:color w:val="auto"/>
                <w:sz w:val="24"/>
              </w:rPr>
              <w:t>500kg</w:t>
            </w:r>
            <w:r>
              <w:rPr>
                <w:rFonts w:hint="eastAsia"/>
                <w:color w:val="auto"/>
                <w:sz w:val="24"/>
                <w:lang w:val="en-US" w:eastAsia="zh-CN"/>
              </w:rPr>
              <w:t>以上</w:t>
            </w:r>
            <w:r>
              <w:rPr>
                <w:rFonts w:hint="eastAsia"/>
                <w:color w:val="auto"/>
                <w:sz w:val="24"/>
              </w:rPr>
              <w:t>，</w:t>
            </w:r>
            <w:r>
              <w:rPr>
                <w:rFonts w:hint="eastAsia"/>
                <w:color w:val="auto"/>
                <w:sz w:val="24"/>
                <w:lang w:val="en-US" w:eastAsia="zh-CN"/>
              </w:rPr>
              <w:t>本项目</w:t>
            </w:r>
            <w:r>
              <w:rPr>
                <w:rFonts w:hint="eastAsia"/>
                <w:snapToGrid w:val="0"/>
                <w:color w:val="auto"/>
                <w:kern w:val="0"/>
                <w:sz w:val="24"/>
              </w:rPr>
              <w:t>产草量</w:t>
            </w:r>
            <w:r>
              <w:rPr>
                <w:rFonts w:hint="eastAsia"/>
                <w:snapToGrid w:val="0"/>
                <w:color w:val="auto"/>
                <w:kern w:val="0"/>
                <w:sz w:val="24"/>
                <w:lang w:val="en-US" w:eastAsia="zh-CN"/>
              </w:rPr>
              <w:t>按25</w:t>
            </w:r>
            <w:r>
              <w:rPr>
                <w:rFonts w:hint="eastAsia"/>
                <w:snapToGrid w:val="0"/>
                <w:color w:val="auto"/>
                <w:kern w:val="0"/>
                <w:sz w:val="24"/>
              </w:rPr>
              <w:t>00kg/hm</w:t>
            </w:r>
            <w:r>
              <w:rPr>
                <w:rFonts w:hint="eastAsia"/>
                <w:snapToGrid w:val="0"/>
                <w:color w:val="auto"/>
                <w:kern w:val="0"/>
                <w:sz w:val="24"/>
                <w:vertAlign w:val="superscript"/>
              </w:rPr>
              <w:t>2</w:t>
            </w:r>
            <w:r>
              <w:rPr>
                <w:rFonts w:hint="eastAsia"/>
                <w:color w:val="auto"/>
                <w:sz w:val="24"/>
              </w:rPr>
              <w:t>，项目</w:t>
            </w:r>
            <w:r>
              <w:rPr>
                <w:rFonts w:hint="eastAsia"/>
                <w:color w:val="auto"/>
                <w:sz w:val="24"/>
                <w:lang w:val="en-US" w:eastAsia="zh-CN"/>
              </w:rPr>
              <w:t>施工期生物量</w:t>
            </w:r>
            <w:r>
              <w:rPr>
                <w:rFonts w:hint="eastAsia"/>
                <w:color w:val="auto"/>
                <w:sz w:val="24"/>
              </w:rPr>
              <w:t xml:space="preserve">损失约 </w:t>
            </w:r>
            <w:r>
              <w:rPr>
                <w:rFonts w:hint="eastAsia"/>
                <w:color w:val="auto"/>
                <w:sz w:val="24"/>
                <w:lang w:val="en-US" w:eastAsia="zh-CN"/>
              </w:rPr>
              <w:t>2.625</w:t>
            </w:r>
            <w:r>
              <w:rPr>
                <w:rFonts w:hint="eastAsia"/>
                <w:color w:val="auto"/>
                <w:sz w:val="24"/>
              </w:rPr>
              <w:t>t。</w:t>
            </w:r>
          </w:p>
          <w:p w14:paraId="095C70BE">
            <w:pPr>
              <w:spacing w:line="372" w:lineRule="auto"/>
              <w:ind w:firstLine="480" w:firstLineChars="200"/>
              <w:rPr>
                <w:rFonts w:hint="eastAsia"/>
                <w:snapToGrid w:val="0"/>
                <w:color w:val="auto"/>
                <w:kern w:val="0"/>
                <w:sz w:val="24"/>
              </w:rPr>
            </w:pPr>
            <w:r>
              <w:rPr>
                <w:rFonts w:hint="eastAsia"/>
                <w:snapToGrid w:val="0"/>
                <w:color w:val="auto"/>
                <w:kern w:val="0"/>
                <w:sz w:val="24"/>
                <w:lang w:val="en-US" w:eastAsia="zh-CN"/>
              </w:rPr>
              <w:t>施工期</w:t>
            </w:r>
            <w:r>
              <w:rPr>
                <w:rFonts w:hint="eastAsia"/>
                <w:snapToGrid w:val="0"/>
                <w:color w:val="auto"/>
                <w:kern w:val="0"/>
                <w:sz w:val="24"/>
              </w:rPr>
              <w:t>工程占地造成的生物量损失见表</w:t>
            </w:r>
            <w:r>
              <w:rPr>
                <w:rFonts w:hint="eastAsia"/>
                <w:snapToGrid w:val="0"/>
                <w:color w:val="auto"/>
                <w:kern w:val="0"/>
                <w:sz w:val="24"/>
                <w:lang w:val="en-US" w:eastAsia="zh-CN"/>
              </w:rPr>
              <w:t>4-1</w:t>
            </w:r>
            <w:r>
              <w:rPr>
                <w:rFonts w:hint="eastAsia"/>
                <w:snapToGrid w:val="0"/>
                <w:color w:val="auto"/>
                <w:kern w:val="0"/>
                <w:sz w:val="24"/>
              </w:rPr>
              <w:t>。</w:t>
            </w:r>
          </w:p>
          <w:p w14:paraId="1BC78AC4">
            <w:pPr>
              <w:pStyle w:val="16"/>
              <w:snapToGrid/>
              <w:spacing w:before="0" w:after="0" w:line="240" w:lineRule="auto"/>
              <w:ind w:right="0"/>
              <w:jc w:val="center"/>
              <w:rPr>
                <w:rFonts w:hint="eastAsia"/>
                <w:b/>
                <w:bCs/>
                <w:color w:val="auto"/>
                <w:sz w:val="21"/>
                <w:szCs w:val="21"/>
                <w:lang w:val="en-US" w:eastAsia="zh-CN"/>
              </w:rPr>
            </w:pPr>
            <w:r>
              <w:rPr>
                <w:rFonts w:hint="eastAsia"/>
                <w:b/>
                <w:bCs/>
                <w:color w:val="auto"/>
                <w:sz w:val="21"/>
                <w:szCs w:val="21"/>
                <w:lang w:val="en-US" w:eastAsia="zh-CN"/>
              </w:rPr>
              <w:t>表4-1    施工期生物量损失估算表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255"/>
              <w:gridCol w:w="1145"/>
              <w:gridCol w:w="1225"/>
              <w:gridCol w:w="2668"/>
            </w:tblGrid>
            <w:tr w14:paraId="0A03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restart"/>
                  <w:vAlign w:val="center"/>
                </w:tcPr>
                <w:p w14:paraId="2C80DB64">
                  <w:pPr>
                    <w:pStyle w:val="92"/>
                    <w:jc w:val="center"/>
                    <w:rPr>
                      <w:color w:val="auto"/>
                      <w:szCs w:val="21"/>
                    </w:rPr>
                  </w:pPr>
                  <w:r>
                    <w:rPr>
                      <w:color w:val="auto"/>
                      <w:szCs w:val="21"/>
                    </w:rPr>
                    <w:t>项目</w:t>
                  </w:r>
                </w:p>
              </w:tc>
              <w:tc>
                <w:tcPr>
                  <w:tcW w:w="771" w:type="pct"/>
                  <w:vMerge w:val="restart"/>
                  <w:vAlign w:val="center"/>
                </w:tcPr>
                <w:p w14:paraId="3579381B">
                  <w:pPr>
                    <w:pStyle w:val="92"/>
                    <w:jc w:val="center"/>
                    <w:rPr>
                      <w:color w:val="auto"/>
                      <w:szCs w:val="21"/>
                    </w:rPr>
                  </w:pPr>
                  <w:r>
                    <w:rPr>
                      <w:color w:val="auto"/>
                      <w:szCs w:val="21"/>
                    </w:rPr>
                    <w:t>面积（hm</w:t>
                  </w:r>
                  <w:r>
                    <w:rPr>
                      <w:color w:val="auto"/>
                      <w:szCs w:val="21"/>
                      <w:vertAlign w:val="superscript"/>
                    </w:rPr>
                    <w:t>2</w:t>
                  </w:r>
                  <w:r>
                    <w:rPr>
                      <w:color w:val="auto"/>
                      <w:szCs w:val="21"/>
                    </w:rPr>
                    <w:t>）</w:t>
                  </w:r>
                </w:p>
              </w:tc>
              <w:tc>
                <w:tcPr>
                  <w:tcW w:w="703" w:type="pct"/>
                  <w:vMerge w:val="restart"/>
                  <w:vAlign w:val="center"/>
                </w:tcPr>
                <w:p w14:paraId="3C38F9FF">
                  <w:pPr>
                    <w:pStyle w:val="92"/>
                    <w:jc w:val="center"/>
                    <w:rPr>
                      <w:color w:val="auto"/>
                      <w:szCs w:val="21"/>
                    </w:rPr>
                  </w:pPr>
                  <w:r>
                    <w:rPr>
                      <w:color w:val="auto"/>
                      <w:szCs w:val="21"/>
                    </w:rPr>
                    <w:t>破坏方式</w:t>
                  </w:r>
                </w:p>
              </w:tc>
              <w:tc>
                <w:tcPr>
                  <w:tcW w:w="752" w:type="pct"/>
                  <w:vMerge w:val="restart"/>
                  <w:vAlign w:val="center"/>
                </w:tcPr>
                <w:p w14:paraId="54EA6F2B">
                  <w:pPr>
                    <w:pStyle w:val="92"/>
                    <w:jc w:val="center"/>
                    <w:rPr>
                      <w:color w:val="auto"/>
                      <w:szCs w:val="21"/>
                    </w:rPr>
                  </w:pPr>
                  <w:r>
                    <w:rPr>
                      <w:color w:val="auto"/>
                      <w:szCs w:val="21"/>
                    </w:rPr>
                    <w:t>占地类型</w:t>
                  </w:r>
                </w:p>
              </w:tc>
              <w:tc>
                <w:tcPr>
                  <w:tcW w:w="1639" w:type="pct"/>
                  <w:vMerge w:val="restart"/>
                  <w:vAlign w:val="center"/>
                </w:tcPr>
                <w:p w14:paraId="5056C3C6">
                  <w:pPr>
                    <w:pStyle w:val="92"/>
                    <w:jc w:val="center"/>
                    <w:rPr>
                      <w:rFonts w:hint="default" w:eastAsia="宋体"/>
                      <w:color w:val="auto"/>
                      <w:szCs w:val="21"/>
                      <w:lang w:val="en-US" w:eastAsia="zh-CN"/>
                    </w:rPr>
                  </w:pPr>
                  <w:r>
                    <w:rPr>
                      <w:rFonts w:hint="eastAsia"/>
                      <w:color w:val="auto"/>
                      <w:szCs w:val="21"/>
                      <w:lang w:val="en-US" w:eastAsia="zh-CN"/>
                    </w:rPr>
                    <w:t>生物量t</w:t>
                  </w:r>
                </w:p>
              </w:tc>
            </w:tr>
            <w:tr w14:paraId="637D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continue"/>
                  <w:vAlign w:val="center"/>
                </w:tcPr>
                <w:p w14:paraId="411CA6DA">
                  <w:pPr>
                    <w:pStyle w:val="92"/>
                    <w:jc w:val="center"/>
                    <w:rPr>
                      <w:color w:val="auto"/>
                      <w:szCs w:val="21"/>
                    </w:rPr>
                  </w:pPr>
                </w:p>
              </w:tc>
              <w:tc>
                <w:tcPr>
                  <w:tcW w:w="771" w:type="pct"/>
                  <w:vMerge w:val="continue"/>
                  <w:vAlign w:val="center"/>
                </w:tcPr>
                <w:p w14:paraId="0921C5B5">
                  <w:pPr>
                    <w:pStyle w:val="92"/>
                    <w:jc w:val="center"/>
                    <w:rPr>
                      <w:color w:val="auto"/>
                      <w:szCs w:val="21"/>
                    </w:rPr>
                  </w:pPr>
                </w:p>
              </w:tc>
              <w:tc>
                <w:tcPr>
                  <w:tcW w:w="703" w:type="pct"/>
                  <w:vMerge w:val="continue"/>
                  <w:vAlign w:val="center"/>
                </w:tcPr>
                <w:p w14:paraId="202CEF8A">
                  <w:pPr>
                    <w:pStyle w:val="92"/>
                    <w:jc w:val="center"/>
                    <w:rPr>
                      <w:color w:val="auto"/>
                      <w:szCs w:val="21"/>
                    </w:rPr>
                  </w:pPr>
                </w:p>
              </w:tc>
              <w:tc>
                <w:tcPr>
                  <w:tcW w:w="752" w:type="pct"/>
                  <w:vMerge w:val="continue"/>
                  <w:vAlign w:val="center"/>
                </w:tcPr>
                <w:p w14:paraId="1B943D1C">
                  <w:pPr>
                    <w:pStyle w:val="92"/>
                    <w:jc w:val="center"/>
                    <w:rPr>
                      <w:color w:val="auto"/>
                      <w:szCs w:val="21"/>
                    </w:rPr>
                  </w:pPr>
                </w:p>
              </w:tc>
              <w:tc>
                <w:tcPr>
                  <w:tcW w:w="1639" w:type="pct"/>
                  <w:vMerge w:val="continue"/>
                  <w:vAlign w:val="center"/>
                </w:tcPr>
                <w:p w14:paraId="1CB41A7C">
                  <w:pPr>
                    <w:pStyle w:val="92"/>
                    <w:jc w:val="center"/>
                    <w:rPr>
                      <w:color w:val="auto"/>
                      <w:szCs w:val="21"/>
                    </w:rPr>
                  </w:pPr>
                </w:p>
              </w:tc>
            </w:tr>
            <w:tr w14:paraId="0CBB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23E09345">
                  <w:pPr>
                    <w:pStyle w:val="92"/>
                    <w:jc w:val="center"/>
                    <w:rPr>
                      <w:color w:val="auto"/>
                      <w:szCs w:val="21"/>
                    </w:rPr>
                  </w:pPr>
                  <w:r>
                    <w:rPr>
                      <w:color w:val="auto"/>
                      <w:szCs w:val="21"/>
                    </w:rPr>
                    <w:t>矿区道路</w:t>
                  </w:r>
                </w:p>
              </w:tc>
              <w:tc>
                <w:tcPr>
                  <w:tcW w:w="771" w:type="pct"/>
                  <w:vAlign w:val="center"/>
                </w:tcPr>
                <w:p w14:paraId="5BDDF804">
                  <w:pPr>
                    <w:pStyle w:val="92"/>
                    <w:jc w:val="center"/>
                    <w:rPr>
                      <w:color w:val="auto"/>
                      <w:szCs w:val="21"/>
                    </w:rPr>
                  </w:pPr>
                  <w:r>
                    <w:rPr>
                      <w:color w:val="auto"/>
                      <w:szCs w:val="21"/>
                    </w:rPr>
                    <w:t>0.</w:t>
                  </w:r>
                  <w:r>
                    <w:rPr>
                      <w:rFonts w:hint="eastAsia"/>
                      <w:color w:val="auto"/>
                      <w:szCs w:val="21"/>
                    </w:rPr>
                    <w:t>6</w:t>
                  </w:r>
                </w:p>
              </w:tc>
              <w:tc>
                <w:tcPr>
                  <w:tcW w:w="703" w:type="pct"/>
                  <w:vAlign w:val="center"/>
                </w:tcPr>
                <w:p w14:paraId="2AE1C077">
                  <w:pPr>
                    <w:pStyle w:val="92"/>
                    <w:jc w:val="center"/>
                    <w:rPr>
                      <w:color w:val="auto"/>
                      <w:szCs w:val="21"/>
                    </w:rPr>
                  </w:pPr>
                  <w:r>
                    <w:rPr>
                      <w:color w:val="auto"/>
                      <w:szCs w:val="21"/>
                    </w:rPr>
                    <w:t>压占</w:t>
                  </w:r>
                </w:p>
              </w:tc>
              <w:tc>
                <w:tcPr>
                  <w:tcW w:w="752" w:type="pct"/>
                  <w:vMerge w:val="restart"/>
                  <w:vAlign w:val="center"/>
                </w:tcPr>
                <w:p w14:paraId="56087951">
                  <w:pPr>
                    <w:pStyle w:val="92"/>
                    <w:jc w:val="center"/>
                    <w:rPr>
                      <w:rFonts w:hint="default" w:eastAsia="宋体"/>
                      <w:color w:val="auto"/>
                      <w:szCs w:val="21"/>
                      <w:lang w:val="en-US" w:eastAsia="zh-CN"/>
                    </w:rPr>
                  </w:pPr>
                  <w:r>
                    <w:rPr>
                      <w:rFonts w:hint="eastAsia"/>
                      <w:color w:val="auto"/>
                      <w:szCs w:val="21"/>
                      <w:lang w:val="en-US" w:eastAsia="zh-CN"/>
                    </w:rPr>
                    <w:t>其他草地</w:t>
                  </w:r>
                </w:p>
              </w:tc>
              <w:tc>
                <w:tcPr>
                  <w:tcW w:w="1639" w:type="pct"/>
                  <w:vAlign w:val="center"/>
                </w:tcPr>
                <w:p w14:paraId="114111E7">
                  <w:pPr>
                    <w:pStyle w:val="92"/>
                    <w:jc w:val="center"/>
                    <w:rPr>
                      <w:rFonts w:hint="default" w:eastAsia="宋体"/>
                      <w:color w:val="auto"/>
                      <w:szCs w:val="21"/>
                      <w:lang w:val="en-US" w:eastAsia="zh-CN"/>
                    </w:rPr>
                  </w:pPr>
                  <w:r>
                    <w:rPr>
                      <w:rFonts w:hint="eastAsia"/>
                      <w:color w:val="auto"/>
                      <w:szCs w:val="21"/>
                      <w:lang w:val="en-US" w:eastAsia="zh-CN"/>
                    </w:rPr>
                    <w:t>1.5</w:t>
                  </w:r>
                </w:p>
              </w:tc>
            </w:tr>
            <w:tr w14:paraId="6F9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1F748EDC">
                  <w:pPr>
                    <w:pStyle w:val="92"/>
                    <w:jc w:val="center"/>
                    <w:rPr>
                      <w:color w:val="auto"/>
                      <w:szCs w:val="21"/>
                    </w:rPr>
                  </w:pPr>
                  <w:r>
                    <w:rPr>
                      <w:color w:val="auto"/>
                      <w:szCs w:val="21"/>
                    </w:rPr>
                    <w:t>表土堆场</w:t>
                  </w:r>
                </w:p>
              </w:tc>
              <w:tc>
                <w:tcPr>
                  <w:tcW w:w="771" w:type="pct"/>
                  <w:vAlign w:val="center"/>
                </w:tcPr>
                <w:p w14:paraId="6CA91DD3">
                  <w:pPr>
                    <w:pStyle w:val="92"/>
                    <w:jc w:val="center"/>
                    <w:rPr>
                      <w:rFonts w:hint="default" w:eastAsia="宋体"/>
                      <w:color w:val="auto"/>
                      <w:szCs w:val="21"/>
                      <w:lang w:val="en-US" w:eastAsia="zh-CN"/>
                    </w:rPr>
                  </w:pPr>
                  <w:r>
                    <w:rPr>
                      <w:rFonts w:hint="eastAsia"/>
                      <w:color w:val="auto"/>
                      <w:szCs w:val="21"/>
                      <w:lang w:val="en-US" w:eastAsia="zh-CN"/>
                    </w:rPr>
                    <w:t>0.45</w:t>
                  </w:r>
                </w:p>
              </w:tc>
              <w:tc>
                <w:tcPr>
                  <w:tcW w:w="703" w:type="pct"/>
                  <w:vAlign w:val="center"/>
                </w:tcPr>
                <w:p w14:paraId="1E2D42C6">
                  <w:pPr>
                    <w:pStyle w:val="92"/>
                    <w:jc w:val="center"/>
                    <w:rPr>
                      <w:color w:val="auto"/>
                      <w:szCs w:val="21"/>
                    </w:rPr>
                  </w:pPr>
                  <w:r>
                    <w:rPr>
                      <w:color w:val="auto"/>
                      <w:szCs w:val="21"/>
                    </w:rPr>
                    <w:t>压占</w:t>
                  </w:r>
                </w:p>
              </w:tc>
              <w:tc>
                <w:tcPr>
                  <w:tcW w:w="752" w:type="pct"/>
                  <w:vMerge w:val="continue"/>
                  <w:vAlign w:val="center"/>
                </w:tcPr>
                <w:p w14:paraId="7BC1DD2F">
                  <w:pPr>
                    <w:pStyle w:val="92"/>
                    <w:jc w:val="center"/>
                    <w:rPr>
                      <w:color w:val="auto"/>
                      <w:szCs w:val="21"/>
                    </w:rPr>
                  </w:pPr>
                </w:p>
              </w:tc>
              <w:tc>
                <w:tcPr>
                  <w:tcW w:w="1639" w:type="pct"/>
                  <w:vAlign w:val="center"/>
                </w:tcPr>
                <w:p w14:paraId="5EA0859A">
                  <w:pPr>
                    <w:pStyle w:val="92"/>
                    <w:jc w:val="center"/>
                    <w:rPr>
                      <w:rFonts w:hint="default" w:eastAsia="宋体"/>
                      <w:color w:val="auto"/>
                      <w:szCs w:val="21"/>
                      <w:lang w:val="en-US" w:eastAsia="zh-CN"/>
                    </w:rPr>
                  </w:pPr>
                  <w:r>
                    <w:rPr>
                      <w:rFonts w:hint="eastAsia"/>
                      <w:color w:val="auto"/>
                      <w:szCs w:val="21"/>
                      <w:lang w:val="en-US" w:eastAsia="zh-CN"/>
                    </w:rPr>
                    <w:t>1.125</w:t>
                  </w:r>
                </w:p>
              </w:tc>
            </w:tr>
            <w:tr w14:paraId="6913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360" w:type="pct"/>
                  <w:gridSpan w:val="4"/>
                  <w:vAlign w:val="center"/>
                </w:tcPr>
                <w:p w14:paraId="234023EE">
                  <w:pPr>
                    <w:pStyle w:val="92"/>
                    <w:jc w:val="center"/>
                    <w:rPr>
                      <w:rFonts w:hint="eastAsia" w:eastAsia="宋体"/>
                      <w:color w:val="auto"/>
                      <w:szCs w:val="21"/>
                      <w:lang w:val="en-US" w:eastAsia="zh-CN"/>
                    </w:rPr>
                  </w:pPr>
                  <w:r>
                    <w:rPr>
                      <w:rFonts w:hint="eastAsia"/>
                      <w:color w:val="auto"/>
                      <w:szCs w:val="21"/>
                      <w:lang w:val="en-US" w:eastAsia="zh-CN"/>
                    </w:rPr>
                    <w:t>合计</w:t>
                  </w:r>
                </w:p>
              </w:tc>
              <w:tc>
                <w:tcPr>
                  <w:tcW w:w="1639" w:type="pct"/>
                  <w:vAlign w:val="center"/>
                </w:tcPr>
                <w:p w14:paraId="107E5C53">
                  <w:pPr>
                    <w:pStyle w:val="92"/>
                    <w:jc w:val="center"/>
                    <w:rPr>
                      <w:rFonts w:hint="default" w:eastAsia="宋体"/>
                      <w:color w:val="auto"/>
                      <w:szCs w:val="21"/>
                      <w:lang w:val="en-US" w:eastAsia="zh-CN"/>
                    </w:rPr>
                  </w:pPr>
                  <w:r>
                    <w:rPr>
                      <w:rFonts w:hint="eastAsia"/>
                      <w:color w:val="auto"/>
                      <w:szCs w:val="21"/>
                      <w:lang w:val="en-US" w:eastAsia="zh-CN"/>
                    </w:rPr>
                    <w:t>2.625</w:t>
                  </w:r>
                </w:p>
              </w:tc>
            </w:tr>
          </w:tbl>
          <w:p w14:paraId="2E011E79">
            <w:pPr>
              <w:adjustRightInd w:val="0"/>
              <w:snapToGrid w:val="0"/>
              <w:spacing w:line="360" w:lineRule="auto"/>
              <w:ind w:firstLine="480" w:firstLineChars="200"/>
              <w:rPr>
                <w:rFonts w:hint="eastAsia"/>
                <w:color w:val="auto"/>
                <w:sz w:val="24"/>
              </w:rPr>
            </w:pPr>
            <w:r>
              <w:rPr>
                <w:rFonts w:hint="eastAsia"/>
                <w:color w:val="auto"/>
                <w:sz w:val="24"/>
              </w:rPr>
              <w:t>在建设过程中，受影响区域植被遭到破坏，但不会使整个评价区植物群落的种类组成发生变化，也不会造成某一物种在评价区范围内的消失。工程临时占地施工结束后对临时占地采取恢复措施后，可在3~5年得到恢复，临时占地对植被的影响可完全消除。</w:t>
            </w:r>
          </w:p>
          <w:p w14:paraId="08DCD4B7">
            <w:pPr>
              <w:adjustRightInd w:val="0"/>
              <w:snapToGrid w:val="0"/>
              <w:spacing w:line="360" w:lineRule="auto"/>
              <w:ind w:firstLine="480" w:firstLineChars="200"/>
              <w:rPr>
                <w:b/>
                <w:bCs/>
                <w:color w:val="auto"/>
                <w:sz w:val="24"/>
              </w:rPr>
            </w:pPr>
            <w:r>
              <w:rPr>
                <w:color w:val="auto"/>
                <w:sz w:val="24"/>
              </w:rPr>
              <w:t>（3）对野生动物的影响</w:t>
            </w:r>
          </w:p>
          <w:p w14:paraId="1AD91439">
            <w:pPr>
              <w:adjustRightInd w:val="0"/>
              <w:snapToGrid w:val="0"/>
              <w:spacing w:line="360" w:lineRule="auto"/>
              <w:ind w:firstLine="480" w:firstLineChars="200"/>
              <w:rPr>
                <w:color w:val="auto"/>
                <w:sz w:val="24"/>
              </w:rPr>
            </w:pPr>
            <w:r>
              <w:rPr>
                <w:color w:val="auto"/>
                <w:sz w:val="24"/>
              </w:rPr>
              <w:t>施工机械噪声和人员活动噪声是对野生动物的主要影响因素。施工期间，人类活动、交通运输工具与施工机械产生的噪声等可能对在施工区及邻近地区栖息和觅食的野生动物产生一定的影响。由于项目区野生动物极少，对周围环境野生动物影响不大。</w:t>
            </w:r>
          </w:p>
          <w:p w14:paraId="14E99AD6">
            <w:pPr>
              <w:adjustRightInd w:val="0"/>
              <w:snapToGrid w:val="0"/>
              <w:spacing w:line="360" w:lineRule="auto"/>
              <w:ind w:firstLine="480" w:firstLineChars="200"/>
              <w:rPr>
                <w:color w:val="auto"/>
                <w:sz w:val="24"/>
              </w:rPr>
            </w:pPr>
            <w:r>
              <w:rPr>
                <w:color w:val="auto"/>
                <w:sz w:val="24"/>
              </w:rPr>
              <w:t>（4）对土壤影响</w:t>
            </w:r>
          </w:p>
          <w:p w14:paraId="60E5CC32">
            <w:pPr>
              <w:adjustRightInd w:val="0"/>
              <w:snapToGrid w:val="0"/>
              <w:spacing w:line="360" w:lineRule="auto"/>
              <w:ind w:firstLine="480" w:firstLineChars="200"/>
              <w:rPr>
                <w:color w:val="auto"/>
                <w:sz w:val="24"/>
              </w:rPr>
            </w:pPr>
            <w:r>
              <w:rPr>
                <w:color w:val="auto"/>
                <w:sz w:val="24"/>
              </w:rPr>
              <w:t>施工过程中对土壤的影响主要表现在以下几个方面：①施工人员的践踏和施工机械的碾压，将改变土壤的坚实度、通透性，对土壤的机械物理性质有所影响。②施工人员产生的污水，生活垃圾不合理</w:t>
            </w:r>
            <w:r>
              <w:rPr>
                <w:rFonts w:hint="eastAsia"/>
                <w:color w:val="auto"/>
                <w:sz w:val="24"/>
              </w:rPr>
              <w:t>地</w:t>
            </w:r>
            <w:r>
              <w:rPr>
                <w:color w:val="auto"/>
                <w:sz w:val="24"/>
              </w:rPr>
              <w:t>处理排放，也会污染土壤。</w:t>
            </w:r>
          </w:p>
          <w:p w14:paraId="706D488A">
            <w:pPr>
              <w:adjustRightInd w:val="0"/>
              <w:snapToGrid w:val="0"/>
              <w:spacing w:line="360" w:lineRule="auto"/>
              <w:ind w:firstLine="480" w:firstLineChars="200"/>
              <w:rPr>
                <w:color w:val="auto"/>
                <w:sz w:val="24"/>
              </w:rPr>
            </w:pPr>
            <w:r>
              <w:rPr>
                <w:color w:val="auto"/>
                <w:sz w:val="24"/>
              </w:rPr>
              <w:t>（5）水土流失影响</w:t>
            </w:r>
          </w:p>
          <w:p w14:paraId="2B84DA9C">
            <w:pPr>
              <w:adjustRightInd w:val="0"/>
              <w:snapToGrid w:val="0"/>
              <w:spacing w:line="360" w:lineRule="auto"/>
              <w:ind w:firstLine="480" w:firstLineChars="200"/>
              <w:rPr>
                <w:color w:val="auto"/>
                <w:sz w:val="24"/>
              </w:rPr>
            </w:pPr>
            <w:r>
              <w:rPr>
                <w:rFonts w:hint="eastAsia"/>
                <w:color w:val="auto"/>
                <w:sz w:val="24"/>
              </w:rPr>
              <w:t>本项目施工过程中，会因工程施工占地、开挖、土方堆放等造成一定的水土流失。通常因其破坏原有植被，改变表土结构，挖出的土石方因结构松散，如果开挖期间遭遇暴雨，水土流失量将增大；在施工区域内，因机械设备、车辆等碾压、施工人员踩踏和土石方堆放等因素使土地原有植被受到破坏，土壤裸露，易被雨水冲刷，造成水土流失。</w:t>
            </w:r>
          </w:p>
          <w:p w14:paraId="22C34B8B">
            <w:pPr>
              <w:adjustRightInd w:val="0"/>
              <w:snapToGrid w:val="0"/>
              <w:spacing w:line="360" w:lineRule="auto"/>
              <w:rPr>
                <w:color w:val="auto"/>
                <w:sz w:val="24"/>
              </w:rPr>
            </w:pPr>
            <w:r>
              <w:rPr>
                <w:b/>
                <w:bCs/>
                <w:color w:val="auto"/>
                <w:sz w:val="24"/>
              </w:rPr>
              <w:t>2、</w:t>
            </w:r>
            <w:r>
              <w:rPr>
                <w:rFonts w:hint="eastAsia"/>
                <w:b/>
                <w:bCs/>
                <w:color w:val="auto"/>
                <w:sz w:val="24"/>
              </w:rPr>
              <w:t>施工期大气污染影响分析</w:t>
            </w:r>
          </w:p>
          <w:p w14:paraId="3935E82A">
            <w:pPr>
              <w:widowControl/>
              <w:spacing w:line="360" w:lineRule="auto"/>
              <w:ind w:firstLine="480" w:firstLineChars="200"/>
              <w:rPr>
                <w:color w:val="auto"/>
                <w:sz w:val="24"/>
                <w:szCs w:val="21"/>
              </w:rPr>
            </w:pPr>
            <w:r>
              <w:rPr>
                <w:rFonts w:hint="eastAsia"/>
                <w:color w:val="auto"/>
                <w:sz w:val="24"/>
                <w:szCs w:val="21"/>
              </w:rPr>
              <w:t>施工期产生的大气污染物主要分为两类，一是施工扬尘，主要来源于物料运输、装卸、堆放过程以及施工垃圾清运和运输车辆产生的道路扬尘等；二是施工机械和运输车辆运作过程中产生的少量</w:t>
            </w:r>
            <w:r>
              <w:rPr>
                <w:rFonts w:hint="eastAsia"/>
                <w:color w:val="auto"/>
                <w:sz w:val="24"/>
              </w:rPr>
              <w:t>CO、SO</w:t>
            </w:r>
            <w:r>
              <w:rPr>
                <w:rFonts w:hint="eastAsia"/>
                <w:color w:val="auto"/>
                <w:sz w:val="24"/>
                <w:vertAlign w:val="subscript"/>
              </w:rPr>
              <w:t>2</w:t>
            </w:r>
            <w:r>
              <w:rPr>
                <w:rFonts w:hint="eastAsia"/>
                <w:color w:val="auto"/>
                <w:sz w:val="24"/>
              </w:rPr>
              <w:t>、NO</w:t>
            </w:r>
            <w:r>
              <w:rPr>
                <w:rFonts w:hint="eastAsia"/>
                <w:color w:val="auto"/>
                <w:sz w:val="24"/>
                <w:vertAlign w:val="subscript"/>
              </w:rPr>
              <w:t>X</w:t>
            </w:r>
            <w:r>
              <w:rPr>
                <w:rFonts w:hint="eastAsia"/>
                <w:color w:val="auto"/>
                <w:sz w:val="24"/>
              </w:rPr>
              <w:t>、碳氢化合物和烟尘</w:t>
            </w:r>
            <w:r>
              <w:rPr>
                <w:rFonts w:hint="eastAsia"/>
                <w:color w:val="auto"/>
                <w:sz w:val="24"/>
                <w:szCs w:val="21"/>
              </w:rPr>
              <w:t>等废气。</w:t>
            </w:r>
          </w:p>
          <w:p w14:paraId="641876D6">
            <w:pPr>
              <w:widowControl/>
              <w:spacing w:line="360" w:lineRule="auto"/>
              <w:ind w:firstLine="480" w:firstLineChars="200"/>
              <w:rPr>
                <w:color w:val="auto"/>
                <w:sz w:val="24"/>
                <w:szCs w:val="21"/>
              </w:rPr>
            </w:pPr>
            <w:r>
              <w:rPr>
                <w:rFonts w:hint="eastAsia"/>
                <w:color w:val="auto"/>
                <w:sz w:val="24"/>
                <w:szCs w:val="21"/>
              </w:rPr>
              <w:t>（1）施工扬尘</w:t>
            </w:r>
          </w:p>
          <w:p w14:paraId="4E277837">
            <w:pPr>
              <w:widowControl/>
              <w:spacing w:line="360" w:lineRule="auto"/>
              <w:ind w:firstLine="480" w:firstLineChars="200"/>
              <w:rPr>
                <w:color w:val="auto"/>
                <w:sz w:val="24"/>
              </w:rPr>
            </w:pPr>
            <w:r>
              <w:rPr>
                <w:rFonts w:hint="eastAsia"/>
                <w:color w:val="auto"/>
                <w:sz w:val="24"/>
              </w:rPr>
              <w:t>施工期无土建工程施工，仅对矿区进行场地平整、铺设简易砂石道路，项目区空气相对湿度较小，易起扬尘，根据现场调查，项目区周边环境敏感点距离较近，本项目距离最近的敏感点为南侧65m处养殖区，为避免施工扬尘对周边环境造成不利影响，本环评要求在施工过程中采取洒水降尘等措施，有效将无组织排放影响范围控制在施工区周边50m范围内，因此，施工扬尘不会造成大范围的影响。</w:t>
            </w:r>
          </w:p>
          <w:p w14:paraId="264973D4">
            <w:pPr>
              <w:widowControl/>
              <w:spacing w:line="360" w:lineRule="auto"/>
              <w:ind w:firstLine="480" w:firstLineChars="200"/>
              <w:rPr>
                <w:color w:val="auto"/>
                <w:sz w:val="24"/>
                <w:szCs w:val="21"/>
              </w:rPr>
            </w:pPr>
            <w:r>
              <w:rPr>
                <w:rFonts w:hint="eastAsia"/>
                <w:color w:val="auto"/>
                <w:sz w:val="24"/>
                <w:szCs w:val="21"/>
              </w:rPr>
              <w:t>（2）运输道路扬尘</w:t>
            </w:r>
          </w:p>
          <w:p w14:paraId="1993D8F2">
            <w:pPr>
              <w:widowControl/>
              <w:spacing w:line="360" w:lineRule="auto"/>
              <w:ind w:firstLine="480" w:firstLineChars="200"/>
              <w:rPr>
                <w:color w:val="auto"/>
                <w:sz w:val="24"/>
                <w:szCs w:val="21"/>
              </w:rPr>
            </w:pPr>
            <w:r>
              <w:rPr>
                <w:rFonts w:hint="eastAsia"/>
                <w:color w:val="auto"/>
                <w:sz w:val="24"/>
                <w:szCs w:val="21"/>
              </w:rPr>
              <w:t>施工场地交通系统利用现有交通道路，实现施工现场与场外人员、材料、设备的转运。因此，建设单位和施工单位应重视施工现场的防尘措施，施工场地、道路运输及主要的出入口应经常洒水，运输车辆需加盖篷布、密闭运输，严禁抛洒滴漏，运输车辆限速行驶。尽量缩小施工扬尘的影响范围，以减轻扬尘对环境的污染。</w:t>
            </w:r>
          </w:p>
          <w:p w14:paraId="57F6704A">
            <w:pPr>
              <w:adjustRightInd w:val="0"/>
              <w:snapToGrid w:val="0"/>
              <w:spacing w:line="360" w:lineRule="auto"/>
              <w:ind w:firstLine="480" w:firstLineChars="200"/>
              <w:rPr>
                <w:color w:val="auto"/>
                <w:sz w:val="24"/>
              </w:rPr>
            </w:pPr>
            <w:r>
              <w:rPr>
                <w:rFonts w:hint="eastAsia"/>
                <w:color w:val="auto"/>
                <w:sz w:val="24"/>
              </w:rPr>
              <w:t>（3）燃油机械废气及车辆尾气</w:t>
            </w:r>
          </w:p>
          <w:p w14:paraId="243E9F73">
            <w:pPr>
              <w:adjustRightInd w:val="0"/>
              <w:snapToGrid w:val="0"/>
              <w:spacing w:line="360" w:lineRule="auto"/>
              <w:ind w:firstLine="480" w:firstLineChars="200"/>
              <w:rPr>
                <w:color w:val="auto"/>
                <w:sz w:val="24"/>
              </w:rPr>
            </w:pPr>
            <w:r>
              <w:rPr>
                <w:rFonts w:hint="eastAsia"/>
                <w:color w:val="auto"/>
                <w:sz w:val="24"/>
              </w:rPr>
              <w:t>施工运输车辆、施工机械（装载机、挖掘机等）等机动车辆运行时排放的尾气。施工机械设备及车辆大多以柴油作为燃料，燃料燃烧过程中会产生CO、SO</w:t>
            </w:r>
            <w:r>
              <w:rPr>
                <w:rFonts w:hint="eastAsia"/>
                <w:color w:val="auto"/>
                <w:sz w:val="24"/>
                <w:vertAlign w:val="subscript"/>
              </w:rPr>
              <w:t>2</w:t>
            </w:r>
            <w:r>
              <w:rPr>
                <w:rFonts w:hint="eastAsia"/>
                <w:color w:val="auto"/>
                <w:sz w:val="24"/>
              </w:rPr>
              <w:t>、NO</w:t>
            </w:r>
            <w:r>
              <w:rPr>
                <w:rFonts w:hint="eastAsia"/>
                <w:color w:val="auto"/>
                <w:sz w:val="24"/>
                <w:vertAlign w:val="subscript"/>
              </w:rPr>
              <w:t>X</w:t>
            </w:r>
            <w:r>
              <w:rPr>
                <w:rFonts w:hint="eastAsia"/>
                <w:color w:val="auto"/>
                <w:sz w:val="24"/>
              </w:rPr>
              <w:t>、碳氢化合物和烟尘，产生情况主要决定因素为燃料油种类、机械性能、作业方式和风力等，其中机械性能、作业方式因素的影响最大，如运输车辆和部分施工机械在怠速、减速和加速时产生的污染较为严重。</w:t>
            </w:r>
          </w:p>
          <w:p w14:paraId="1177CD15">
            <w:pPr>
              <w:adjustRightInd w:val="0"/>
              <w:snapToGrid w:val="0"/>
              <w:spacing w:line="360" w:lineRule="auto"/>
              <w:ind w:firstLine="480" w:firstLineChars="200"/>
              <w:rPr>
                <w:color w:val="auto"/>
                <w:sz w:val="24"/>
              </w:rPr>
            </w:pPr>
            <w:r>
              <w:rPr>
                <w:rFonts w:hint="eastAsia"/>
                <w:color w:val="auto"/>
                <w:sz w:val="24"/>
              </w:rPr>
              <w:t>各类施工机械流动性较强，且燃料用量不大，所产生的废气少且较为分散，在易于扩散的气象条件下，该废气对周围环境的影响不大。拟建项目所在地较为开阔，空气流通较好，汽车和机械等排放的废气能够较快地扩散，不会对当地的空气环境产生较大影响，但项目建设过程中仍应控制施工车辆的数量，使空气环境质量受到的影响降至最低。</w:t>
            </w:r>
          </w:p>
          <w:p w14:paraId="3C034AFD">
            <w:pPr>
              <w:adjustRightInd w:val="0"/>
              <w:snapToGrid w:val="0"/>
              <w:spacing w:line="360" w:lineRule="auto"/>
              <w:ind w:firstLine="480" w:firstLineChars="200"/>
              <w:rPr>
                <w:color w:val="auto"/>
                <w:sz w:val="24"/>
              </w:rPr>
            </w:pPr>
            <w:r>
              <w:rPr>
                <w:rFonts w:hint="eastAsia"/>
                <w:color w:val="auto"/>
                <w:sz w:val="24"/>
              </w:rPr>
              <w:t>总之，施工期间不可避免的会对附近环境空气产生一定程度的影响，但由于项目所在地地形开阔，有利于汽车和施工机械等尾气的扩散。因此，在采取适当的抑尘措施后，施工期带来的大气污染影响可以降低到较小程度，不会对周围环境空气造成较大的污染影响。</w:t>
            </w:r>
          </w:p>
          <w:p w14:paraId="656093C4">
            <w:pPr>
              <w:adjustRightInd w:val="0"/>
              <w:snapToGrid w:val="0"/>
              <w:spacing w:line="360" w:lineRule="auto"/>
              <w:rPr>
                <w:b/>
                <w:bCs/>
                <w:color w:val="auto"/>
                <w:sz w:val="24"/>
              </w:rPr>
            </w:pPr>
            <w:r>
              <w:rPr>
                <w:rFonts w:hint="eastAsia"/>
                <w:b/>
                <w:bCs/>
                <w:color w:val="auto"/>
                <w:sz w:val="24"/>
              </w:rPr>
              <w:t>3、施工期</w:t>
            </w:r>
            <w:r>
              <w:rPr>
                <w:b/>
                <w:bCs/>
                <w:color w:val="auto"/>
                <w:sz w:val="24"/>
              </w:rPr>
              <w:t>废水</w:t>
            </w:r>
            <w:r>
              <w:rPr>
                <w:rFonts w:hint="eastAsia"/>
                <w:b/>
                <w:bCs/>
                <w:color w:val="auto"/>
                <w:sz w:val="24"/>
              </w:rPr>
              <w:t>污染影响分析</w:t>
            </w:r>
          </w:p>
          <w:p w14:paraId="584347AF">
            <w:pPr>
              <w:topLinePunct/>
              <w:spacing w:line="360" w:lineRule="auto"/>
              <w:ind w:firstLine="480" w:firstLineChars="200"/>
              <w:rPr>
                <w:color w:val="auto"/>
                <w:sz w:val="24"/>
              </w:rPr>
            </w:pPr>
            <w:r>
              <w:rPr>
                <w:rFonts w:hint="eastAsia"/>
                <w:color w:val="auto"/>
                <w:sz w:val="24"/>
              </w:rPr>
              <w:t>施工期不在矿区设施工营地，施工人员均来自周边村庄，施工期设1处环保厕所</w:t>
            </w:r>
            <w:r>
              <w:rPr>
                <w:rFonts w:hint="eastAsia"/>
                <w:color w:val="auto"/>
                <w:sz w:val="24"/>
                <w:lang w:val="en-US" w:eastAsia="zh-CN"/>
              </w:rPr>
              <w:t>和防渗化粪池</w:t>
            </w:r>
            <w:r>
              <w:rPr>
                <w:rFonts w:hint="eastAsia"/>
                <w:color w:val="auto"/>
                <w:sz w:val="24"/>
              </w:rPr>
              <w:t>，人员如厕废水定期由吸污车拉运至奇台县污水处理厂进一步处理。施工期无土建工程施工，仅对矿区进行场地平整、铺设简易砂石道路，施工期间无施工废水产生。</w:t>
            </w:r>
          </w:p>
          <w:p w14:paraId="2821F7E4">
            <w:pPr>
              <w:adjustRightInd w:val="0"/>
              <w:snapToGrid w:val="0"/>
              <w:spacing w:line="360" w:lineRule="auto"/>
              <w:rPr>
                <w:b/>
                <w:bCs/>
                <w:color w:val="auto"/>
                <w:sz w:val="24"/>
              </w:rPr>
            </w:pPr>
            <w:r>
              <w:rPr>
                <w:rFonts w:hint="eastAsia"/>
                <w:b/>
                <w:bCs/>
                <w:color w:val="auto"/>
                <w:sz w:val="24"/>
              </w:rPr>
              <w:t>4、施工期噪声影响分析</w:t>
            </w:r>
          </w:p>
          <w:p w14:paraId="176D0631">
            <w:pPr>
              <w:adjustRightInd w:val="0"/>
              <w:snapToGrid w:val="0"/>
              <w:spacing w:line="360" w:lineRule="auto"/>
              <w:ind w:firstLine="480" w:firstLineChars="200"/>
              <w:rPr>
                <w:color w:val="auto"/>
                <w:sz w:val="24"/>
              </w:rPr>
            </w:pPr>
            <w:r>
              <w:rPr>
                <w:rFonts w:hint="eastAsia"/>
                <w:color w:val="auto"/>
                <w:sz w:val="24"/>
              </w:rPr>
              <w:t>施工期噪声污染主要来源于施工机械和运输车辆。在施工期间，作业机械类型较多，如挖掘机、装载机、运输汽车等。据类比调查，施工时各种机械的近场声级可达85～90dB（A），因此，突发性非稳态噪声源将对周围环境产生一定影响。</w:t>
            </w:r>
          </w:p>
          <w:p w14:paraId="1E9A0F52">
            <w:pPr>
              <w:adjustRightInd w:val="0"/>
              <w:snapToGrid w:val="0"/>
              <w:spacing w:line="360" w:lineRule="auto"/>
              <w:ind w:firstLine="480" w:firstLineChars="200"/>
              <w:rPr>
                <w:color w:val="auto"/>
                <w:sz w:val="24"/>
              </w:rPr>
            </w:pPr>
            <w:r>
              <w:rPr>
                <w:rFonts w:hint="eastAsia"/>
                <w:color w:val="auto"/>
                <w:sz w:val="24"/>
              </w:rPr>
              <w:t>本项目在施工过程中，需使用挖掘机、装载机等施工机械，这些施工机械的噪声级范围一般在85～90dB(A</w:t>
            </w:r>
            <w:r>
              <w:rPr>
                <w:rFonts w:hint="eastAsia"/>
                <w:color w:val="auto"/>
                <w:sz w:val="24"/>
                <w:lang w:eastAsia="zh-CN"/>
              </w:rPr>
              <w:t>）</w:t>
            </w:r>
            <w:r>
              <w:rPr>
                <w:rFonts w:hint="eastAsia"/>
                <w:color w:val="auto"/>
                <w:sz w:val="24"/>
              </w:rPr>
              <w:t>之间。噪声从噪声源传播到受声点，会因传播距离、空气、地面吸收，树木、房屋、围墙等阻挡物的屏障影响而产生衰减。依据噪声源的特性，采用点源噪声距离衰减公式预测施工噪声的影响，点源噪声距离衰减公式一般形式为：</w:t>
            </w:r>
          </w:p>
          <w:p w14:paraId="60E4C74E">
            <w:pPr>
              <w:adjustRightInd w:val="0"/>
              <w:snapToGrid w:val="0"/>
              <w:spacing w:line="360" w:lineRule="auto"/>
              <w:ind w:firstLine="480" w:firstLineChars="200"/>
              <w:jc w:val="center"/>
              <w:rPr>
                <w:color w:val="auto"/>
                <w:sz w:val="24"/>
              </w:rPr>
            </w:pPr>
            <w:r>
              <w:rPr>
                <w:rFonts w:hint="eastAsia"/>
                <w:color w:val="auto"/>
                <w:sz w:val="24"/>
              </w:rPr>
              <w:t>Lr=Lr</w:t>
            </w:r>
            <w:r>
              <w:rPr>
                <w:rFonts w:hint="eastAsia"/>
                <w:color w:val="auto"/>
                <w:sz w:val="24"/>
                <w:vertAlign w:val="subscript"/>
              </w:rPr>
              <w:t>0</w:t>
            </w:r>
            <w:r>
              <w:rPr>
                <w:rFonts w:hint="eastAsia"/>
                <w:color w:val="auto"/>
                <w:sz w:val="24"/>
              </w:rPr>
              <w:t>-20lg</w:t>
            </w:r>
            <w:r>
              <w:rPr>
                <w:rFonts w:hint="eastAsia"/>
                <w:color w:val="auto"/>
                <w:sz w:val="24"/>
                <w:lang w:eastAsia="zh-CN"/>
              </w:rPr>
              <w:t>(</w:t>
            </w:r>
            <w:r>
              <w:rPr>
                <w:rFonts w:hint="eastAsia"/>
                <w:color w:val="auto"/>
                <w:sz w:val="24"/>
              </w:rPr>
              <w:t>r/r</w:t>
            </w:r>
            <w:r>
              <w:rPr>
                <w:rFonts w:hint="eastAsia"/>
                <w:color w:val="auto"/>
                <w:sz w:val="24"/>
                <w:vertAlign w:val="subscript"/>
              </w:rPr>
              <w:t>0</w:t>
            </w:r>
            <w:r>
              <w:rPr>
                <w:rFonts w:hint="eastAsia"/>
                <w:color w:val="auto"/>
                <w:sz w:val="24"/>
                <w:vertAlign w:val="subscript"/>
                <w:lang w:eastAsia="zh-CN"/>
              </w:rPr>
              <w:t>)</w:t>
            </w:r>
          </w:p>
          <w:p w14:paraId="4096C6E9">
            <w:pPr>
              <w:adjustRightInd w:val="0"/>
              <w:snapToGrid w:val="0"/>
              <w:spacing w:line="360" w:lineRule="auto"/>
              <w:ind w:firstLine="480" w:firstLineChars="200"/>
              <w:rPr>
                <w:color w:val="auto"/>
                <w:sz w:val="24"/>
              </w:rPr>
            </w:pPr>
            <w:r>
              <w:rPr>
                <w:rFonts w:hint="eastAsia"/>
                <w:color w:val="auto"/>
                <w:sz w:val="24"/>
              </w:rPr>
              <w:t>式中：Lr：评价点噪声级，dB(A)；</w:t>
            </w:r>
          </w:p>
          <w:p w14:paraId="104C4644">
            <w:pPr>
              <w:adjustRightInd w:val="0"/>
              <w:snapToGrid w:val="0"/>
              <w:spacing w:line="360" w:lineRule="auto"/>
              <w:ind w:firstLine="480" w:firstLineChars="200"/>
              <w:rPr>
                <w:color w:val="auto"/>
                <w:sz w:val="24"/>
              </w:rPr>
            </w:pPr>
            <w:r>
              <w:rPr>
                <w:rFonts w:hint="eastAsia"/>
                <w:color w:val="auto"/>
                <w:sz w:val="24"/>
              </w:rPr>
              <w:t>Lr</w:t>
            </w:r>
            <w:r>
              <w:rPr>
                <w:rFonts w:hint="eastAsia"/>
                <w:color w:val="auto"/>
                <w:sz w:val="24"/>
                <w:vertAlign w:val="subscript"/>
              </w:rPr>
              <w:t>0</w:t>
            </w:r>
            <w:r>
              <w:rPr>
                <w:rFonts w:hint="eastAsia"/>
                <w:color w:val="auto"/>
                <w:sz w:val="24"/>
              </w:rPr>
              <w:t>：噪声源源强，dB(A)；</w:t>
            </w:r>
          </w:p>
          <w:p w14:paraId="40A1EB62">
            <w:pPr>
              <w:adjustRightInd w:val="0"/>
              <w:snapToGrid w:val="0"/>
              <w:spacing w:line="360" w:lineRule="auto"/>
              <w:ind w:firstLine="480" w:firstLineChars="200"/>
              <w:rPr>
                <w:color w:val="auto"/>
                <w:sz w:val="24"/>
              </w:rPr>
            </w:pPr>
            <w:r>
              <w:rPr>
                <w:rFonts w:hint="eastAsia"/>
                <w:color w:val="auto"/>
                <w:sz w:val="24"/>
              </w:rPr>
              <w:t>r：评价点到声源距离，m；</w:t>
            </w:r>
          </w:p>
          <w:p w14:paraId="5B5A4F5F">
            <w:pPr>
              <w:adjustRightInd w:val="0"/>
              <w:snapToGrid w:val="0"/>
              <w:spacing w:line="360" w:lineRule="auto"/>
              <w:ind w:firstLine="480" w:firstLineChars="200"/>
              <w:rPr>
                <w:color w:val="auto"/>
                <w:sz w:val="24"/>
              </w:rPr>
            </w:pPr>
            <w:r>
              <w:rPr>
                <w:rFonts w:hint="eastAsia"/>
                <w:color w:val="auto"/>
                <w:sz w:val="24"/>
              </w:rPr>
              <w:t>r</w:t>
            </w:r>
            <w:r>
              <w:rPr>
                <w:rFonts w:hint="eastAsia"/>
                <w:color w:val="auto"/>
                <w:sz w:val="24"/>
                <w:vertAlign w:val="subscript"/>
              </w:rPr>
              <w:t>0</w:t>
            </w:r>
            <w:r>
              <w:rPr>
                <w:rFonts w:hint="eastAsia"/>
                <w:color w:val="auto"/>
                <w:sz w:val="24"/>
              </w:rPr>
              <w:t>：监测点与设备的距离，m；</w:t>
            </w:r>
          </w:p>
          <w:p w14:paraId="5C348A9C">
            <w:pPr>
              <w:adjustRightInd w:val="0"/>
              <w:snapToGrid w:val="0"/>
              <w:spacing w:line="360" w:lineRule="auto"/>
              <w:ind w:firstLine="480" w:firstLineChars="200"/>
              <w:rPr>
                <w:color w:val="auto"/>
                <w:sz w:val="24"/>
              </w:rPr>
            </w:pPr>
            <w:r>
              <w:rPr>
                <w:rFonts w:hint="eastAsia"/>
                <w:color w:val="auto"/>
                <w:sz w:val="24"/>
              </w:rPr>
              <w:t>依据施工机械的噪声源强，结合项目所在区域环境特征，采用上述公式进行预测，预计结果详见表4-</w:t>
            </w:r>
            <w:r>
              <w:rPr>
                <w:rFonts w:hint="eastAsia"/>
                <w:color w:val="auto"/>
                <w:sz w:val="24"/>
                <w:lang w:val="en-US" w:eastAsia="zh-CN"/>
              </w:rPr>
              <w:t>2</w:t>
            </w:r>
            <w:r>
              <w:rPr>
                <w:rFonts w:hint="eastAsia"/>
                <w:color w:val="auto"/>
                <w:sz w:val="24"/>
              </w:rPr>
              <w:t>。</w:t>
            </w:r>
          </w:p>
          <w:p w14:paraId="26E56295">
            <w:pPr>
              <w:jc w:val="center"/>
              <w:rPr>
                <w:b/>
                <w:bCs/>
                <w:color w:val="auto"/>
              </w:rPr>
            </w:pPr>
            <w:r>
              <w:rPr>
                <w:rFonts w:hint="eastAsia"/>
                <w:b/>
                <w:bCs/>
                <w:color w:val="auto"/>
              </w:rPr>
              <w:t>表4-</w:t>
            </w:r>
            <w:r>
              <w:rPr>
                <w:rFonts w:hint="eastAsia"/>
                <w:b/>
                <w:bCs/>
                <w:color w:val="auto"/>
                <w:lang w:val="en-US" w:eastAsia="zh-CN"/>
              </w:rPr>
              <w:t>2</w:t>
            </w:r>
            <w:r>
              <w:rPr>
                <w:rFonts w:hint="eastAsia"/>
                <w:b/>
                <w:bCs/>
                <w:color w:val="auto"/>
              </w:rPr>
              <w:t xml:space="preserve">    施工机械在不同距离的噪声影响预测结果    单位：dB(A)</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13"/>
              <w:gridCol w:w="814"/>
              <w:gridCol w:w="814"/>
              <w:gridCol w:w="814"/>
              <w:gridCol w:w="814"/>
              <w:gridCol w:w="814"/>
              <w:gridCol w:w="814"/>
              <w:gridCol w:w="814"/>
              <w:gridCol w:w="814"/>
            </w:tblGrid>
            <w:tr w14:paraId="64E3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Merge w:val="restart"/>
                </w:tcPr>
                <w:p w14:paraId="27DA5DF5">
                  <w:pPr>
                    <w:jc w:val="center"/>
                    <w:rPr>
                      <w:color w:val="auto"/>
                      <w:szCs w:val="21"/>
                    </w:rPr>
                  </w:pPr>
                  <w:r>
                    <w:rPr>
                      <w:rFonts w:hint="eastAsia"/>
                      <w:color w:val="auto"/>
                      <w:szCs w:val="21"/>
                    </w:rPr>
                    <w:t>噪声设备</w:t>
                  </w:r>
                </w:p>
              </w:tc>
              <w:tc>
                <w:tcPr>
                  <w:tcW w:w="6111" w:type="dxa"/>
                  <w:gridSpan w:val="9"/>
                </w:tcPr>
                <w:p w14:paraId="5C8C53BC">
                  <w:pPr>
                    <w:jc w:val="center"/>
                    <w:rPr>
                      <w:color w:val="auto"/>
                      <w:szCs w:val="21"/>
                    </w:rPr>
                  </w:pPr>
                  <w:r>
                    <w:rPr>
                      <w:rFonts w:hint="eastAsia"/>
                      <w:color w:val="auto"/>
                      <w:szCs w:val="21"/>
                    </w:rPr>
                    <w:t>噪声预测值（dB）</w:t>
                  </w:r>
                </w:p>
              </w:tc>
            </w:tr>
            <w:tr w14:paraId="56A9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Merge w:val="continue"/>
                </w:tcPr>
                <w:p w14:paraId="327593AF">
                  <w:pPr>
                    <w:jc w:val="center"/>
                    <w:rPr>
                      <w:color w:val="auto"/>
                      <w:szCs w:val="21"/>
                    </w:rPr>
                  </w:pPr>
                </w:p>
              </w:tc>
              <w:tc>
                <w:tcPr>
                  <w:tcW w:w="679" w:type="dxa"/>
                </w:tcPr>
                <w:p w14:paraId="3B7D49DA">
                  <w:pPr>
                    <w:jc w:val="center"/>
                    <w:rPr>
                      <w:color w:val="auto"/>
                      <w:szCs w:val="21"/>
                    </w:rPr>
                  </w:pPr>
                  <w:r>
                    <w:rPr>
                      <w:rFonts w:hint="eastAsia"/>
                      <w:color w:val="auto"/>
                      <w:szCs w:val="21"/>
                    </w:rPr>
                    <w:t>1m</w:t>
                  </w:r>
                </w:p>
              </w:tc>
              <w:tc>
                <w:tcPr>
                  <w:tcW w:w="679" w:type="dxa"/>
                </w:tcPr>
                <w:p w14:paraId="4D8D49E9">
                  <w:pPr>
                    <w:jc w:val="center"/>
                    <w:rPr>
                      <w:color w:val="auto"/>
                      <w:szCs w:val="21"/>
                    </w:rPr>
                  </w:pPr>
                  <w:r>
                    <w:rPr>
                      <w:rFonts w:hint="eastAsia"/>
                      <w:color w:val="auto"/>
                      <w:szCs w:val="21"/>
                    </w:rPr>
                    <w:t>5m</w:t>
                  </w:r>
                </w:p>
              </w:tc>
              <w:tc>
                <w:tcPr>
                  <w:tcW w:w="679" w:type="dxa"/>
                </w:tcPr>
                <w:p w14:paraId="64E89A2F">
                  <w:pPr>
                    <w:jc w:val="center"/>
                    <w:rPr>
                      <w:color w:val="auto"/>
                      <w:szCs w:val="21"/>
                    </w:rPr>
                  </w:pPr>
                  <w:r>
                    <w:rPr>
                      <w:rFonts w:hint="eastAsia"/>
                      <w:color w:val="auto"/>
                      <w:szCs w:val="21"/>
                    </w:rPr>
                    <w:t>10m</w:t>
                  </w:r>
                </w:p>
              </w:tc>
              <w:tc>
                <w:tcPr>
                  <w:tcW w:w="679" w:type="dxa"/>
                </w:tcPr>
                <w:p w14:paraId="5E96BC1F">
                  <w:pPr>
                    <w:jc w:val="center"/>
                    <w:rPr>
                      <w:color w:val="auto"/>
                      <w:szCs w:val="21"/>
                    </w:rPr>
                  </w:pPr>
                  <w:r>
                    <w:rPr>
                      <w:rFonts w:hint="eastAsia"/>
                      <w:color w:val="auto"/>
                      <w:szCs w:val="21"/>
                    </w:rPr>
                    <w:t>20m</w:t>
                  </w:r>
                </w:p>
              </w:tc>
              <w:tc>
                <w:tcPr>
                  <w:tcW w:w="679" w:type="dxa"/>
                </w:tcPr>
                <w:p w14:paraId="07C1F7A9">
                  <w:pPr>
                    <w:jc w:val="center"/>
                    <w:rPr>
                      <w:color w:val="auto"/>
                      <w:szCs w:val="21"/>
                    </w:rPr>
                  </w:pPr>
                  <w:r>
                    <w:rPr>
                      <w:rFonts w:hint="eastAsia"/>
                      <w:color w:val="auto"/>
                      <w:szCs w:val="21"/>
                    </w:rPr>
                    <w:t>50m</w:t>
                  </w:r>
                </w:p>
              </w:tc>
              <w:tc>
                <w:tcPr>
                  <w:tcW w:w="679" w:type="dxa"/>
                </w:tcPr>
                <w:p w14:paraId="75CCF845">
                  <w:pPr>
                    <w:jc w:val="center"/>
                    <w:rPr>
                      <w:color w:val="auto"/>
                      <w:szCs w:val="21"/>
                    </w:rPr>
                  </w:pPr>
                  <w:r>
                    <w:rPr>
                      <w:rFonts w:hint="eastAsia"/>
                      <w:color w:val="auto"/>
                      <w:szCs w:val="21"/>
                    </w:rPr>
                    <w:t>65m</w:t>
                  </w:r>
                </w:p>
              </w:tc>
              <w:tc>
                <w:tcPr>
                  <w:tcW w:w="679" w:type="dxa"/>
                </w:tcPr>
                <w:p w14:paraId="6741CCB9">
                  <w:pPr>
                    <w:jc w:val="center"/>
                    <w:rPr>
                      <w:color w:val="auto"/>
                      <w:szCs w:val="21"/>
                    </w:rPr>
                  </w:pPr>
                  <w:r>
                    <w:rPr>
                      <w:rFonts w:hint="eastAsia"/>
                      <w:color w:val="auto"/>
                      <w:szCs w:val="21"/>
                    </w:rPr>
                    <w:t>100m</w:t>
                  </w:r>
                </w:p>
              </w:tc>
              <w:tc>
                <w:tcPr>
                  <w:tcW w:w="679" w:type="dxa"/>
                </w:tcPr>
                <w:p w14:paraId="66F6DD9C">
                  <w:pPr>
                    <w:jc w:val="center"/>
                    <w:rPr>
                      <w:color w:val="auto"/>
                      <w:szCs w:val="21"/>
                    </w:rPr>
                  </w:pPr>
                  <w:r>
                    <w:rPr>
                      <w:rFonts w:hint="eastAsia"/>
                      <w:color w:val="auto"/>
                      <w:szCs w:val="21"/>
                    </w:rPr>
                    <w:t>150m</w:t>
                  </w:r>
                </w:p>
              </w:tc>
              <w:tc>
                <w:tcPr>
                  <w:tcW w:w="679" w:type="dxa"/>
                </w:tcPr>
                <w:p w14:paraId="2B58FA40">
                  <w:pPr>
                    <w:jc w:val="center"/>
                    <w:rPr>
                      <w:color w:val="auto"/>
                      <w:szCs w:val="21"/>
                    </w:rPr>
                  </w:pPr>
                  <w:r>
                    <w:rPr>
                      <w:rFonts w:hint="eastAsia"/>
                      <w:color w:val="auto"/>
                      <w:szCs w:val="21"/>
                    </w:rPr>
                    <w:t>200m</w:t>
                  </w:r>
                </w:p>
              </w:tc>
            </w:tr>
            <w:tr w14:paraId="0950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tcPr>
                <w:p w14:paraId="238885B6">
                  <w:pPr>
                    <w:jc w:val="center"/>
                    <w:rPr>
                      <w:color w:val="auto"/>
                      <w:szCs w:val="21"/>
                    </w:rPr>
                  </w:pPr>
                  <w:r>
                    <w:rPr>
                      <w:rFonts w:hint="eastAsia"/>
                      <w:color w:val="auto"/>
                      <w:szCs w:val="21"/>
                    </w:rPr>
                    <w:t>挖掘机</w:t>
                  </w:r>
                </w:p>
              </w:tc>
              <w:tc>
                <w:tcPr>
                  <w:tcW w:w="679" w:type="dxa"/>
                </w:tcPr>
                <w:p w14:paraId="6A75402D">
                  <w:pPr>
                    <w:jc w:val="center"/>
                    <w:rPr>
                      <w:color w:val="auto"/>
                      <w:szCs w:val="21"/>
                    </w:rPr>
                  </w:pPr>
                  <w:r>
                    <w:rPr>
                      <w:rFonts w:hint="eastAsia"/>
                      <w:color w:val="auto"/>
                      <w:szCs w:val="21"/>
                    </w:rPr>
                    <w:t>90</w:t>
                  </w:r>
                </w:p>
              </w:tc>
              <w:tc>
                <w:tcPr>
                  <w:tcW w:w="679" w:type="dxa"/>
                </w:tcPr>
                <w:p w14:paraId="49CEACA9">
                  <w:pPr>
                    <w:jc w:val="center"/>
                    <w:rPr>
                      <w:color w:val="auto"/>
                      <w:szCs w:val="21"/>
                    </w:rPr>
                  </w:pPr>
                  <w:r>
                    <w:rPr>
                      <w:rFonts w:hint="eastAsia"/>
                      <w:color w:val="auto"/>
                      <w:szCs w:val="21"/>
                    </w:rPr>
                    <w:t>76</w:t>
                  </w:r>
                </w:p>
              </w:tc>
              <w:tc>
                <w:tcPr>
                  <w:tcW w:w="679" w:type="dxa"/>
                </w:tcPr>
                <w:p w14:paraId="3BB8BBBE">
                  <w:pPr>
                    <w:jc w:val="center"/>
                    <w:rPr>
                      <w:color w:val="auto"/>
                      <w:szCs w:val="21"/>
                    </w:rPr>
                  </w:pPr>
                  <w:r>
                    <w:rPr>
                      <w:rFonts w:hint="eastAsia"/>
                      <w:color w:val="auto"/>
                      <w:szCs w:val="21"/>
                    </w:rPr>
                    <w:t>70</w:t>
                  </w:r>
                </w:p>
              </w:tc>
              <w:tc>
                <w:tcPr>
                  <w:tcW w:w="679" w:type="dxa"/>
                </w:tcPr>
                <w:p w14:paraId="1648C71A">
                  <w:pPr>
                    <w:jc w:val="center"/>
                    <w:rPr>
                      <w:color w:val="auto"/>
                      <w:szCs w:val="21"/>
                    </w:rPr>
                  </w:pPr>
                  <w:r>
                    <w:rPr>
                      <w:rFonts w:hint="eastAsia"/>
                      <w:color w:val="auto"/>
                      <w:szCs w:val="21"/>
                    </w:rPr>
                    <w:t>64</w:t>
                  </w:r>
                </w:p>
              </w:tc>
              <w:tc>
                <w:tcPr>
                  <w:tcW w:w="679" w:type="dxa"/>
                </w:tcPr>
                <w:p w14:paraId="10EDB5D1">
                  <w:pPr>
                    <w:jc w:val="center"/>
                    <w:rPr>
                      <w:color w:val="auto"/>
                      <w:szCs w:val="21"/>
                    </w:rPr>
                  </w:pPr>
                  <w:r>
                    <w:rPr>
                      <w:rFonts w:hint="eastAsia"/>
                      <w:color w:val="auto"/>
                      <w:szCs w:val="21"/>
                    </w:rPr>
                    <w:t>56</w:t>
                  </w:r>
                </w:p>
              </w:tc>
              <w:tc>
                <w:tcPr>
                  <w:tcW w:w="679" w:type="dxa"/>
                </w:tcPr>
                <w:p w14:paraId="6CD04224">
                  <w:pPr>
                    <w:jc w:val="center"/>
                    <w:rPr>
                      <w:color w:val="auto"/>
                      <w:szCs w:val="21"/>
                    </w:rPr>
                  </w:pPr>
                  <w:r>
                    <w:rPr>
                      <w:rFonts w:hint="eastAsia"/>
                      <w:color w:val="auto"/>
                      <w:szCs w:val="21"/>
                    </w:rPr>
                    <w:t>53.7</w:t>
                  </w:r>
                </w:p>
              </w:tc>
              <w:tc>
                <w:tcPr>
                  <w:tcW w:w="679" w:type="dxa"/>
                </w:tcPr>
                <w:p w14:paraId="59896E14">
                  <w:pPr>
                    <w:jc w:val="center"/>
                    <w:rPr>
                      <w:color w:val="auto"/>
                      <w:szCs w:val="21"/>
                    </w:rPr>
                  </w:pPr>
                  <w:r>
                    <w:rPr>
                      <w:rFonts w:hint="eastAsia"/>
                      <w:color w:val="auto"/>
                      <w:szCs w:val="21"/>
                    </w:rPr>
                    <w:t>50</w:t>
                  </w:r>
                </w:p>
              </w:tc>
              <w:tc>
                <w:tcPr>
                  <w:tcW w:w="679" w:type="dxa"/>
                </w:tcPr>
                <w:p w14:paraId="3533EC6B">
                  <w:pPr>
                    <w:jc w:val="center"/>
                    <w:rPr>
                      <w:color w:val="auto"/>
                      <w:szCs w:val="21"/>
                    </w:rPr>
                  </w:pPr>
                  <w:r>
                    <w:rPr>
                      <w:rFonts w:hint="eastAsia"/>
                      <w:color w:val="auto"/>
                      <w:szCs w:val="21"/>
                    </w:rPr>
                    <w:t>46.5</w:t>
                  </w:r>
                </w:p>
              </w:tc>
              <w:tc>
                <w:tcPr>
                  <w:tcW w:w="679" w:type="dxa"/>
                </w:tcPr>
                <w:p w14:paraId="38995936">
                  <w:pPr>
                    <w:jc w:val="center"/>
                    <w:rPr>
                      <w:color w:val="auto"/>
                      <w:szCs w:val="21"/>
                    </w:rPr>
                  </w:pPr>
                  <w:r>
                    <w:rPr>
                      <w:rFonts w:hint="eastAsia"/>
                      <w:color w:val="auto"/>
                      <w:szCs w:val="21"/>
                    </w:rPr>
                    <w:t>44</w:t>
                  </w:r>
                </w:p>
              </w:tc>
            </w:tr>
            <w:tr w14:paraId="25F0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tcPr>
                <w:p w14:paraId="29E2D2F6">
                  <w:pPr>
                    <w:jc w:val="center"/>
                    <w:rPr>
                      <w:color w:val="auto"/>
                      <w:szCs w:val="21"/>
                    </w:rPr>
                  </w:pPr>
                  <w:r>
                    <w:rPr>
                      <w:rFonts w:hint="eastAsia"/>
                      <w:color w:val="auto"/>
                      <w:szCs w:val="21"/>
                    </w:rPr>
                    <w:t>装载机</w:t>
                  </w:r>
                </w:p>
              </w:tc>
              <w:tc>
                <w:tcPr>
                  <w:tcW w:w="679" w:type="dxa"/>
                </w:tcPr>
                <w:p w14:paraId="38F1CD4D">
                  <w:pPr>
                    <w:jc w:val="center"/>
                    <w:rPr>
                      <w:color w:val="auto"/>
                      <w:szCs w:val="21"/>
                    </w:rPr>
                  </w:pPr>
                  <w:r>
                    <w:rPr>
                      <w:rFonts w:hint="eastAsia"/>
                      <w:color w:val="auto"/>
                      <w:szCs w:val="21"/>
                    </w:rPr>
                    <w:t>85</w:t>
                  </w:r>
                </w:p>
              </w:tc>
              <w:tc>
                <w:tcPr>
                  <w:tcW w:w="679" w:type="dxa"/>
                </w:tcPr>
                <w:p w14:paraId="7A9E8F2D">
                  <w:pPr>
                    <w:jc w:val="center"/>
                    <w:rPr>
                      <w:color w:val="auto"/>
                      <w:szCs w:val="21"/>
                    </w:rPr>
                  </w:pPr>
                  <w:r>
                    <w:rPr>
                      <w:rFonts w:hint="eastAsia"/>
                      <w:color w:val="auto"/>
                      <w:szCs w:val="21"/>
                    </w:rPr>
                    <w:t>71</w:t>
                  </w:r>
                </w:p>
              </w:tc>
              <w:tc>
                <w:tcPr>
                  <w:tcW w:w="679" w:type="dxa"/>
                </w:tcPr>
                <w:p w14:paraId="5C459CD1">
                  <w:pPr>
                    <w:jc w:val="center"/>
                    <w:rPr>
                      <w:color w:val="auto"/>
                      <w:szCs w:val="21"/>
                    </w:rPr>
                  </w:pPr>
                  <w:r>
                    <w:rPr>
                      <w:rFonts w:hint="eastAsia"/>
                      <w:color w:val="auto"/>
                      <w:szCs w:val="21"/>
                    </w:rPr>
                    <w:t>65</w:t>
                  </w:r>
                </w:p>
              </w:tc>
              <w:tc>
                <w:tcPr>
                  <w:tcW w:w="679" w:type="dxa"/>
                </w:tcPr>
                <w:p w14:paraId="538D6A43">
                  <w:pPr>
                    <w:jc w:val="center"/>
                    <w:rPr>
                      <w:color w:val="auto"/>
                      <w:szCs w:val="21"/>
                    </w:rPr>
                  </w:pPr>
                  <w:r>
                    <w:rPr>
                      <w:rFonts w:hint="eastAsia"/>
                      <w:color w:val="auto"/>
                      <w:szCs w:val="21"/>
                    </w:rPr>
                    <w:t>59</w:t>
                  </w:r>
                </w:p>
              </w:tc>
              <w:tc>
                <w:tcPr>
                  <w:tcW w:w="679" w:type="dxa"/>
                </w:tcPr>
                <w:p w14:paraId="06A3F3C6">
                  <w:pPr>
                    <w:jc w:val="center"/>
                    <w:rPr>
                      <w:color w:val="auto"/>
                      <w:szCs w:val="21"/>
                    </w:rPr>
                  </w:pPr>
                  <w:r>
                    <w:rPr>
                      <w:rFonts w:hint="eastAsia"/>
                      <w:color w:val="auto"/>
                      <w:szCs w:val="21"/>
                    </w:rPr>
                    <w:t>51</w:t>
                  </w:r>
                </w:p>
              </w:tc>
              <w:tc>
                <w:tcPr>
                  <w:tcW w:w="679" w:type="dxa"/>
                </w:tcPr>
                <w:p w14:paraId="305F10BD">
                  <w:pPr>
                    <w:jc w:val="center"/>
                    <w:rPr>
                      <w:color w:val="auto"/>
                      <w:szCs w:val="21"/>
                    </w:rPr>
                  </w:pPr>
                  <w:r>
                    <w:rPr>
                      <w:rFonts w:hint="eastAsia"/>
                      <w:color w:val="auto"/>
                      <w:szCs w:val="21"/>
                    </w:rPr>
                    <w:t>48.7</w:t>
                  </w:r>
                </w:p>
              </w:tc>
              <w:tc>
                <w:tcPr>
                  <w:tcW w:w="679" w:type="dxa"/>
                </w:tcPr>
                <w:p w14:paraId="18991C2A">
                  <w:pPr>
                    <w:jc w:val="center"/>
                    <w:rPr>
                      <w:color w:val="auto"/>
                      <w:szCs w:val="21"/>
                    </w:rPr>
                  </w:pPr>
                  <w:r>
                    <w:rPr>
                      <w:rFonts w:hint="eastAsia"/>
                      <w:color w:val="auto"/>
                      <w:szCs w:val="21"/>
                    </w:rPr>
                    <w:t>45</w:t>
                  </w:r>
                </w:p>
              </w:tc>
              <w:tc>
                <w:tcPr>
                  <w:tcW w:w="679" w:type="dxa"/>
                </w:tcPr>
                <w:p w14:paraId="31DA108C">
                  <w:pPr>
                    <w:jc w:val="center"/>
                    <w:rPr>
                      <w:color w:val="auto"/>
                      <w:szCs w:val="21"/>
                    </w:rPr>
                  </w:pPr>
                  <w:r>
                    <w:rPr>
                      <w:rFonts w:hint="eastAsia"/>
                      <w:color w:val="auto"/>
                      <w:szCs w:val="21"/>
                    </w:rPr>
                    <w:t>41.5</w:t>
                  </w:r>
                </w:p>
              </w:tc>
              <w:tc>
                <w:tcPr>
                  <w:tcW w:w="679" w:type="dxa"/>
                </w:tcPr>
                <w:p w14:paraId="533D817C">
                  <w:pPr>
                    <w:jc w:val="center"/>
                    <w:rPr>
                      <w:color w:val="auto"/>
                      <w:szCs w:val="21"/>
                    </w:rPr>
                  </w:pPr>
                  <w:r>
                    <w:rPr>
                      <w:rFonts w:hint="eastAsia"/>
                      <w:color w:val="auto"/>
                      <w:szCs w:val="21"/>
                    </w:rPr>
                    <w:t>39</w:t>
                  </w:r>
                </w:p>
              </w:tc>
            </w:tr>
            <w:tr w14:paraId="25B5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tcPr>
                <w:p w14:paraId="57947033">
                  <w:pPr>
                    <w:jc w:val="center"/>
                    <w:rPr>
                      <w:color w:val="auto"/>
                      <w:szCs w:val="21"/>
                    </w:rPr>
                  </w:pPr>
                  <w:r>
                    <w:rPr>
                      <w:rFonts w:hint="eastAsia"/>
                      <w:color w:val="auto"/>
                      <w:szCs w:val="21"/>
                    </w:rPr>
                    <w:t>运输汽车</w:t>
                  </w:r>
                </w:p>
              </w:tc>
              <w:tc>
                <w:tcPr>
                  <w:tcW w:w="679" w:type="dxa"/>
                </w:tcPr>
                <w:p w14:paraId="0031F20F">
                  <w:pPr>
                    <w:jc w:val="center"/>
                    <w:rPr>
                      <w:color w:val="auto"/>
                      <w:szCs w:val="21"/>
                    </w:rPr>
                  </w:pPr>
                  <w:r>
                    <w:rPr>
                      <w:rFonts w:hint="eastAsia"/>
                      <w:color w:val="auto"/>
                      <w:szCs w:val="21"/>
                    </w:rPr>
                    <w:t>85</w:t>
                  </w:r>
                </w:p>
              </w:tc>
              <w:tc>
                <w:tcPr>
                  <w:tcW w:w="679" w:type="dxa"/>
                </w:tcPr>
                <w:p w14:paraId="245B4471">
                  <w:pPr>
                    <w:jc w:val="center"/>
                    <w:rPr>
                      <w:color w:val="auto"/>
                      <w:szCs w:val="21"/>
                    </w:rPr>
                  </w:pPr>
                  <w:r>
                    <w:rPr>
                      <w:rFonts w:hint="eastAsia"/>
                      <w:color w:val="auto"/>
                      <w:szCs w:val="21"/>
                    </w:rPr>
                    <w:t>71</w:t>
                  </w:r>
                </w:p>
              </w:tc>
              <w:tc>
                <w:tcPr>
                  <w:tcW w:w="679" w:type="dxa"/>
                </w:tcPr>
                <w:p w14:paraId="3D38C16E">
                  <w:pPr>
                    <w:jc w:val="center"/>
                    <w:rPr>
                      <w:color w:val="auto"/>
                      <w:szCs w:val="21"/>
                    </w:rPr>
                  </w:pPr>
                  <w:r>
                    <w:rPr>
                      <w:rFonts w:hint="eastAsia"/>
                      <w:color w:val="auto"/>
                      <w:szCs w:val="21"/>
                    </w:rPr>
                    <w:t>65</w:t>
                  </w:r>
                </w:p>
              </w:tc>
              <w:tc>
                <w:tcPr>
                  <w:tcW w:w="679" w:type="dxa"/>
                </w:tcPr>
                <w:p w14:paraId="1B4C94D4">
                  <w:pPr>
                    <w:jc w:val="center"/>
                    <w:rPr>
                      <w:color w:val="auto"/>
                      <w:szCs w:val="21"/>
                    </w:rPr>
                  </w:pPr>
                  <w:r>
                    <w:rPr>
                      <w:rFonts w:hint="eastAsia"/>
                      <w:color w:val="auto"/>
                      <w:szCs w:val="21"/>
                    </w:rPr>
                    <w:t>59</w:t>
                  </w:r>
                </w:p>
              </w:tc>
              <w:tc>
                <w:tcPr>
                  <w:tcW w:w="679" w:type="dxa"/>
                </w:tcPr>
                <w:p w14:paraId="4EDAD4D1">
                  <w:pPr>
                    <w:jc w:val="center"/>
                    <w:rPr>
                      <w:color w:val="auto"/>
                      <w:szCs w:val="21"/>
                    </w:rPr>
                  </w:pPr>
                  <w:r>
                    <w:rPr>
                      <w:rFonts w:hint="eastAsia"/>
                      <w:color w:val="auto"/>
                      <w:szCs w:val="21"/>
                    </w:rPr>
                    <w:t>51</w:t>
                  </w:r>
                </w:p>
              </w:tc>
              <w:tc>
                <w:tcPr>
                  <w:tcW w:w="679" w:type="dxa"/>
                </w:tcPr>
                <w:p w14:paraId="761377C9">
                  <w:pPr>
                    <w:jc w:val="center"/>
                    <w:rPr>
                      <w:color w:val="auto"/>
                      <w:szCs w:val="21"/>
                    </w:rPr>
                  </w:pPr>
                  <w:r>
                    <w:rPr>
                      <w:rFonts w:hint="eastAsia"/>
                      <w:color w:val="auto"/>
                      <w:szCs w:val="21"/>
                    </w:rPr>
                    <w:t>48.7</w:t>
                  </w:r>
                </w:p>
              </w:tc>
              <w:tc>
                <w:tcPr>
                  <w:tcW w:w="679" w:type="dxa"/>
                </w:tcPr>
                <w:p w14:paraId="6CF8E056">
                  <w:pPr>
                    <w:jc w:val="center"/>
                    <w:rPr>
                      <w:color w:val="auto"/>
                      <w:szCs w:val="21"/>
                    </w:rPr>
                  </w:pPr>
                  <w:r>
                    <w:rPr>
                      <w:rFonts w:hint="eastAsia"/>
                      <w:color w:val="auto"/>
                      <w:szCs w:val="21"/>
                    </w:rPr>
                    <w:t>45</w:t>
                  </w:r>
                </w:p>
              </w:tc>
              <w:tc>
                <w:tcPr>
                  <w:tcW w:w="679" w:type="dxa"/>
                </w:tcPr>
                <w:p w14:paraId="53B53070">
                  <w:pPr>
                    <w:jc w:val="center"/>
                    <w:rPr>
                      <w:color w:val="auto"/>
                      <w:szCs w:val="21"/>
                    </w:rPr>
                  </w:pPr>
                  <w:r>
                    <w:rPr>
                      <w:rFonts w:hint="eastAsia"/>
                      <w:color w:val="auto"/>
                      <w:szCs w:val="21"/>
                    </w:rPr>
                    <w:t>41.5</w:t>
                  </w:r>
                </w:p>
              </w:tc>
              <w:tc>
                <w:tcPr>
                  <w:tcW w:w="679" w:type="dxa"/>
                </w:tcPr>
                <w:p w14:paraId="65CF537F">
                  <w:pPr>
                    <w:jc w:val="center"/>
                    <w:rPr>
                      <w:color w:val="auto"/>
                      <w:szCs w:val="21"/>
                    </w:rPr>
                  </w:pPr>
                  <w:r>
                    <w:rPr>
                      <w:rFonts w:hint="eastAsia"/>
                      <w:color w:val="auto"/>
                      <w:szCs w:val="21"/>
                    </w:rPr>
                    <w:t>39</w:t>
                  </w:r>
                </w:p>
              </w:tc>
            </w:tr>
          </w:tbl>
          <w:p w14:paraId="3503C650">
            <w:pPr>
              <w:jc w:val="center"/>
              <w:rPr>
                <w:b/>
                <w:bCs/>
                <w:color w:val="auto"/>
              </w:rPr>
            </w:pPr>
          </w:p>
          <w:p w14:paraId="4B252515">
            <w:pPr>
              <w:adjustRightInd w:val="0"/>
              <w:snapToGrid w:val="0"/>
              <w:spacing w:line="360" w:lineRule="auto"/>
              <w:ind w:firstLine="480" w:firstLineChars="200"/>
              <w:rPr>
                <w:color w:val="auto"/>
                <w:sz w:val="24"/>
              </w:rPr>
            </w:pPr>
            <w:r>
              <w:rPr>
                <w:rFonts w:hint="eastAsia"/>
                <w:color w:val="auto"/>
                <w:sz w:val="24"/>
              </w:rPr>
              <w:t>由于施工场地的噪声源主要为各类高噪声施工机械，单体声级一般均在85-90dB(A</w:t>
            </w:r>
            <w:r>
              <w:rPr>
                <w:rFonts w:hint="eastAsia"/>
                <w:color w:val="auto"/>
                <w:sz w:val="24"/>
                <w:lang w:eastAsia="zh-CN"/>
              </w:rPr>
              <w:t>）</w:t>
            </w:r>
            <w:r>
              <w:rPr>
                <w:rFonts w:hint="eastAsia"/>
                <w:color w:val="auto"/>
                <w:sz w:val="24"/>
              </w:rPr>
              <w:t>之间，且各施工阶段均有大量设备交互作业，且它们在场地内的位置、同时使用率变化较大，很难计算其确切的施工场界噪声。由上表计算结果可知，在未采取降噪措施情况下，昼间施工场界噪声在距声源10m处可达到《建筑施工场界环境噪声排放标准》（GB12523-2011）所规定限值要求；夜间不施工。本项目矿区周边50m范围内无声环境保护目标，距离最近的敏感点为南侧65m处养殖区，根据敏感点分布，以及分布特征，本次评价采取在矿区南侧设置围挡（运营期沿用），可有效阻挡项目施工噪声传播，考虑到施工期间对周边居民的影响，本次评价提出，施工期间合理安排施工时间及工序，夜间（22:00~06:00）和午休期间（12：00~14：30）禁止施工，选用低噪声施工设备，文明施工，禁止施工车辆满负荷或超负荷运行。在采取上述措施后，施工噪声对环境影响在可接受的范围内，且随着施工结束而消失。</w:t>
            </w:r>
          </w:p>
          <w:p w14:paraId="5C2F5516">
            <w:pPr>
              <w:adjustRightInd w:val="0"/>
              <w:snapToGrid w:val="0"/>
              <w:spacing w:line="360" w:lineRule="auto"/>
              <w:rPr>
                <w:b/>
                <w:bCs/>
                <w:color w:val="auto"/>
                <w:sz w:val="24"/>
              </w:rPr>
            </w:pPr>
            <w:r>
              <w:rPr>
                <w:rFonts w:hint="eastAsia"/>
                <w:b/>
                <w:bCs/>
                <w:color w:val="auto"/>
                <w:sz w:val="24"/>
              </w:rPr>
              <w:t>5、施工期固体废物环境影响分析</w:t>
            </w:r>
          </w:p>
          <w:p w14:paraId="1EE0087B">
            <w:pPr>
              <w:adjustRightInd w:val="0"/>
              <w:snapToGrid w:val="0"/>
              <w:spacing w:line="360" w:lineRule="auto"/>
              <w:ind w:firstLine="480" w:firstLineChars="200"/>
              <w:rPr>
                <w:color w:val="auto"/>
                <w:sz w:val="24"/>
              </w:rPr>
            </w:pPr>
            <w:r>
              <w:rPr>
                <w:rFonts w:hint="eastAsia"/>
                <w:color w:val="auto"/>
                <w:sz w:val="24"/>
              </w:rPr>
              <w:t>施工期固体废物主要为矿区施工期的剥离表土。要求将施工期间剥离的表土层储存在表土堆场，防尘网苫盖，后期用于矿坑回填、地表修复。</w:t>
            </w:r>
          </w:p>
          <w:p w14:paraId="13B22835">
            <w:pPr>
              <w:adjustRightInd w:val="0"/>
              <w:snapToGrid w:val="0"/>
              <w:spacing w:line="360" w:lineRule="auto"/>
              <w:ind w:firstLine="480" w:firstLineChars="200"/>
              <w:rPr>
                <w:color w:val="auto"/>
                <w:sz w:val="24"/>
              </w:rPr>
            </w:pPr>
          </w:p>
          <w:p w14:paraId="34BD44B5">
            <w:pPr>
              <w:adjustRightInd w:val="0"/>
              <w:snapToGrid w:val="0"/>
              <w:spacing w:line="360" w:lineRule="auto"/>
              <w:ind w:firstLine="480" w:firstLineChars="200"/>
              <w:rPr>
                <w:color w:val="auto"/>
                <w:sz w:val="24"/>
              </w:rPr>
            </w:pPr>
          </w:p>
          <w:p w14:paraId="5C01AA38">
            <w:pPr>
              <w:pStyle w:val="7"/>
              <w:rPr>
                <w:rFonts w:hint="default" w:ascii="Times New Roman" w:hAnsi="Times New Roman"/>
                <w:color w:val="auto"/>
                <w:sz w:val="24"/>
              </w:rPr>
            </w:pPr>
          </w:p>
          <w:p w14:paraId="11B24673">
            <w:pPr>
              <w:rPr>
                <w:color w:val="auto"/>
                <w:sz w:val="24"/>
              </w:rPr>
            </w:pPr>
          </w:p>
          <w:p w14:paraId="66A828F7">
            <w:pPr>
              <w:rPr>
                <w:color w:val="auto"/>
                <w:sz w:val="24"/>
              </w:rPr>
            </w:pPr>
          </w:p>
          <w:p w14:paraId="19B799B5">
            <w:pPr>
              <w:rPr>
                <w:color w:val="auto"/>
                <w:sz w:val="24"/>
              </w:rPr>
            </w:pPr>
          </w:p>
          <w:p w14:paraId="5BB6040E">
            <w:pPr>
              <w:rPr>
                <w:color w:val="auto"/>
                <w:sz w:val="24"/>
              </w:rPr>
            </w:pPr>
          </w:p>
          <w:p w14:paraId="45AED628">
            <w:pPr>
              <w:rPr>
                <w:color w:val="auto"/>
                <w:sz w:val="24"/>
              </w:rPr>
            </w:pPr>
          </w:p>
          <w:p w14:paraId="325AB537">
            <w:pPr>
              <w:adjustRightInd w:val="0"/>
              <w:snapToGrid w:val="0"/>
              <w:spacing w:line="360" w:lineRule="auto"/>
              <w:ind w:firstLine="480" w:firstLineChars="200"/>
              <w:rPr>
                <w:color w:val="auto"/>
                <w:sz w:val="24"/>
              </w:rPr>
            </w:pPr>
          </w:p>
          <w:p w14:paraId="5CE6CD34">
            <w:pPr>
              <w:adjustRightInd w:val="0"/>
              <w:snapToGrid w:val="0"/>
              <w:spacing w:line="360" w:lineRule="auto"/>
              <w:ind w:firstLine="480" w:firstLineChars="200"/>
              <w:rPr>
                <w:color w:val="auto"/>
                <w:sz w:val="24"/>
              </w:rPr>
            </w:pPr>
          </w:p>
        </w:tc>
      </w:tr>
    </w:tbl>
    <w:p w14:paraId="4F33B6B4">
      <w:pPr>
        <w:pStyle w:val="25"/>
        <w:adjustRightInd w:val="0"/>
        <w:snapToGrid w:val="0"/>
        <w:spacing w:before="0" w:beforeAutospacing="0" w:after="0" w:afterAutospacing="0" w:line="14" w:lineRule="auto"/>
        <w:jc w:val="center"/>
        <w:rPr>
          <w:rFonts w:hint="eastAsia" w:ascii="黑体" w:hAnsi="黑体" w:eastAsia="黑体"/>
          <w:snapToGrid w:val="0"/>
          <w:color w:val="auto"/>
          <w:kern w:val="2"/>
          <w:sz w:val="36"/>
          <w:szCs w:val="36"/>
        </w:rPr>
      </w:pPr>
    </w:p>
    <w:tbl>
      <w:tblPr>
        <w:tblStyle w:val="28"/>
        <w:tblW w:w="92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97"/>
      </w:tblGrid>
      <w:tr w14:paraId="226DA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79" w:type="dxa"/>
            <w:tcMar>
              <w:left w:w="28" w:type="dxa"/>
              <w:right w:w="28" w:type="dxa"/>
            </w:tcMar>
            <w:vAlign w:val="center"/>
          </w:tcPr>
          <w:p w14:paraId="0DF4F847">
            <w:pPr>
              <w:pStyle w:val="25"/>
              <w:adjustRightInd w:val="0"/>
              <w:snapToGrid w:val="0"/>
              <w:spacing w:before="0" w:beforeAutospacing="0" w:after="0" w:afterAutospacing="0"/>
              <w:jc w:val="center"/>
              <w:rPr>
                <w:rFonts w:hint="eastAsia" w:cs="宋体"/>
                <w:bCs/>
                <w:color w:val="auto"/>
                <w:kern w:val="2"/>
                <w:sz w:val="21"/>
                <w:szCs w:val="21"/>
              </w:rPr>
            </w:pPr>
            <w:r>
              <w:rPr>
                <w:rFonts w:hint="eastAsia" w:cs="宋体"/>
                <w:bCs/>
                <w:color w:val="auto"/>
                <w:spacing w:val="10"/>
                <w:kern w:val="2"/>
              </w:rPr>
              <w:t>运营期生态环境影响分析</w:t>
            </w:r>
          </w:p>
        </w:tc>
        <w:tc>
          <w:tcPr>
            <w:tcW w:w="8397" w:type="dxa"/>
          </w:tcPr>
          <w:p w14:paraId="09E569F4">
            <w:pPr>
              <w:adjustRightInd w:val="0"/>
              <w:snapToGrid w:val="0"/>
              <w:spacing w:line="360" w:lineRule="auto"/>
              <w:rPr>
                <w:b/>
                <w:color w:val="auto"/>
                <w:sz w:val="24"/>
              </w:rPr>
            </w:pPr>
            <w:r>
              <w:rPr>
                <w:b/>
                <w:color w:val="auto"/>
                <w:sz w:val="24"/>
              </w:rPr>
              <w:t>1、运营期</w:t>
            </w:r>
            <w:r>
              <w:rPr>
                <w:rFonts w:hint="eastAsia"/>
                <w:b/>
                <w:color w:val="auto"/>
                <w:sz w:val="24"/>
              </w:rPr>
              <w:t>工艺</w:t>
            </w:r>
            <w:r>
              <w:rPr>
                <w:b/>
                <w:color w:val="auto"/>
                <w:sz w:val="24"/>
              </w:rPr>
              <w:t>流程</w:t>
            </w:r>
          </w:p>
          <w:p w14:paraId="411E64EC">
            <w:pPr>
              <w:adjustRightInd w:val="0"/>
              <w:snapToGrid w:val="0"/>
              <w:spacing w:line="360" w:lineRule="auto"/>
              <w:ind w:firstLine="480" w:firstLineChars="200"/>
              <w:rPr>
                <w:color w:val="auto"/>
                <w:sz w:val="24"/>
              </w:rPr>
            </w:pPr>
            <w:r>
              <w:rPr>
                <w:color w:val="auto"/>
                <w:sz w:val="24"/>
              </w:rPr>
              <w:t>运营期生产工艺主要</w:t>
            </w:r>
            <w:r>
              <w:rPr>
                <w:rFonts w:hint="eastAsia"/>
                <w:color w:val="auto"/>
                <w:sz w:val="24"/>
              </w:rPr>
              <w:t>为建筑用砂开采作业。</w:t>
            </w:r>
          </w:p>
          <w:p w14:paraId="46127CD0">
            <w:pPr>
              <w:pStyle w:val="16"/>
              <w:rPr>
                <w:color w:val="auto"/>
                <w:sz w:val="24"/>
              </w:rPr>
            </w:pPr>
            <w:r>
              <w:rPr>
                <w:color w:val="auto"/>
              </w:rPr>
              <mc:AlternateContent>
                <mc:Choice Requires="wps">
                  <w:drawing>
                    <wp:anchor distT="0" distB="0" distL="114300" distR="114300" simplePos="0" relativeHeight="251663360" behindDoc="0" locked="0" layoutInCell="1" allowOverlap="1">
                      <wp:simplePos x="0" y="0"/>
                      <wp:positionH relativeFrom="column">
                        <wp:posOffset>3589020</wp:posOffset>
                      </wp:positionH>
                      <wp:positionV relativeFrom="paragraph">
                        <wp:posOffset>1421765</wp:posOffset>
                      </wp:positionV>
                      <wp:extent cx="1132205" cy="297815"/>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1132205" cy="297815"/>
                              </a:xfrm>
                              <a:prstGeom prst="rect">
                                <a:avLst/>
                              </a:prstGeom>
                              <a:noFill/>
                              <a:ln w="9525" cap="sq" cmpd="sng">
                                <a:noFill/>
                                <a:prstDash val="sysDot"/>
                                <a:miter lim="800000"/>
                                <a:tailEnd type="triangle" w="med" len="med"/>
                              </a:ln>
                            </wps:spPr>
                            <wps:txbx>
                              <w:txbxContent>
                                <w:p w14:paraId="0C936F16">
                                  <w:pPr>
                                    <w:pStyle w:val="66"/>
                                    <w:adjustRightInd/>
                                    <w:spacing w:line="240" w:lineRule="auto"/>
                                    <w:textAlignment w:val="auto"/>
                                    <w:rPr>
                                      <w:szCs w:val="24"/>
                                    </w:rPr>
                                  </w:pPr>
                                  <w:r>
                                    <w:rPr>
                                      <w:rFonts w:hint="eastAsia"/>
                                      <w:szCs w:val="24"/>
                                    </w:rPr>
                                    <w:t>噪声、粉尘废气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2.6pt;margin-top:111.95pt;height:23.45pt;width:89.15pt;z-index:251663360;mso-width-relative:page;mso-height-relative:page;" filled="f" stroked="f" coordsize="21600,21600" o:gfxdata="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SvKTXaAAAACwEAAA8AAAAAAAAAAQAgAAAAIgAAAGRycy9kb3ducmV2LnhtbFBLAQIUABQA&#10;AAAIAIdO4kAwnCiwYAIAAJUEAAAOAAAAAAAAAAEAIAAAACkBAABkcnMvZTJvRG9jLnhtbFBLBQYA&#10;AAAABgAGAFkBAAD7BQAAAAA=&#10;">
                      <v:fill on="f" focussize="0,0"/>
                      <v:stroke on="f" miterlimit="8" joinstyle="miter" dashstyle="1 1" endcap="square" endarrow="block"/>
                      <v:imagedata o:title=""/>
                      <o:lock v:ext="edit" aspectratio="f"/>
                      <v:textbox>
                        <w:txbxContent>
                          <w:p w14:paraId="0C936F16">
                            <w:pPr>
                              <w:pStyle w:val="66"/>
                              <w:adjustRightInd/>
                              <w:spacing w:line="240" w:lineRule="auto"/>
                              <w:textAlignment w:val="auto"/>
                              <w:rPr>
                                <w:szCs w:val="24"/>
                              </w:rPr>
                            </w:pPr>
                            <w:r>
                              <w:rPr>
                                <w:rFonts w:hint="eastAsia"/>
                                <w:szCs w:val="24"/>
                              </w:rPr>
                              <w:t>噪声、粉尘废气</w:t>
                            </w:r>
                          </w:p>
                        </w:txbxContent>
                      </v:textbox>
                    </v:shape>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3355340</wp:posOffset>
                      </wp:positionH>
                      <wp:positionV relativeFrom="paragraph">
                        <wp:posOffset>798830</wp:posOffset>
                      </wp:positionV>
                      <wp:extent cx="1560195" cy="29781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1560195" cy="297815"/>
                              </a:xfrm>
                              <a:prstGeom prst="rect">
                                <a:avLst/>
                              </a:prstGeom>
                              <a:noFill/>
                              <a:ln w="9525" cap="sq" cmpd="sng">
                                <a:noFill/>
                                <a:prstDash val="sysDot"/>
                                <a:miter lim="800000"/>
                              </a:ln>
                            </wps:spPr>
                            <wps:txbx>
                              <w:txbxContent>
                                <w:p w14:paraId="579D8CDD">
                                  <w:pPr>
                                    <w:pStyle w:val="66"/>
                                    <w:adjustRightInd/>
                                    <w:spacing w:line="240" w:lineRule="auto"/>
                                    <w:textAlignment w:val="auto"/>
                                    <w:rPr>
                                      <w:szCs w:val="24"/>
                                    </w:rPr>
                                  </w:pPr>
                                  <w:r>
                                    <w:rPr>
                                      <w:rFonts w:hint="eastAsia"/>
                                      <w:szCs w:val="24"/>
                                    </w:rPr>
                                    <w:t>噪声、粉尘废气、表土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4.2pt;margin-top:62.9pt;height:23.45pt;width:122.85pt;z-index:251662336;mso-width-relative:page;mso-height-relative:page;" filled="f" stroked="f" coordsize="21600,21600" o:gfxdata="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i3DMa2gAAAAsBAAAPAAAAAAAAAAEA&#10;IAAAACIAAABkcnMvZG93bnJldi54bWxQSwECFAAUAAAACACHTuJAZVDrkEYCAABlBAAADgAAAAAA&#10;AAABACAAAAApAQAAZHJzL2Uyb0RvYy54bWxQSwUGAAAAAAYABgBZAQAA4QUAAAAA&#10;">
                      <v:fill on="f" focussize="0,0"/>
                      <v:stroke on="f" miterlimit="8" joinstyle="miter" dashstyle="1 1" endcap="square"/>
                      <v:imagedata o:title=""/>
                      <o:lock v:ext="edit" aspectratio="f"/>
                      <v:textbox>
                        <w:txbxContent>
                          <w:p w14:paraId="579D8CDD">
                            <w:pPr>
                              <w:pStyle w:val="66"/>
                              <w:adjustRightInd/>
                              <w:spacing w:line="240" w:lineRule="auto"/>
                              <w:textAlignment w:val="auto"/>
                              <w:rPr>
                                <w:szCs w:val="24"/>
                              </w:rPr>
                            </w:pPr>
                            <w:r>
                              <w:rPr>
                                <w:rFonts w:hint="eastAsia"/>
                                <w:szCs w:val="24"/>
                              </w:rPr>
                              <w:t>噪声、粉尘废气、表土</w:t>
                            </w:r>
                          </w:p>
                        </w:txbxContent>
                      </v:textbox>
                    </v:shap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2853690</wp:posOffset>
                      </wp:positionH>
                      <wp:positionV relativeFrom="paragraph">
                        <wp:posOffset>934720</wp:posOffset>
                      </wp:positionV>
                      <wp:extent cx="485140" cy="635"/>
                      <wp:effectExtent l="0" t="37465" r="2540" b="38100"/>
                      <wp:wrapNone/>
                      <wp:docPr id="97" name="直接连接符 97"/>
                      <wp:cNvGraphicFramePr/>
                      <a:graphic xmlns:a="http://schemas.openxmlformats.org/drawingml/2006/main">
                        <a:graphicData uri="http://schemas.microsoft.com/office/word/2010/wordprocessingShape">
                          <wps:wsp>
                            <wps:cNvCnPr>
                              <a:cxnSpLocks noChangeShapeType="1"/>
                            </wps:cNvCnPr>
                            <wps:spPr bwMode="auto">
                              <a:xfrm>
                                <a:off x="0" y="0"/>
                                <a:ext cx="485140" cy="635"/>
                              </a:xfrm>
                              <a:prstGeom prst="line">
                                <a:avLst/>
                              </a:prstGeom>
                              <a:noFill/>
                              <a:ln w="9525" cmpd="sng">
                                <a:solidFill>
                                  <a:srgbClr val="000000"/>
                                </a:solidFill>
                                <a:prstDash val="sysDot"/>
                                <a:round/>
                                <a:tailEnd type="triangle" w="med" len="med"/>
                              </a:ln>
                            </wps:spPr>
                            <wps:bodyPr/>
                          </wps:wsp>
                        </a:graphicData>
                      </a:graphic>
                    </wp:anchor>
                  </w:drawing>
                </mc:Choice>
                <mc:Fallback>
                  <w:pict>
                    <v:line id="_x0000_s1026" o:spid="_x0000_s1026" o:spt="20" style="position:absolute;left:0pt;margin-left:224.7pt;margin-top:73.6pt;height:0.05pt;width:38.2pt;z-index:251661312;mso-width-relative:page;mso-height-relative:page;" filled="f" stroked="t" coordsize="21600,21600" o:gfxdata="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IJrdkAAAALAQAADwAA&#10;AAAAAAABACAAAAAiAAAAZHJzL2Rvd25yZXYueG1sUEsBAhQAFAAAAAgAh07iQACzXl8VAgAAAAQA&#10;AA4AAAAAAAAAAQAgAAAAKAEAAGRycy9lMm9Eb2MueG1sUEsFBgAAAAAGAAYAWQEAAK8FAAAAAA==&#10;">
                      <v:fill on="f" focussize="0,0"/>
                      <v:stroke color="#000000" joinstyle="round" dashstyle="1 1" endarrow="block"/>
                      <v:imagedata o:title=""/>
                      <o:lock v:ext="edit" aspectratio="f"/>
                    </v:line>
                  </w:pict>
                </mc:Fallback>
              </mc:AlternateContent>
            </w:r>
            <w:r>
              <w:rPr>
                <w:color w:val="auto"/>
                <w:sz w:val="24"/>
              </w:rPr>
              <mc:AlternateContent>
                <mc:Choice Requires="wpc">
                  <w:drawing>
                    <wp:inline distT="0" distB="0" distL="114300" distR="114300">
                      <wp:extent cx="5173345" cy="2315210"/>
                      <wp:effectExtent l="0" t="0" r="0" b="0"/>
                      <wp:docPr id="29" name="画布 29"/>
                      <wp:cNvGraphicFramePr/>
                      <a:graphic xmlns:a="http://schemas.openxmlformats.org/drawingml/2006/main">
                        <a:graphicData uri="http://schemas.microsoft.com/office/word/2010/wordprocessingCanvas">
                          <wpc:wpc>
                            <wpc:bg/>
                            <wpc:whole/>
                            <wps:wsp>
                              <wps:cNvPr id="30" name="文本框 30"/>
                              <wps:cNvSpPr txBox="1">
                                <a:spLocks noChangeArrowheads="1"/>
                              </wps:cNvSpPr>
                              <wps:spPr bwMode="auto">
                                <a:xfrm>
                                  <a:off x="1837055" y="113030"/>
                                  <a:ext cx="977900" cy="297180"/>
                                </a:xfrm>
                                <a:prstGeom prst="rect">
                                  <a:avLst/>
                                </a:prstGeom>
                                <a:noFill/>
                                <a:ln w="9525" cmpd="sng">
                                  <a:solidFill>
                                    <a:srgbClr val="000000"/>
                                  </a:solidFill>
                                  <a:miter lim="800000"/>
                                </a:ln>
                              </wps:spPr>
                              <wps:txbx>
                                <w:txbxContent>
                                  <w:p w14:paraId="5C394615">
                                    <w:pPr>
                                      <w:jc w:val="center"/>
                                      <w:rPr>
                                        <w:szCs w:val="21"/>
                                      </w:rPr>
                                    </w:pPr>
                                    <w:r>
                                      <w:rPr>
                                        <w:rFonts w:hint="eastAsia" w:hAnsi="宋体"/>
                                        <w:szCs w:val="21"/>
                                      </w:rPr>
                                      <w:t>矿区</w:t>
                                    </w:r>
                                  </w:p>
                                </w:txbxContent>
                              </wps:txbx>
                              <wps:bodyPr rot="0" vert="horz" wrap="square" lIns="91440" tIns="45720" rIns="91440" bIns="45720" anchor="t" anchorCtr="0" upright="1">
                                <a:noAutofit/>
                              </wps:bodyPr>
                            </wps:wsp>
                            <wps:wsp>
                              <wps:cNvPr id="31" name="文本框 31"/>
                              <wps:cNvSpPr txBox="1">
                                <a:spLocks noChangeArrowheads="1"/>
                              </wps:cNvSpPr>
                              <wps:spPr bwMode="auto">
                                <a:xfrm>
                                  <a:off x="1859280" y="738505"/>
                                  <a:ext cx="977900" cy="297180"/>
                                </a:xfrm>
                                <a:prstGeom prst="rect">
                                  <a:avLst/>
                                </a:prstGeom>
                                <a:noFill/>
                                <a:ln w="9525" cmpd="sng">
                                  <a:solidFill>
                                    <a:srgbClr val="000000"/>
                                  </a:solidFill>
                                  <a:miter lim="800000"/>
                                </a:ln>
                              </wps:spPr>
                              <wps:txbx>
                                <w:txbxContent>
                                  <w:p w14:paraId="3B37C8B9">
                                    <w:pPr>
                                      <w:jc w:val="center"/>
                                      <w:rPr>
                                        <w:szCs w:val="21"/>
                                      </w:rPr>
                                    </w:pPr>
                                    <w:r>
                                      <w:rPr>
                                        <w:rFonts w:hint="eastAsia" w:hAnsi="宋体"/>
                                        <w:szCs w:val="21"/>
                                      </w:rPr>
                                      <w:t>表土剥离</w:t>
                                    </w:r>
                                  </w:p>
                                </w:txbxContent>
                              </wps:txbx>
                              <wps:bodyPr rot="0" vert="horz" wrap="square" lIns="91440" tIns="45720" rIns="91440" bIns="45720" anchor="t" anchorCtr="0" upright="1">
                                <a:noAutofit/>
                              </wps:bodyPr>
                            </wps:wsp>
                            <wps:wsp>
                              <wps:cNvPr id="32" name="文本框 32"/>
                              <wps:cNvSpPr txBox="1">
                                <a:spLocks noChangeArrowheads="1"/>
                              </wps:cNvSpPr>
                              <wps:spPr bwMode="auto">
                                <a:xfrm>
                                  <a:off x="1656715" y="1354455"/>
                                  <a:ext cx="1463040" cy="297180"/>
                                </a:xfrm>
                                <a:prstGeom prst="rect">
                                  <a:avLst/>
                                </a:prstGeom>
                                <a:noFill/>
                                <a:ln w="9525" cmpd="sng">
                                  <a:solidFill>
                                    <a:srgbClr val="000000"/>
                                  </a:solidFill>
                                  <a:miter lim="800000"/>
                                </a:ln>
                              </wps:spPr>
                              <wps:txbx>
                                <w:txbxContent>
                                  <w:p w14:paraId="643D2B17">
                                    <w:pPr>
                                      <w:jc w:val="center"/>
                                      <w:rPr>
                                        <w:szCs w:val="21"/>
                                      </w:rPr>
                                    </w:pPr>
                                    <w:r>
                                      <w:rPr>
                                        <w:rFonts w:hint="eastAsia" w:hAnsi="宋体"/>
                                        <w:szCs w:val="21"/>
                                      </w:rPr>
                                      <w:t>挖掘机采挖建筑用砂</w:t>
                                    </w:r>
                                  </w:p>
                                </w:txbxContent>
                              </wps:txbx>
                              <wps:bodyPr rot="0" vert="horz" wrap="square" lIns="91440" tIns="45720" rIns="91440" bIns="45720" anchor="t" anchorCtr="0" upright="1">
                                <a:noAutofit/>
                              </wps:bodyPr>
                            </wps:wsp>
                            <wps:wsp>
                              <wps:cNvPr id="33" name="文本框 33"/>
                              <wps:cNvSpPr txBox="1">
                                <a:spLocks noChangeArrowheads="1"/>
                              </wps:cNvSpPr>
                              <wps:spPr bwMode="auto">
                                <a:xfrm>
                                  <a:off x="1887855" y="1967230"/>
                                  <a:ext cx="977900" cy="297180"/>
                                </a:xfrm>
                                <a:prstGeom prst="rect">
                                  <a:avLst/>
                                </a:prstGeom>
                                <a:noFill/>
                                <a:ln w="9525" cmpd="sng">
                                  <a:solidFill>
                                    <a:srgbClr val="000000"/>
                                  </a:solidFill>
                                  <a:miter lim="800000"/>
                                </a:ln>
                              </wps:spPr>
                              <wps:txbx>
                                <w:txbxContent>
                                  <w:p w14:paraId="4F3875E0">
                                    <w:pPr>
                                      <w:jc w:val="center"/>
                                      <w:rPr>
                                        <w:szCs w:val="21"/>
                                      </w:rPr>
                                    </w:pPr>
                                    <w:r>
                                      <w:rPr>
                                        <w:rFonts w:hint="eastAsia" w:hAnsi="宋体"/>
                                        <w:szCs w:val="21"/>
                                      </w:rPr>
                                      <w:t>转运外售</w:t>
                                    </w:r>
                                  </w:p>
                                </w:txbxContent>
                              </wps:txbx>
                              <wps:bodyPr rot="0" vert="horz" wrap="square" lIns="91440" tIns="45720" rIns="91440" bIns="45720" anchor="t" anchorCtr="0" upright="1">
                                <a:noAutofit/>
                              </wps:bodyPr>
                            </wps:wsp>
                            <wps:wsp>
                              <wps:cNvPr id="34" name="直接箭头连接符 34"/>
                              <wps:cNvCnPr/>
                              <wps:spPr>
                                <a:xfrm flipH="1">
                                  <a:off x="2336165" y="412115"/>
                                  <a:ext cx="5715" cy="30480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4" name="直接箭头连接符 74"/>
                              <wps:cNvCnPr/>
                              <wps:spPr>
                                <a:xfrm flipH="1">
                                  <a:off x="2364105" y="1043305"/>
                                  <a:ext cx="5715" cy="30480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5" name="直接箭头连接符 75"/>
                              <wps:cNvCnPr/>
                              <wps:spPr>
                                <a:xfrm flipH="1">
                                  <a:off x="2351405" y="1659255"/>
                                  <a:ext cx="5715" cy="30480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6" name="文本框 76"/>
                              <wps:cNvSpPr txBox="1">
                                <a:spLocks noChangeArrowheads="1"/>
                              </wps:cNvSpPr>
                              <wps:spPr bwMode="auto">
                                <a:xfrm>
                                  <a:off x="3361055" y="1970405"/>
                                  <a:ext cx="1132205" cy="297815"/>
                                </a:xfrm>
                                <a:prstGeom prst="rect">
                                  <a:avLst/>
                                </a:prstGeom>
                                <a:noFill/>
                                <a:ln w="9525" cap="sq" cmpd="sng">
                                  <a:noFill/>
                                  <a:prstDash val="sysDot"/>
                                  <a:miter lim="800000"/>
                                  <a:tailEnd type="triangle" w="med" len="med"/>
                                </a:ln>
                              </wps:spPr>
                              <wps:txbx>
                                <w:txbxContent>
                                  <w:p w14:paraId="0D015AB7">
                                    <w:pPr>
                                      <w:pStyle w:val="66"/>
                                      <w:adjustRightInd/>
                                      <w:spacing w:line="240" w:lineRule="auto"/>
                                      <w:textAlignment w:val="auto"/>
                                      <w:rPr>
                                        <w:szCs w:val="24"/>
                                      </w:rPr>
                                    </w:pPr>
                                    <w:r>
                                      <w:rPr>
                                        <w:rFonts w:hint="eastAsia"/>
                                        <w:szCs w:val="24"/>
                                      </w:rPr>
                                      <w:t>噪声、粉尘废气</w:t>
                                    </w:r>
                                  </w:p>
                                </w:txbxContent>
                              </wps:txbx>
                              <wps:bodyPr rot="0" vert="horz" wrap="square" lIns="91440" tIns="45720" rIns="91440" bIns="45720" anchor="t" anchorCtr="0" upright="1">
                                <a:noAutofit/>
                              </wps:bodyPr>
                            </wps:wsp>
                            <wps:wsp>
                              <wps:cNvPr id="77" name="直接连接符 77"/>
                              <wps:cNvCnPr>
                                <a:cxnSpLocks noChangeShapeType="1"/>
                              </wps:cNvCnPr>
                              <wps:spPr bwMode="auto">
                                <a:xfrm>
                                  <a:off x="3126105" y="1519555"/>
                                  <a:ext cx="485140" cy="635"/>
                                </a:xfrm>
                                <a:prstGeom prst="line">
                                  <a:avLst/>
                                </a:prstGeom>
                                <a:noFill/>
                                <a:ln w="9525" cmpd="sng">
                                  <a:solidFill>
                                    <a:srgbClr val="000000"/>
                                  </a:solidFill>
                                  <a:prstDash val="sysDot"/>
                                  <a:round/>
                                  <a:tailEnd type="triangle" w="med" len="med"/>
                                </a:ln>
                              </wps:spPr>
                              <wps:bodyPr/>
                            </wps:wsp>
                            <wps:wsp>
                              <wps:cNvPr id="78" name="直接连接符 78"/>
                              <wps:cNvCnPr>
                                <a:cxnSpLocks noChangeShapeType="1"/>
                              </wps:cNvCnPr>
                              <wps:spPr bwMode="auto">
                                <a:xfrm>
                                  <a:off x="2884805" y="2122805"/>
                                  <a:ext cx="485140" cy="635"/>
                                </a:xfrm>
                                <a:prstGeom prst="line">
                                  <a:avLst/>
                                </a:prstGeom>
                                <a:noFill/>
                                <a:ln w="9525" cmpd="sng">
                                  <a:solidFill>
                                    <a:srgbClr val="000000"/>
                                  </a:solidFill>
                                  <a:prstDash val="sysDot"/>
                                  <a:round/>
                                  <a:tailEnd type="triangle" w="med" len="med"/>
                                </a:ln>
                              </wps:spPr>
                              <wps:bodyPr/>
                            </wps:wsp>
                          </wpc:wpc>
                        </a:graphicData>
                      </a:graphic>
                    </wp:inline>
                  </w:drawing>
                </mc:Choice>
                <mc:Fallback>
                  <w:pict>
                    <v:group id="_x0000_s1026" o:spid="_x0000_s1026" o:spt="203" style="height:182.3pt;width:407.35pt;" coordsize="5173345,2315210" editas="canvas" o:gfxdata="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">
                      <o:lock v:ext="edit" aspectratio="f"/>
                      <v:shape id="_x0000_s1026" o:spid="_x0000_s1026" style="position:absolute;left:0;top:0;height:2315210;width:5173345;" filled="f" stroked="f" coordsize="21600,21600" o:gfxdata="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U6afHdcAAAAFAQAADwAAAAAAAAABACAAAAAiAAAAZHJzL2Rvd25yZXYueG1sUEsBAhQAFAAAAAgA&#10;h07iQDiRvZiZBAAAKBoAAA4AAAAAAAAAAQAgAAAAJgEAAGRycy9lMm9Eb2MueG1sUEsFBgAAAAAG&#10;AAYAWQEAADEIAAAAAA==&#10;">
                        <v:fill on="f" focussize="0,0"/>
                        <v:stroke on="f"/>
                        <v:imagedata o:title=""/>
                        <o:lock v:ext="edit" aspectratio="f"/>
                      </v:shape>
                      <v:shape id="_x0000_s1026" o:spid="_x0000_s1026" o:spt="202" type="#_x0000_t202" style="position:absolute;left:1837055;top:113030;height:297180;width:977900;" filled="f" stroked="t" coordsize="21600,21600" o:gfxdata="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obcqzUAAAABQEAAA8AAAAAAAAA&#10;AQAgAAAAIgAAAGRycy9kb3ducmV2LnhtbFBLAQIUABQAAAAIAIdO4kAu8ug2TgIAAHUEAAAOAAAA&#10;AAAAAAEAIAAAACMBAABkcnMvZTJvRG9jLnhtbFBLBQYAAAAABgAGAFkBAADjBQAAAAA=&#10;">
                        <v:fill on="f" focussize="0,0"/>
                        <v:stroke color="#000000" miterlimit="8" joinstyle="miter"/>
                        <v:imagedata o:title=""/>
                        <o:lock v:ext="edit" aspectratio="f"/>
                        <v:textbox>
                          <w:txbxContent>
                            <w:p w14:paraId="5C394615">
                              <w:pPr>
                                <w:jc w:val="center"/>
                                <w:rPr>
                                  <w:szCs w:val="21"/>
                                </w:rPr>
                              </w:pPr>
                              <w:r>
                                <w:rPr>
                                  <w:rFonts w:hint="eastAsia" w:hAnsi="宋体"/>
                                  <w:szCs w:val="21"/>
                                </w:rPr>
                                <w:t>矿区</w:t>
                              </w:r>
                            </w:p>
                          </w:txbxContent>
                        </v:textbox>
                      </v:shape>
                      <v:shape id="_x0000_s1026" o:spid="_x0000_s1026" o:spt="202" type="#_x0000_t202" style="position:absolute;left:1859280;top:738505;height:297180;width:977900;" filled="f" stroked="t" coordsize="21600,21600" o:gfxdata="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obcqzUAAAABQEAAA8AAAAAAAAA&#10;AQAgAAAAIgAAAGRycy9kb3ducmV2LnhtbFBLAQIUABQAAAAIAIdO4kDA7DDRTgIAAHUEAAAOAAAA&#10;AAAAAAEAIAAAACMBAABkcnMvZTJvRG9jLnhtbFBLBQYAAAAABgAGAFkBAADjBQAAAAA=&#10;">
                        <v:fill on="f" focussize="0,0"/>
                        <v:stroke color="#000000" miterlimit="8" joinstyle="miter"/>
                        <v:imagedata o:title=""/>
                        <o:lock v:ext="edit" aspectratio="f"/>
                        <v:textbox>
                          <w:txbxContent>
                            <w:p w14:paraId="3B37C8B9">
                              <w:pPr>
                                <w:jc w:val="center"/>
                                <w:rPr>
                                  <w:szCs w:val="21"/>
                                </w:rPr>
                              </w:pPr>
                              <w:r>
                                <w:rPr>
                                  <w:rFonts w:hint="eastAsia" w:hAnsi="宋体"/>
                                  <w:szCs w:val="21"/>
                                </w:rPr>
                                <w:t>表土剥离</w:t>
                              </w:r>
                            </w:p>
                          </w:txbxContent>
                        </v:textbox>
                      </v:shape>
                      <v:shape id="_x0000_s1026" o:spid="_x0000_s1026" o:spt="202" type="#_x0000_t202" style="position:absolute;left:1656715;top:1354455;height:297180;width:1463040;" filled="f" stroked="t" coordsize="21600,21600" o:gfxdata="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obcqzUAAAABQEAAA8AAAAA&#10;AAAAAQAgAAAAIgAAAGRycy9kb3ducmV2LnhtbFBLAQIUABQAAAAIAIdO4kD2BjXIUQIAAHcEAAAO&#10;AAAAAAAAAAEAIAAAACMBAABkcnMvZTJvRG9jLnhtbFBLBQYAAAAABgAGAFkBAADmBQAAAAA=&#10;">
                        <v:fill on="f" focussize="0,0"/>
                        <v:stroke color="#000000" miterlimit="8" joinstyle="miter"/>
                        <v:imagedata o:title=""/>
                        <o:lock v:ext="edit" aspectratio="f"/>
                        <v:textbox>
                          <w:txbxContent>
                            <w:p w14:paraId="643D2B17">
                              <w:pPr>
                                <w:jc w:val="center"/>
                                <w:rPr>
                                  <w:szCs w:val="21"/>
                                </w:rPr>
                              </w:pPr>
                              <w:r>
                                <w:rPr>
                                  <w:rFonts w:hint="eastAsia" w:hAnsi="宋体"/>
                                  <w:szCs w:val="21"/>
                                </w:rPr>
                                <w:t>挖掘机采挖建筑用砂</w:t>
                              </w:r>
                            </w:p>
                          </w:txbxContent>
                        </v:textbox>
                      </v:shape>
                      <v:shape id="_x0000_s1026" o:spid="_x0000_s1026" o:spt="202" type="#_x0000_t202" style="position:absolute;left:1887855;top:1967230;height:297180;width:977900;" filled="f" stroked="t" coordsize="21600,21600" o:gfxdata="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htyrNQAAAAFAQAADwAAAAAA&#10;AAABACAAAAAiAAAAZHJzL2Rvd25yZXYueG1sUEsBAhQAFAAAAAgAh07iQBeMTu9QAgAAdgQAAA4A&#10;AAAAAAAAAQAgAAAAIwEAAGRycy9lMm9Eb2MueG1sUEsFBgAAAAAGAAYAWQEAAOUFAAAAAA==&#10;">
                        <v:fill on="f" focussize="0,0"/>
                        <v:stroke color="#000000" miterlimit="8" joinstyle="miter"/>
                        <v:imagedata o:title=""/>
                        <o:lock v:ext="edit" aspectratio="f"/>
                        <v:textbox>
                          <w:txbxContent>
                            <w:p w14:paraId="4F3875E0">
                              <w:pPr>
                                <w:jc w:val="center"/>
                                <w:rPr>
                                  <w:szCs w:val="21"/>
                                </w:rPr>
                              </w:pPr>
                              <w:r>
                                <w:rPr>
                                  <w:rFonts w:hint="eastAsia" w:hAnsi="宋体"/>
                                  <w:szCs w:val="21"/>
                                </w:rPr>
                                <w:t>转运外售</w:t>
                              </w:r>
                            </w:p>
                          </w:txbxContent>
                        </v:textbox>
                      </v:shape>
                      <v:shape id="_x0000_s1026" o:spid="_x0000_s1026" o:spt="32" type="#_x0000_t32" style="position:absolute;left:2336165;top:412115;flip:x;height:304800;width:5715;" filled="f" stroked="t" coordsize="21600,21600" o:gfxdata="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MnsjjVAAAABQEA&#10;AA8AAAAAAAAAAQAgAAAAIgAAAGRycy9kb3ducmV2LnhtbFBLAQIUABQAAAAIAIdO4kATPtvCHQIA&#10;APoDAAAOAAAAAAAAAAEAIAAAACQBAABkcnMvZTJvRG9jLnhtbFBLBQYAAAAABgAGAFkBAACzBQAA&#10;AAA=&#10;">
                        <v:fill on="f" focussize="0,0"/>
                        <v:stroke color="#000000 [3213]" miterlimit="8" joinstyle="miter" endarrow="block"/>
                        <v:imagedata o:title=""/>
                        <o:lock v:ext="edit" aspectratio="f"/>
                      </v:shape>
                      <v:shape id="_x0000_s1026" o:spid="_x0000_s1026" o:spt="32" type="#_x0000_t32" style="position:absolute;left:2364105;top:1043305;flip:x;height:304800;width:5715;" filled="f" stroked="t" coordsize="21600,21600" o:gfxdata="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yeyONUAAAAFAQAA&#10;DwAAAAAAAAABACAAAAAiAAAAZHJzL2Rvd25yZXYueG1sUEsBAhQAFAAAAAgAh07iQN3RGyQcAgAA&#10;+wMAAA4AAAAAAAAAAQAgAAAAJAEAAGRycy9lMm9Eb2MueG1sUEsFBgAAAAAGAAYAWQEAALIFAAAA&#10;AA==&#10;">
                        <v:fill on="f" focussize="0,0"/>
                        <v:stroke color="#000000 [3213]" miterlimit="8" joinstyle="miter" endarrow="block"/>
                        <v:imagedata o:title=""/>
                        <o:lock v:ext="edit" aspectratio="f"/>
                      </v:shape>
                      <v:shape id="_x0000_s1026" o:spid="_x0000_s1026" o:spt="32" type="#_x0000_t32" style="position:absolute;left:2351405;top:1659255;flip:x;height:304800;width:5715;" filled="f" stroked="t" coordsize="21600,21600" o:gfxdata="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zJ7I41QAAAAUB&#10;AAAPAAAAAAAAAAEAIAAAACIAAABkcnMvZG93bnJldi54bWxQSwECFAAUAAAACACHTuJAiVBrTB4C&#10;AAD7AwAADgAAAAAAAAABACAAAAAkAQAAZHJzL2Uyb0RvYy54bWxQSwUGAAAAAAYABgBZAQAAtAUA&#10;AAAA&#10;">
                        <v:fill on="f" focussize="0,0"/>
                        <v:stroke color="#000000 [3213]" miterlimit="8" joinstyle="miter" endarrow="block"/>
                        <v:imagedata o:title=""/>
                        <o:lock v:ext="edit" aspectratio="f"/>
                      </v:shape>
                      <v:shape id="_x0000_s1026" o:spid="_x0000_s1026" o:spt="202" type="#_x0000_t202" style="position:absolute;left:3361055;top:1970405;height:297815;width:1132205;" filled="f" stroked="f" coordsize="21600,21600" o:gfxdata="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GJTdu1gAAAAUBAAAPAAAAAAAAAAEAIAAAACIAAABkcnMvZG93bnJldi54bWxQ&#10;SwECFAAUAAAACACHTuJA2uRDr2sCAACfBAAADgAAAAAAAAABACAAAAAlAQAAZHJzL2Uyb0RvYy54&#10;bWxQSwUGAAAAAAYABgBZAQAAAgYAAAAA&#10;">
                        <v:fill on="f" focussize="0,0"/>
                        <v:stroke on="f" miterlimit="8" joinstyle="miter" dashstyle="1 1" endcap="square" endarrow="block"/>
                        <v:imagedata o:title=""/>
                        <o:lock v:ext="edit" aspectratio="f"/>
                        <v:textbox>
                          <w:txbxContent>
                            <w:p w14:paraId="0D015AB7">
                              <w:pPr>
                                <w:pStyle w:val="66"/>
                                <w:adjustRightInd/>
                                <w:spacing w:line="240" w:lineRule="auto"/>
                                <w:textAlignment w:val="auto"/>
                                <w:rPr>
                                  <w:szCs w:val="24"/>
                                </w:rPr>
                              </w:pPr>
                              <w:r>
                                <w:rPr>
                                  <w:rFonts w:hint="eastAsia"/>
                                  <w:szCs w:val="24"/>
                                </w:rPr>
                                <w:t>噪声、粉尘废气</w:t>
                              </w:r>
                            </w:p>
                          </w:txbxContent>
                        </v:textbox>
                      </v:shape>
                      <v:line id="_x0000_s1026" o:spid="_x0000_s1026" o:spt="20" style="position:absolute;left:3126105;top:1519555;height:635;width:485140;" filled="f" stroked="t" coordsize="21600,21600" o:gfxdata="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GdbUbV&#10;AAAABQEAAA8AAAAAAAAAAQAgAAAAIgAAAGRycy9kb3ducmV2LnhtbFBLAQIUABQAAAAIAIdO4kD8&#10;0tdcIwIAAAwEAAAOAAAAAAAAAAEAIAAAACQBAABkcnMvZTJvRG9jLnhtbFBLBQYAAAAABgAGAFkB&#10;AAC5BQAAAAA=&#10;">
                        <v:fill on="f" focussize="0,0"/>
                        <v:stroke color="#000000" joinstyle="round" dashstyle="1 1" endarrow="block"/>
                        <v:imagedata o:title=""/>
                        <o:lock v:ext="edit" aspectratio="f"/>
                      </v:line>
                      <v:line id="_x0000_s1026" o:spid="_x0000_s1026" o:spt="20" style="position:absolute;left:2884805;top:2122805;height:635;width:485140;" filled="f" stroked="t" coordsize="21600,21600" o:gfxdata="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nW1G1QAA&#10;AAUBAAAPAAAAAAAAAAEAIAAAACIAAABkcnMvZG93bnJldi54bWxQSwECFAAUAAAACACHTuJAmtNs&#10;JiECAAAMBAAADgAAAAAAAAABACAAAAAkAQAAZHJzL2Uyb0RvYy54bWxQSwUGAAAAAAYABgBZAQAA&#10;twUAAAAA&#10;">
                        <v:fill on="f" focussize="0,0"/>
                        <v:stroke color="#000000" joinstyle="round" dashstyle="1 1" endarrow="block"/>
                        <v:imagedata o:title=""/>
                        <o:lock v:ext="edit" aspectratio="f"/>
                      </v:line>
                      <w10:wrap type="none"/>
                      <w10:anchorlock/>
                    </v:group>
                  </w:pict>
                </mc:Fallback>
              </mc:AlternateContent>
            </w:r>
          </w:p>
          <w:p w14:paraId="4E4B118D">
            <w:pPr>
              <w:spacing w:before="120" w:beforeLines="50"/>
              <w:jc w:val="center"/>
              <w:rPr>
                <w:b/>
                <w:bCs/>
                <w:color w:val="auto"/>
              </w:rPr>
            </w:pPr>
            <w:r>
              <w:rPr>
                <w:b/>
                <w:bCs/>
                <w:color w:val="auto"/>
              </w:rPr>
              <w:t>图</w:t>
            </w:r>
            <w:r>
              <w:rPr>
                <w:rFonts w:hint="eastAsia"/>
                <w:b/>
                <w:bCs/>
                <w:color w:val="auto"/>
              </w:rPr>
              <w:t>4-1</w:t>
            </w:r>
            <w:r>
              <w:rPr>
                <w:b/>
                <w:bCs/>
                <w:color w:val="auto"/>
              </w:rPr>
              <w:t xml:space="preserve">   采矿生产工艺流程及产污环节图</w:t>
            </w:r>
          </w:p>
          <w:p w14:paraId="30ED2DD5">
            <w:pPr>
              <w:adjustRightInd w:val="0"/>
              <w:snapToGrid w:val="0"/>
              <w:spacing w:line="360" w:lineRule="auto"/>
              <w:ind w:firstLine="480" w:firstLineChars="200"/>
              <w:rPr>
                <w:color w:val="auto"/>
                <w:sz w:val="24"/>
              </w:rPr>
            </w:pPr>
            <w:r>
              <w:rPr>
                <w:rFonts w:hint="eastAsia"/>
                <w:color w:val="auto"/>
                <w:sz w:val="24"/>
              </w:rPr>
              <w:t>采矿工艺流程说明：</w:t>
            </w:r>
          </w:p>
          <w:p w14:paraId="16041587">
            <w:pPr>
              <w:adjustRightInd w:val="0"/>
              <w:snapToGrid w:val="0"/>
              <w:spacing w:line="360" w:lineRule="auto"/>
              <w:ind w:firstLine="480" w:firstLineChars="200"/>
              <w:rPr>
                <w:color w:val="auto"/>
                <w:sz w:val="24"/>
              </w:rPr>
            </w:pPr>
            <w:r>
              <w:rPr>
                <w:rFonts w:hint="eastAsia"/>
                <w:color w:val="auto"/>
                <w:sz w:val="24"/>
              </w:rPr>
              <w:t>（1）采剥方法</w:t>
            </w:r>
          </w:p>
          <w:p w14:paraId="35BAAB05">
            <w:pPr>
              <w:adjustRightInd w:val="0"/>
              <w:snapToGrid w:val="0"/>
              <w:spacing w:line="360" w:lineRule="auto"/>
              <w:ind w:firstLine="480" w:firstLineChars="200"/>
              <w:rPr>
                <w:color w:val="auto"/>
                <w:sz w:val="24"/>
              </w:rPr>
            </w:pPr>
            <w:r>
              <w:rPr>
                <w:rFonts w:hint="eastAsia"/>
                <w:color w:val="auto"/>
                <w:sz w:val="24"/>
              </w:rPr>
              <w:t>矿山采用凹陷露天开采方式。露天开采基础建设工程量小、基础建设投资小、基础建设期短、投产快、达产快，而且开采期生产剥采比低、成本低、安全性好，有利于提高矿区开采的经济效益。矿区开阔平坦，露天采场以分段式开采，使用挖掘机或装载机直接进行铲装。</w:t>
            </w:r>
          </w:p>
          <w:p w14:paraId="553FA386">
            <w:pPr>
              <w:adjustRightInd w:val="0"/>
              <w:snapToGrid w:val="0"/>
              <w:spacing w:line="360" w:lineRule="auto"/>
              <w:ind w:firstLine="480" w:firstLineChars="200"/>
              <w:rPr>
                <w:color w:val="auto"/>
                <w:sz w:val="24"/>
              </w:rPr>
            </w:pPr>
            <w:r>
              <w:rPr>
                <w:rFonts w:hint="eastAsia"/>
                <w:color w:val="auto"/>
                <w:sz w:val="24"/>
              </w:rPr>
              <w:t>（2）矿石运输及排土</w:t>
            </w:r>
          </w:p>
          <w:p w14:paraId="05713B2D">
            <w:pPr>
              <w:adjustRightInd w:val="0"/>
              <w:snapToGrid w:val="0"/>
              <w:spacing w:line="360" w:lineRule="auto"/>
              <w:ind w:firstLine="480" w:firstLineChars="200"/>
              <w:rPr>
                <w:color w:val="auto"/>
                <w:sz w:val="24"/>
              </w:rPr>
            </w:pPr>
            <w:r>
              <w:rPr>
                <w:rFonts w:hint="eastAsia"/>
                <w:color w:val="auto"/>
                <w:sz w:val="24"/>
              </w:rPr>
              <w:t>项目生产初期产生的表层剥离物临时堆放于矿区内表土堆场，并进行苫盖。之后的生产过程中产生的表层剥离物随即回填之前采坑，并进行平整。</w:t>
            </w:r>
          </w:p>
          <w:p w14:paraId="63F7EB9C">
            <w:pPr>
              <w:adjustRightInd w:val="0"/>
              <w:snapToGrid w:val="0"/>
              <w:spacing w:line="360" w:lineRule="auto"/>
              <w:ind w:firstLine="480" w:firstLineChars="200"/>
              <w:rPr>
                <w:color w:val="auto"/>
                <w:sz w:val="24"/>
              </w:rPr>
            </w:pPr>
            <w:r>
              <w:rPr>
                <w:rFonts w:hint="eastAsia"/>
                <w:color w:val="auto"/>
                <w:sz w:val="24"/>
              </w:rPr>
              <w:t>表层剥离后的矿石用挖掘机或装载机将矿石装入自卸载重汽车。</w:t>
            </w:r>
            <w:r>
              <w:rPr>
                <w:rFonts w:hint="eastAsia"/>
                <w:bCs/>
                <w:snapToGrid w:val="0"/>
                <w:color w:val="auto"/>
                <w:kern w:val="0"/>
                <w:sz w:val="24"/>
              </w:rPr>
              <w:t>本项目开挖的建筑用砂不在现场堆场，采用即挖即运方式，及时将开挖建筑用砂由</w:t>
            </w:r>
            <w:r>
              <w:rPr>
                <w:rFonts w:hint="eastAsia"/>
                <w:color w:val="auto"/>
                <w:sz w:val="24"/>
              </w:rPr>
              <w:t>建筑用砂加工企业</w:t>
            </w:r>
            <w:r>
              <w:rPr>
                <w:rFonts w:hint="eastAsia"/>
                <w:bCs/>
                <w:snapToGrid w:val="0"/>
                <w:color w:val="auto"/>
                <w:kern w:val="0"/>
                <w:sz w:val="24"/>
              </w:rPr>
              <w:t>负责拉运至目标地。</w:t>
            </w:r>
          </w:p>
          <w:p w14:paraId="3916BDB4">
            <w:pPr>
              <w:tabs>
                <w:tab w:val="left" w:pos="6090"/>
              </w:tabs>
              <w:spacing w:line="360" w:lineRule="auto"/>
              <w:rPr>
                <w:b/>
                <w:bCs/>
                <w:color w:val="auto"/>
                <w:sz w:val="24"/>
              </w:rPr>
            </w:pPr>
            <w:r>
              <w:rPr>
                <w:b/>
                <w:bCs/>
                <w:color w:val="auto"/>
                <w:sz w:val="24"/>
              </w:rPr>
              <w:t>2、运营期生态环境影响分析</w:t>
            </w:r>
          </w:p>
          <w:p w14:paraId="387869CC">
            <w:pPr>
              <w:spacing w:line="372" w:lineRule="auto"/>
              <w:rPr>
                <w:b/>
                <w:bCs/>
                <w:color w:val="auto"/>
                <w:sz w:val="24"/>
              </w:rPr>
            </w:pPr>
            <w:r>
              <w:rPr>
                <w:rFonts w:hint="eastAsia"/>
                <w:b/>
                <w:bCs/>
                <w:color w:val="auto"/>
                <w:sz w:val="24"/>
              </w:rPr>
              <w:t>2.1</w:t>
            </w:r>
            <w:r>
              <w:rPr>
                <w:rFonts w:hint="eastAsia"/>
                <w:b/>
                <w:bCs/>
                <w:color w:val="auto"/>
                <w:sz w:val="24"/>
                <w:lang w:val="en-US" w:eastAsia="zh-CN"/>
              </w:rPr>
              <w:t>对土地利用影响分析</w:t>
            </w:r>
          </w:p>
          <w:p w14:paraId="3989F1FF">
            <w:pPr>
              <w:spacing w:line="372" w:lineRule="auto"/>
              <w:ind w:firstLine="480" w:firstLineChars="200"/>
              <w:rPr>
                <w:rFonts w:hint="eastAsia"/>
                <w:color w:val="auto"/>
                <w:sz w:val="24"/>
              </w:rPr>
            </w:pPr>
            <w:r>
              <w:rPr>
                <w:rFonts w:hint="eastAsia"/>
                <w:color w:val="auto"/>
                <w:sz w:val="24"/>
              </w:rPr>
              <w:t>本项目矿区范围为301800m</w:t>
            </w:r>
            <w:r>
              <w:rPr>
                <w:rFonts w:hint="eastAsia"/>
                <w:color w:val="auto"/>
                <w:sz w:val="24"/>
                <w:vertAlign w:val="superscript"/>
              </w:rPr>
              <w:t>2</w:t>
            </w:r>
            <w:r>
              <w:rPr>
                <w:rFonts w:hint="eastAsia"/>
                <w:color w:val="auto"/>
                <w:sz w:val="24"/>
              </w:rPr>
              <w:t>，开采过程占地主要为露天采区、矿区道路、表土堆场等占地，土地利用类型均为其他草地。项目实施后，原有的用地性质均变为工矿用地，</w:t>
            </w:r>
            <w:r>
              <w:rPr>
                <w:rFonts w:hint="eastAsia"/>
                <w:color w:val="auto"/>
                <w:sz w:val="24"/>
                <w:lang w:val="en-US" w:eastAsia="zh-CN"/>
              </w:rPr>
              <w:t>项目</w:t>
            </w:r>
            <w:r>
              <w:rPr>
                <w:rFonts w:hint="eastAsia"/>
                <w:color w:val="auto"/>
                <w:sz w:val="24"/>
              </w:rPr>
              <w:t>永久性占地使地表土壤被清除或覆盖，从而改变了所占区域地表覆盖层的类型和性质，使地表土壤不可恢复。项目采取边开采边恢复的方式进行土地复垦和矿山恢复，这样土地使用功能仅短期内发生变化，随着复垦和恢复工作的进行，占用土地逐步恢复其原有功能。在采取相关措施后，整体上不会改变评价区内现有的土地利用类型的基本格局。</w:t>
            </w:r>
          </w:p>
          <w:p w14:paraId="0EE1AEF3">
            <w:pPr>
              <w:spacing w:line="372" w:lineRule="auto"/>
              <w:rPr>
                <w:b/>
                <w:bCs/>
                <w:color w:val="auto"/>
                <w:sz w:val="24"/>
              </w:rPr>
            </w:pPr>
            <w:r>
              <w:rPr>
                <w:rFonts w:hint="eastAsia"/>
                <w:b/>
                <w:bCs/>
                <w:color w:val="auto"/>
                <w:sz w:val="24"/>
              </w:rPr>
              <w:t>2.2对植被的影响分析</w:t>
            </w:r>
          </w:p>
          <w:p w14:paraId="3F94CBC4">
            <w:pPr>
              <w:spacing w:line="372" w:lineRule="auto"/>
              <w:ind w:firstLine="480" w:firstLineChars="20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lang w:val="en-US" w:eastAsia="zh-CN"/>
              </w:rPr>
              <w:t>植被影响分析</w:t>
            </w:r>
          </w:p>
          <w:p w14:paraId="4E1F93E7">
            <w:pPr>
              <w:spacing w:line="372" w:lineRule="auto"/>
              <w:ind w:firstLine="480" w:firstLineChars="200"/>
              <w:rPr>
                <w:rFonts w:hint="eastAsia"/>
                <w:color w:val="auto"/>
                <w:sz w:val="24"/>
              </w:rPr>
            </w:pPr>
            <w:r>
              <w:rPr>
                <w:rFonts w:hint="eastAsia"/>
                <w:color w:val="auto"/>
                <w:sz w:val="24"/>
              </w:rPr>
              <w:t>工程建设不可避免的破坏、扰动原地形地貌和植被，本项目工程所在区域内没有需要特殊保护的自然植被物种及农业特殊保护物种。</w:t>
            </w:r>
          </w:p>
          <w:p w14:paraId="488B77EA">
            <w:pPr>
              <w:spacing w:line="372" w:lineRule="auto"/>
              <w:ind w:firstLine="480" w:firstLineChars="200"/>
              <w:rPr>
                <w:rFonts w:hint="eastAsia"/>
                <w:color w:val="auto"/>
                <w:sz w:val="24"/>
              </w:rPr>
            </w:pPr>
            <w:r>
              <w:rPr>
                <w:rFonts w:hint="eastAsia"/>
                <w:color w:val="auto"/>
                <w:sz w:val="24"/>
              </w:rPr>
              <w:t>工程严格控制施工范围，运营期满后进行土地复垦，因此相对于整个区域而言，本项目的建设对植物区系、植被类型的影响较小，不会引起当地生态多样性的降低。</w:t>
            </w:r>
          </w:p>
          <w:p w14:paraId="67414A67">
            <w:pPr>
              <w:spacing w:line="372" w:lineRule="auto"/>
              <w:ind w:firstLine="480" w:firstLineChars="200"/>
              <w:rPr>
                <w:color w:val="auto"/>
                <w:sz w:val="24"/>
              </w:rPr>
            </w:pPr>
            <w:r>
              <w:rPr>
                <w:rFonts w:hint="eastAsia"/>
                <w:color w:val="auto"/>
                <w:sz w:val="24"/>
              </w:rPr>
              <w:t>本项目采矿区域植被稀疏，植被覆盖率较低，露天采场、表土堆场等在开采活动结束后即进行复垦，降低其毁坏影响。在开采活动结束后对其自然恢复，地表植被基本能恢复。</w:t>
            </w:r>
          </w:p>
          <w:p w14:paraId="4ED02E1B">
            <w:pPr>
              <w:spacing w:line="372" w:lineRule="auto"/>
              <w:ind w:firstLine="480" w:firstLineChars="200"/>
              <w:rPr>
                <w:rFonts w:hint="eastAsia"/>
                <w:color w:val="auto"/>
                <w:sz w:val="24"/>
              </w:rPr>
            </w:pPr>
            <w:r>
              <w:rPr>
                <w:rFonts w:hint="eastAsia"/>
                <w:color w:val="auto"/>
                <w:sz w:val="24"/>
              </w:rPr>
              <w:t>其次，对植被的影响还表现在污染物排放对植被的不利影响。开采过程产生的扬尘对植被生长将产生影响，扬尘产生的颗粒物在植物的叶、茎、花、果实上沉降而对植物产生直接影响。沉降物在植物表面以干粉尘、泥膜等形式累积，植物表面上的沉降物覆盖层阻塞气孔，导致气体交换减少，叶片温度升高，光合作用下降，使植物受到影响。一般而言，大范围内很低浓度的颗粒物慢性沉降不至于对自然生态系统产生不利影响，只有当颗粒物的沉降速率很高时才会造成生态问题。大气中污染物对植物的伤害程度还取决于环境中风、光、温度、土壤和地形特点。风力的大小，持续时间的长短，直接影响空气中污染物浓度；光照强度能够影响植物气孔的开关和其他生理活动，决定有毒气体伤害程度；降雨能减少大气污染，但在大气稳定的阴雨条件下则对植物很不利。特别是毛细雨，使叶片表面湿润，容易吸附和溶解大量有毒物质，使植物受害加重。总体上，矿山开采大气污染物排放量不大，再采取相应的污染防治措施后，大气污染物排放量较小，对区域植被的不利影响较小。</w:t>
            </w:r>
          </w:p>
          <w:p w14:paraId="52F3CC5B">
            <w:pPr>
              <w:spacing w:line="372" w:lineRule="auto"/>
              <w:ind w:firstLine="480" w:firstLineChars="20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运营期对植被生物量损失的计算</w:t>
            </w:r>
          </w:p>
          <w:p w14:paraId="44F32074">
            <w:pPr>
              <w:spacing w:line="372" w:lineRule="auto"/>
              <w:ind w:firstLine="480" w:firstLineChars="200"/>
              <w:rPr>
                <w:rFonts w:hint="eastAsia"/>
                <w:snapToGrid w:val="0"/>
                <w:color w:val="auto"/>
                <w:kern w:val="0"/>
                <w:sz w:val="24"/>
              </w:rPr>
            </w:pPr>
            <w:r>
              <w:rPr>
                <w:rFonts w:hint="eastAsia"/>
                <w:color w:val="auto"/>
                <w:sz w:val="24"/>
              </w:rPr>
              <w:t>项目占地为</w:t>
            </w:r>
            <w:r>
              <w:rPr>
                <w:rFonts w:hint="eastAsia"/>
                <w:color w:val="auto"/>
                <w:sz w:val="24"/>
                <w:lang w:val="en-US" w:eastAsia="zh-CN"/>
              </w:rPr>
              <w:t>其他</w:t>
            </w:r>
            <w:r>
              <w:rPr>
                <w:rFonts w:hint="eastAsia"/>
                <w:color w:val="auto"/>
                <w:sz w:val="24"/>
              </w:rPr>
              <w:t>草地，工程扰动</w:t>
            </w:r>
            <w:r>
              <w:rPr>
                <w:rFonts w:hint="eastAsia"/>
                <w:color w:val="auto"/>
                <w:sz w:val="24"/>
                <w:lang w:val="en-US" w:eastAsia="zh-CN"/>
              </w:rPr>
              <w:t>区域主要为露天采场、矿区道路及表土堆场</w:t>
            </w:r>
            <w:r>
              <w:rPr>
                <w:rFonts w:hint="eastAsia"/>
                <w:color w:val="auto"/>
                <w:sz w:val="24"/>
              </w:rPr>
              <w:t>，草场等级为</w:t>
            </w:r>
            <w:r>
              <w:rPr>
                <w:rFonts w:hint="eastAsia"/>
                <w:snapToGrid w:val="0"/>
                <w:color w:val="auto"/>
                <w:kern w:val="0"/>
                <w:sz w:val="24"/>
              </w:rPr>
              <w:t>四等六级</w:t>
            </w:r>
            <w:r>
              <w:rPr>
                <w:rFonts w:hint="eastAsia"/>
                <w:color w:val="auto"/>
                <w:sz w:val="24"/>
              </w:rPr>
              <w:t>，类型为荒漠类草原，根据《中国北方重点牧区草场资源调查大纲及技术规程》，</w:t>
            </w:r>
            <w:r>
              <w:rPr>
                <w:rFonts w:hint="eastAsia"/>
                <w:snapToGrid w:val="0"/>
                <w:color w:val="auto"/>
                <w:kern w:val="0"/>
                <w:sz w:val="24"/>
              </w:rPr>
              <w:t>四等六级产草量约为</w:t>
            </w:r>
            <w:r>
              <w:rPr>
                <w:rFonts w:hint="eastAsia"/>
                <w:snapToGrid w:val="0"/>
                <w:color w:val="auto"/>
                <w:kern w:val="0"/>
                <w:sz w:val="24"/>
                <w:lang w:val="en-US" w:eastAsia="zh-CN"/>
              </w:rPr>
              <w:t>25</w:t>
            </w:r>
            <w:r>
              <w:rPr>
                <w:rFonts w:hint="eastAsia"/>
                <w:snapToGrid w:val="0"/>
                <w:color w:val="auto"/>
                <w:kern w:val="0"/>
                <w:sz w:val="24"/>
              </w:rPr>
              <w:t>00kg/hm</w:t>
            </w:r>
            <w:r>
              <w:rPr>
                <w:rFonts w:hint="eastAsia"/>
                <w:snapToGrid w:val="0"/>
                <w:color w:val="auto"/>
                <w:kern w:val="0"/>
                <w:sz w:val="24"/>
                <w:vertAlign w:val="superscript"/>
              </w:rPr>
              <w:t>2</w:t>
            </w:r>
            <w:r>
              <w:rPr>
                <w:rFonts w:hint="eastAsia"/>
                <w:snapToGrid w:val="0"/>
                <w:color w:val="auto"/>
                <w:kern w:val="0"/>
                <w:sz w:val="24"/>
              </w:rPr>
              <w:t>，工程占地造成的生物量损失见表</w:t>
            </w:r>
            <w:r>
              <w:rPr>
                <w:rFonts w:hint="eastAsia"/>
                <w:snapToGrid w:val="0"/>
                <w:color w:val="auto"/>
                <w:kern w:val="0"/>
                <w:sz w:val="24"/>
                <w:lang w:val="en-US" w:eastAsia="zh-CN"/>
              </w:rPr>
              <w:t>4-3</w:t>
            </w:r>
            <w:r>
              <w:rPr>
                <w:rFonts w:hint="eastAsia"/>
                <w:snapToGrid w:val="0"/>
                <w:color w:val="auto"/>
                <w:kern w:val="0"/>
                <w:sz w:val="24"/>
              </w:rPr>
              <w:t>。</w:t>
            </w:r>
          </w:p>
          <w:p w14:paraId="552B5C8A">
            <w:pPr>
              <w:pStyle w:val="16"/>
              <w:snapToGrid/>
              <w:spacing w:before="0" w:after="0" w:line="240" w:lineRule="auto"/>
              <w:ind w:right="0"/>
              <w:jc w:val="center"/>
              <w:rPr>
                <w:rFonts w:hint="eastAsia"/>
                <w:b/>
                <w:bCs/>
                <w:color w:val="auto"/>
                <w:sz w:val="21"/>
                <w:szCs w:val="21"/>
                <w:lang w:val="en-US" w:eastAsia="zh-CN"/>
              </w:rPr>
            </w:pPr>
            <w:r>
              <w:rPr>
                <w:rFonts w:hint="eastAsia"/>
                <w:b/>
                <w:bCs/>
                <w:color w:val="auto"/>
                <w:sz w:val="21"/>
                <w:szCs w:val="21"/>
                <w:lang w:val="en-US" w:eastAsia="zh-CN"/>
              </w:rPr>
              <w:t>表4-3    生物量损失估算表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1260"/>
              <w:gridCol w:w="1150"/>
              <w:gridCol w:w="1230"/>
              <w:gridCol w:w="2679"/>
            </w:tblGrid>
            <w:tr w14:paraId="6F48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restart"/>
                  <w:vAlign w:val="center"/>
                </w:tcPr>
                <w:p w14:paraId="5BB3EF14">
                  <w:pPr>
                    <w:pStyle w:val="92"/>
                    <w:jc w:val="center"/>
                    <w:rPr>
                      <w:color w:val="auto"/>
                      <w:szCs w:val="21"/>
                    </w:rPr>
                  </w:pPr>
                  <w:r>
                    <w:rPr>
                      <w:color w:val="auto"/>
                      <w:szCs w:val="21"/>
                    </w:rPr>
                    <w:t>项目</w:t>
                  </w:r>
                </w:p>
              </w:tc>
              <w:tc>
                <w:tcPr>
                  <w:tcW w:w="771" w:type="pct"/>
                  <w:vMerge w:val="restart"/>
                  <w:vAlign w:val="center"/>
                </w:tcPr>
                <w:p w14:paraId="639993CC">
                  <w:pPr>
                    <w:pStyle w:val="92"/>
                    <w:jc w:val="center"/>
                    <w:rPr>
                      <w:color w:val="auto"/>
                      <w:szCs w:val="21"/>
                    </w:rPr>
                  </w:pPr>
                  <w:r>
                    <w:rPr>
                      <w:color w:val="auto"/>
                      <w:szCs w:val="21"/>
                    </w:rPr>
                    <w:t>面积（hm</w:t>
                  </w:r>
                  <w:r>
                    <w:rPr>
                      <w:color w:val="auto"/>
                      <w:szCs w:val="21"/>
                      <w:vertAlign w:val="superscript"/>
                    </w:rPr>
                    <w:t>2</w:t>
                  </w:r>
                  <w:r>
                    <w:rPr>
                      <w:color w:val="auto"/>
                      <w:szCs w:val="21"/>
                    </w:rPr>
                    <w:t>）</w:t>
                  </w:r>
                </w:p>
              </w:tc>
              <w:tc>
                <w:tcPr>
                  <w:tcW w:w="703" w:type="pct"/>
                  <w:vMerge w:val="restart"/>
                  <w:vAlign w:val="center"/>
                </w:tcPr>
                <w:p w14:paraId="3279005F">
                  <w:pPr>
                    <w:pStyle w:val="92"/>
                    <w:jc w:val="center"/>
                    <w:rPr>
                      <w:color w:val="auto"/>
                      <w:szCs w:val="21"/>
                    </w:rPr>
                  </w:pPr>
                  <w:r>
                    <w:rPr>
                      <w:color w:val="auto"/>
                      <w:szCs w:val="21"/>
                    </w:rPr>
                    <w:t>破坏方式</w:t>
                  </w:r>
                </w:p>
              </w:tc>
              <w:tc>
                <w:tcPr>
                  <w:tcW w:w="752" w:type="pct"/>
                  <w:vMerge w:val="restart"/>
                  <w:vAlign w:val="center"/>
                </w:tcPr>
                <w:p w14:paraId="5376E633">
                  <w:pPr>
                    <w:pStyle w:val="92"/>
                    <w:jc w:val="center"/>
                    <w:rPr>
                      <w:color w:val="auto"/>
                      <w:szCs w:val="21"/>
                    </w:rPr>
                  </w:pPr>
                  <w:r>
                    <w:rPr>
                      <w:color w:val="auto"/>
                      <w:szCs w:val="21"/>
                    </w:rPr>
                    <w:t>占地类型</w:t>
                  </w:r>
                </w:p>
              </w:tc>
              <w:tc>
                <w:tcPr>
                  <w:tcW w:w="1639" w:type="pct"/>
                  <w:vMerge w:val="restart"/>
                  <w:vAlign w:val="center"/>
                </w:tcPr>
                <w:p w14:paraId="45805EDA">
                  <w:pPr>
                    <w:pStyle w:val="92"/>
                    <w:jc w:val="center"/>
                    <w:rPr>
                      <w:rFonts w:hint="default" w:eastAsia="宋体"/>
                      <w:color w:val="auto"/>
                      <w:szCs w:val="21"/>
                      <w:lang w:val="en-US" w:eastAsia="zh-CN"/>
                    </w:rPr>
                  </w:pPr>
                  <w:r>
                    <w:rPr>
                      <w:rFonts w:hint="eastAsia"/>
                      <w:color w:val="auto"/>
                      <w:szCs w:val="21"/>
                      <w:lang w:val="en-US" w:eastAsia="zh-CN"/>
                    </w:rPr>
                    <w:t>生物量t</w:t>
                  </w:r>
                </w:p>
              </w:tc>
            </w:tr>
            <w:tr w14:paraId="03CD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continue"/>
                  <w:vAlign w:val="center"/>
                </w:tcPr>
                <w:p w14:paraId="458DB6D9">
                  <w:pPr>
                    <w:pStyle w:val="92"/>
                    <w:jc w:val="center"/>
                    <w:rPr>
                      <w:color w:val="auto"/>
                      <w:szCs w:val="21"/>
                    </w:rPr>
                  </w:pPr>
                </w:p>
              </w:tc>
              <w:tc>
                <w:tcPr>
                  <w:tcW w:w="771" w:type="pct"/>
                  <w:vMerge w:val="continue"/>
                  <w:vAlign w:val="center"/>
                </w:tcPr>
                <w:p w14:paraId="102E86CE">
                  <w:pPr>
                    <w:pStyle w:val="92"/>
                    <w:jc w:val="center"/>
                    <w:rPr>
                      <w:color w:val="auto"/>
                      <w:szCs w:val="21"/>
                    </w:rPr>
                  </w:pPr>
                </w:p>
              </w:tc>
              <w:tc>
                <w:tcPr>
                  <w:tcW w:w="703" w:type="pct"/>
                  <w:vMerge w:val="continue"/>
                  <w:vAlign w:val="center"/>
                </w:tcPr>
                <w:p w14:paraId="7960E5ED">
                  <w:pPr>
                    <w:pStyle w:val="92"/>
                    <w:jc w:val="center"/>
                    <w:rPr>
                      <w:color w:val="auto"/>
                      <w:szCs w:val="21"/>
                    </w:rPr>
                  </w:pPr>
                </w:p>
              </w:tc>
              <w:tc>
                <w:tcPr>
                  <w:tcW w:w="752" w:type="pct"/>
                  <w:vMerge w:val="continue"/>
                  <w:vAlign w:val="center"/>
                </w:tcPr>
                <w:p w14:paraId="26814002">
                  <w:pPr>
                    <w:pStyle w:val="92"/>
                    <w:jc w:val="center"/>
                    <w:rPr>
                      <w:color w:val="auto"/>
                      <w:szCs w:val="21"/>
                    </w:rPr>
                  </w:pPr>
                </w:p>
              </w:tc>
              <w:tc>
                <w:tcPr>
                  <w:tcW w:w="1639" w:type="pct"/>
                  <w:vMerge w:val="continue"/>
                  <w:vAlign w:val="center"/>
                </w:tcPr>
                <w:p w14:paraId="2CC91412">
                  <w:pPr>
                    <w:pStyle w:val="92"/>
                    <w:jc w:val="center"/>
                    <w:rPr>
                      <w:color w:val="auto"/>
                      <w:szCs w:val="21"/>
                    </w:rPr>
                  </w:pPr>
                </w:p>
              </w:tc>
            </w:tr>
            <w:tr w14:paraId="1C7B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5EB29B47">
                  <w:pPr>
                    <w:pStyle w:val="92"/>
                    <w:jc w:val="center"/>
                    <w:rPr>
                      <w:color w:val="auto"/>
                      <w:szCs w:val="21"/>
                    </w:rPr>
                  </w:pPr>
                  <w:r>
                    <w:rPr>
                      <w:color w:val="auto"/>
                      <w:szCs w:val="21"/>
                    </w:rPr>
                    <w:t>露天采场</w:t>
                  </w:r>
                </w:p>
              </w:tc>
              <w:tc>
                <w:tcPr>
                  <w:tcW w:w="771" w:type="pct"/>
                  <w:vAlign w:val="center"/>
                </w:tcPr>
                <w:p w14:paraId="4DCABE4C">
                  <w:pPr>
                    <w:pStyle w:val="92"/>
                    <w:jc w:val="center"/>
                    <w:rPr>
                      <w:color w:val="auto"/>
                      <w:szCs w:val="21"/>
                    </w:rPr>
                  </w:pPr>
                  <w:r>
                    <w:rPr>
                      <w:rFonts w:hint="eastAsia"/>
                      <w:color w:val="auto"/>
                      <w:szCs w:val="21"/>
                    </w:rPr>
                    <w:t>30.18</w:t>
                  </w:r>
                </w:p>
              </w:tc>
              <w:tc>
                <w:tcPr>
                  <w:tcW w:w="703" w:type="pct"/>
                  <w:vAlign w:val="center"/>
                </w:tcPr>
                <w:p w14:paraId="1DE0B292">
                  <w:pPr>
                    <w:pStyle w:val="92"/>
                    <w:jc w:val="center"/>
                    <w:rPr>
                      <w:color w:val="auto"/>
                      <w:szCs w:val="21"/>
                    </w:rPr>
                  </w:pPr>
                  <w:r>
                    <w:rPr>
                      <w:color w:val="auto"/>
                      <w:szCs w:val="21"/>
                    </w:rPr>
                    <w:t>挖损</w:t>
                  </w:r>
                </w:p>
              </w:tc>
              <w:tc>
                <w:tcPr>
                  <w:tcW w:w="752" w:type="pct"/>
                  <w:vMerge w:val="restart"/>
                  <w:vAlign w:val="center"/>
                </w:tcPr>
                <w:p w14:paraId="6DFABC09">
                  <w:pPr>
                    <w:pStyle w:val="92"/>
                    <w:jc w:val="center"/>
                    <w:rPr>
                      <w:color w:val="auto"/>
                      <w:szCs w:val="21"/>
                    </w:rPr>
                  </w:pPr>
                  <w:r>
                    <w:rPr>
                      <w:rFonts w:hint="eastAsia"/>
                      <w:color w:val="auto"/>
                      <w:szCs w:val="21"/>
                    </w:rPr>
                    <w:t>其他草地</w:t>
                  </w:r>
                </w:p>
              </w:tc>
              <w:tc>
                <w:tcPr>
                  <w:tcW w:w="1639" w:type="pct"/>
                  <w:vAlign w:val="center"/>
                </w:tcPr>
                <w:p w14:paraId="77F0F351">
                  <w:pPr>
                    <w:pStyle w:val="92"/>
                    <w:jc w:val="center"/>
                    <w:rPr>
                      <w:rFonts w:hint="default" w:eastAsia="宋体"/>
                      <w:color w:val="auto"/>
                      <w:szCs w:val="21"/>
                      <w:lang w:val="en-US" w:eastAsia="zh-CN"/>
                    </w:rPr>
                  </w:pPr>
                  <w:r>
                    <w:rPr>
                      <w:rFonts w:hint="eastAsia"/>
                      <w:color w:val="auto"/>
                      <w:szCs w:val="21"/>
                      <w:lang w:val="en-US" w:eastAsia="zh-CN"/>
                    </w:rPr>
                    <w:t>75.45</w:t>
                  </w:r>
                </w:p>
              </w:tc>
            </w:tr>
            <w:tr w14:paraId="6D95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2DAD6249">
                  <w:pPr>
                    <w:pStyle w:val="92"/>
                    <w:jc w:val="center"/>
                    <w:rPr>
                      <w:color w:val="auto"/>
                      <w:szCs w:val="21"/>
                    </w:rPr>
                  </w:pPr>
                  <w:r>
                    <w:rPr>
                      <w:color w:val="auto"/>
                      <w:szCs w:val="21"/>
                    </w:rPr>
                    <w:t>矿区道路</w:t>
                  </w:r>
                </w:p>
              </w:tc>
              <w:tc>
                <w:tcPr>
                  <w:tcW w:w="771" w:type="pct"/>
                  <w:vAlign w:val="center"/>
                </w:tcPr>
                <w:p w14:paraId="1C7C48DD">
                  <w:pPr>
                    <w:pStyle w:val="92"/>
                    <w:jc w:val="center"/>
                    <w:rPr>
                      <w:color w:val="auto"/>
                      <w:szCs w:val="21"/>
                    </w:rPr>
                  </w:pPr>
                  <w:r>
                    <w:rPr>
                      <w:color w:val="auto"/>
                      <w:szCs w:val="21"/>
                    </w:rPr>
                    <w:t>0.</w:t>
                  </w:r>
                  <w:r>
                    <w:rPr>
                      <w:rFonts w:hint="eastAsia"/>
                      <w:color w:val="auto"/>
                      <w:szCs w:val="21"/>
                    </w:rPr>
                    <w:t>6</w:t>
                  </w:r>
                </w:p>
              </w:tc>
              <w:tc>
                <w:tcPr>
                  <w:tcW w:w="703" w:type="pct"/>
                  <w:vAlign w:val="center"/>
                </w:tcPr>
                <w:p w14:paraId="55F0F99A">
                  <w:pPr>
                    <w:pStyle w:val="92"/>
                    <w:jc w:val="center"/>
                    <w:rPr>
                      <w:color w:val="auto"/>
                      <w:szCs w:val="21"/>
                    </w:rPr>
                  </w:pPr>
                  <w:r>
                    <w:rPr>
                      <w:color w:val="auto"/>
                      <w:szCs w:val="21"/>
                    </w:rPr>
                    <w:t>压占</w:t>
                  </w:r>
                </w:p>
              </w:tc>
              <w:tc>
                <w:tcPr>
                  <w:tcW w:w="752" w:type="pct"/>
                  <w:vMerge w:val="continue"/>
                  <w:vAlign w:val="center"/>
                </w:tcPr>
                <w:p w14:paraId="30BB844E">
                  <w:pPr>
                    <w:pStyle w:val="92"/>
                    <w:jc w:val="center"/>
                    <w:rPr>
                      <w:color w:val="auto"/>
                      <w:szCs w:val="21"/>
                    </w:rPr>
                  </w:pPr>
                </w:p>
              </w:tc>
              <w:tc>
                <w:tcPr>
                  <w:tcW w:w="1639" w:type="pct"/>
                  <w:vAlign w:val="center"/>
                </w:tcPr>
                <w:p w14:paraId="13425F05">
                  <w:pPr>
                    <w:pStyle w:val="92"/>
                    <w:jc w:val="center"/>
                    <w:rPr>
                      <w:rFonts w:hint="default" w:eastAsia="宋体"/>
                      <w:color w:val="auto"/>
                      <w:szCs w:val="21"/>
                      <w:lang w:val="en-US" w:eastAsia="zh-CN"/>
                    </w:rPr>
                  </w:pPr>
                  <w:r>
                    <w:rPr>
                      <w:rFonts w:hint="eastAsia"/>
                      <w:color w:val="auto"/>
                      <w:szCs w:val="21"/>
                      <w:lang w:val="en-US" w:eastAsia="zh-CN"/>
                    </w:rPr>
                    <w:t>1.5</w:t>
                  </w:r>
                </w:p>
              </w:tc>
            </w:tr>
            <w:tr w14:paraId="0B76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686540F2">
                  <w:pPr>
                    <w:pStyle w:val="92"/>
                    <w:jc w:val="center"/>
                    <w:rPr>
                      <w:color w:val="auto"/>
                      <w:szCs w:val="21"/>
                    </w:rPr>
                  </w:pPr>
                  <w:r>
                    <w:rPr>
                      <w:color w:val="auto"/>
                      <w:szCs w:val="21"/>
                    </w:rPr>
                    <w:t>表土堆场</w:t>
                  </w:r>
                </w:p>
              </w:tc>
              <w:tc>
                <w:tcPr>
                  <w:tcW w:w="771" w:type="pct"/>
                  <w:vAlign w:val="center"/>
                </w:tcPr>
                <w:p w14:paraId="46ED5158">
                  <w:pPr>
                    <w:pStyle w:val="92"/>
                    <w:jc w:val="center"/>
                    <w:rPr>
                      <w:rFonts w:hint="default" w:eastAsia="宋体"/>
                      <w:color w:val="auto"/>
                      <w:szCs w:val="21"/>
                      <w:lang w:val="en-US" w:eastAsia="zh-CN"/>
                    </w:rPr>
                  </w:pPr>
                  <w:r>
                    <w:rPr>
                      <w:rFonts w:hint="eastAsia"/>
                      <w:color w:val="auto"/>
                      <w:szCs w:val="21"/>
                      <w:lang w:val="en-US" w:eastAsia="zh-CN"/>
                    </w:rPr>
                    <w:t>0.45</w:t>
                  </w:r>
                </w:p>
              </w:tc>
              <w:tc>
                <w:tcPr>
                  <w:tcW w:w="703" w:type="pct"/>
                  <w:vAlign w:val="center"/>
                </w:tcPr>
                <w:p w14:paraId="1536173C">
                  <w:pPr>
                    <w:pStyle w:val="92"/>
                    <w:jc w:val="center"/>
                    <w:rPr>
                      <w:color w:val="auto"/>
                      <w:szCs w:val="21"/>
                    </w:rPr>
                  </w:pPr>
                  <w:r>
                    <w:rPr>
                      <w:color w:val="auto"/>
                      <w:szCs w:val="21"/>
                    </w:rPr>
                    <w:t>压占</w:t>
                  </w:r>
                </w:p>
              </w:tc>
              <w:tc>
                <w:tcPr>
                  <w:tcW w:w="752" w:type="pct"/>
                  <w:vMerge w:val="continue"/>
                  <w:vAlign w:val="center"/>
                </w:tcPr>
                <w:p w14:paraId="46C34F8B">
                  <w:pPr>
                    <w:pStyle w:val="92"/>
                    <w:jc w:val="center"/>
                    <w:rPr>
                      <w:color w:val="auto"/>
                      <w:szCs w:val="21"/>
                    </w:rPr>
                  </w:pPr>
                </w:p>
              </w:tc>
              <w:tc>
                <w:tcPr>
                  <w:tcW w:w="1639" w:type="pct"/>
                  <w:vAlign w:val="center"/>
                </w:tcPr>
                <w:p w14:paraId="4F20BE45">
                  <w:pPr>
                    <w:pStyle w:val="92"/>
                    <w:jc w:val="center"/>
                    <w:rPr>
                      <w:rFonts w:hint="eastAsia" w:eastAsia="宋体"/>
                      <w:color w:val="auto"/>
                      <w:szCs w:val="21"/>
                      <w:lang w:val="en-US" w:eastAsia="zh-CN"/>
                    </w:rPr>
                  </w:pPr>
                  <w:r>
                    <w:rPr>
                      <w:rFonts w:hint="eastAsia"/>
                      <w:color w:val="auto"/>
                      <w:szCs w:val="21"/>
                      <w:lang w:val="en-US" w:eastAsia="zh-CN"/>
                    </w:rPr>
                    <w:t>/（表土堆场位于露天采场内，已在露天采场中计入）</w:t>
                  </w:r>
                </w:p>
              </w:tc>
            </w:tr>
            <w:tr w14:paraId="4674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360" w:type="pct"/>
                  <w:gridSpan w:val="4"/>
                  <w:vAlign w:val="center"/>
                </w:tcPr>
                <w:p w14:paraId="4CEE6B93">
                  <w:pPr>
                    <w:pStyle w:val="92"/>
                    <w:jc w:val="center"/>
                    <w:rPr>
                      <w:rFonts w:hint="eastAsia" w:eastAsia="宋体"/>
                      <w:color w:val="auto"/>
                      <w:szCs w:val="21"/>
                      <w:lang w:val="en-US" w:eastAsia="zh-CN"/>
                    </w:rPr>
                  </w:pPr>
                  <w:r>
                    <w:rPr>
                      <w:rFonts w:hint="eastAsia"/>
                      <w:color w:val="auto"/>
                      <w:szCs w:val="21"/>
                      <w:lang w:val="en-US" w:eastAsia="zh-CN"/>
                    </w:rPr>
                    <w:t>合计</w:t>
                  </w:r>
                </w:p>
              </w:tc>
              <w:tc>
                <w:tcPr>
                  <w:tcW w:w="1639" w:type="pct"/>
                  <w:vAlign w:val="center"/>
                </w:tcPr>
                <w:p w14:paraId="4CAD0476">
                  <w:pPr>
                    <w:pStyle w:val="92"/>
                    <w:jc w:val="center"/>
                    <w:rPr>
                      <w:rFonts w:hint="default" w:eastAsia="宋体"/>
                      <w:color w:val="auto"/>
                      <w:szCs w:val="21"/>
                      <w:lang w:val="en-US" w:eastAsia="zh-CN"/>
                    </w:rPr>
                  </w:pPr>
                  <w:r>
                    <w:rPr>
                      <w:rFonts w:hint="eastAsia"/>
                      <w:color w:val="auto"/>
                      <w:szCs w:val="21"/>
                      <w:lang w:val="en-US" w:eastAsia="zh-CN"/>
                    </w:rPr>
                    <w:t>76.95</w:t>
                  </w:r>
                </w:p>
              </w:tc>
            </w:tr>
          </w:tbl>
          <w:p w14:paraId="286BD299">
            <w:pPr>
              <w:rPr>
                <w:rFonts w:hint="eastAsia"/>
                <w:b/>
                <w:bCs/>
                <w:color w:val="auto"/>
                <w:sz w:val="21"/>
                <w:szCs w:val="21"/>
                <w:lang w:val="en-US" w:eastAsia="zh-CN"/>
              </w:rPr>
            </w:pPr>
          </w:p>
          <w:p w14:paraId="4ECBAD4F">
            <w:pPr>
              <w:rPr>
                <w:rFonts w:hint="default"/>
                <w:b/>
                <w:bCs/>
                <w:color w:val="auto"/>
                <w:sz w:val="21"/>
                <w:szCs w:val="21"/>
                <w:lang w:val="en-US" w:eastAsia="zh-CN"/>
              </w:rPr>
            </w:pPr>
          </w:p>
          <w:p w14:paraId="44250F65">
            <w:pPr>
              <w:spacing w:line="372" w:lineRule="auto"/>
              <w:ind w:firstLine="480" w:firstLineChars="200"/>
              <w:rPr>
                <w:rFonts w:hint="eastAsia"/>
                <w:color w:val="auto"/>
                <w:sz w:val="24"/>
              </w:rPr>
            </w:pPr>
            <w:r>
              <w:rPr>
                <w:rFonts w:hint="eastAsia"/>
                <w:color w:val="auto"/>
                <w:sz w:val="24"/>
              </w:rPr>
              <w:t>则项目</w:t>
            </w:r>
            <w:r>
              <w:rPr>
                <w:rFonts w:hint="eastAsia"/>
                <w:color w:val="auto"/>
                <w:sz w:val="24"/>
                <w:lang w:val="en-US" w:eastAsia="zh-CN"/>
              </w:rPr>
              <w:t>运营期</w:t>
            </w:r>
            <w:r>
              <w:rPr>
                <w:rFonts w:hint="eastAsia"/>
                <w:color w:val="auto"/>
                <w:sz w:val="24"/>
              </w:rPr>
              <w:t>将造成生物损失量约</w:t>
            </w:r>
            <w:r>
              <w:rPr>
                <w:rFonts w:hint="eastAsia"/>
                <w:color w:val="auto"/>
                <w:sz w:val="24"/>
                <w:lang w:val="en-US" w:eastAsia="zh-CN"/>
              </w:rPr>
              <w:t>76.95</w:t>
            </w:r>
            <w:r>
              <w:rPr>
                <w:rFonts w:hint="eastAsia"/>
                <w:color w:val="auto"/>
                <w:sz w:val="24"/>
              </w:rPr>
              <w:t>t。项目已对草场损失补偿缴纳足额的占地补偿金，项目占地影响是暂时的，项目服务期满后，严格按照指定的复垦方案及《矿山生态环境保护与污染防治技术政策》及《砂石行业绿色矿山建设规范》对项目区进行土地平整并播撒草籽进行生态恢复，优先采用原生表土及乡土物种进行恢复，减轻项目建设对项目区域生态环境的影响。</w:t>
            </w:r>
          </w:p>
          <w:p w14:paraId="2385A6BD">
            <w:pPr>
              <w:adjustRightInd w:val="0"/>
              <w:snapToGrid w:val="0"/>
              <w:spacing w:line="360" w:lineRule="auto"/>
              <w:rPr>
                <w:b/>
                <w:bCs/>
                <w:color w:val="auto"/>
                <w:sz w:val="24"/>
              </w:rPr>
            </w:pPr>
            <w:r>
              <w:rPr>
                <w:rFonts w:hint="eastAsia"/>
                <w:b/>
                <w:bCs/>
                <w:color w:val="auto"/>
                <w:sz w:val="24"/>
              </w:rPr>
              <w:t>2.3对野生动物的影响分析</w:t>
            </w:r>
          </w:p>
          <w:p w14:paraId="595A6DD6">
            <w:pPr>
              <w:adjustRightInd w:val="0"/>
              <w:snapToGrid w:val="0"/>
              <w:spacing w:line="360" w:lineRule="auto"/>
              <w:ind w:firstLine="480" w:firstLineChars="200"/>
              <w:rPr>
                <w:color w:val="auto"/>
                <w:sz w:val="24"/>
              </w:rPr>
            </w:pPr>
            <w:r>
              <w:rPr>
                <w:rFonts w:hint="eastAsia"/>
                <w:color w:val="auto"/>
                <w:sz w:val="24"/>
              </w:rPr>
              <w:t>本项目占地范围内，无大型野生动物活动，不会对大型野生动物产生不良影响。本项目对周边野生动物的影响主要表现在开采过程中施工机械对野生动物的惊吓，使部分野生动物产生近距离迁移，从而使其在项目区内数量有所下降。据调查，项目区内野生动物主要有鼠类、蜥蜴等小型动物及少数麻雀、喜鹊等，无国家级及自治区级珍稀濒危保护动物分布。因此，本项目对野生动物产生的影响很小。</w:t>
            </w:r>
          </w:p>
          <w:p w14:paraId="7D348806">
            <w:pPr>
              <w:spacing w:line="372" w:lineRule="auto"/>
              <w:rPr>
                <w:b/>
                <w:bCs/>
                <w:color w:val="auto"/>
                <w:sz w:val="24"/>
              </w:rPr>
            </w:pPr>
            <w:r>
              <w:rPr>
                <w:rFonts w:hint="eastAsia"/>
                <w:b/>
                <w:bCs/>
                <w:color w:val="auto"/>
                <w:sz w:val="24"/>
              </w:rPr>
              <w:t>2.4对土壤的影响分析</w:t>
            </w:r>
          </w:p>
          <w:p w14:paraId="635353DA">
            <w:pPr>
              <w:spacing w:line="372" w:lineRule="auto"/>
              <w:ind w:firstLine="480" w:firstLineChars="200"/>
              <w:rPr>
                <w:color w:val="auto"/>
                <w:sz w:val="24"/>
              </w:rPr>
            </w:pPr>
            <w:r>
              <w:rPr>
                <w:rFonts w:hint="eastAsia"/>
                <w:color w:val="auto"/>
                <w:sz w:val="24"/>
              </w:rPr>
              <w:t>矿界范围面积为301800m</w:t>
            </w:r>
            <w:r>
              <w:rPr>
                <w:rFonts w:hint="eastAsia"/>
                <w:color w:val="auto"/>
                <w:sz w:val="24"/>
                <w:vertAlign w:val="superscript"/>
              </w:rPr>
              <w:t>2</w:t>
            </w:r>
            <w:r>
              <w:rPr>
                <w:rFonts w:hint="eastAsia"/>
                <w:color w:val="auto"/>
                <w:sz w:val="24"/>
              </w:rPr>
              <w:t>，在矿山建设和生产过程中将不可避免地会占用和破坏土地，对占用土地土壤造成不良影响。</w:t>
            </w:r>
          </w:p>
          <w:p w14:paraId="0EC4ADD6">
            <w:pPr>
              <w:spacing w:line="372" w:lineRule="auto"/>
              <w:ind w:firstLine="480" w:firstLineChars="200"/>
              <w:rPr>
                <w:color w:val="auto"/>
                <w:sz w:val="24"/>
              </w:rPr>
            </w:pPr>
            <w:r>
              <w:rPr>
                <w:rFonts w:hint="eastAsia"/>
                <w:color w:val="auto"/>
                <w:sz w:val="24"/>
              </w:rPr>
              <w:t>工程运行过程中，各种机械设备和车辆排放的废气、丢弃的固体废物等，将对土壤环境产生一定的污染。</w:t>
            </w:r>
          </w:p>
          <w:p w14:paraId="2A4DA3D7">
            <w:pPr>
              <w:spacing w:line="372" w:lineRule="auto"/>
              <w:ind w:firstLine="480" w:firstLineChars="200"/>
              <w:rPr>
                <w:color w:val="auto"/>
                <w:sz w:val="24"/>
              </w:rPr>
            </w:pPr>
            <w:r>
              <w:rPr>
                <w:rFonts w:hint="eastAsia"/>
                <w:color w:val="auto"/>
                <w:sz w:val="24"/>
              </w:rPr>
              <w:t>生产期间运输车辆以及倾倒矿石、地表土将碾压部分土壤；开采活动的占地、土地利用方式的改变等将直接破坏地表土层，破坏了部分土壤结构，使局部土壤生产能力和稳定性受到一定影响，使原有自然生态系统的所有功能完全损失或削弱，导致蓄水保土功能降低或丧失。</w:t>
            </w:r>
          </w:p>
          <w:p w14:paraId="7F933250">
            <w:pPr>
              <w:spacing w:line="372" w:lineRule="auto"/>
              <w:ind w:firstLine="480" w:firstLineChars="200"/>
              <w:rPr>
                <w:color w:val="auto"/>
                <w:sz w:val="24"/>
              </w:rPr>
            </w:pPr>
            <w:r>
              <w:rPr>
                <w:rFonts w:hint="eastAsia"/>
                <w:color w:val="auto"/>
                <w:sz w:val="24"/>
              </w:rPr>
              <w:t>因此，开采过程中应划定活动范围，严禁人员及车辆越界活动，造成土壤板结等不利影响。</w:t>
            </w:r>
          </w:p>
          <w:p w14:paraId="4CFE24A4">
            <w:pPr>
              <w:spacing w:line="372" w:lineRule="auto"/>
              <w:rPr>
                <w:b/>
                <w:bCs/>
                <w:color w:val="auto"/>
                <w:sz w:val="24"/>
              </w:rPr>
            </w:pPr>
            <w:r>
              <w:rPr>
                <w:rFonts w:hint="eastAsia"/>
                <w:b/>
                <w:bCs/>
                <w:color w:val="auto"/>
                <w:sz w:val="24"/>
              </w:rPr>
              <w:t>2.5对生物多样性的影响分析</w:t>
            </w:r>
          </w:p>
          <w:p w14:paraId="4CD091E7">
            <w:pPr>
              <w:spacing w:line="372" w:lineRule="auto"/>
              <w:ind w:firstLine="480" w:firstLineChars="200"/>
              <w:rPr>
                <w:color w:val="auto"/>
                <w:sz w:val="24"/>
              </w:rPr>
            </w:pPr>
            <w:r>
              <w:rPr>
                <w:rFonts w:hint="eastAsia"/>
                <w:color w:val="auto"/>
                <w:sz w:val="24"/>
              </w:rPr>
              <w:t>项目建成后，开采建筑用砂过程中产生的废气、固体废物以及设备噪声对周边地区动植物也具有不利影响，在一定程度上影响该项目区域的生物多样性。根据历史资料和本次调查，该项目区域常见的野生动物有哺乳类、鸟类、爬行类等野生动物，受长期人为活动的影响，项目所在区域内基本无大型野生动物分布，现场未发现国家重点保护动植物。</w:t>
            </w:r>
          </w:p>
          <w:p w14:paraId="787A1B17">
            <w:pPr>
              <w:spacing w:line="372" w:lineRule="auto"/>
              <w:ind w:firstLine="480" w:firstLineChars="200"/>
              <w:rPr>
                <w:color w:val="auto"/>
                <w:sz w:val="24"/>
              </w:rPr>
            </w:pPr>
            <w:r>
              <w:rPr>
                <w:rFonts w:hint="eastAsia"/>
                <w:color w:val="auto"/>
                <w:sz w:val="24"/>
              </w:rPr>
              <w:t>矿山总服务年限为6.47年，项目开采期限以采矿许可证规定的时间为准，开采作业并非突然大面积取砂，所以对栖息地动物是逐步影响的，同时矿区开采区域没有大型的野生动物群落，分布的野生动物基本上都是矿区的广布种类，适应性和抗干扰能力较强，故对动物生态环境影响不大，因此项目建设对该区域的生物多样性影响不大。</w:t>
            </w:r>
          </w:p>
          <w:p w14:paraId="1D0E79E8">
            <w:pPr>
              <w:spacing w:line="372" w:lineRule="auto"/>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 xml:space="preserve">2.6对自然景观的影响分析 </w:t>
            </w:r>
          </w:p>
          <w:p w14:paraId="6E16B36F">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 xml:space="preserve">矿区的开发建设将原来的山地景观变为开采作业区甚至是采坑等，使原地表形态、地层层序等发生直接的破坏，将使区域内的自然景观遭受一定程度的破坏；使局部地区由单纯的荒漠生态景观向着人工化、工业化、多样化的方向发展，使原来的自然景观类型变为容纳道路、供电线路等人为景观，而且会对原来的景观进行分隔，造成空间上的非连续性和一些人为的劣质景观，造成与周围自然环境的不相协调。生产期采矿凹陷坑的形成，将使矿区范围内部分地区地表的完整性与平整性发生变化，进而对地表造成影响和破坏，使评价区的景观属性发生变化。 </w:t>
            </w:r>
          </w:p>
          <w:p w14:paraId="622B4D98">
            <w:pPr>
              <w:pStyle w:val="3"/>
              <w:spacing w:after="0" w:line="360" w:lineRule="auto"/>
              <w:ind w:left="0" w:leftChars="0" w:firstLine="480" w:firstLineChars="200"/>
              <w:rPr>
                <w:rFonts w:hint="eastAsia"/>
                <w:b/>
                <w:bCs/>
                <w:color w:val="auto"/>
                <w:sz w:val="24"/>
              </w:rPr>
            </w:pPr>
            <w:r>
              <w:rPr>
                <w:rFonts w:hint="eastAsia" w:ascii="Times New Roman" w:hAnsi="Times New Roman" w:eastAsia="宋体" w:cs="Times New Roman"/>
                <w:bCs/>
                <w:color w:val="auto"/>
                <w:sz w:val="24"/>
                <w:lang w:val="en-US" w:eastAsia="zh-CN"/>
              </w:rPr>
              <w:t>在矿区建设和开采过程中由于地表扰动使区域内原有的自然景观受到影响，在项目实施过程中，必须采取措施使原有的自然景观得到一定的恢复或改善。根据本矿区建设特点，矿区服务期结束后，拆除所有建筑物、构筑物等，对地表进行清理，实施复垦方案，对危险地带设置围栏等保护措施，保护区域自然景观。</w:t>
            </w:r>
          </w:p>
          <w:p w14:paraId="7F6E28D4">
            <w:pPr>
              <w:spacing w:line="360" w:lineRule="auto"/>
              <w:rPr>
                <w:rFonts w:hint="default" w:eastAsia="宋体"/>
                <w:b/>
                <w:bCs/>
                <w:color w:val="auto"/>
                <w:sz w:val="24"/>
                <w:lang w:val="en-US" w:eastAsia="zh-CN"/>
              </w:rPr>
            </w:pPr>
            <w:r>
              <w:rPr>
                <w:rFonts w:hint="eastAsia"/>
                <w:b/>
                <w:bCs/>
                <w:color w:val="auto"/>
                <w:sz w:val="24"/>
                <w:lang w:val="en-US" w:eastAsia="zh-CN"/>
              </w:rPr>
              <w:t>2.7</w:t>
            </w:r>
            <w:r>
              <w:rPr>
                <w:b/>
                <w:bCs/>
                <w:color w:val="auto"/>
                <w:sz w:val="24"/>
              </w:rPr>
              <w:t>水土流失</w:t>
            </w:r>
            <w:r>
              <w:rPr>
                <w:rFonts w:hint="eastAsia"/>
                <w:b/>
                <w:bCs/>
                <w:color w:val="auto"/>
                <w:sz w:val="24"/>
                <w:lang w:val="en-US" w:eastAsia="zh-CN"/>
              </w:rPr>
              <w:t>影响分析</w:t>
            </w:r>
          </w:p>
          <w:p w14:paraId="4EF7C291">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根据实地调查，水土流失类型以风力侵蚀为主。项目区现状植被稀少，覆盖度</w:t>
            </w:r>
            <w:r>
              <w:rPr>
                <w:rFonts w:hint="eastAsia" w:cs="Times New Roman"/>
                <w:bCs/>
                <w:color w:val="auto"/>
                <w:sz w:val="24"/>
                <w:lang w:val="en-US" w:eastAsia="zh-CN"/>
              </w:rPr>
              <w:t>在30</w:t>
            </w:r>
            <w:r>
              <w:rPr>
                <w:rFonts w:hint="eastAsia" w:ascii="Times New Roman" w:hAnsi="Times New Roman" w:eastAsia="宋体" w:cs="Times New Roman"/>
                <w:bCs/>
                <w:color w:val="auto"/>
                <w:sz w:val="24"/>
                <w:lang w:val="en-US" w:eastAsia="zh-CN"/>
              </w:rPr>
              <w:t>%</w:t>
            </w:r>
            <w:r>
              <w:rPr>
                <w:rFonts w:hint="eastAsia" w:cs="Times New Roman"/>
                <w:bCs/>
                <w:color w:val="auto"/>
                <w:sz w:val="24"/>
                <w:lang w:val="en-US" w:eastAsia="zh-CN"/>
              </w:rPr>
              <w:t>左右</w:t>
            </w:r>
            <w:r>
              <w:rPr>
                <w:rFonts w:hint="eastAsia" w:ascii="Times New Roman" w:hAnsi="Times New Roman" w:eastAsia="宋体" w:cs="Times New Roman"/>
                <w:bCs/>
                <w:color w:val="auto"/>
                <w:sz w:val="24"/>
                <w:lang w:val="en-US" w:eastAsia="zh-CN"/>
              </w:rPr>
              <w:t>。根据项目区的地形地貌、地表植被、土壤状况、气象资料综合分析项目区环境状况，判断本项目区属轻度风力侵蚀区。</w:t>
            </w:r>
          </w:p>
          <w:p w14:paraId="4BF58606">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（1）</w:t>
            </w:r>
            <w:r>
              <w:rPr>
                <w:rFonts w:hint="eastAsia" w:ascii="Times New Roman" w:hAnsi="Times New Roman" w:eastAsia="宋体" w:cs="Times New Roman"/>
                <w:bCs/>
                <w:color w:val="auto"/>
                <w:sz w:val="24"/>
                <w:lang w:val="en-US" w:eastAsia="zh-CN"/>
              </w:rPr>
              <w:t>水土流失成因分析</w:t>
            </w:r>
          </w:p>
          <w:p w14:paraId="2B646DC3">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w:t>
            </w:r>
            <w:r>
              <w:rPr>
                <w:rFonts w:hint="eastAsia" w:cs="Times New Roman"/>
                <w:bCs/>
                <w:color w:val="auto"/>
                <w:sz w:val="24"/>
                <w:lang w:val="en-US" w:eastAsia="zh-CN"/>
              </w:rPr>
              <w:t>项目</w:t>
            </w:r>
            <w:r>
              <w:rPr>
                <w:rFonts w:hint="eastAsia" w:ascii="Times New Roman" w:hAnsi="Times New Roman" w:eastAsia="宋体" w:cs="Times New Roman"/>
                <w:bCs/>
                <w:color w:val="auto"/>
                <w:sz w:val="24"/>
                <w:lang w:val="en-US" w:eastAsia="zh-CN"/>
              </w:rPr>
              <w:t>预测时段分为运行期和闭矿期。</w:t>
            </w:r>
          </w:p>
          <w:p w14:paraId="7269BB2B">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①</w:t>
            </w:r>
            <w:r>
              <w:rPr>
                <w:rFonts w:hint="eastAsia" w:ascii="Times New Roman" w:hAnsi="Times New Roman" w:eastAsia="宋体" w:cs="Times New Roman"/>
                <w:bCs/>
                <w:color w:val="auto"/>
                <w:sz w:val="24"/>
                <w:lang w:val="en-US" w:eastAsia="zh-CN"/>
              </w:rPr>
              <w:t>运行期</w:t>
            </w:r>
            <w:r>
              <w:rPr>
                <w:rFonts w:hint="eastAsia" w:cs="Times New Roman"/>
                <w:bCs/>
                <w:color w:val="auto"/>
                <w:sz w:val="24"/>
                <w:lang w:val="en-US" w:eastAsia="zh-CN"/>
              </w:rPr>
              <w:t>水土</w:t>
            </w:r>
            <w:r>
              <w:rPr>
                <w:rFonts w:hint="eastAsia" w:ascii="Times New Roman" w:hAnsi="Times New Roman" w:eastAsia="宋体" w:cs="Times New Roman"/>
                <w:bCs/>
                <w:color w:val="auto"/>
                <w:sz w:val="24"/>
                <w:lang w:val="en-US" w:eastAsia="zh-CN"/>
              </w:rPr>
              <w:t>流失因素分析</w:t>
            </w:r>
          </w:p>
          <w:p w14:paraId="6E4B88CE">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运行期</w:t>
            </w:r>
            <w:r>
              <w:rPr>
                <w:rFonts w:hint="eastAsia" w:cs="Times New Roman"/>
                <w:bCs/>
                <w:color w:val="auto"/>
                <w:sz w:val="24"/>
                <w:lang w:val="en-US" w:eastAsia="zh-CN"/>
              </w:rPr>
              <w:t>表土堆</w:t>
            </w:r>
            <w:r>
              <w:rPr>
                <w:rFonts w:hint="eastAsia" w:ascii="Times New Roman" w:hAnsi="Times New Roman" w:eastAsia="宋体" w:cs="Times New Roman"/>
                <w:bCs/>
                <w:color w:val="auto"/>
                <w:sz w:val="24"/>
                <w:lang w:val="en-US" w:eastAsia="zh-CN"/>
              </w:rPr>
              <w:t>场为</w:t>
            </w:r>
            <w:r>
              <w:rPr>
                <w:rFonts w:hint="eastAsia" w:cs="Times New Roman"/>
                <w:bCs/>
                <w:color w:val="auto"/>
                <w:sz w:val="24"/>
                <w:lang w:val="en-US" w:eastAsia="zh-CN"/>
              </w:rPr>
              <w:t>建筑用砂开挖前剥离的表土</w:t>
            </w:r>
            <w:r>
              <w:rPr>
                <w:rFonts w:hint="eastAsia" w:ascii="Times New Roman" w:hAnsi="Times New Roman" w:eastAsia="宋体" w:cs="Times New Roman"/>
                <w:bCs/>
                <w:color w:val="auto"/>
                <w:sz w:val="24"/>
                <w:lang w:val="en-US" w:eastAsia="zh-CN"/>
              </w:rPr>
              <w:t>暂时堆放场，开挖的松散土方在地表裸露堆放，易被风蚀。</w:t>
            </w:r>
          </w:p>
          <w:p w14:paraId="37847BCF">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②</w:t>
            </w:r>
            <w:r>
              <w:rPr>
                <w:rFonts w:hint="eastAsia" w:ascii="Times New Roman" w:hAnsi="Times New Roman" w:eastAsia="宋体" w:cs="Times New Roman"/>
                <w:bCs/>
                <w:color w:val="auto"/>
                <w:sz w:val="24"/>
                <w:lang w:val="en-US" w:eastAsia="zh-CN"/>
              </w:rPr>
              <w:t>闭矿期水土流失因素分析</w:t>
            </w:r>
          </w:p>
          <w:p w14:paraId="4ED05039">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本工程开采完毕闭矿后，需要进行矿坑恢复，由于项目区本身植被稀缺，尚不完全具备蓄水保土功能，仍有一定量的水土流失；闭矿期所有地表的扰动活动都已结束，该时段</w:t>
            </w:r>
            <w:r>
              <w:rPr>
                <w:rFonts w:hint="eastAsia" w:cs="Times New Roman"/>
                <w:bCs/>
                <w:color w:val="auto"/>
                <w:sz w:val="24"/>
                <w:lang w:val="en-US" w:eastAsia="zh-CN"/>
              </w:rPr>
              <w:t>水土</w:t>
            </w:r>
            <w:r>
              <w:rPr>
                <w:rFonts w:hint="eastAsia" w:ascii="Times New Roman" w:hAnsi="Times New Roman" w:eastAsia="宋体" w:cs="Times New Roman"/>
                <w:bCs/>
                <w:color w:val="auto"/>
                <w:sz w:val="24"/>
                <w:lang w:val="en-US" w:eastAsia="zh-CN"/>
              </w:rPr>
              <w:t>流失明显减少。</w:t>
            </w:r>
          </w:p>
          <w:p w14:paraId="554C8C9A">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（2）</w:t>
            </w:r>
            <w:r>
              <w:rPr>
                <w:rFonts w:hint="eastAsia" w:ascii="Times New Roman" w:hAnsi="Times New Roman" w:eastAsia="宋体" w:cs="Times New Roman"/>
                <w:bCs/>
                <w:color w:val="auto"/>
                <w:sz w:val="24"/>
                <w:lang w:val="en-US" w:eastAsia="zh-CN"/>
              </w:rPr>
              <w:t>可能造成水土流失危害</w:t>
            </w:r>
          </w:p>
          <w:p w14:paraId="45E75701">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本项目运行</w:t>
            </w:r>
            <w:r>
              <w:rPr>
                <w:rFonts w:hint="eastAsia" w:cs="Times New Roman"/>
                <w:bCs/>
                <w:color w:val="auto"/>
                <w:sz w:val="24"/>
                <w:lang w:val="en-US" w:eastAsia="zh-CN"/>
              </w:rPr>
              <w:t>期间</w:t>
            </w:r>
            <w:r>
              <w:rPr>
                <w:rFonts w:hint="eastAsia" w:ascii="Times New Roman" w:hAnsi="Times New Roman" w:eastAsia="宋体" w:cs="Times New Roman"/>
                <w:bCs/>
                <w:color w:val="auto"/>
                <w:sz w:val="24"/>
                <w:lang w:val="en-US" w:eastAsia="zh-CN"/>
              </w:rPr>
              <w:t>将破坏地表、植被，采矿过程若不采取有效的防护措施，将对当地的生态环境产生较大影响，加重当地的水土流失。该项目可能造成的水土流失危害主要有以下几个方面：</w:t>
            </w:r>
          </w:p>
          <w:p w14:paraId="76890628">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①</w:t>
            </w:r>
            <w:r>
              <w:rPr>
                <w:rFonts w:hint="eastAsia" w:ascii="Times New Roman" w:hAnsi="Times New Roman" w:eastAsia="宋体" w:cs="Times New Roman"/>
                <w:bCs/>
                <w:color w:val="auto"/>
                <w:sz w:val="24"/>
                <w:lang w:val="en-US" w:eastAsia="zh-CN"/>
              </w:rPr>
              <w:t>本</w:t>
            </w:r>
            <w:r>
              <w:rPr>
                <w:rFonts w:hint="eastAsia" w:cs="Times New Roman"/>
                <w:bCs/>
                <w:color w:val="auto"/>
                <w:sz w:val="24"/>
                <w:lang w:val="en-US" w:eastAsia="zh-CN"/>
              </w:rPr>
              <w:t>项目</w:t>
            </w:r>
            <w:r>
              <w:rPr>
                <w:rFonts w:hint="eastAsia" w:ascii="Times New Roman" w:hAnsi="Times New Roman" w:eastAsia="宋体" w:cs="Times New Roman"/>
                <w:bCs/>
                <w:color w:val="auto"/>
                <w:sz w:val="24"/>
                <w:lang w:val="en-US" w:eastAsia="zh-CN"/>
              </w:rPr>
              <w:t>的建设，对该地区社会经济发展有着重要的促进作用，但该地区生态环境相对较脆弱，项目运行过程中如不采取水土保持措施，可能造成大面积</w:t>
            </w:r>
            <w:r>
              <w:rPr>
                <w:rFonts w:hint="eastAsia" w:cs="Times New Roman"/>
                <w:bCs/>
                <w:color w:val="auto"/>
                <w:sz w:val="24"/>
                <w:lang w:val="en-US" w:eastAsia="zh-CN"/>
              </w:rPr>
              <w:t>损坏</w:t>
            </w:r>
            <w:r>
              <w:rPr>
                <w:rFonts w:hint="eastAsia" w:ascii="Times New Roman" w:hAnsi="Times New Roman" w:eastAsia="宋体" w:cs="Times New Roman"/>
                <w:bCs/>
                <w:color w:val="auto"/>
                <w:sz w:val="24"/>
                <w:lang w:val="en-US" w:eastAsia="zh-CN"/>
              </w:rPr>
              <w:t>当地水土保持设施，使大片土地裸露，地表疏松，再加上项目建设的</w:t>
            </w:r>
            <w:r>
              <w:rPr>
                <w:rFonts w:hint="eastAsia" w:cs="Times New Roman"/>
                <w:bCs/>
                <w:color w:val="auto"/>
                <w:sz w:val="24"/>
                <w:lang w:val="en-US" w:eastAsia="zh-CN"/>
              </w:rPr>
              <w:t>表土堆场，</w:t>
            </w:r>
            <w:r>
              <w:rPr>
                <w:rFonts w:hint="eastAsia" w:ascii="Times New Roman" w:hAnsi="Times New Roman" w:eastAsia="宋体" w:cs="Times New Roman"/>
                <w:bCs/>
                <w:color w:val="auto"/>
                <w:sz w:val="24"/>
                <w:lang w:val="en-US" w:eastAsia="zh-CN"/>
              </w:rPr>
              <w:t>可能产生较大的水土流失，将造成</w:t>
            </w:r>
            <w:r>
              <w:rPr>
                <w:rFonts w:hint="eastAsia" w:cs="Times New Roman"/>
                <w:bCs/>
                <w:color w:val="auto"/>
                <w:sz w:val="24"/>
                <w:lang w:val="en-US" w:eastAsia="zh-CN"/>
              </w:rPr>
              <w:t>项目</w:t>
            </w:r>
            <w:r>
              <w:rPr>
                <w:rFonts w:hint="eastAsia" w:ascii="Times New Roman" w:hAnsi="Times New Roman" w:eastAsia="宋体" w:cs="Times New Roman"/>
                <w:bCs/>
                <w:color w:val="auto"/>
                <w:sz w:val="24"/>
                <w:lang w:val="en-US" w:eastAsia="zh-CN"/>
              </w:rPr>
              <w:t>区环境恶化，从而影响</w:t>
            </w:r>
            <w:r>
              <w:rPr>
                <w:rFonts w:hint="eastAsia" w:cs="Times New Roman"/>
                <w:bCs/>
                <w:color w:val="auto"/>
                <w:sz w:val="24"/>
                <w:lang w:val="en-US" w:eastAsia="zh-CN"/>
              </w:rPr>
              <w:t>项目</w:t>
            </w:r>
            <w:r>
              <w:rPr>
                <w:rFonts w:hint="eastAsia" w:ascii="Times New Roman" w:hAnsi="Times New Roman" w:eastAsia="宋体" w:cs="Times New Roman"/>
                <w:bCs/>
                <w:color w:val="auto"/>
                <w:sz w:val="24"/>
                <w:lang w:val="en-US" w:eastAsia="zh-CN"/>
              </w:rPr>
              <w:t>区的生产、生活。</w:t>
            </w:r>
          </w:p>
          <w:p w14:paraId="5C0BB302">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②</w:t>
            </w:r>
            <w:r>
              <w:rPr>
                <w:rFonts w:hint="eastAsia" w:ascii="Times New Roman" w:hAnsi="Times New Roman" w:eastAsia="宋体" w:cs="Times New Roman"/>
                <w:bCs/>
                <w:color w:val="auto"/>
                <w:sz w:val="24"/>
                <w:lang w:val="en-US" w:eastAsia="zh-CN"/>
              </w:rPr>
              <w:t>运行过程中，原有的地形、地貌、地表均遭到破坏，项目区蓄水保土功能受到影响，功能将有所降低。在风力及降雨径流作用下，松散的土层被侵蚀切割，发育成浅沟、冲沟等。</w:t>
            </w:r>
          </w:p>
          <w:p w14:paraId="2F1FD34A">
            <w:pPr>
              <w:pStyle w:val="3"/>
              <w:spacing w:after="0" w:line="360" w:lineRule="auto"/>
              <w:ind w:left="0" w:leftChars="0"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本次环评要求矿山运行期间，为降低开采对区域造成的不利影响，应尽量</w:t>
            </w:r>
            <w:r>
              <w:rPr>
                <w:rFonts w:hint="eastAsia" w:cs="Times New Roman"/>
                <w:bCs/>
                <w:color w:val="auto"/>
                <w:sz w:val="24"/>
                <w:lang w:val="en-US" w:eastAsia="zh-CN"/>
              </w:rPr>
              <w:t>减</w:t>
            </w:r>
            <w:r>
              <w:rPr>
                <w:rFonts w:hint="eastAsia" w:ascii="Times New Roman" w:hAnsi="Times New Roman" w:eastAsia="宋体" w:cs="Times New Roman"/>
                <w:bCs/>
                <w:color w:val="auto"/>
                <w:sz w:val="24"/>
                <w:lang w:val="en-US" w:eastAsia="zh-CN"/>
              </w:rPr>
              <w:t>少</w:t>
            </w:r>
            <w:r>
              <w:rPr>
                <w:rFonts w:hint="eastAsia" w:cs="Times New Roman"/>
                <w:bCs/>
                <w:color w:val="auto"/>
                <w:sz w:val="24"/>
                <w:lang w:val="en-US" w:eastAsia="zh-CN"/>
              </w:rPr>
              <w:t>影响面积（占地面积），把破坏程度降至最低。同时，在矿山开采完成后，利用本地物种，恢复矿区植被，采取措施后可将水土流失的影响降至最低。</w:t>
            </w:r>
          </w:p>
          <w:p w14:paraId="03FCC994">
            <w:pPr>
              <w:adjustRightInd w:val="0"/>
              <w:snapToGrid w:val="0"/>
              <w:spacing w:line="360" w:lineRule="auto"/>
              <w:jc w:val="left"/>
              <w:rPr>
                <w:b/>
                <w:bCs/>
                <w:color w:val="auto"/>
                <w:sz w:val="24"/>
              </w:rPr>
            </w:pPr>
            <w:r>
              <w:rPr>
                <w:b/>
                <w:bCs/>
                <w:color w:val="auto"/>
                <w:sz w:val="24"/>
              </w:rPr>
              <w:t>3、运营期大气影响分析</w:t>
            </w:r>
          </w:p>
          <w:p w14:paraId="13CDDB28">
            <w:pPr>
              <w:spacing w:line="360" w:lineRule="auto"/>
              <w:rPr>
                <w:b/>
                <w:bCs/>
                <w:color w:val="auto"/>
                <w:sz w:val="24"/>
              </w:rPr>
            </w:pPr>
            <w:r>
              <w:rPr>
                <w:rFonts w:hint="eastAsia"/>
                <w:b/>
                <w:bCs/>
                <w:color w:val="auto"/>
                <w:sz w:val="24"/>
              </w:rPr>
              <w:t>3.1大气污染源分析</w:t>
            </w:r>
          </w:p>
          <w:p w14:paraId="5B5D3D56">
            <w:pPr>
              <w:spacing w:line="360" w:lineRule="auto"/>
              <w:ind w:firstLine="480" w:firstLineChars="200"/>
              <w:rPr>
                <w:color w:val="auto"/>
                <w:sz w:val="24"/>
              </w:rPr>
            </w:pPr>
            <w:r>
              <w:rPr>
                <w:rFonts w:hint="eastAsia"/>
                <w:color w:val="auto"/>
                <w:sz w:val="24"/>
              </w:rPr>
              <w:t>本项目大气污染物主要来自露天开采粉尘、道路运输粉尘、表土堆场扬尘及机械废气等。</w:t>
            </w:r>
          </w:p>
          <w:p w14:paraId="2306E1BD">
            <w:pPr>
              <w:spacing w:line="360" w:lineRule="auto"/>
              <w:ind w:firstLine="480" w:firstLineChars="200"/>
              <w:rPr>
                <w:color w:val="auto"/>
                <w:sz w:val="24"/>
              </w:rPr>
            </w:pPr>
            <w:r>
              <w:rPr>
                <w:rFonts w:hint="eastAsia"/>
                <w:color w:val="auto"/>
                <w:sz w:val="24"/>
              </w:rPr>
              <w:t>（1）露天开采粉尘</w:t>
            </w:r>
          </w:p>
          <w:p w14:paraId="5A0ECCCD">
            <w:pPr>
              <w:spacing w:line="360" w:lineRule="auto"/>
              <w:ind w:firstLine="480" w:firstLineChars="200"/>
              <w:rPr>
                <w:color w:val="auto"/>
                <w:sz w:val="24"/>
              </w:rPr>
            </w:pPr>
            <w:r>
              <w:rPr>
                <w:rFonts w:hint="eastAsia"/>
                <w:color w:val="auto"/>
                <w:sz w:val="24"/>
              </w:rPr>
              <w:t>本项目为建筑用砂矿山开采，本项目用挖掘机将采剥下来的建筑用砂直接通过装载机装车，该过程会产生一定量的粉尘，根据《排放源统计调查产排污核算方法和系数手册》《1019粘土及其他土砂石开采行业系数手册》中“建筑及铺路骨料原料矿山的开采、矿石筛分的产污系数”参考石灰石行业的产污系数及污染治理效率，《1011石灰石石膏开采行业系数手册》中露天开采（凹陷）产污系数为</w:t>
            </w:r>
            <w:r>
              <w:rPr>
                <w:color w:val="auto"/>
                <w:sz w:val="24"/>
              </w:rPr>
              <w:t>0.0114kg/t</w:t>
            </w:r>
            <w:r>
              <w:rPr>
                <w:rFonts w:hint="eastAsia"/>
                <w:color w:val="auto"/>
                <w:sz w:val="24"/>
              </w:rPr>
              <w:t>-产品。</w:t>
            </w:r>
          </w:p>
          <w:p w14:paraId="04D3B6B5">
            <w:pPr>
              <w:spacing w:line="360" w:lineRule="auto"/>
              <w:ind w:firstLine="480" w:firstLineChars="200"/>
              <w:rPr>
                <w:color w:val="auto"/>
                <w:sz w:val="24"/>
              </w:rPr>
            </w:pPr>
            <w:r>
              <w:rPr>
                <w:rFonts w:hint="eastAsia"/>
                <w:color w:val="auto"/>
                <w:sz w:val="24"/>
              </w:rPr>
              <w:t>无组织颗粒物产量计算如下：</w:t>
            </w:r>
          </w:p>
          <w:p w14:paraId="4914F640">
            <w:pPr>
              <w:spacing w:line="360" w:lineRule="auto"/>
              <w:ind w:firstLine="480" w:firstLineChars="200"/>
              <w:jc w:val="center"/>
              <w:rPr>
                <w:color w:val="auto"/>
                <w:sz w:val="24"/>
              </w:rPr>
            </w:pPr>
            <w:r>
              <w:rPr>
                <w:rFonts w:hint="eastAsia"/>
                <w:color w:val="auto"/>
                <w:sz w:val="24"/>
              </w:rPr>
              <w:t>G</w:t>
            </w:r>
            <w:r>
              <w:rPr>
                <w:rFonts w:hint="eastAsia"/>
                <w:color w:val="auto"/>
                <w:sz w:val="24"/>
                <w:vertAlign w:val="subscript"/>
              </w:rPr>
              <w:t>产i</w:t>
            </w:r>
            <w:r>
              <w:rPr>
                <w:rFonts w:hint="eastAsia"/>
                <w:color w:val="auto"/>
                <w:sz w:val="24"/>
              </w:rPr>
              <w:t xml:space="preserve"> =P</w:t>
            </w:r>
            <w:r>
              <w:rPr>
                <w:rFonts w:hint="eastAsia"/>
                <w:color w:val="auto"/>
                <w:sz w:val="24"/>
                <w:vertAlign w:val="subscript"/>
              </w:rPr>
              <w:t xml:space="preserve"> 产</w:t>
            </w:r>
            <w:r>
              <w:rPr>
                <w:rFonts w:hint="eastAsia"/>
                <w:color w:val="auto"/>
                <w:sz w:val="24"/>
              </w:rPr>
              <w:t>×M</w:t>
            </w:r>
            <w:r>
              <w:rPr>
                <w:rFonts w:hint="eastAsia"/>
                <w:color w:val="auto"/>
                <w:sz w:val="24"/>
                <w:vertAlign w:val="subscript"/>
              </w:rPr>
              <w:t>i</w:t>
            </w:r>
          </w:p>
          <w:p w14:paraId="4437CD71">
            <w:pPr>
              <w:spacing w:line="360" w:lineRule="auto"/>
              <w:ind w:firstLine="480" w:firstLineChars="200"/>
              <w:rPr>
                <w:color w:val="auto"/>
                <w:sz w:val="24"/>
              </w:rPr>
            </w:pPr>
            <w:r>
              <w:rPr>
                <w:rFonts w:hint="eastAsia"/>
                <w:color w:val="auto"/>
                <w:sz w:val="24"/>
              </w:rPr>
              <w:t>式中：G</w:t>
            </w:r>
            <w:r>
              <w:rPr>
                <w:rFonts w:hint="eastAsia"/>
                <w:color w:val="auto"/>
                <w:sz w:val="24"/>
                <w:vertAlign w:val="subscript"/>
              </w:rPr>
              <w:t>产i</w:t>
            </w:r>
            <w:r>
              <w:rPr>
                <w:rFonts w:hint="eastAsia"/>
                <w:color w:val="auto"/>
                <w:sz w:val="24"/>
              </w:rPr>
              <w:t xml:space="preserve"> --核算环节i某污染物的产生量，kg；</w:t>
            </w:r>
          </w:p>
          <w:p w14:paraId="2BD139E0">
            <w:pPr>
              <w:spacing w:line="360" w:lineRule="auto"/>
              <w:ind w:firstLine="960" w:firstLineChars="400"/>
              <w:rPr>
                <w:color w:val="auto"/>
                <w:sz w:val="24"/>
              </w:rPr>
            </w:pPr>
            <w:r>
              <w:rPr>
                <w:rFonts w:hint="eastAsia"/>
                <w:color w:val="auto"/>
                <w:sz w:val="24"/>
              </w:rPr>
              <w:t>P</w:t>
            </w:r>
            <w:r>
              <w:rPr>
                <w:rFonts w:hint="eastAsia"/>
                <w:color w:val="auto"/>
                <w:sz w:val="24"/>
                <w:vertAlign w:val="subscript"/>
              </w:rPr>
              <w:t xml:space="preserve"> 产</w:t>
            </w:r>
            <w:r>
              <w:rPr>
                <w:rFonts w:hint="eastAsia"/>
                <w:color w:val="auto"/>
                <w:sz w:val="24"/>
              </w:rPr>
              <w:t>--核算环节某污染物对应的产污系数，0.0114kg/t-产品；</w:t>
            </w:r>
          </w:p>
          <w:p w14:paraId="14A60757">
            <w:pPr>
              <w:spacing w:line="360" w:lineRule="auto"/>
              <w:ind w:firstLine="960" w:firstLineChars="400"/>
              <w:rPr>
                <w:color w:val="auto"/>
                <w:sz w:val="24"/>
              </w:rPr>
            </w:pPr>
            <w:r>
              <w:rPr>
                <w:rFonts w:hint="eastAsia"/>
                <w:color w:val="auto"/>
                <w:sz w:val="24"/>
              </w:rPr>
              <w:t>M</w:t>
            </w:r>
            <w:r>
              <w:rPr>
                <w:rFonts w:hint="eastAsia"/>
                <w:color w:val="auto"/>
                <w:sz w:val="24"/>
                <w:vertAlign w:val="subscript"/>
              </w:rPr>
              <w:t>i</w:t>
            </w:r>
            <w:r>
              <w:rPr>
                <w:rFonts w:hint="eastAsia"/>
                <w:color w:val="auto"/>
                <w:sz w:val="24"/>
              </w:rPr>
              <w:t>--核算环节i的产品总量，</w:t>
            </w:r>
          </w:p>
          <w:p w14:paraId="40745A97">
            <w:pPr>
              <w:spacing w:line="360" w:lineRule="auto"/>
              <w:ind w:firstLine="480" w:firstLineChars="200"/>
              <w:rPr>
                <w:color w:val="auto"/>
                <w:sz w:val="24"/>
              </w:rPr>
            </w:pPr>
            <w:r>
              <w:rPr>
                <w:rFonts w:hint="eastAsia"/>
                <w:color w:val="auto"/>
                <w:sz w:val="24"/>
              </w:rPr>
              <w:t>50万m</w:t>
            </w:r>
            <w:r>
              <w:rPr>
                <w:rFonts w:hint="eastAsia"/>
                <w:color w:val="auto"/>
                <w:sz w:val="24"/>
                <w:vertAlign w:val="superscript"/>
              </w:rPr>
              <w:t>3</w:t>
            </w:r>
            <w:r>
              <w:rPr>
                <w:rFonts w:hint="eastAsia"/>
                <w:color w:val="auto"/>
                <w:sz w:val="24"/>
              </w:rPr>
              <w:t>/a</w:t>
            </w:r>
            <w:r>
              <w:rPr>
                <w:rFonts w:hint="eastAsia"/>
                <w:color w:val="auto"/>
                <w:sz w:val="24"/>
                <w:lang w:eastAsia="zh-CN"/>
              </w:rPr>
              <w:t>（</w:t>
            </w:r>
            <w:r>
              <w:rPr>
                <w:rFonts w:hint="eastAsia"/>
                <w:color w:val="auto"/>
                <w:sz w:val="24"/>
              </w:rPr>
              <w:t>t建筑用砂理论小体重为1.64g/cm</w:t>
            </w:r>
            <w:r>
              <w:rPr>
                <w:rFonts w:hint="eastAsia"/>
                <w:color w:val="auto"/>
                <w:sz w:val="24"/>
                <w:vertAlign w:val="superscript"/>
              </w:rPr>
              <w:t>3</w:t>
            </w:r>
            <w:r>
              <w:rPr>
                <w:rFonts w:hint="eastAsia"/>
                <w:color w:val="auto"/>
                <w:sz w:val="24"/>
              </w:rPr>
              <w:t>。）</w:t>
            </w:r>
          </w:p>
          <w:p w14:paraId="4AC41F5B">
            <w:pPr>
              <w:spacing w:line="360" w:lineRule="auto"/>
              <w:ind w:firstLine="480" w:firstLineChars="200"/>
              <w:rPr>
                <w:color w:val="auto"/>
                <w:sz w:val="24"/>
              </w:rPr>
            </w:pPr>
            <w:r>
              <w:rPr>
                <w:rFonts w:hint="eastAsia"/>
                <w:color w:val="auto"/>
                <w:sz w:val="24"/>
              </w:rPr>
              <w:t>根据上述公式计算可知，开采扬尘产生量为9.3</w:t>
            </w:r>
            <w:r>
              <w:rPr>
                <w:rFonts w:hint="eastAsia"/>
                <w:color w:val="auto"/>
                <w:sz w:val="24"/>
                <w:lang w:val="en-US" w:eastAsia="zh-CN"/>
              </w:rPr>
              <w:t>5</w:t>
            </w:r>
            <w:r>
              <w:rPr>
                <w:rFonts w:hint="eastAsia"/>
                <w:color w:val="auto"/>
                <w:sz w:val="24"/>
              </w:rPr>
              <w:t>t/a</w:t>
            </w:r>
            <w:r>
              <w:rPr>
                <w:rFonts w:hint="eastAsia"/>
                <w:color w:val="auto"/>
                <w:sz w:val="24"/>
                <w:lang w:eastAsia="zh-CN"/>
              </w:rPr>
              <w:t>。</w:t>
            </w:r>
            <w:r>
              <w:rPr>
                <w:rFonts w:hint="eastAsia"/>
                <w:color w:val="auto"/>
                <w:sz w:val="24"/>
                <w:highlight w:val="none"/>
              </w:rPr>
              <w:t>运营期先开采2号矿区，再开采1号矿区</w:t>
            </w:r>
            <w:r>
              <w:rPr>
                <w:rFonts w:hint="eastAsia"/>
                <w:color w:val="auto"/>
                <w:sz w:val="24"/>
                <w:highlight w:val="none"/>
                <w:lang w:eastAsia="zh-CN"/>
              </w:rPr>
              <w:t>，</w:t>
            </w:r>
            <w:r>
              <w:rPr>
                <w:rFonts w:hint="eastAsia"/>
                <w:color w:val="auto"/>
                <w:sz w:val="24"/>
                <w:highlight w:val="none"/>
                <w:lang w:val="en-US" w:eastAsia="zh-CN"/>
              </w:rPr>
              <w:t>1号矿区、2号矿区开采规模均为年开采50万m</w:t>
            </w:r>
            <w:r>
              <w:rPr>
                <w:rFonts w:hint="eastAsia"/>
                <w:color w:val="auto"/>
                <w:sz w:val="24"/>
                <w:highlight w:val="none"/>
                <w:vertAlign w:val="superscript"/>
                <w:lang w:val="en-US" w:eastAsia="zh-CN"/>
              </w:rPr>
              <w:t>3</w:t>
            </w:r>
            <w:r>
              <w:rPr>
                <w:rFonts w:hint="eastAsia"/>
                <w:color w:val="auto"/>
                <w:sz w:val="24"/>
                <w:highlight w:val="none"/>
                <w:lang w:val="en-US" w:eastAsia="zh-CN"/>
              </w:rPr>
              <w:t>，因此1号矿区、2号矿区开采扬尘产生量均为9.35t/a。开采前对开采作业面洒水增湿，开采过程中雾炮机水雾增湿降尘</w:t>
            </w:r>
            <w:r>
              <w:rPr>
                <w:rFonts w:hint="eastAsia"/>
                <w:color w:val="auto"/>
                <w:sz w:val="24"/>
              </w:rPr>
              <w:t>，可降低</w:t>
            </w:r>
            <w:r>
              <w:rPr>
                <w:rFonts w:hint="eastAsia"/>
                <w:color w:val="auto"/>
                <w:sz w:val="24"/>
                <w:lang w:val="en-US" w:eastAsia="zh-CN"/>
              </w:rPr>
              <w:t>74</w:t>
            </w:r>
            <w:r>
              <w:rPr>
                <w:rFonts w:hint="eastAsia"/>
                <w:color w:val="auto"/>
                <w:sz w:val="24"/>
              </w:rPr>
              <w:t>%颗粒物排放（控制效率来源于《固体物料堆存颗粒物产排污核算系数手册》中附录4），因此，</w:t>
            </w:r>
            <w:r>
              <w:rPr>
                <w:rFonts w:hint="eastAsia"/>
                <w:color w:val="auto"/>
                <w:sz w:val="24"/>
                <w:highlight w:val="none"/>
                <w:lang w:val="en-US" w:eastAsia="zh-CN"/>
              </w:rPr>
              <w:t>1号矿区、2号矿区开采过程中</w:t>
            </w:r>
            <w:r>
              <w:rPr>
                <w:rFonts w:hint="eastAsia"/>
                <w:color w:val="auto"/>
                <w:sz w:val="24"/>
              </w:rPr>
              <w:t>颗粒物排放量</w:t>
            </w:r>
            <w:r>
              <w:rPr>
                <w:rFonts w:hint="eastAsia"/>
                <w:color w:val="auto"/>
                <w:sz w:val="24"/>
                <w:lang w:val="en-US" w:eastAsia="zh-CN"/>
              </w:rPr>
              <w:t>均</w:t>
            </w:r>
            <w:r>
              <w:rPr>
                <w:rFonts w:hint="eastAsia"/>
                <w:color w:val="auto"/>
                <w:sz w:val="24"/>
              </w:rPr>
              <w:t>为</w:t>
            </w:r>
            <w:r>
              <w:rPr>
                <w:rFonts w:hint="eastAsia"/>
                <w:color w:val="auto"/>
                <w:sz w:val="24"/>
                <w:lang w:val="en-US" w:eastAsia="zh-CN"/>
              </w:rPr>
              <w:t>2.43</w:t>
            </w:r>
            <w:r>
              <w:rPr>
                <w:rFonts w:hint="eastAsia"/>
                <w:color w:val="auto"/>
                <w:sz w:val="24"/>
              </w:rPr>
              <w:t>t/a</w:t>
            </w:r>
            <w:r>
              <w:rPr>
                <w:rFonts w:hint="eastAsia"/>
                <w:color w:val="auto"/>
                <w:sz w:val="24"/>
                <w:lang w:eastAsia="zh-CN"/>
              </w:rPr>
              <w:t>，</w:t>
            </w:r>
            <w:r>
              <w:rPr>
                <w:rFonts w:hint="eastAsia"/>
                <w:color w:val="auto"/>
                <w:sz w:val="24"/>
                <w:lang w:val="en-US" w:eastAsia="zh-CN"/>
              </w:rPr>
              <w:t>排放速率为1.22kg/h</w:t>
            </w:r>
            <w:r>
              <w:rPr>
                <w:rFonts w:hint="eastAsia"/>
                <w:color w:val="auto"/>
                <w:sz w:val="24"/>
              </w:rPr>
              <w:t>。因此，在开采作业面及建筑用砂装卸过程中采用雾炮机水雾增湿除尘方式降尘措施后，产生的无组织颗粒物对周围环境影响不大。</w:t>
            </w:r>
          </w:p>
          <w:p w14:paraId="60F3D15B">
            <w:pPr>
              <w:spacing w:line="360" w:lineRule="auto"/>
              <w:ind w:firstLine="480" w:firstLineChars="200"/>
              <w:rPr>
                <w:bCs/>
                <w:color w:val="auto"/>
                <w:sz w:val="24"/>
              </w:rPr>
            </w:pPr>
            <w:r>
              <w:rPr>
                <w:bCs/>
                <w:color w:val="auto"/>
                <w:sz w:val="24"/>
              </w:rPr>
              <w:t>（2）运输扬尘</w:t>
            </w:r>
          </w:p>
          <w:p w14:paraId="04B36E19">
            <w:pPr>
              <w:spacing w:line="360" w:lineRule="auto"/>
              <w:ind w:firstLine="480" w:firstLineChars="200"/>
              <w:rPr>
                <w:bCs/>
                <w:color w:val="auto"/>
                <w:sz w:val="24"/>
              </w:rPr>
            </w:pPr>
            <w:r>
              <w:rPr>
                <w:rFonts w:hint="eastAsia"/>
                <w:bCs/>
                <w:color w:val="auto"/>
                <w:sz w:val="24"/>
              </w:rPr>
              <w:t>在矿石运输及表土转运过程，尤其是在旱季，有间断的粉尘产生。评价建议采取设专人对运输道路进行定期清扫、洒水，运输车辆采用苫布遮盖密闭运输；控制运输车辆行驶速度及装载量，减少物料转运环节，缩短物料运输距离，严禁在大风及暴雨天气进行物料采装、运输等措施，通过这些措施，可以有效地减少运输扬尘的产生量。</w:t>
            </w:r>
          </w:p>
          <w:p w14:paraId="729366FB">
            <w:pPr>
              <w:spacing w:line="360" w:lineRule="auto"/>
              <w:ind w:firstLine="480" w:firstLineChars="200"/>
              <w:rPr>
                <w:bCs/>
                <w:color w:val="auto"/>
                <w:sz w:val="24"/>
              </w:rPr>
            </w:pPr>
            <w:r>
              <w:rPr>
                <w:rFonts w:hint="eastAsia"/>
                <w:bCs/>
                <w:color w:val="auto"/>
                <w:sz w:val="24"/>
              </w:rPr>
              <w:t>本次评价采用《无组织排放源常用分析与估算方法》推荐的经验公式估算运输车辆道路扬尘量。</w:t>
            </w:r>
          </w:p>
          <w:p w14:paraId="1BE2AA57">
            <w:pPr>
              <w:pStyle w:val="56"/>
              <w:overflowPunct w:val="0"/>
              <w:adjustRightInd/>
              <w:spacing w:before="24" w:after="24" w:line="360" w:lineRule="auto"/>
              <w:ind w:firstLine="480" w:firstLineChars="200"/>
              <w:rPr>
                <w:rFonts w:ascii="Times New Roman" w:hAnsi="Times New Roman" w:cs="Times New Roman"/>
                <w:bCs/>
                <w:color w:val="auto"/>
                <w:sz w:val="24"/>
                <w:szCs w:val="24"/>
              </w:rPr>
            </w:pPr>
            <w:r>
              <w:rPr>
                <w:rFonts w:ascii="Times New Roman" w:hAnsi="Times New Roman" w:cs="Times New Roman"/>
                <w:bCs/>
                <w:i/>
                <w:iCs/>
                <w:color w:val="auto"/>
                <w:sz w:val="24"/>
                <w:szCs w:val="24"/>
              </w:rPr>
              <w:t>Q</w:t>
            </w:r>
            <w:r>
              <w:rPr>
                <w:rFonts w:ascii="Times New Roman" w:hAnsi="Times New Roman" w:cs="Times New Roman"/>
                <w:bCs/>
                <w:i/>
                <w:iCs/>
                <w:color w:val="auto"/>
                <w:sz w:val="24"/>
                <w:szCs w:val="24"/>
                <w:vertAlign w:val="subscript"/>
              </w:rPr>
              <w:t>p</w:t>
            </w:r>
            <w:r>
              <w:rPr>
                <w:rFonts w:ascii="Times New Roman" w:hAnsi="Times New Roman" w:cs="Times New Roman"/>
                <w:bCs/>
                <w:color w:val="auto"/>
                <w:sz w:val="24"/>
                <w:szCs w:val="24"/>
              </w:rPr>
              <w:t>=0.123×</w:t>
            </w:r>
            <w:r>
              <w:rPr>
                <w:rFonts w:hint="eastAsia" w:ascii="Times New Roman" w:hAnsi="Times New Roman" w:cs="Times New Roman"/>
                <w:bCs/>
                <w:color w:val="auto"/>
                <w:sz w:val="24"/>
                <w:szCs w:val="24"/>
              </w:rPr>
              <w:t>(</w:t>
            </w:r>
            <w:r>
              <w:rPr>
                <w:rFonts w:ascii="Times New Roman" w:hAnsi="Times New Roman" w:cs="Times New Roman"/>
                <w:bCs/>
                <w:i/>
                <w:iCs/>
                <w:color w:val="auto"/>
                <w:sz w:val="24"/>
                <w:szCs w:val="24"/>
              </w:rPr>
              <w:t>V</w:t>
            </w:r>
            <w:r>
              <w:rPr>
                <w:rFonts w:ascii="Times New Roman" w:hAnsi="Times New Roman" w:cs="Times New Roman"/>
                <w:bCs/>
                <w:color w:val="auto"/>
                <w:sz w:val="24"/>
                <w:szCs w:val="24"/>
              </w:rPr>
              <w:t>/5</w:t>
            </w:r>
            <w:r>
              <w:rPr>
                <w:rFonts w:hint="eastAsia" w:ascii="Times New Roman" w:hAnsi="Times New Roman" w:cs="Times New Roman"/>
                <w:bCs/>
                <w:color w:val="auto"/>
                <w:sz w:val="24"/>
                <w:szCs w:val="24"/>
              </w:rPr>
              <w:t>)</w:t>
            </w:r>
            <w:r>
              <w:rPr>
                <w:rFonts w:ascii="Times New Roman" w:hAnsi="Times New Roman" w:cs="Times New Roman"/>
                <w:bCs/>
                <w:color w:val="auto"/>
                <w:sz w:val="24"/>
                <w:szCs w:val="24"/>
              </w:rPr>
              <w:t>×</w:t>
            </w:r>
            <w:r>
              <w:rPr>
                <w:rFonts w:hint="eastAsia" w:ascii="Times New Roman" w:hAnsi="Times New Roman" w:cs="Times New Roman"/>
                <w:bCs/>
                <w:color w:val="auto"/>
                <w:sz w:val="24"/>
                <w:szCs w:val="24"/>
              </w:rPr>
              <w:t>(</w:t>
            </w:r>
            <w:r>
              <w:rPr>
                <w:rFonts w:ascii="Times New Roman" w:hAnsi="Times New Roman" w:cs="Times New Roman"/>
                <w:bCs/>
                <w:i/>
                <w:iCs/>
                <w:color w:val="auto"/>
                <w:sz w:val="24"/>
                <w:szCs w:val="24"/>
              </w:rPr>
              <w:t>M</w:t>
            </w:r>
            <w:r>
              <w:rPr>
                <w:rFonts w:ascii="Times New Roman" w:hAnsi="Times New Roman" w:cs="Times New Roman"/>
                <w:bCs/>
                <w:color w:val="auto"/>
                <w:sz w:val="24"/>
                <w:szCs w:val="24"/>
              </w:rPr>
              <w:t>/6.8</w:t>
            </w:r>
            <w:r>
              <w:rPr>
                <w:rFonts w:hint="eastAsia" w:ascii="Times New Roman" w:hAnsi="Times New Roman" w:cs="Times New Roman"/>
                <w:bCs/>
                <w:color w:val="auto"/>
                <w:sz w:val="24"/>
                <w:szCs w:val="24"/>
              </w:rPr>
              <w:t>)</w:t>
            </w:r>
            <w:r>
              <w:rPr>
                <w:rFonts w:ascii="Times New Roman" w:hAnsi="Times New Roman" w:cs="Times New Roman"/>
                <w:bCs/>
                <w:color w:val="auto"/>
                <w:sz w:val="24"/>
                <w:szCs w:val="24"/>
                <w:vertAlign w:val="superscript"/>
              </w:rPr>
              <w:t>0.85</w:t>
            </w:r>
            <w:r>
              <w:rPr>
                <w:rFonts w:ascii="Times New Roman" w:hAnsi="Times New Roman" w:cs="Times New Roman"/>
                <w:bCs/>
                <w:color w:val="auto"/>
                <w:sz w:val="24"/>
                <w:szCs w:val="24"/>
              </w:rPr>
              <w:t>×</w:t>
            </w:r>
            <w:r>
              <w:rPr>
                <w:rFonts w:hint="eastAsia" w:ascii="Times New Roman" w:hAnsi="Times New Roman" w:cs="Times New Roman"/>
                <w:bCs/>
                <w:color w:val="auto"/>
                <w:sz w:val="24"/>
                <w:szCs w:val="24"/>
              </w:rPr>
              <w:t>(</w:t>
            </w:r>
            <w:r>
              <w:rPr>
                <w:rFonts w:ascii="Times New Roman" w:hAnsi="Times New Roman" w:cs="Times New Roman"/>
                <w:bCs/>
                <w:i/>
                <w:iCs/>
                <w:color w:val="auto"/>
                <w:sz w:val="24"/>
                <w:szCs w:val="24"/>
              </w:rPr>
              <w:t>P</w:t>
            </w:r>
            <w:r>
              <w:rPr>
                <w:rFonts w:ascii="Times New Roman" w:hAnsi="Times New Roman" w:cs="Times New Roman"/>
                <w:bCs/>
                <w:color w:val="auto"/>
                <w:sz w:val="24"/>
                <w:szCs w:val="24"/>
              </w:rPr>
              <w:t>/0.5</w:t>
            </w:r>
            <w:r>
              <w:rPr>
                <w:rFonts w:hint="eastAsia" w:ascii="Times New Roman" w:hAnsi="Times New Roman" w:cs="Times New Roman"/>
                <w:bCs/>
                <w:color w:val="auto"/>
                <w:sz w:val="24"/>
                <w:szCs w:val="24"/>
              </w:rPr>
              <w:t>)</w:t>
            </w:r>
            <w:r>
              <w:rPr>
                <w:rFonts w:ascii="Times New Roman" w:hAnsi="Times New Roman" w:cs="Times New Roman"/>
                <w:bCs/>
                <w:color w:val="auto"/>
                <w:sz w:val="24"/>
                <w:szCs w:val="24"/>
                <w:vertAlign w:val="superscript"/>
              </w:rPr>
              <w:t>0.72</w:t>
            </w:r>
          </w:p>
          <w:p w14:paraId="61AD8885">
            <w:pPr>
              <w:pStyle w:val="56"/>
              <w:overflowPunct w:val="0"/>
              <w:adjustRightInd/>
              <w:spacing w:before="24" w:after="24" w:line="360" w:lineRule="auto"/>
              <w:ind w:firstLine="3120" w:firstLineChars="1300"/>
              <w:jc w:val="both"/>
              <w:rPr>
                <w:rFonts w:ascii="Times New Roman" w:hAnsi="Times New Roman" w:cs="Times New Roman"/>
                <w:bCs/>
                <w:color w:val="auto"/>
                <w:sz w:val="24"/>
                <w:szCs w:val="24"/>
              </w:rPr>
            </w:pPr>
            <w:r>
              <w:rPr>
                <w:rFonts w:ascii="Times New Roman" w:hAnsi="Times New Roman" w:cs="Times New Roman"/>
                <w:bCs/>
                <w:i/>
                <w:iCs/>
                <w:color w:val="auto"/>
                <w:sz w:val="24"/>
                <w:szCs w:val="24"/>
              </w:rPr>
              <w:t>Q´</w:t>
            </w:r>
            <w:r>
              <w:rPr>
                <w:rFonts w:ascii="Times New Roman" w:hAnsi="Times New Roman" w:cs="Times New Roman"/>
                <w:bCs/>
                <w:i/>
                <w:iCs/>
                <w:color w:val="auto"/>
                <w:sz w:val="24"/>
                <w:szCs w:val="24"/>
                <w:vertAlign w:val="subscript"/>
              </w:rPr>
              <w:t>p</w:t>
            </w:r>
            <w:r>
              <w:rPr>
                <w:rFonts w:ascii="Times New Roman" w:hAnsi="Times New Roman" w:cs="Times New Roman"/>
                <w:bCs/>
                <w:color w:val="auto"/>
                <w:sz w:val="24"/>
                <w:szCs w:val="24"/>
              </w:rPr>
              <w:t>=</w:t>
            </w:r>
            <w:r>
              <w:rPr>
                <w:rFonts w:ascii="Times New Roman" w:hAnsi="Times New Roman" w:cs="Times New Roman"/>
                <w:bCs/>
                <w:i/>
                <w:iCs/>
                <w:color w:val="auto"/>
                <w:sz w:val="24"/>
                <w:szCs w:val="24"/>
              </w:rPr>
              <w:t>Q</w:t>
            </w:r>
            <w:r>
              <w:rPr>
                <w:rFonts w:ascii="Times New Roman" w:hAnsi="Times New Roman" w:cs="Times New Roman"/>
                <w:bCs/>
                <w:i/>
                <w:iCs/>
                <w:color w:val="auto"/>
                <w:sz w:val="24"/>
                <w:szCs w:val="24"/>
                <w:vertAlign w:val="subscript"/>
              </w:rPr>
              <w:t>p</w:t>
            </w:r>
            <w:r>
              <w:rPr>
                <w:rFonts w:ascii="Times New Roman" w:hAnsi="Times New Roman" w:cs="Times New Roman"/>
                <w:bCs/>
                <w:color w:val="auto"/>
                <w:sz w:val="24"/>
                <w:szCs w:val="24"/>
              </w:rPr>
              <w:t>×</w:t>
            </w:r>
            <w:r>
              <w:rPr>
                <w:rFonts w:ascii="Times New Roman" w:hAnsi="Times New Roman" w:cs="Times New Roman"/>
                <w:bCs/>
                <w:i/>
                <w:iCs/>
                <w:color w:val="auto"/>
                <w:sz w:val="24"/>
                <w:szCs w:val="24"/>
              </w:rPr>
              <w:t>L</w:t>
            </w:r>
            <w:r>
              <w:rPr>
                <w:rFonts w:ascii="Times New Roman" w:hAnsi="Times New Roman" w:cs="Times New Roman"/>
                <w:bCs/>
                <w:color w:val="auto"/>
                <w:sz w:val="24"/>
                <w:szCs w:val="24"/>
              </w:rPr>
              <w:t>×</w:t>
            </w:r>
            <w:r>
              <w:rPr>
                <w:rFonts w:ascii="Times New Roman" w:hAnsi="Times New Roman" w:cs="Times New Roman"/>
                <w:bCs/>
                <w:i/>
                <w:iCs/>
                <w:color w:val="auto"/>
                <w:sz w:val="24"/>
                <w:szCs w:val="24"/>
              </w:rPr>
              <w:t>Q</w:t>
            </w:r>
            <w:r>
              <w:rPr>
                <w:rFonts w:ascii="Times New Roman" w:hAnsi="Times New Roman" w:cs="Times New Roman"/>
                <w:bCs/>
                <w:color w:val="auto"/>
                <w:sz w:val="24"/>
                <w:szCs w:val="24"/>
              </w:rPr>
              <w:t>/</w:t>
            </w:r>
            <w:r>
              <w:rPr>
                <w:rFonts w:ascii="Times New Roman" w:hAnsi="Times New Roman" w:cs="Times New Roman"/>
                <w:bCs/>
                <w:i/>
                <w:iCs/>
                <w:color w:val="auto"/>
                <w:sz w:val="24"/>
                <w:szCs w:val="24"/>
              </w:rPr>
              <w:t>M</w:t>
            </w:r>
            <w:r>
              <w:rPr>
                <w:rFonts w:ascii="Times New Roman" w:hAnsi="Times New Roman" w:cs="Times New Roman"/>
                <w:bCs/>
                <w:color w:val="auto"/>
                <w:sz w:val="24"/>
                <w:szCs w:val="24"/>
              </w:rPr>
              <w:t xml:space="preserve">           </w:t>
            </w:r>
          </w:p>
          <w:p w14:paraId="595B4A01">
            <w:pPr>
              <w:spacing w:line="360" w:lineRule="auto"/>
              <w:ind w:firstLine="480" w:firstLineChars="200"/>
              <w:rPr>
                <w:bCs/>
                <w:color w:val="auto"/>
                <w:sz w:val="24"/>
              </w:rPr>
            </w:pPr>
            <w:r>
              <w:rPr>
                <w:bCs/>
                <w:color w:val="auto"/>
                <w:sz w:val="24"/>
              </w:rPr>
              <w:t>式中：</w:t>
            </w:r>
            <w:r>
              <w:rPr>
                <w:bCs/>
                <w:i/>
                <w:iCs/>
                <w:color w:val="auto"/>
                <w:sz w:val="24"/>
              </w:rPr>
              <w:t>Q</w:t>
            </w:r>
            <w:r>
              <w:rPr>
                <w:bCs/>
                <w:i/>
                <w:iCs/>
                <w:color w:val="auto"/>
                <w:sz w:val="24"/>
                <w:vertAlign w:val="subscript"/>
              </w:rPr>
              <w:t>p</w:t>
            </w:r>
            <w:r>
              <w:rPr>
                <w:bCs/>
                <w:i/>
                <w:iCs/>
                <w:color w:val="auto"/>
                <w:sz w:val="24"/>
              </w:rPr>
              <w:t>—</w:t>
            </w:r>
            <w:r>
              <w:rPr>
                <w:bCs/>
                <w:color w:val="auto"/>
                <w:sz w:val="24"/>
              </w:rPr>
              <w:t>道路扬尘量，kg/km</w:t>
            </w:r>
            <w:r>
              <w:rPr>
                <w:rFonts w:hint="eastAsia"/>
                <w:bCs/>
                <w:color w:val="auto"/>
                <w:sz w:val="24"/>
              </w:rPr>
              <w:t>·</w:t>
            </w:r>
            <w:r>
              <w:rPr>
                <w:bCs/>
                <w:color w:val="auto"/>
                <w:sz w:val="24"/>
              </w:rPr>
              <w:t>辆；</w:t>
            </w:r>
          </w:p>
          <w:p w14:paraId="1E32F397">
            <w:pPr>
              <w:spacing w:line="360" w:lineRule="auto"/>
              <w:ind w:firstLine="1200" w:firstLineChars="500"/>
              <w:rPr>
                <w:bCs/>
                <w:color w:val="auto"/>
                <w:sz w:val="24"/>
              </w:rPr>
            </w:pPr>
            <w:r>
              <w:rPr>
                <w:bCs/>
                <w:i/>
                <w:iCs/>
                <w:color w:val="auto"/>
                <w:sz w:val="24"/>
              </w:rPr>
              <w:t>Q</w:t>
            </w:r>
            <w:r>
              <w:rPr>
                <w:bCs/>
                <w:i/>
                <w:iCs/>
                <w:color w:val="auto"/>
                <w:sz w:val="24"/>
                <w:vertAlign w:val="superscript"/>
              </w:rPr>
              <w:t>´</w:t>
            </w:r>
            <w:r>
              <w:rPr>
                <w:bCs/>
                <w:i/>
                <w:iCs/>
                <w:color w:val="auto"/>
                <w:sz w:val="24"/>
                <w:vertAlign w:val="subscript"/>
              </w:rPr>
              <w:t>p</w:t>
            </w:r>
            <w:r>
              <w:rPr>
                <w:bCs/>
                <w:color w:val="auto"/>
                <w:sz w:val="24"/>
              </w:rPr>
              <w:t>—总扬尘量，kg/a；</w:t>
            </w:r>
          </w:p>
          <w:p w14:paraId="23B79890">
            <w:pPr>
              <w:spacing w:line="360" w:lineRule="auto"/>
              <w:ind w:firstLine="1200" w:firstLineChars="500"/>
              <w:rPr>
                <w:bCs/>
                <w:color w:val="auto"/>
                <w:sz w:val="24"/>
              </w:rPr>
            </w:pPr>
            <w:r>
              <w:rPr>
                <w:bCs/>
                <w:i/>
                <w:iCs/>
                <w:color w:val="auto"/>
                <w:sz w:val="24"/>
              </w:rPr>
              <w:t>V—</w:t>
            </w:r>
            <w:r>
              <w:rPr>
                <w:bCs/>
                <w:color w:val="auto"/>
                <w:sz w:val="24"/>
              </w:rPr>
              <w:t>车辆速度，为</w:t>
            </w:r>
            <w:r>
              <w:rPr>
                <w:rFonts w:hint="eastAsia"/>
                <w:bCs/>
                <w:color w:val="auto"/>
                <w:sz w:val="24"/>
              </w:rPr>
              <w:t>15</w:t>
            </w:r>
            <w:r>
              <w:rPr>
                <w:bCs/>
                <w:color w:val="auto"/>
                <w:sz w:val="24"/>
              </w:rPr>
              <w:t>km/h；</w:t>
            </w:r>
          </w:p>
          <w:p w14:paraId="55648256">
            <w:pPr>
              <w:spacing w:line="336" w:lineRule="auto"/>
              <w:ind w:firstLine="1200" w:firstLineChars="500"/>
              <w:rPr>
                <w:bCs/>
                <w:color w:val="auto"/>
                <w:sz w:val="24"/>
              </w:rPr>
            </w:pPr>
            <w:r>
              <w:rPr>
                <w:bCs/>
                <w:i/>
                <w:iCs/>
                <w:color w:val="auto"/>
                <w:sz w:val="24"/>
              </w:rPr>
              <w:t>M—</w:t>
            </w:r>
            <w:r>
              <w:rPr>
                <w:bCs/>
                <w:color w:val="auto"/>
                <w:sz w:val="24"/>
              </w:rPr>
              <w:t>车辆载重，</w:t>
            </w:r>
            <w:r>
              <w:rPr>
                <w:rFonts w:hint="eastAsia"/>
                <w:bCs/>
                <w:color w:val="auto"/>
                <w:sz w:val="24"/>
              </w:rPr>
              <w:t>25</w:t>
            </w:r>
            <w:r>
              <w:rPr>
                <w:bCs/>
                <w:color w:val="auto"/>
                <w:sz w:val="24"/>
              </w:rPr>
              <w:t>t/辆；</w:t>
            </w:r>
          </w:p>
          <w:p w14:paraId="0BE8F5A9">
            <w:pPr>
              <w:spacing w:line="336" w:lineRule="auto"/>
              <w:ind w:firstLine="1200" w:firstLineChars="500"/>
              <w:rPr>
                <w:bCs/>
                <w:color w:val="auto"/>
                <w:sz w:val="24"/>
              </w:rPr>
            </w:pPr>
            <w:r>
              <w:rPr>
                <w:bCs/>
                <w:i/>
                <w:iCs/>
                <w:color w:val="auto"/>
                <w:sz w:val="24"/>
              </w:rPr>
              <w:t>P</w:t>
            </w:r>
            <w:r>
              <w:rPr>
                <w:bCs/>
                <w:color w:val="auto"/>
                <w:sz w:val="24"/>
              </w:rPr>
              <w:t>—道路表面物料量（kg/m</w:t>
            </w:r>
            <w:r>
              <w:rPr>
                <w:bCs/>
                <w:color w:val="auto"/>
                <w:sz w:val="24"/>
                <w:vertAlign w:val="superscript"/>
              </w:rPr>
              <w:t>2</w:t>
            </w:r>
            <w:r>
              <w:rPr>
                <w:bCs/>
                <w:color w:val="auto"/>
                <w:sz w:val="24"/>
              </w:rPr>
              <w:t>），本项目取0.1kg/m</w:t>
            </w:r>
            <w:r>
              <w:rPr>
                <w:bCs/>
                <w:color w:val="auto"/>
                <w:sz w:val="24"/>
                <w:vertAlign w:val="superscript"/>
              </w:rPr>
              <w:t>2</w:t>
            </w:r>
            <w:r>
              <w:rPr>
                <w:bCs/>
                <w:color w:val="auto"/>
                <w:sz w:val="24"/>
              </w:rPr>
              <w:t>；</w:t>
            </w:r>
          </w:p>
          <w:p w14:paraId="032514C3">
            <w:pPr>
              <w:spacing w:line="336" w:lineRule="auto"/>
              <w:ind w:firstLine="1200" w:firstLineChars="500"/>
              <w:rPr>
                <w:bCs/>
                <w:color w:val="auto"/>
                <w:sz w:val="24"/>
              </w:rPr>
            </w:pPr>
            <w:r>
              <w:rPr>
                <w:bCs/>
                <w:i/>
                <w:iCs/>
                <w:color w:val="auto"/>
                <w:sz w:val="24"/>
              </w:rPr>
              <w:t>L</w:t>
            </w:r>
            <w:r>
              <w:rPr>
                <w:bCs/>
                <w:color w:val="auto"/>
                <w:sz w:val="24"/>
              </w:rPr>
              <w:t>—运距，</w:t>
            </w:r>
            <w:r>
              <w:rPr>
                <w:rFonts w:hint="eastAsia"/>
                <w:bCs/>
                <w:color w:val="auto"/>
                <w:sz w:val="24"/>
              </w:rPr>
              <w:t>本项目在</w:t>
            </w:r>
            <w:r>
              <w:rPr>
                <w:rFonts w:hint="eastAsia"/>
                <w:bCs/>
                <w:color w:val="auto"/>
                <w:sz w:val="24"/>
                <w:lang w:val="en-US" w:eastAsia="zh-CN"/>
              </w:rPr>
              <w:t>1号</w:t>
            </w:r>
            <w:r>
              <w:rPr>
                <w:rFonts w:hint="eastAsia"/>
                <w:bCs/>
                <w:color w:val="auto"/>
                <w:sz w:val="24"/>
              </w:rPr>
              <w:t>矿区内运距</w:t>
            </w:r>
            <w:r>
              <w:rPr>
                <w:bCs/>
                <w:color w:val="auto"/>
                <w:sz w:val="24"/>
              </w:rPr>
              <w:t>取</w:t>
            </w:r>
            <w:r>
              <w:rPr>
                <w:rFonts w:hint="eastAsia"/>
                <w:bCs/>
                <w:color w:val="auto"/>
                <w:sz w:val="24"/>
              </w:rPr>
              <w:t>1.0k</w:t>
            </w:r>
            <w:r>
              <w:rPr>
                <w:bCs/>
                <w:color w:val="auto"/>
                <w:sz w:val="24"/>
              </w:rPr>
              <w:t>m</w:t>
            </w:r>
            <w:r>
              <w:rPr>
                <w:rFonts w:hint="eastAsia"/>
                <w:bCs/>
                <w:color w:val="auto"/>
                <w:sz w:val="24"/>
                <w:lang w:eastAsia="zh-CN"/>
              </w:rPr>
              <w:t>，</w:t>
            </w:r>
            <w:r>
              <w:rPr>
                <w:rFonts w:hint="eastAsia"/>
                <w:bCs/>
                <w:color w:val="auto"/>
                <w:sz w:val="24"/>
                <w:lang w:val="en-US" w:eastAsia="zh-CN"/>
              </w:rPr>
              <w:t>2号</w:t>
            </w:r>
            <w:r>
              <w:rPr>
                <w:rFonts w:hint="eastAsia"/>
                <w:bCs/>
                <w:color w:val="auto"/>
                <w:sz w:val="24"/>
              </w:rPr>
              <w:t>矿区内运距</w:t>
            </w:r>
            <w:r>
              <w:rPr>
                <w:bCs/>
                <w:color w:val="auto"/>
                <w:sz w:val="24"/>
              </w:rPr>
              <w:t>取</w:t>
            </w:r>
            <w:r>
              <w:rPr>
                <w:rFonts w:hint="eastAsia"/>
                <w:bCs/>
                <w:color w:val="auto"/>
                <w:sz w:val="24"/>
                <w:lang w:val="en-US" w:eastAsia="zh-CN"/>
              </w:rPr>
              <w:t>0.8</w:t>
            </w:r>
            <w:r>
              <w:rPr>
                <w:rFonts w:hint="eastAsia"/>
                <w:bCs/>
                <w:color w:val="auto"/>
                <w:sz w:val="24"/>
              </w:rPr>
              <w:t>k</w:t>
            </w:r>
            <w:r>
              <w:rPr>
                <w:bCs/>
                <w:color w:val="auto"/>
                <w:sz w:val="24"/>
              </w:rPr>
              <w:t>m；</w:t>
            </w:r>
          </w:p>
          <w:p w14:paraId="409A3171">
            <w:pPr>
              <w:spacing w:line="336" w:lineRule="auto"/>
              <w:ind w:firstLine="1200" w:firstLineChars="500"/>
              <w:rPr>
                <w:bCs/>
                <w:color w:val="auto"/>
                <w:sz w:val="24"/>
              </w:rPr>
            </w:pPr>
            <w:r>
              <w:rPr>
                <w:bCs/>
                <w:i/>
                <w:iCs/>
                <w:color w:val="auto"/>
                <w:sz w:val="24"/>
              </w:rPr>
              <w:t>Q</w:t>
            </w:r>
            <w:r>
              <w:rPr>
                <w:bCs/>
                <w:color w:val="auto"/>
                <w:sz w:val="24"/>
              </w:rPr>
              <w:t>—运输量，</w:t>
            </w:r>
            <w:r>
              <w:rPr>
                <w:rFonts w:hint="eastAsia"/>
                <w:bCs/>
                <w:color w:val="auto"/>
                <w:sz w:val="24"/>
              </w:rPr>
              <w:t>82万</w:t>
            </w:r>
            <w:r>
              <w:rPr>
                <w:bCs/>
                <w:color w:val="auto"/>
                <w:sz w:val="24"/>
              </w:rPr>
              <w:t>t/a（</w:t>
            </w:r>
            <w:r>
              <w:rPr>
                <w:rFonts w:hint="eastAsia"/>
                <w:bCs/>
                <w:color w:val="auto"/>
                <w:sz w:val="24"/>
              </w:rPr>
              <w:t>建筑用砂理论小体重为1.64g/cm</w:t>
            </w:r>
            <w:r>
              <w:rPr>
                <w:bCs/>
                <w:color w:val="auto"/>
                <w:sz w:val="24"/>
                <w:vertAlign w:val="superscript"/>
              </w:rPr>
              <w:t>3</w:t>
            </w:r>
            <w:r>
              <w:rPr>
                <w:bCs/>
                <w:color w:val="auto"/>
                <w:sz w:val="24"/>
              </w:rPr>
              <w:t>，项目年产</w:t>
            </w:r>
            <w:r>
              <w:rPr>
                <w:rFonts w:hint="eastAsia"/>
                <w:bCs/>
                <w:color w:val="auto"/>
                <w:sz w:val="24"/>
              </w:rPr>
              <w:t>50万</w:t>
            </w:r>
            <w:r>
              <w:rPr>
                <w:bCs/>
                <w:color w:val="auto"/>
                <w:sz w:val="24"/>
              </w:rPr>
              <w:t>m</w:t>
            </w:r>
            <w:r>
              <w:rPr>
                <w:bCs/>
                <w:color w:val="auto"/>
                <w:sz w:val="24"/>
                <w:vertAlign w:val="superscript"/>
              </w:rPr>
              <w:t>3</w:t>
            </w:r>
            <w:r>
              <w:rPr>
                <w:bCs/>
                <w:color w:val="auto"/>
                <w:sz w:val="24"/>
              </w:rPr>
              <w:t>/a</w:t>
            </w:r>
            <w:r>
              <w:rPr>
                <w:rFonts w:hint="eastAsia"/>
                <w:bCs/>
                <w:color w:val="auto"/>
                <w:sz w:val="24"/>
              </w:rPr>
              <w:t>建筑用砂</w:t>
            </w:r>
            <w:r>
              <w:rPr>
                <w:bCs/>
                <w:color w:val="auto"/>
                <w:sz w:val="24"/>
              </w:rPr>
              <w:t>）。</w:t>
            </w:r>
          </w:p>
          <w:p w14:paraId="76678328">
            <w:pPr>
              <w:spacing w:line="336" w:lineRule="auto"/>
              <w:ind w:firstLine="480" w:firstLineChars="200"/>
              <w:rPr>
                <w:bCs/>
                <w:snapToGrid w:val="0"/>
                <w:color w:val="auto"/>
                <w:kern w:val="0"/>
                <w:sz w:val="24"/>
              </w:rPr>
            </w:pPr>
            <w:r>
              <w:rPr>
                <w:color w:val="auto"/>
                <w:sz w:val="24"/>
              </w:rPr>
              <w:t>根据</w:t>
            </w:r>
            <w:r>
              <w:rPr>
                <w:rFonts w:hint="eastAsia"/>
                <w:color w:val="auto"/>
                <w:sz w:val="24"/>
              </w:rPr>
              <w:t>以上公式</w:t>
            </w:r>
            <w:r>
              <w:rPr>
                <w:color w:val="auto"/>
                <w:sz w:val="24"/>
              </w:rPr>
              <w:t>计算，</w:t>
            </w:r>
            <w:r>
              <w:rPr>
                <w:bCs/>
                <w:color w:val="auto"/>
                <w:sz w:val="24"/>
              </w:rPr>
              <w:t>道路扬尘量</w:t>
            </w:r>
            <w:r>
              <w:rPr>
                <w:rFonts w:hint="eastAsia"/>
                <w:bCs/>
                <w:color w:val="auto"/>
                <w:sz w:val="24"/>
              </w:rPr>
              <w:t>0.35</w:t>
            </w:r>
            <w:r>
              <w:rPr>
                <w:bCs/>
                <w:color w:val="auto"/>
                <w:sz w:val="24"/>
              </w:rPr>
              <w:t>kg/km</w:t>
            </w:r>
            <w:r>
              <w:rPr>
                <w:rFonts w:hint="eastAsia"/>
                <w:bCs/>
                <w:color w:val="auto"/>
                <w:sz w:val="24"/>
              </w:rPr>
              <w:t>·</w:t>
            </w:r>
            <w:r>
              <w:rPr>
                <w:bCs/>
                <w:color w:val="auto"/>
                <w:sz w:val="24"/>
              </w:rPr>
              <w:t>辆</w:t>
            </w:r>
            <w:r>
              <w:rPr>
                <w:rFonts w:hint="eastAsia"/>
                <w:bCs/>
                <w:color w:val="auto"/>
                <w:sz w:val="24"/>
              </w:rPr>
              <w:t>，</w:t>
            </w:r>
            <w:r>
              <w:rPr>
                <w:color w:val="auto"/>
                <w:sz w:val="24"/>
              </w:rPr>
              <w:t>本项目</w:t>
            </w:r>
            <w:r>
              <w:rPr>
                <w:rFonts w:hint="eastAsia"/>
                <w:color w:val="auto"/>
                <w:sz w:val="24"/>
                <w:lang w:val="en-US" w:eastAsia="zh-CN"/>
              </w:rPr>
              <w:t>在1号矿区、2号矿区</w:t>
            </w:r>
            <w:r>
              <w:rPr>
                <w:bCs/>
                <w:snapToGrid w:val="0"/>
                <w:color w:val="auto"/>
                <w:kern w:val="0"/>
                <w:sz w:val="24"/>
              </w:rPr>
              <w:t>运输起尘量</w:t>
            </w:r>
            <w:r>
              <w:rPr>
                <w:rFonts w:hint="eastAsia"/>
                <w:bCs/>
                <w:snapToGrid w:val="0"/>
                <w:color w:val="auto"/>
                <w:kern w:val="0"/>
                <w:sz w:val="24"/>
                <w:lang w:val="en-US" w:eastAsia="zh-CN"/>
              </w:rPr>
              <w:t>分别</w:t>
            </w:r>
            <w:r>
              <w:rPr>
                <w:bCs/>
                <w:snapToGrid w:val="0"/>
                <w:color w:val="auto"/>
                <w:kern w:val="0"/>
                <w:sz w:val="24"/>
              </w:rPr>
              <w:t>为</w:t>
            </w:r>
            <w:r>
              <w:rPr>
                <w:rFonts w:hint="eastAsia"/>
                <w:bCs/>
                <w:snapToGrid w:val="0"/>
                <w:color w:val="auto"/>
                <w:kern w:val="0"/>
                <w:sz w:val="24"/>
              </w:rPr>
              <w:t>11.48</w:t>
            </w:r>
            <w:r>
              <w:rPr>
                <w:bCs/>
                <w:snapToGrid w:val="0"/>
                <w:color w:val="auto"/>
                <w:kern w:val="0"/>
                <w:sz w:val="24"/>
              </w:rPr>
              <w:t>t/a</w:t>
            </w:r>
            <w:r>
              <w:rPr>
                <w:rFonts w:hint="eastAsia"/>
                <w:bCs/>
                <w:snapToGrid w:val="0"/>
                <w:color w:val="auto"/>
                <w:kern w:val="0"/>
                <w:sz w:val="24"/>
                <w:lang w:eastAsia="zh-CN"/>
              </w:rPr>
              <w:t>、</w:t>
            </w:r>
            <w:r>
              <w:rPr>
                <w:rFonts w:hint="eastAsia"/>
                <w:bCs/>
                <w:snapToGrid w:val="0"/>
                <w:color w:val="auto"/>
                <w:kern w:val="0"/>
                <w:sz w:val="24"/>
                <w:lang w:val="en-US" w:eastAsia="zh-CN"/>
              </w:rPr>
              <w:t>9.18t/a</w:t>
            </w:r>
            <w:r>
              <w:rPr>
                <w:bCs/>
                <w:snapToGrid w:val="0"/>
                <w:color w:val="auto"/>
                <w:kern w:val="0"/>
                <w:sz w:val="24"/>
              </w:rPr>
              <w:t>。</w:t>
            </w:r>
            <w:r>
              <w:rPr>
                <w:rFonts w:hint="eastAsia"/>
                <w:bCs/>
                <w:snapToGrid w:val="0"/>
                <w:color w:val="auto"/>
                <w:kern w:val="0"/>
                <w:sz w:val="24"/>
              </w:rPr>
              <w:t>本次环评要求建设方对项目区内路面定期派专人进行清扫、洒水降尘</w:t>
            </w:r>
            <w:r>
              <w:rPr>
                <w:rFonts w:hint="eastAsia"/>
                <w:bCs/>
                <w:snapToGrid w:val="0"/>
                <w:color w:val="auto"/>
                <w:kern w:val="0"/>
                <w:sz w:val="24"/>
                <w:lang w:eastAsia="zh-CN"/>
              </w:rPr>
              <w:t>；</w:t>
            </w:r>
            <w:r>
              <w:rPr>
                <w:rFonts w:hint="eastAsia"/>
                <w:bCs/>
                <w:snapToGrid w:val="0"/>
                <w:color w:val="auto"/>
                <w:kern w:val="0"/>
                <w:sz w:val="24"/>
                <w:lang w:val="en-US" w:eastAsia="zh-CN"/>
              </w:rPr>
              <w:t>对车辆进行清洗，降低扬尘产生；</w:t>
            </w:r>
            <w:r>
              <w:rPr>
                <w:rFonts w:hint="eastAsia"/>
                <w:bCs/>
                <w:snapToGrid w:val="0"/>
                <w:color w:val="auto"/>
                <w:kern w:val="0"/>
                <w:sz w:val="24"/>
              </w:rPr>
              <w:t>运输车辆加盖篷布，严禁超速、超载等措施，可使运输起尘量减少90%，则</w:t>
            </w:r>
            <w:r>
              <w:rPr>
                <w:rFonts w:hint="eastAsia"/>
                <w:bCs/>
                <w:snapToGrid w:val="0"/>
                <w:color w:val="auto"/>
                <w:kern w:val="0"/>
                <w:sz w:val="24"/>
                <w:lang w:val="en-US" w:eastAsia="zh-CN"/>
              </w:rPr>
              <w:t>在1号矿区、2号矿区</w:t>
            </w:r>
            <w:r>
              <w:rPr>
                <w:rFonts w:hint="eastAsia"/>
                <w:bCs/>
                <w:snapToGrid w:val="0"/>
                <w:color w:val="auto"/>
                <w:kern w:val="0"/>
                <w:sz w:val="24"/>
              </w:rPr>
              <w:t>运输过程粉尘无组织排放量</w:t>
            </w:r>
            <w:r>
              <w:rPr>
                <w:rFonts w:hint="eastAsia"/>
                <w:bCs/>
                <w:snapToGrid w:val="0"/>
                <w:color w:val="auto"/>
                <w:kern w:val="0"/>
                <w:sz w:val="24"/>
                <w:lang w:val="en-US" w:eastAsia="zh-CN"/>
              </w:rPr>
              <w:t>分别</w:t>
            </w:r>
            <w:r>
              <w:rPr>
                <w:rFonts w:hint="eastAsia"/>
                <w:bCs/>
                <w:snapToGrid w:val="0"/>
                <w:color w:val="auto"/>
                <w:kern w:val="0"/>
                <w:sz w:val="24"/>
              </w:rPr>
              <w:t>为1.1</w:t>
            </w:r>
            <w:r>
              <w:rPr>
                <w:rFonts w:hint="eastAsia"/>
                <w:bCs/>
                <w:snapToGrid w:val="0"/>
                <w:color w:val="auto"/>
                <w:kern w:val="0"/>
                <w:sz w:val="24"/>
                <w:lang w:val="en-US" w:eastAsia="zh-CN"/>
              </w:rPr>
              <w:t>5</w:t>
            </w:r>
            <w:r>
              <w:rPr>
                <w:rFonts w:hint="eastAsia"/>
                <w:bCs/>
                <w:snapToGrid w:val="0"/>
                <w:color w:val="auto"/>
                <w:kern w:val="0"/>
                <w:sz w:val="24"/>
              </w:rPr>
              <w:t>t/a</w:t>
            </w:r>
            <w:r>
              <w:rPr>
                <w:rFonts w:hint="eastAsia"/>
                <w:bCs/>
                <w:snapToGrid w:val="0"/>
                <w:color w:val="auto"/>
                <w:kern w:val="0"/>
                <w:sz w:val="24"/>
                <w:lang w:eastAsia="zh-CN"/>
              </w:rPr>
              <w:t>、</w:t>
            </w:r>
            <w:r>
              <w:rPr>
                <w:rFonts w:hint="eastAsia"/>
                <w:bCs/>
                <w:snapToGrid w:val="0"/>
                <w:color w:val="auto"/>
                <w:kern w:val="0"/>
                <w:sz w:val="24"/>
                <w:lang w:val="en-US" w:eastAsia="zh-CN"/>
              </w:rPr>
              <w:t>0.92t/a</w:t>
            </w:r>
            <w:r>
              <w:rPr>
                <w:rFonts w:hint="eastAsia"/>
                <w:bCs/>
                <w:snapToGrid w:val="0"/>
                <w:color w:val="auto"/>
                <w:kern w:val="0"/>
                <w:sz w:val="24"/>
                <w:lang w:eastAsia="zh-CN"/>
              </w:rPr>
              <w:t>，</w:t>
            </w:r>
            <w:r>
              <w:rPr>
                <w:rFonts w:hint="eastAsia"/>
                <w:bCs/>
                <w:snapToGrid w:val="0"/>
                <w:color w:val="auto"/>
                <w:kern w:val="0"/>
                <w:sz w:val="24"/>
                <w:lang w:val="en-US" w:eastAsia="zh-CN"/>
              </w:rPr>
              <w:t>排放速率分别为0.58kg/h、0.46kg/h</w:t>
            </w:r>
            <w:r>
              <w:rPr>
                <w:rFonts w:hint="eastAsia"/>
                <w:bCs/>
                <w:snapToGrid w:val="0"/>
                <w:color w:val="auto"/>
                <w:kern w:val="0"/>
                <w:sz w:val="24"/>
              </w:rPr>
              <w:t>。</w:t>
            </w:r>
            <w:r>
              <w:rPr>
                <w:bCs/>
                <w:snapToGrid w:val="0"/>
                <w:color w:val="auto"/>
                <w:kern w:val="0"/>
                <w:sz w:val="24"/>
              </w:rPr>
              <w:t>在采取控制车速、密封运输物料</w:t>
            </w:r>
            <w:r>
              <w:rPr>
                <w:rFonts w:hint="eastAsia"/>
                <w:bCs/>
                <w:snapToGrid w:val="0"/>
                <w:color w:val="auto"/>
                <w:kern w:val="0"/>
                <w:sz w:val="24"/>
              </w:rPr>
              <w:t>、路面洒水降尘等</w:t>
            </w:r>
            <w:r>
              <w:rPr>
                <w:bCs/>
                <w:snapToGrid w:val="0"/>
                <w:color w:val="auto"/>
                <w:kern w:val="0"/>
                <w:sz w:val="24"/>
              </w:rPr>
              <w:t>措施后，运输产生的扬尘对周围环境影响不大。</w:t>
            </w:r>
          </w:p>
          <w:p w14:paraId="7C1F94D5">
            <w:pPr>
              <w:spacing w:line="336" w:lineRule="auto"/>
              <w:ind w:firstLine="480" w:firstLineChars="200"/>
              <w:rPr>
                <w:bCs/>
                <w:snapToGrid w:val="0"/>
                <w:color w:val="auto"/>
                <w:kern w:val="0"/>
                <w:sz w:val="24"/>
              </w:rPr>
            </w:pPr>
            <w:r>
              <w:rPr>
                <w:bCs/>
                <w:snapToGrid w:val="0"/>
                <w:color w:val="auto"/>
                <w:kern w:val="0"/>
                <w:sz w:val="24"/>
              </w:rPr>
              <w:t>（3）</w:t>
            </w:r>
            <w:r>
              <w:rPr>
                <w:rFonts w:hint="eastAsia"/>
                <w:bCs/>
                <w:snapToGrid w:val="0"/>
                <w:color w:val="auto"/>
                <w:kern w:val="0"/>
                <w:sz w:val="24"/>
              </w:rPr>
              <w:t>堆场扬尘</w:t>
            </w:r>
          </w:p>
          <w:p w14:paraId="629DA098">
            <w:pPr>
              <w:spacing w:line="336" w:lineRule="auto"/>
              <w:ind w:firstLine="480" w:firstLineChars="200"/>
              <w:rPr>
                <w:bCs/>
                <w:snapToGrid w:val="0"/>
                <w:color w:val="auto"/>
                <w:kern w:val="0"/>
                <w:sz w:val="24"/>
              </w:rPr>
            </w:pPr>
            <w:r>
              <w:rPr>
                <w:rFonts w:hint="eastAsia"/>
                <w:bCs/>
                <w:snapToGrid w:val="0"/>
                <w:color w:val="auto"/>
                <w:kern w:val="0"/>
                <w:sz w:val="24"/>
              </w:rPr>
              <w:t>本项目开挖的建筑用砂不在现场堆场，采用即挖即运方式，及时将开挖建筑用砂由</w:t>
            </w:r>
            <w:r>
              <w:rPr>
                <w:rFonts w:hint="eastAsia"/>
                <w:color w:val="auto"/>
                <w:sz w:val="24"/>
              </w:rPr>
              <w:t>建筑用砂加工企业</w:t>
            </w:r>
            <w:r>
              <w:rPr>
                <w:rFonts w:hint="eastAsia"/>
                <w:bCs/>
                <w:snapToGrid w:val="0"/>
                <w:color w:val="auto"/>
                <w:kern w:val="0"/>
                <w:sz w:val="24"/>
              </w:rPr>
              <w:t>负责拉运至目标地，因此矿区无建筑用砂堆场扬尘，堆场扬尘主要来自表土堆场。</w:t>
            </w:r>
          </w:p>
          <w:p w14:paraId="5426D2BD">
            <w:pPr>
              <w:spacing w:line="336" w:lineRule="auto"/>
              <w:ind w:firstLine="480" w:firstLineChars="200"/>
              <w:rPr>
                <w:bCs/>
                <w:snapToGrid w:val="0"/>
                <w:color w:val="auto"/>
                <w:kern w:val="0"/>
                <w:sz w:val="24"/>
              </w:rPr>
            </w:pPr>
            <w:r>
              <w:rPr>
                <w:rFonts w:hint="eastAsia"/>
                <w:bCs/>
                <w:snapToGrid w:val="0"/>
                <w:color w:val="auto"/>
                <w:kern w:val="0"/>
                <w:sz w:val="24"/>
              </w:rPr>
              <w:t>表土堆存颗粒物主要包括装卸</w:t>
            </w:r>
            <w:r>
              <w:rPr>
                <w:rFonts w:hint="eastAsia"/>
                <w:bCs/>
                <w:snapToGrid w:val="0"/>
                <w:color w:val="auto"/>
                <w:kern w:val="0"/>
                <w:sz w:val="24"/>
                <w:lang w:eastAsia="zh-CN"/>
              </w:rPr>
              <w:t>扬</w:t>
            </w:r>
            <w:r>
              <w:rPr>
                <w:rFonts w:hint="eastAsia"/>
                <w:bCs/>
                <w:snapToGrid w:val="0"/>
                <w:color w:val="auto"/>
                <w:kern w:val="0"/>
                <w:sz w:val="24"/>
              </w:rPr>
              <w:t>尘和风蚀扬尘。本次堆场扬尘参考《排放源统计</w:t>
            </w:r>
            <w:r>
              <w:rPr>
                <w:bCs/>
                <w:snapToGrid w:val="0"/>
                <w:color w:val="auto"/>
                <w:kern w:val="0"/>
                <w:sz w:val="24"/>
              </w:rPr>
              <w:t>调查产排污核算方法和系数手册》－附1工业源－附表2 工业源固体物料堆场颗粒物核算系数手册中颗粒物产生量及排放量核算公式进行计算。</w:t>
            </w:r>
          </w:p>
          <w:p w14:paraId="706F8F99">
            <w:pPr>
              <w:spacing w:line="336" w:lineRule="auto"/>
              <w:ind w:firstLine="480" w:firstLineChars="200"/>
              <w:jc w:val="center"/>
              <w:rPr>
                <w:color w:val="auto"/>
                <w:sz w:val="24"/>
              </w:rPr>
            </w:pPr>
            <w:r>
              <w:rPr>
                <w:color w:val="auto"/>
                <w:sz w:val="24"/>
              </w:rPr>
              <w:t>P=ZC</w:t>
            </w:r>
            <w:r>
              <w:rPr>
                <w:color w:val="auto"/>
                <w:sz w:val="24"/>
                <w:vertAlign w:val="subscript"/>
              </w:rPr>
              <w:t>y</w:t>
            </w:r>
            <w:r>
              <w:rPr>
                <w:color w:val="auto"/>
                <w:sz w:val="24"/>
              </w:rPr>
              <w:t>+FC</w:t>
            </w:r>
            <w:r>
              <w:rPr>
                <w:color w:val="auto"/>
                <w:sz w:val="24"/>
                <w:vertAlign w:val="subscript"/>
              </w:rPr>
              <w:t>y</w:t>
            </w:r>
            <w:r>
              <w:rPr>
                <w:color w:val="auto"/>
                <w:sz w:val="24"/>
              </w:rPr>
              <w:t>={N</w:t>
            </w:r>
            <w:r>
              <w:rPr>
                <w:color w:val="auto"/>
                <w:sz w:val="24"/>
                <w:vertAlign w:val="subscript"/>
              </w:rPr>
              <w:t>C</w:t>
            </w:r>
            <w:r>
              <w:rPr>
                <w:color w:val="auto"/>
                <w:sz w:val="24"/>
              </w:rPr>
              <w:t>×D×(a/b)+2×E</w:t>
            </w:r>
            <w:r>
              <w:rPr>
                <w:color w:val="auto"/>
                <w:sz w:val="24"/>
                <w:vertAlign w:val="subscript"/>
              </w:rPr>
              <w:t>f</w:t>
            </w:r>
            <w:r>
              <w:rPr>
                <w:color w:val="auto"/>
                <w:sz w:val="24"/>
              </w:rPr>
              <w:t>×S}×10</w:t>
            </w:r>
            <w:r>
              <w:rPr>
                <w:color w:val="auto"/>
                <w:sz w:val="24"/>
                <w:vertAlign w:val="superscript"/>
              </w:rPr>
              <w:t>-3</w:t>
            </w:r>
          </w:p>
          <w:p w14:paraId="02E4D2DA">
            <w:pPr>
              <w:spacing w:line="336" w:lineRule="auto"/>
              <w:ind w:firstLine="480" w:firstLineChars="200"/>
              <w:rPr>
                <w:color w:val="auto"/>
                <w:sz w:val="24"/>
              </w:rPr>
            </w:pPr>
            <w:r>
              <w:rPr>
                <w:color w:val="auto"/>
                <w:sz w:val="24"/>
              </w:rPr>
              <w:t>式中：P——颗粒物产生量，t；</w:t>
            </w:r>
          </w:p>
          <w:p w14:paraId="1F79A8D3">
            <w:pPr>
              <w:spacing w:line="336" w:lineRule="auto"/>
              <w:ind w:firstLine="960" w:firstLineChars="400"/>
              <w:rPr>
                <w:color w:val="auto"/>
                <w:sz w:val="24"/>
              </w:rPr>
            </w:pPr>
            <w:r>
              <w:rPr>
                <w:color w:val="auto"/>
                <w:sz w:val="24"/>
              </w:rPr>
              <w:t>ZC</w:t>
            </w:r>
            <w:r>
              <w:rPr>
                <w:color w:val="auto"/>
                <w:sz w:val="24"/>
                <w:vertAlign w:val="subscript"/>
              </w:rPr>
              <w:t>y</w:t>
            </w:r>
            <w:r>
              <w:rPr>
                <w:color w:val="auto"/>
                <w:sz w:val="24"/>
              </w:rPr>
              <w:t>——装卸扬尘产生量，t；</w:t>
            </w:r>
          </w:p>
          <w:p w14:paraId="194E5FE7">
            <w:pPr>
              <w:spacing w:line="336" w:lineRule="auto"/>
              <w:ind w:firstLine="960" w:firstLineChars="400"/>
              <w:rPr>
                <w:color w:val="auto"/>
                <w:sz w:val="24"/>
              </w:rPr>
            </w:pPr>
            <w:r>
              <w:rPr>
                <w:color w:val="auto"/>
                <w:sz w:val="24"/>
              </w:rPr>
              <w:t>FC</w:t>
            </w:r>
            <w:r>
              <w:rPr>
                <w:color w:val="auto"/>
                <w:sz w:val="24"/>
                <w:vertAlign w:val="subscript"/>
              </w:rPr>
              <w:t>y</w:t>
            </w:r>
            <w:r>
              <w:rPr>
                <w:color w:val="auto"/>
                <w:sz w:val="24"/>
              </w:rPr>
              <w:t>——风蚀扬尘产生量，t；</w:t>
            </w:r>
          </w:p>
          <w:p w14:paraId="6EC1E2B4">
            <w:pPr>
              <w:spacing w:line="336" w:lineRule="auto"/>
              <w:ind w:firstLine="960" w:firstLineChars="400"/>
              <w:rPr>
                <w:color w:val="auto"/>
                <w:sz w:val="24"/>
              </w:rPr>
            </w:pPr>
            <w:r>
              <w:rPr>
                <w:color w:val="auto"/>
                <w:sz w:val="24"/>
              </w:rPr>
              <w:t>N</w:t>
            </w:r>
            <w:r>
              <w:rPr>
                <w:color w:val="auto"/>
                <w:sz w:val="24"/>
                <w:vertAlign w:val="subscript"/>
              </w:rPr>
              <w:t>C</w:t>
            </w:r>
            <w:r>
              <w:rPr>
                <w:color w:val="auto"/>
                <w:sz w:val="24"/>
              </w:rPr>
              <w:t>——年物料运载车次，车；</w:t>
            </w:r>
          </w:p>
          <w:p w14:paraId="1F22FFAA">
            <w:pPr>
              <w:spacing w:line="336" w:lineRule="auto"/>
              <w:ind w:firstLine="960" w:firstLineChars="400"/>
              <w:rPr>
                <w:color w:val="auto"/>
                <w:sz w:val="24"/>
              </w:rPr>
            </w:pPr>
            <w:r>
              <w:rPr>
                <w:color w:val="auto"/>
                <w:sz w:val="24"/>
              </w:rPr>
              <w:t>D——单车平均运载量，t/车；</w:t>
            </w:r>
          </w:p>
          <w:p w14:paraId="1CB6E25E">
            <w:pPr>
              <w:spacing w:line="336" w:lineRule="auto"/>
              <w:ind w:firstLine="960" w:firstLineChars="400"/>
              <w:rPr>
                <w:bCs/>
                <w:snapToGrid w:val="0"/>
                <w:color w:val="auto"/>
                <w:kern w:val="0"/>
                <w:sz w:val="24"/>
              </w:rPr>
            </w:pPr>
            <w:r>
              <w:rPr>
                <w:color w:val="auto"/>
                <w:sz w:val="24"/>
              </w:rPr>
              <w:t>(a/b)——装卸扬尘概化系数，kg/t；a指各省风速概化系数，</w:t>
            </w:r>
            <w:r>
              <w:rPr>
                <w:bCs/>
                <w:snapToGrid w:val="0"/>
                <w:color w:val="auto"/>
                <w:kern w:val="0"/>
                <w:sz w:val="24"/>
              </w:rPr>
              <w:t>根据《固体物料堆存颗粒物产排污核算系数手册》附录1新疆维吾尔自治区为0.0011，b指物料含水率概化系数，根据《固体物料堆存颗粒物产排污核算系数手册》附录2，</w:t>
            </w:r>
            <w:r>
              <w:rPr>
                <w:rFonts w:hint="eastAsia"/>
                <w:bCs/>
                <w:snapToGrid w:val="0"/>
                <w:color w:val="auto"/>
                <w:kern w:val="0"/>
                <w:sz w:val="24"/>
                <w:lang w:val="en-US" w:eastAsia="zh-CN"/>
              </w:rPr>
              <w:t>表土</w:t>
            </w:r>
            <w:r>
              <w:rPr>
                <w:rFonts w:hint="eastAsia"/>
                <w:bCs/>
                <w:snapToGrid w:val="0"/>
                <w:color w:val="auto"/>
                <w:kern w:val="0"/>
                <w:sz w:val="24"/>
              </w:rPr>
              <w:t>取值为</w:t>
            </w:r>
            <w:r>
              <w:rPr>
                <w:rFonts w:hint="eastAsia"/>
                <w:bCs/>
                <w:snapToGrid w:val="0"/>
                <w:color w:val="auto"/>
                <w:kern w:val="0"/>
                <w:sz w:val="24"/>
                <w:lang w:val="en-US" w:eastAsia="zh-CN"/>
              </w:rPr>
              <w:t>0.0151</w:t>
            </w:r>
            <w:r>
              <w:rPr>
                <w:rFonts w:hint="eastAsia"/>
                <w:bCs/>
                <w:snapToGrid w:val="0"/>
                <w:color w:val="auto"/>
                <w:kern w:val="0"/>
                <w:sz w:val="24"/>
                <w:lang w:eastAsia="zh-CN"/>
              </w:rPr>
              <w:t>，</w:t>
            </w:r>
            <w:r>
              <w:rPr>
                <w:color w:val="auto"/>
                <w:sz w:val="24"/>
              </w:rPr>
              <w:t>a/b</w:t>
            </w:r>
            <w:r>
              <w:rPr>
                <w:rFonts w:hint="eastAsia"/>
                <w:color w:val="auto"/>
                <w:sz w:val="24"/>
                <w:lang w:val="en-US" w:eastAsia="zh-CN"/>
              </w:rPr>
              <w:t>=0.0728</w:t>
            </w:r>
            <w:r>
              <w:rPr>
                <w:bCs/>
                <w:snapToGrid w:val="0"/>
                <w:color w:val="auto"/>
                <w:kern w:val="0"/>
                <w:sz w:val="24"/>
              </w:rPr>
              <w:t>；</w:t>
            </w:r>
          </w:p>
          <w:p w14:paraId="2F17002C">
            <w:pPr>
              <w:spacing w:line="336" w:lineRule="auto"/>
              <w:ind w:firstLine="960" w:firstLineChars="400"/>
              <w:rPr>
                <w:bCs/>
                <w:snapToGrid w:val="0"/>
                <w:color w:val="auto"/>
                <w:kern w:val="0"/>
                <w:sz w:val="24"/>
              </w:rPr>
            </w:pPr>
            <w:r>
              <w:rPr>
                <w:bCs/>
                <w:snapToGrid w:val="0"/>
                <w:color w:val="auto"/>
                <w:kern w:val="0"/>
                <w:sz w:val="24"/>
              </w:rPr>
              <w:t>E</w:t>
            </w:r>
            <w:r>
              <w:rPr>
                <w:bCs/>
                <w:snapToGrid w:val="0"/>
                <w:color w:val="auto"/>
                <w:kern w:val="0"/>
                <w:sz w:val="24"/>
                <w:vertAlign w:val="subscript"/>
              </w:rPr>
              <w:t>f</w:t>
            </w:r>
            <w:r>
              <w:rPr>
                <w:bCs/>
                <w:snapToGrid w:val="0"/>
                <w:color w:val="auto"/>
                <w:kern w:val="0"/>
                <w:sz w:val="24"/>
              </w:rPr>
              <w:t>——堆场风蚀扬尘概化系数，kg/m</w:t>
            </w:r>
            <w:r>
              <w:rPr>
                <w:bCs/>
                <w:snapToGrid w:val="0"/>
                <w:color w:val="auto"/>
                <w:kern w:val="0"/>
                <w:sz w:val="24"/>
                <w:vertAlign w:val="superscript"/>
              </w:rPr>
              <w:t>3</w:t>
            </w:r>
            <w:r>
              <w:rPr>
                <w:bCs/>
                <w:snapToGrid w:val="0"/>
                <w:color w:val="auto"/>
                <w:kern w:val="0"/>
                <w:sz w:val="24"/>
              </w:rPr>
              <w:t>；根据《固体物料堆存颗粒物产排污核算系数手册》附录3，</w:t>
            </w:r>
            <w:r>
              <w:rPr>
                <w:rFonts w:hint="eastAsia"/>
                <w:bCs/>
                <w:snapToGrid w:val="0"/>
                <w:color w:val="auto"/>
                <w:kern w:val="0"/>
                <w:sz w:val="24"/>
                <w:lang w:val="en-US" w:eastAsia="zh-CN"/>
              </w:rPr>
              <w:t>表土</w:t>
            </w:r>
            <w:r>
              <w:rPr>
                <w:rFonts w:hint="eastAsia"/>
                <w:bCs/>
                <w:snapToGrid w:val="0"/>
                <w:color w:val="auto"/>
                <w:kern w:val="0"/>
                <w:sz w:val="24"/>
              </w:rPr>
              <w:t>取值为</w:t>
            </w:r>
            <w:r>
              <w:rPr>
                <w:rFonts w:hint="eastAsia"/>
                <w:bCs/>
                <w:snapToGrid w:val="0"/>
                <w:color w:val="auto"/>
                <w:kern w:val="0"/>
                <w:sz w:val="24"/>
                <w:lang w:val="en-US" w:eastAsia="zh-CN"/>
              </w:rPr>
              <w:t>41.5808</w:t>
            </w:r>
            <w:r>
              <w:rPr>
                <w:bCs/>
                <w:snapToGrid w:val="0"/>
                <w:color w:val="auto"/>
                <w:kern w:val="0"/>
                <w:sz w:val="24"/>
              </w:rPr>
              <w:t>；</w:t>
            </w:r>
          </w:p>
          <w:p w14:paraId="206E7187">
            <w:pPr>
              <w:spacing w:line="336" w:lineRule="auto"/>
              <w:ind w:firstLine="960" w:firstLineChars="400"/>
              <w:rPr>
                <w:rFonts w:hint="default" w:eastAsia="宋体"/>
                <w:bCs/>
                <w:snapToGrid w:val="0"/>
                <w:color w:val="auto"/>
                <w:kern w:val="0"/>
                <w:sz w:val="24"/>
                <w:highlight w:val="none"/>
                <w:lang w:val="en-US" w:eastAsia="zh-CN"/>
              </w:rPr>
            </w:pPr>
            <w:r>
              <w:rPr>
                <w:bCs/>
                <w:snapToGrid w:val="0"/>
                <w:color w:val="auto"/>
                <w:kern w:val="0"/>
                <w:sz w:val="24"/>
                <w:highlight w:val="none"/>
              </w:rPr>
              <w:t>S——堆场占地面积，m</w:t>
            </w:r>
            <w:r>
              <w:rPr>
                <w:bCs/>
                <w:snapToGrid w:val="0"/>
                <w:color w:val="auto"/>
                <w:kern w:val="0"/>
                <w:sz w:val="24"/>
                <w:highlight w:val="none"/>
                <w:vertAlign w:val="superscript"/>
              </w:rPr>
              <w:t>2</w:t>
            </w:r>
            <w:r>
              <w:rPr>
                <w:bCs/>
                <w:snapToGrid w:val="0"/>
                <w:color w:val="auto"/>
                <w:kern w:val="0"/>
                <w:sz w:val="24"/>
                <w:highlight w:val="none"/>
              </w:rPr>
              <w:t>；</w:t>
            </w:r>
            <w:r>
              <w:rPr>
                <w:rFonts w:hint="eastAsia"/>
                <w:bCs/>
                <w:snapToGrid w:val="0"/>
                <w:color w:val="auto"/>
                <w:kern w:val="0"/>
                <w:sz w:val="24"/>
                <w:highlight w:val="none"/>
                <w:lang w:val="en-US" w:eastAsia="zh-CN"/>
              </w:rPr>
              <w:t>由于项目开采要求边开采边回填，1号表土堆场、2号表土堆场面积分别为1500m</w:t>
            </w:r>
            <w:r>
              <w:rPr>
                <w:rFonts w:hint="eastAsia"/>
                <w:bCs/>
                <w:snapToGrid w:val="0"/>
                <w:color w:val="auto"/>
                <w:kern w:val="0"/>
                <w:sz w:val="24"/>
                <w:highlight w:val="none"/>
                <w:vertAlign w:val="superscript"/>
                <w:lang w:val="en-US" w:eastAsia="zh-CN"/>
              </w:rPr>
              <w:t>2</w:t>
            </w:r>
            <w:r>
              <w:rPr>
                <w:rFonts w:hint="eastAsia"/>
                <w:bCs/>
                <w:snapToGrid w:val="0"/>
                <w:color w:val="auto"/>
                <w:kern w:val="0"/>
                <w:sz w:val="24"/>
                <w:highlight w:val="none"/>
                <w:lang w:eastAsia="zh-CN"/>
              </w:rPr>
              <w:t>、</w:t>
            </w:r>
            <w:r>
              <w:rPr>
                <w:rFonts w:hint="eastAsia"/>
                <w:bCs/>
                <w:snapToGrid w:val="0"/>
                <w:color w:val="auto"/>
                <w:kern w:val="0"/>
                <w:sz w:val="24"/>
                <w:highlight w:val="none"/>
                <w:lang w:val="en-US" w:eastAsia="zh-CN"/>
              </w:rPr>
              <w:t>3000m</w:t>
            </w:r>
            <w:r>
              <w:rPr>
                <w:rFonts w:hint="eastAsia"/>
                <w:bCs/>
                <w:snapToGrid w:val="0"/>
                <w:color w:val="auto"/>
                <w:kern w:val="0"/>
                <w:sz w:val="24"/>
                <w:highlight w:val="none"/>
                <w:vertAlign w:val="superscript"/>
                <w:lang w:val="en-US" w:eastAsia="zh-CN"/>
              </w:rPr>
              <w:t>2</w:t>
            </w:r>
          </w:p>
          <w:p w14:paraId="4805FDD7">
            <w:pPr>
              <w:spacing w:line="336" w:lineRule="auto"/>
              <w:ind w:firstLine="480" w:firstLineChars="200"/>
              <w:rPr>
                <w:bCs/>
                <w:snapToGrid w:val="0"/>
                <w:color w:val="auto"/>
                <w:kern w:val="0"/>
                <w:sz w:val="24"/>
              </w:rPr>
            </w:pPr>
            <w:r>
              <w:rPr>
                <w:bCs/>
                <w:snapToGrid w:val="0"/>
                <w:color w:val="auto"/>
                <w:kern w:val="0"/>
                <w:sz w:val="24"/>
                <w:highlight w:val="none"/>
              </w:rPr>
              <w:t>本项目</w:t>
            </w:r>
            <w:r>
              <w:rPr>
                <w:rFonts w:hint="eastAsia"/>
                <w:bCs/>
                <w:snapToGrid w:val="0"/>
                <w:color w:val="auto"/>
                <w:kern w:val="0"/>
                <w:sz w:val="24"/>
                <w:highlight w:val="none"/>
              </w:rPr>
              <w:t>露天采场剥离表土</w:t>
            </w:r>
            <w:r>
              <w:rPr>
                <w:bCs/>
                <w:snapToGrid w:val="0"/>
                <w:color w:val="auto"/>
                <w:kern w:val="0"/>
                <w:sz w:val="24"/>
                <w:highlight w:val="none"/>
              </w:rPr>
              <w:t>年转载量为</w:t>
            </w:r>
            <w:r>
              <w:rPr>
                <w:rFonts w:hint="eastAsia"/>
                <w:bCs/>
                <w:snapToGrid w:val="0"/>
                <w:color w:val="auto"/>
                <w:kern w:val="0"/>
                <w:sz w:val="24"/>
                <w:highlight w:val="none"/>
              </w:rPr>
              <w:t>36323.34</w:t>
            </w:r>
            <w:r>
              <w:rPr>
                <w:bCs/>
                <w:snapToGrid w:val="0"/>
                <w:color w:val="auto"/>
                <w:kern w:val="0"/>
                <w:sz w:val="24"/>
                <w:highlight w:val="none"/>
              </w:rPr>
              <w:t>t/a</w:t>
            </w:r>
            <w:r>
              <w:rPr>
                <w:rFonts w:hint="eastAsia"/>
                <w:bCs/>
                <w:snapToGrid w:val="0"/>
                <w:color w:val="auto"/>
                <w:kern w:val="0"/>
                <w:sz w:val="24"/>
                <w:highlight w:val="none"/>
              </w:rPr>
              <w:t>（14.33万m</w:t>
            </w:r>
            <w:r>
              <w:rPr>
                <w:rFonts w:hint="eastAsia"/>
                <w:bCs/>
                <w:snapToGrid w:val="0"/>
                <w:color w:val="auto"/>
                <w:kern w:val="0"/>
                <w:sz w:val="24"/>
                <w:highlight w:val="none"/>
                <w:vertAlign w:val="superscript"/>
              </w:rPr>
              <w:t>3</w:t>
            </w:r>
            <w:r>
              <w:rPr>
                <w:rFonts w:hint="eastAsia"/>
                <w:bCs/>
                <w:snapToGrid w:val="0"/>
                <w:color w:val="auto"/>
                <w:kern w:val="0"/>
                <w:sz w:val="24"/>
                <w:highlight w:val="none"/>
              </w:rPr>
              <w:t>×1.64t/m</w:t>
            </w:r>
            <w:r>
              <w:rPr>
                <w:rFonts w:hint="eastAsia"/>
                <w:bCs/>
                <w:snapToGrid w:val="0"/>
                <w:color w:val="auto"/>
                <w:kern w:val="0"/>
                <w:sz w:val="24"/>
                <w:highlight w:val="none"/>
                <w:vertAlign w:val="superscript"/>
              </w:rPr>
              <w:t>3</w:t>
            </w:r>
            <w:r>
              <w:rPr>
                <w:rFonts w:hint="eastAsia"/>
                <w:bCs/>
                <w:snapToGrid w:val="0"/>
                <w:color w:val="auto"/>
                <w:kern w:val="0"/>
                <w:sz w:val="24"/>
                <w:highlight w:val="none"/>
              </w:rPr>
              <w:t>÷6.47a）</w:t>
            </w:r>
            <w:r>
              <w:rPr>
                <w:rFonts w:hint="eastAsia"/>
                <w:bCs/>
                <w:snapToGrid w:val="0"/>
                <w:color w:val="auto"/>
                <w:kern w:val="0"/>
                <w:sz w:val="24"/>
                <w:highlight w:val="none"/>
                <w:lang w:eastAsia="zh-CN"/>
              </w:rPr>
              <w:t>，</w:t>
            </w:r>
            <w:r>
              <w:rPr>
                <w:rFonts w:hint="eastAsia"/>
                <w:color w:val="auto"/>
                <w:sz w:val="24"/>
                <w:highlight w:val="none"/>
              </w:rPr>
              <w:t>运营期先开采2号矿区，再开采1号矿区</w:t>
            </w:r>
            <w:r>
              <w:rPr>
                <w:rFonts w:hint="eastAsia"/>
                <w:color w:val="auto"/>
                <w:sz w:val="24"/>
                <w:highlight w:val="none"/>
                <w:lang w:eastAsia="zh-CN"/>
              </w:rPr>
              <w:t>，</w:t>
            </w:r>
            <w:r>
              <w:rPr>
                <w:rFonts w:hint="eastAsia"/>
                <w:color w:val="auto"/>
                <w:sz w:val="24"/>
                <w:highlight w:val="none"/>
                <w:lang w:val="en-US" w:eastAsia="zh-CN"/>
              </w:rPr>
              <w:t>其中2号矿区开采4.51年，每年剥离表土量15433m</w:t>
            </w:r>
            <w:r>
              <w:rPr>
                <w:rFonts w:hint="eastAsia"/>
                <w:color w:val="auto"/>
                <w:sz w:val="24"/>
                <w:highlight w:val="none"/>
                <w:vertAlign w:val="superscript"/>
                <w:lang w:val="en-US" w:eastAsia="zh-CN"/>
              </w:rPr>
              <w:t>3</w:t>
            </w:r>
            <w:r>
              <w:rPr>
                <w:rFonts w:hint="eastAsia"/>
                <w:color w:val="auto"/>
                <w:sz w:val="24"/>
                <w:highlight w:val="none"/>
                <w:lang w:val="en-US" w:eastAsia="zh-CN"/>
              </w:rPr>
              <w:t>，</w:t>
            </w:r>
            <w:r>
              <w:rPr>
                <w:rFonts w:hint="eastAsia"/>
                <w:bCs/>
                <w:snapToGrid w:val="0"/>
                <w:color w:val="auto"/>
                <w:kern w:val="0"/>
                <w:sz w:val="24"/>
                <w:highlight w:val="none"/>
              </w:rPr>
              <w:t>剥离表土</w:t>
            </w:r>
            <w:r>
              <w:rPr>
                <w:bCs/>
                <w:snapToGrid w:val="0"/>
                <w:color w:val="auto"/>
                <w:kern w:val="0"/>
                <w:sz w:val="24"/>
                <w:highlight w:val="none"/>
              </w:rPr>
              <w:t>年转载量为</w:t>
            </w:r>
            <w:r>
              <w:rPr>
                <w:rFonts w:hint="eastAsia"/>
                <w:bCs/>
                <w:snapToGrid w:val="0"/>
                <w:color w:val="auto"/>
                <w:kern w:val="0"/>
                <w:sz w:val="24"/>
                <w:highlight w:val="none"/>
                <w:lang w:val="en-US" w:eastAsia="zh-CN"/>
              </w:rPr>
              <w:t>25310.12t；</w:t>
            </w:r>
            <w:r>
              <w:rPr>
                <w:rFonts w:hint="eastAsia"/>
                <w:color w:val="auto"/>
                <w:sz w:val="24"/>
                <w:highlight w:val="none"/>
                <w:lang w:val="en-US" w:eastAsia="zh-CN"/>
              </w:rPr>
              <w:t>1号矿区开采1.96年，每年剥离表土量6715.6m</w:t>
            </w:r>
            <w:r>
              <w:rPr>
                <w:rFonts w:hint="eastAsia"/>
                <w:color w:val="auto"/>
                <w:sz w:val="24"/>
                <w:highlight w:val="none"/>
                <w:vertAlign w:val="superscript"/>
                <w:lang w:val="en-US" w:eastAsia="zh-CN"/>
              </w:rPr>
              <w:t>3</w:t>
            </w:r>
            <w:r>
              <w:rPr>
                <w:rFonts w:hint="eastAsia"/>
                <w:color w:val="auto"/>
                <w:sz w:val="24"/>
                <w:highlight w:val="none"/>
                <w:lang w:val="en-US" w:eastAsia="zh-CN"/>
              </w:rPr>
              <w:t>，</w:t>
            </w:r>
            <w:r>
              <w:rPr>
                <w:rFonts w:hint="eastAsia"/>
                <w:bCs/>
                <w:snapToGrid w:val="0"/>
                <w:color w:val="auto"/>
                <w:kern w:val="0"/>
                <w:sz w:val="24"/>
                <w:highlight w:val="none"/>
              </w:rPr>
              <w:t>剥离表土</w:t>
            </w:r>
            <w:r>
              <w:rPr>
                <w:bCs/>
                <w:snapToGrid w:val="0"/>
                <w:color w:val="auto"/>
                <w:kern w:val="0"/>
                <w:sz w:val="24"/>
                <w:highlight w:val="none"/>
              </w:rPr>
              <w:t>年转载量为</w:t>
            </w:r>
            <w:r>
              <w:rPr>
                <w:rFonts w:hint="eastAsia"/>
                <w:bCs/>
                <w:snapToGrid w:val="0"/>
                <w:color w:val="auto"/>
                <w:kern w:val="0"/>
                <w:sz w:val="24"/>
                <w:highlight w:val="none"/>
                <w:lang w:val="en-US" w:eastAsia="zh-CN"/>
              </w:rPr>
              <w:t>11013.22t</w:t>
            </w:r>
            <w:r>
              <w:rPr>
                <w:rFonts w:hint="eastAsia"/>
                <w:bCs/>
                <w:snapToGrid w:val="0"/>
                <w:color w:val="auto"/>
                <w:kern w:val="0"/>
                <w:sz w:val="24"/>
                <w:highlight w:val="none"/>
              </w:rPr>
              <w:t>。</w:t>
            </w:r>
            <w:r>
              <w:rPr>
                <w:bCs/>
                <w:snapToGrid w:val="0"/>
                <w:color w:val="auto"/>
                <w:kern w:val="0"/>
                <w:sz w:val="24"/>
                <w:highlight w:val="none"/>
              </w:rPr>
              <w:t>根据计算可知，</w:t>
            </w:r>
            <w:r>
              <w:rPr>
                <w:rFonts w:hint="eastAsia"/>
                <w:bCs/>
                <w:snapToGrid w:val="0"/>
                <w:color w:val="auto"/>
                <w:kern w:val="0"/>
                <w:sz w:val="24"/>
                <w:highlight w:val="none"/>
                <w:lang w:val="en-US" w:eastAsia="zh-CN"/>
              </w:rPr>
              <w:t>1号</w:t>
            </w:r>
            <w:r>
              <w:rPr>
                <w:rFonts w:hint="eastAsia"/>
                <w:bCs/>
                <w:snapToGrid w:val="0"/>
                <w:color w:val="auto"/>
                <w:kern w:val="0"/>
                <w:sz w:val="24"/>
                <w:highlight w:val="none"/>
              </w:rPr>
              <w:t>表土堆场</w:t>
            </w:r>
            <w:r>
              <w:rPr>
                <w:rFonts w:hint="eastAsia"/>
                <w:bCs/>
                <w:snapToGrid w:val="0"/>
                <w:color w:val="auto"/>
                <w:kern w:val="0"/>
                <w:sz w:val="24"/>
                <w:highlight w:val="none"/>
                <w:lang w:eastAsia="zh-CN"/>
              </w:rPr>
              <w:t>、</w:t>
            </w:r>
            <w:r>
              <w:rPr>
                <w:rFonts w:hint="eastAsia"/>
                <w:bCs/>
                <w:snapToGrid w:val="0"/>
                <w:color w:val="auto"/>
                <w:kern w:val="0"/>
                <w:sz w:val="24"/>
                <w:highlight w:val="none"/>
                <w:lang w:val="en-US" w:eastAsia="zh-CN"/>
              </w:rPr>
              <w:t>2号</w:t>
            </w:r>
            <w:r>
              <w:rPr>
                <w:rFonts w:hint="eastAsia"/>
                <w:bCs/>
                <w:snapToGrid w:val="0"/>
                <w:color w:val="auto"/>
                <w:kern w:val="0"/>
                <w:sz w:val="24"/>
                <w:highlight w:val="none"/>
              </w:rPr>
              <w:t>表土堆场颗粒物产生量</w:t>
            </w:r>
            <w:r>
              <w:rPr>
                <w:rFonts w:hint="eastAsia"/>
                <w:bCs/>
                <w:snapToGrid w:val="0"/>
                <w:color w:val="auto"/>
                <w:kern w:val="0"/>
                <w:sz w:val="24"/>
                <w:highlight w:val="none"/>
                <w:lang w:val="en-US" w:eastAsia="zh-CN"/>
              </w:rPr>
              <w:t>分别</w:t>
            </w:r>
            <w:r>
              <w:rPr>
                <w:rFonts w:hint="eastAsia"/>
                <w:bCs/>
                <w:snapToGrid w:val="0"/>
                <w:color w:val="auto"/>
                <w:kern w:val="0"/>
                <w:sz w:val="24"/>
                <w:highlight w:val="none"/>
              </w:rPr>
              <w:t>为</w:t>
            </w:r>
            <w:r>
              <w:rPr>
                <w:rFonts w:hint="eastAsia"/>
                <w:bCs/>
                <w:snapToGrid w:val="0"/>
                <w:color w:val="auto"/>
                <w:kern w:val="0"/>
                <w:sz w:val="24"/>
                <w:highlight w:val="none"/>
                <w:lang w:val="en-US" w:eastAsia="zh-CN"/>
              </w:rPr>
              <w:t>125.54</w:t>
            </w:r>
            <w:r>
              <w:rPr>
                <w:rFonts w:hint="eastAsia"/>
                <w:bCs/>
                <w:snapToGrid w:val="0"/>
                <w:color w:val="auto"/>
                <w:kern w:val="0"/>
                <w:sz w:val="24"/>
                <w:highlight w:val="none"/>
              </w:rPr>
              <w:t>t/a</w:t>
            </w:r>
            <w:r>
              <w:rPr>
                <w:rFonts w:hint="eastAsia"/>
                <w:bCs/>
                <w:snapToGrid w:val="0"/>
                <w:color w:val="auto"/>
                <w:kern w:val="0"/>
                <w:sz w:val="24"/>
                <w:highlight w:val="none"/>
                <w:lang w:eastAsia="zh-CN"/>
              </w:rPr>
              <w:t>、</w:t>
            </w:r>
            <w:r>
              <w:rPr>
                <w:rFonts w:hint="eastAsia"/>
                <w:bCs/>
                <w:snapToGrid w:val="0"/>
                <w:color w:val="auto"/>
                <w:kern w:val="0"/>
                <w:sz w:val="24"/>
                <w:highlight w:val="none"/>
                <w:lang w:val="en-US" w:eastAsia="zh-CN"/>
              </w:rPr>
              <w:t>251.37</w:t>
            </w:r>
            <w:r>
              <w:rPr>
                <w:rFonts w:hint="eastAsia"/>
                <w:bCs/>
                <w:snapToGrid w:val="0"/>
                <w:color w:val="auto"/>
                <w:kern w:val="0"/>
                <w:sz w:val="24"/>
                <w:highlight w:val="none"/>
              </w:rPr>
              <w:t>t/a</w:t>
            </w:r>
            <w:r>
              <w:rPr>
                <w:bCs/>
                <w:snapToGrid w:val="0"/>
                <w:color w:val="auto"/>
                <w:kern w:val="0"/>
                <w:sz w:val="24"/>
                <w:highlight w:val="none"/>
              </w:rPr>
              <w:t>。</w:t>
            </w:r>
            <w:r>
              <w:rPr>
                <w:rFonts w:hint="eastAsia"/>
                <w:bCs/>
                <w:snapToGrid w:val="0"/>
                <w:color w:val="auto"/>
                <w:kern w:val="0"/>
                <w:sz w:val="24"/>
                <w:highlight w:val="none"/>
              </w:rPr>
              <w:t>表土堆场紧密压实，苫布遮盖、定期洒水降尘措施（控制效率来源《固体物料堆存颗粒物产排污核算系数手册》各降尘措施综</w:t>
            </w:r>
            <w:r>
              <w:rPr>
                <w:rFonts w:hint="eastAsia"/>
                <w:bCs/>
                <w:snapToGrid w:val="0"/>
                <w:color w:val="auto"/>
                <w:kern w:val="0"/>
                <w:sz w:val="24"/>
              </w:rPr>
              <w:t>合后）能够降低9</w:t>
            </w:r>
            <w:r>
              <w:rPr>
                <w:rFonts w:hint="eastAsia"/>
                <w:bCs/>
                <w:snapToGrid w:val="0"/>
                <w:color w:val="auto"/>
                <w:kern w:val="0"/>
                <w:sz w:val="24"/>
                <w:lang w:val="en-US" w:eastAsia="zh-CN"/>
              </w:rPr>
              <w:t>0</w:t>
            </w:r>
            <w:r>
              <w:rPr>
                <w:rFonts w:hint="eastAsia"/>
                <w:bCs/>
                <w:snapToGrid w:val="0"/>
                <w:color w:val="auto"/>
                <w:kern w:val="0"/>
                <w:sz w:val="24"/>
              </w:rPr>
              <w:t>%的颗粒物排放，则</w:t>
            </w:r>
            <w:r>
              <w:rPr>
                <w:rFonts w:hint="eastAsia"/>
                <w:bCs/>
                <w:snapToGrid w:val="0"/>
                <w:color w:val="auto"/>
                <w:kern w:val="0"/>
                <w:sz w:val="24"/>
                <w:lang w:val="en-US" w:eastAsia="zh-CN"/>
              </w:rPr>
              <w:t>1号</w:t>
            </w:r>
            <w:r>
              <w:rPr>
                <w:rFonts w:hint="eastAsia"/>
                <w:bCs/>
                <w:snapToGrid w:val="0"/>
                <w:color w:val="auto"/>
                <w:kern w:val="0"/>
                <w:sz w:val="24"/>
              </w:rPr>
              <w:t>表土堆场</w:t>
            </w:r>
            <w:r>
              <w:rPr>
                <w:rFonts w:hint="eastAsia"/>
                <w:bCs/>
                <w:snapToGrid w:val="0"/>
                <w:color w:val="auto"/>
                <w:kern w:val="0"/>
                <w:sz w:val="24"/>
                <w:lang w:eastAsia="zh-CN"/>
              </w:rPr>
              <w:t>、</w:t>
            </w:r>
            <w:r>
              <w:rPr>
                <w:rFonts w:hint="eastAsia"/>
                <w:bCs/>
                <w:snapToGrid w:val="0"/>
                <w:color w:val="auto"/>
                <w:kern w:val="0"/>
                <w:sz w:val="24"/>
                <w:lang w:val="en-US" w:eastAsia="zh-CN"/>
              </w:rPr>
              <w:t>2号表土堆场</w:t>
            </w:r>
            <w:r>
              <w:rPr>
                <w:rFonts w:hint="eastAsia"/>
                <w:bCs/>
                <w:snapToGrid w:val="0"/>
                <w:color w:val="auto"/>
                <w:kern w:val="0"/>
                <w:sz w:val="24"/>
              </w:rPr>
              <w:t>颗粒物排放量为</w:t>
            </w:r>
            <w:r>
              <w:rPr>
                <w:rFonts w:hint="eastAsia"/>
                <w:bCs/>
                <w:snapToGrid w:val="0"/>
                <w:color w:val="auto"/>
                <w:kern w:val="0"/>
                <w:sz w:val="24"/>
                <w:lang w:val="en-US" w:eastAsia="zh-CN"/>
              </w:rPr>
              <w:t>12.55</w:t>
            </w:r>
            <w:r>
              <w:rPr>
                <w:rFonts w:hint="eastAsia"/>
                <w:bCs/>
                <w:snapToGrid w:val="0"/>
                <w:color w:val="auto"/>
                <w:kern w:val="0"/>
                <w:sz w:val="24"/>
              </w:rPr>
              <w:t>t/a</w:t>
            </w:r>
            <w:r>
              <w:rPr>
                <w:rFonts w:hint="eastAsia"/>
                <w:bCs/>
                <w:snapToGrid w:val="0"/>
                <w:color w:val="auto"/>
                <w:kern w:val="0"/>
                <w:sz w:val="24"/>
                <w:lang w:eastAsia="zh-CN"/>
              </w:rPr>
              <w:t>、</w:t>
            </w:r>
            <w:r>
              <w:rPr>
                <w:rFonts w:hint="eastAsia"/>
                <w:bCs/>
                <w:snapToGrid w:val="0"/>
                <w:color w:val="auto"/>
                <w:kern w:val="0"/>
                <w:sz w:val="24"/>
                <w:lang w:val="en-US" w:eastAsia="zh-CN"/>
              </w:rPr>
              <w:t>25.14t/a，颗粒物排放速率分别为2.09kg/h、4.19kg/h</w:t>
            </w:r>
            <w:r>
              <w:rPr>
                <w:rFonts w:hint="eastAsia"/>
                <w:bCs/>
                <w:snapToGrid w:val="0"/>
                <w:color w:val="auto"/>
                <w:kern w:val="0"/>
                <w:sz w:val="24"/>
              </w:rPr>
              <w:t>。</w:t>
            </w:r>
          </w:p>
          <w:p w14:paraId="28E80AFB">
            <w:pPr>
              <w:spacing w:line="336" w:lineRule="auto"/>
              <w:ind w:firstLine="480" w:firstLineChars="200"/>
              <w:rPr>
                <w:bCs/>
                <w:snapToGrid w:val="0"/>
                <w:color w:val="auto"/>
                <w:kern w:val="0"/>
                <w:sz w:val="24"/>
              </w:rPr>
            </w:pPr>
            <w:r>
              <w:rPr>
                <w:rFonts w:hint="eastAsia"/>
                <w:bCs/>
                <w:snapToGrid w:val="0"/>
                <w:color w:val="auto"/>
                <w:kern w:val="0"/>
                <w:sz w:val="24"/>
              </w:rPr>
              <w:t>（4）</w:t>
            </w:r>
            <w:r>
              <w:rPr>
                <w:bCs/>
                <w:snapToGrid w:val="0"/>
                <w:color w:val="auto"/>
                <w:kern w:val="0"/>
                <w:sz w:val="24"/>
              </w:rPr>
              <w:t>机械废气</w:t>
            </w:r>
          </w:p>
          <w:p w14:paraId="68FA0BE8">
            <w:pPr>
              <w:spacing w:line="336" w:lineRule="auto"/>
              <w:ind w:firstLine="480" w:firstLineChars="200"/>
              <w:rPr>
                <w:bCs/>
                <w:snapToGrid w:val="0"/>
                <w:color w:val="auto"/>
                <w:kern w:val="0"/>
                <w:sz w:val="24"/>
              </w:rPr>
            </w:pPr>
            <w:r>
              <w:rPr>
                <w:bCs/>
                <w:snapToGrid w:val="0"/>
                <w:color w:val="auto"/>
                <w:kern w:val="0"/>
                <w:sz w:val="24"/>
              </w:rPr>
              <w:t>在运输原材料、施工设备以及施工机械设备在运行过程中均会排放定量的CO、NO</w:t>
            </w:r>
            <w:r>
              <w:rPr>
                <w:bCs/>
                <w:snapToGrid w:val="0"/>
                <w:color w:val="auto"/>
                <w:kern w:val="0"/>
                <w:sz w:val="24"/>
                <w:vertAlign w:val="subscript"/>
              </w:rPr>
              <w:t>X</w:t>
            </w:r>
            <w:r>
              <w:rPr>
                <w:bCs/>
                <w:snapToGrid w:val="0"/>
                <w:color w:val="auto"/>
                <w:kern w:val="0"/>
                <w:sz w:val="24"/>
              </w:rPr>
              <w:t>以及未完全燃烧的碳氢化合物等，其特点是排放量小，属间断性排放。加之本项目</w:t>
            </w:r>
            <w:r>
              <w:rPr>
                <w:rFonts w:hint="eastAsia"/>
                <w:bCs/>
                <w:snapToGrid w:val="0"/>
                <w:color w:val="auto"/>
                <w:kern w:val="0"/>
                <w:sz w:val="24"/>
              </w:rPr>
              <w:t>矿区</w:t>
            </w:r>
            <w:r>
              <w:rPr>
                <w:bCs/>
                <w:snapToGrid w:val="0"/>
                <w:color w:val="auto"/>
                <w:kern w:val="0"/>
                <w:sz w:val="24"/>
              </w:rPr>
              <w:t>场地开阔，扩散条件良好，因此运营期机械废气对周围环境影响不大。</w:t>
            </w:r>
          </w:p>
          <w:p w14:paraId="56DE2B8D">
            <w:pPr>
              <w:spacing w:line="336" w:lineRule="auto"/>
              <w:ind w:firstLine="480" w:firstLineChars="200"/>
              <w:rPr>
                <w:rFonts w:hint="eastAsia"/>
                <w:bCs/>
                <w:snapToGrid w:val="0"/>
                <w:color w:val="auto"/>
                <w:kern w:val="0"/>
                <w:sz w:val="24"/>
                <w:lang w:eastAsia="zh-CN"/>
              </w:rPr>
            </w:pPr>
            <w:r>
              <w:rPr>
                <w:rFonts w:hint="eastAsia"/>
                <w:bCs/>
                <w:snapToGrid w:val="0"/>
                <w:color w:val="auto"/>
                <w:kern w:val="0"/>
                <w:sz w:val="24"/>
                <w:lang w:eastAsia="zh-CN"/>
              </w:rPr>
              <w:t>（</w:t>
            </w:r>
            <w:r>
              <w:rPr>
                <w:rFonts w:hint="eastAsia"/>
                <w:bCs/>
                <w:snapToGrid w:val="0"/>
                <w:color w:val="auto"/>
                <w:kern w:val="0"/>
                <w:sz w:val="24"/>
                <w:lang w:val="en-US" w:eastAsia="zh-CN"/>
              </w:rPr>
              <w:t>5</w:t>
            </w:r>
            <w:r>
              <w:rPr>
                <w:rFonts w:hint="eastAsia"/>
                <w:bCs/>
                <w:snapToGrid w:val="0"/>
                <w:color w:val="auto"/>
                <w:kern w:val="0"/>
                <w:sz w:val="24"/>
                <w:lang w:eastAsia="zh-CN"/>
              </w:rPr>
              <w:t>）废气排放情况汇总</w:t>
            </w:r>
          </w:p>
          <w:p w14:paraId="0E31A03D">
            <w:pPr>
              <w:spacing w:line="336" w:lineRule="auto"/>
              <w:ind w:firstLine="480" w:firstLineChars="200"/>
              <w:rPr>
                <w:rFonts w:hint="eastAsia" w:eastAsia="宋体"/>
                <w:bCs/>
                <w:snapToGrid w:val="0"/>
                <w:color w:val="auto"/>
                <w:kern w:val="0"/>
                <w:sz w:val="24"/>
                <w:lang w:eastAsia="zh-CN"/>
              </w:rPr>
            </w:pPr>
            <w:r>
              <w:rPr>
                <w:rFonts w:hint="eastAsia"/>
                <w:color w:val="auto"/>
                <w:sz w:val="24"/>
                <w:highlight w:val="none"/>
              </w:rPr>
              <w:t>运营期先开采2号矿区，再开采1号矿区</w:t>
            </w:r>
            <w:r>
              <w:rPr>
                <w:rFonts w:hint="eastAsia"/>
                <w:color w:val="auto"/>
                <w:sz w:val="24"/>
                <w:highlight w:val="none"/>
                <w:lang w:eastAsia="zh-CN"/>
              </w:rPr>
              <w:t>，</w:t>
            </w:r>
            <w:r>
              <w:rPr>
                <w:rFonts w:hint="eastAsia"/>
                <w:color w:val="auto"/>
                <w:sz w:val="24"/>
                <w:highlight w:val="none"/>
                <w:lang w:val="en-US" w:eastAsia="zh-CN"/>
              </w:rPr>
              <w:t>1号矿区、2号矿区</w:t>
            </w:r>
            <w:r>
              <w:rPr>
                <w:rFonts w:hint="eastAsia"/>
                <w:bCs/>
                <w:snapToGrid w:val="0"/>
                <w:color w:val="auto"/>
                <w:kern w:val="0"/>
                <w:sz w:val="24"/>
                <w:lang w:eastAsia="zh-CN"/>
              </w:rPr>
              <w:t>项目废气排放源强见表4-</w:t>
            </w:r>
            <w:r>
              <w:rPr>
                <w:rFonts w:hint="eastAsia"/>
                <w:bCs/>
                <w:snapToGrid w:val="0"/>
                <w:color w:val="auto"/>
                <w:kern w:val="0"/>
                <w:sz w:val="24"/>
                <w:lang w:val="en-US" w:eastAsia="zh-CN"/>
              </w:rPr>
              <w:t>4、表4-5</w:t>
            </w:r>
            <w:r>
              <w:rPr>
                <w:rFonts w:hint="eastAsia"/>
                <w:bCs/>
                <w:snapToGrid w:val="0"/>
                <w:color w:val="auto"/>
                <w:kern w:val="0"/>
                <w:sz w:val="24"/>
                <w:lang w:eastAsia="zh-CN"/>
              </w:rPr>
              <w:t>。</w:t>
            </w:r>
          </w:p>
          <w:p w14:paraId="375CEB84">
            <w:pPr>
              <w:pStyle w:val="16"/>
              <w:snapToGrid/>
              <w:spacing w:before="0" w:after="0" w:line="240" w:lineRule="auto"/>
              <w:ind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表</w:t>
            </w:r>
            <w:r>
              <w:rPr>
                <w:rFonts w:hint="eastAsia" w:ascii="Times New Roman" w:hAnsi="Times New Roman" w:eastAsia="宋体" w:cs="Times New Roman"/>
                <w:b/>
                <w:bCs/>
                <w:color w:val="auto"/>
                <w:sz w:val="21"/>
                <w:szCs w:val="21"/>
                <w:lang w:eastAsia="zh-CN"/>
              </w:rPr>
              <w:t>4</w:t>
            </w:r>
            <w:r>
              <w:rPr>
                <w:rFonts w:hint="default"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lang w:eastAsia="zh-CN"/>
              </w:rPr>
              <w:t xml:space="preserve"> </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lang w:eastAsia="zh-CN"/>
              </w:rPr>
              <w:t xml:space="preserve"> </w:t>
            </w:r>
            <w:r>
              <w:rPr>
                <w:rFonts w:hint="default" w:ascii="Times New Roman" w:hAnsi="Times New Roman" w:eastAsia="宋体" w:cs="Times New Roman"/>
                <w:b/>
                <w:bCs/>
                <w:color w:val="auto"/>
                <w:sz w:val="21"/>
                <w:szCs w:val="21"/>
                <w:lang w:eastAsia="zh-CN"/>
              </w:rPr>
              <w:t>本工程</w:t>
            </w:r>
            <w:r>
              <w:rPr>
                <w:rFonts w:hint="eastAsia" w:ascii="Times New Roman" w:hAnsi="Times New Roman" w:eastAsia="宋体" w:cs="Times New Roman"/>
                <w:b/>
                <w:bCs/>
                <w:color w:val="auto"/>
                <w:sz w:val="21"/>
                <w:szCs w:val="21"/>
                <w:lang w:val="en-US" w:eastAsia="zh-CN"/>
              </w:rPr>
              <w:t>1号矿区</w:t>
            </w:r>
            <w:r>
              <w:rPr>
                <w:rFonts w:hint="default" w:ascii="Times New Roman" w:hAnsi="Times New Roman" w:eastAsia="宋体" w:cs="Times New Roman"/>
                <w:b/>
                <w:bCs/>
                <w:color w:val="auto"/>
                <w:sz w:val="21"/>
                <w:szCs w:val="21"/>
                <w:lang w:eastAsia="zh-CN"/>
              </w:rPr>
              <w:t>粉尘排放统计表</w:t>
            </w:r>
          </w:p>
          <w:tbl>
            <w:tblPr>
              <w:tblStyle w:val="95"/>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426"/>
              <w:gridCol w:w="949"/>
              <w:gridCol w:w="707"/>
              <w:gridCol w:w="615"/>
              <w:gridCol w:w="615"/>
              <w:gridCol w:w="2978"/>
              <w:gridCol w:w="604"/>
              <w:gridCol w:w="579"/>
              <w:gridCol w:w="698"/>
            </w:tblGrid>
            <w:tr w14:paraId="5802066B">
              <w:trPr>
                <w:trHeight w:val="283" w:hRule="atLeast"/>
                <w:jc w:val="center"/>
              </w:trPr>
              <w:tc>
                <w:tcPr>
                  <w:tcW w:w="261" w:type="pct"/>
                  <w:vMerge w:val="restart"/>
                  <w:tcBorders>
                    <w:tl2br w:val="nil"/>
                    <w:tr2bl w:val="nil"/>
                  </w:tcBorders>
                  <w:vAlign w:val="center"/>
                </w:tcPr>
                <w:p w14:paraId="7D0C77FD">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污染</w:t>
                  </w:r>
                </w:p>
                <w:p w14:paraId="6AC13E8D">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eastAsia="zh-CN"/>
                    </w:rPr>
                  </w:pPr>
                  <w:r>
                    <w:rPr>
                      <w:rFonts w:hint="eastAsia" w:ascii="Times New Roman" w:hAnsi="Times New Roman" w:eastAsia="宋体"/>
                      <w:b w:val="0"/>
                      <w:bCs w:val="0"/>
                      <w:color w:val="auto"/>
                      <w:kern w:val="21"/>
                      <w:sz w:val="21"/>
                      <w:szCs w:val="21"/>
                      <w:lang w:val="en-US" w:eastAsia="zh-CN"/>
                    </w:rPr>
                    <w:t>源</w:t>
                  </w:r>
                </w:p>
              </w:tc>
              <w:tc>
                <w:tcPr>
                  <w:tcW w:w="580" w:type="pct"/>
                  <w:vMerge w:val="restart"/>
                  <w:tcBorders>
                    <w:tl2br w:val="nil"/>
                    <w:tr2bl w:val="nil"/>
                  </w:tcBorders>
                  <w:vAlign w:val="center"/>
                </w:tcPr>
                <w:p w14:paraId="7C930B91">
                  <w:pPr>
                    <w:pStyle w:val="94"/>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eastAsia="zh-CN"/>
                    </w:rPr>
                  </w:pPr>
                  <w:r>
                    <w:rPr>
                      <w:rFonts w:hint="eastAsia" w:ascii="Times New Roman" w:hAnsi="Times New Roman" w:eastAsia="宋体" w:cs="Times New Roman"/>
                      <w:b w:val="0"/>
                      <w:bCs w:val="0"/>
                      <w:color w:val="auto"/>
                      <w:kern w:val="21"/>
                      <w:sz w:val="21"/>
                      <w:szCs w:val="21"/>
                      <w:lang w:eastAsia="zh-CN"/>
                    </w:rPr>
                    <w:t>产污</w:t>
                  </w:r>
                </w:p>
                <w:p w14:paraId="27701D49">
                  <w:pPr>
                    <w:pStyle w:val="94"/>
                    <w:pageBreakBefore w:val="0"/>
                    <w:kinsoku/>
                    <w:wordWrap/>
                    <w:bidi w:val="0"/>
                    <w:adjustRightInd/>
                    <w:snapToGrid/>
                    <w:jc w:val="center"/>
                    <w:outlineLvl w:val="9"/>
                    <w:rPr>
                      <w:rFonts w:ascii="Times New Roman" w:hAnsi="Times New Roman" w:eastAsia="宋体" w:cs="Times New Roman"/>
                      <w:b w:val="0"/>
                      <w:bCs w:val="0"/>
                      <w:color w:val="auto"/>
                      <w:kern w:val="21"/>
                      <w:sz w:val="21"/>
                      <w:szCs w:val="21"/>
                      <w:lang w:eastAsia="zh-CN"/>
                    </w:rPr>
                  </w:pPr>
                  <w:r>
                    <w:rPr>
                      <w:rFonts w:hint="eastAsia" w:ascii="Times New Roman" w:hAnsi="Times New Roman" w:eastAsia="宋体" w:cs="Times New Roman"/>
                      <w:b w:val="0"/>
                      <w:bCs w:val="0"/>
                      <w:color w:val="auto"/>
                      <w:kern w:val="21"/>
                      <w:sz w:val="21"/>
                      <w:szCs w:val="21"/>
                      <w:lang w:eastAsia="zh-CN"/>
                    </w:rPr>
                    <w:t>节点</w:t>
                  </w:r>
                </w:p>
              </w:tc>
              <w:tc>
                <w:tcPr>
                  <w:tcW w:w="432" w:type="pct"/>
                  <w:vMerge w:val="restart"/>
                  <w:tcBorders>
                    <w:tl2br w:val="nil"/>
                    <w:tr2bl w:val="nil"/>
                  </w:tcBorders>
                  <w:vAlign w:val="center"/>
                </w:tcPr>
                <w:p w14:paraId="0FDED505">
                  <w:pPr>
                    <w:pageBreakBefore w:val="0"/>
                    <w:kinsoku/>
                    <w:wordWrap/>
                    <w:bidi w:val="0"/>
                    <w:adjustRightInd/>
                    <w:snapToGrid/>
                    <w:jc w:val="center"/>
                    <w:outlineLvl w:val="9"/>
                    <w:rPr>
                      <w:rFonts w:ascii="Times New Roman" w:hAnsi="Times New Roman" w:eastAsia="宋体"/>
                      <w:b w:val="0"/>
                      <w:bCs w:val="0"/>
                      <w:color w:val="auto"/>
                      <w:kern w:val="21"/>
                      <w:sz w:val="21"/>
                      <w:szCs w:val="21"/>
                      <w:highlight w:val="none"/>
                    </w:rPr>
                  </w:pPr>
                  <w:r>
                    <w:rPr>
                      <w:rFonts w:hint="eastAsia" w:ascii="Times New Roman" w:hAnsi="Times New Roman" w:eastAsia="宋体"/>
                      <w:b w:val="0"/>
                      <w:bCs w:val="0"/>
                      <w:color w:val="auto"/>
                      <w:kern w:val="21"/>
                      <w:sz w:val="21"/>
                      <w:szCs w:val="21"/>
                      <w:highlight w:val="none"/>
                    </w:rPr>
                    <w:t>污染物</w:t>
                  </w:r>
                </w:p>
              </w:tc>
              <w:tc>
                <w:tcPr>
                  <w:tcW w:w="752" w:type="pct"/>
                  <w:gridSpan w:val="2"/>
                  <w:tcBorders>
                    <w:tl2br w:val="nil"/>
                    <w:tr2bl w:val="nil"/>
                  </w:tcBorders>
                  <w:vAlign w:val="center"/>
                </w:tcPr>
                <w:p w14:paraId="212DD10A">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lang w:val="en-US" w:eastAsia="zh-CN"/>
                    </w:rPr>
                    <w:t>产生情况</w:t>
                  </w:r>
                </w:p>
              </w:tc>
              <w:tc>
                <w:tcPr>
                  <w:tcW w:w="1821" w:type="pct"/>
                  <w:vMerge w:val="restart"/>
                  <w:tcBorders>
                    <w:tl2br w:val="nil"/>
                    <w:tr2bl w:val="nil"/>
                  </w:tcBorders>
                  <w:vAlign w:val="center"/>
                </w:tcPr>
                <w:p w14:paraId="35AFCA0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rPr>
                    <w:t>措施</w:t>
                  </w:r>
                  <w:r>
                    <w:rPr>
                      <w:rFonts w:hint="eastAsia" w:ascii="Times New Roman" w:hAnsi="Times New Roman" w:eastAsia="宋体"/>
                      <w:b w:val="0"/>
                      <w:bCs w:val="0"/>
                      <w:color w:val="auto"/>
                      <w:kern w:val="21"/>
                      <w:sz w:val="21"/>
                      <w:szCs w:val="21"/>
                      <w:highlight w:val="none"/>
                      <w:lang w:val="en-US" w:eastAsia="zh-CN"/>
                    </w:rPr>
                    <w:t>及效率</w:t>
                  </w:r>
                </w:p>
              </w:tc>
              <w:tc>
                <w:tcPr>
                  <w:tcW w:w="723" w:type="pct"/>
                  <w:gridSpan w:val="2"/>
                  <w:tcBorders>
                    <w:tl2br w:val="nil"/>
                    <w:tr2bl w:val="nil"/>
                  </w:tcBorders>
                  <w:vAlign w:val="center"/>
                </w:tcPr>
                <w:p w14:paraId="06D22F4F">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rPr>
                    <w:t>排放</w:t>
                  </w:r>
                  <w:r>
                    <w:rPr>
                      <w:rFonts w:hint="eastAsia" w:ascii="Times New Roman" w:hAnsi="Times New Roman" w:eastAsia="宋体"/>
                      <w:b w:val="0"/>
                      <w:bCs w:val="0"/>
                      <w:color w:val="auto"/>
                      <w:kern w:val="21"/>
                      <w:sz w:val="21"/>
                      <w:szCs w:val="21"/>
                      <w:highlight w:val="none"/>
                      <w:lang w:val="en-US" w:eastAsia="zh-CN"/>
                    </w:rPr>
                    <w:t>情况</w:t>
                  </w:r>
                </w:p>
              </w:tc>
              <w:tc>
                <w:tcPr>
                  <w:tcW w:w="427" w:type="pct"/>
                  <w:vMerge w:val="restart"/>
                  <w:tcBorders>
                    <w:tl2br w:val="nil"/>
                    <w:tr2bl w:val="nil"/>
                  </w:tcBorders>
                  <w:vAlign w:val="center"/>
                </w:tcPr>
                <w:p w14:paraId="72337D97">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排放</w:t>
                  </w:r>
                </w:p>
                <w:p w14:paraId="397F55B3">
                  <w:pPr>
                    <w:pageBreakBefore w:val="0"/>
                    <w:kinsoku/>
                    <w:wordWrap/>
                    <w:bidi w:val="0"/>
                    <w:adjustRightInd/>
                    <w:snapToGrid/>
                    <w:jc w:val="center"/>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方式</w:t>
                  </w:r>
                </w:p>
              </w:tc>
            </w:tr>
            <w:tr w14:paraId="31F45D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continue"/>
                  <w:tcBorders>
                    <w:tl2br w:val="nil"/>
                    <w:tr2bl w:val="nil"/>
                  </w:tcBorders>
                  <w:vAlign w:val="center"/>
                </w:tcPr>
                <w:p w14:paraId="3901B69A">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p>
              </w:tc>
              <w:tc>
                <w:tcPr>
                  <w:tcW w:w="580" w:type="pct"/>
                  <w:vMerge w:val="continue"/>
                  <w:tcBorders>
                    <w:tl2br w:val="nil"/>
                    <w:tr2bl w:val="nil"/>
                  </w:tcBorders>
                  <w:vAlign w:val="center"/>
                </w:tcPr>
                <w:p w14:paraId="5D24971F">
                  <w:pPr>
                    <w:pStyle w:val="94"/>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eastAsia="zh-CN"/>
                    </w:rPr>
                  </w:pPr>
                </w:p>
              </w:tc>
              <w:tc>
                <w:tcPr>
                  <w:tcW w:w="432" w:type="pct"/>
                  <w:vMerge w:val="continue"/>
                  <w:tcBorders>
                    <w:tl2br w:val="nil"/>
                    <w:tr2bl w:val="nil"/>
                  </w:tcBorders>
                  <w:vAlign w:val="center"/>
                </w:tcPr>
                <w:p w14:paraId="51C8D18B">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p>
              </w:tc>
              <w:tc>
                <w:tcPr>
                  <w:tcW w:w="376" w:type="pct"/>
                  <w:tcBorders>
                    <w:tl2br w:val="nil"/>
                    <w:tr2bl w:val="nil"/>
                  </w:tcBorders>
                  <w:vAlign w:val="center"/>
                </w:tcPr>
                <w:p w14:paraId="63C497A0">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lang w:val="en-US" w:eastAsia="zh-CN"/>
                    </w:rPr>
                  </w:pPr>
                  <w:r>
                    <w:rPr>
                      <w:rFonts w:ascii="Times New Roman" w:hAnsi="Times New Roman" w:eastAsia="宋体"/>
                      <w:b w:val="0"/>
                      <w:bCs w:val="0"/>
                      <w:color w:val="auto"/>
                      <w:sz w:val="21"/>
                      <w:szCs w:val="21"/>
                      <w:highlight w:val="none"/>
                    </w:rPr>
                    <w:t>t</w:t>
                  </w:r>
                  <w:r>
                    <w:rPr>
                      <w:rFonts w:hint="eastAsia" w:ascii="Times New Roman" w:hAnsi="Times New Roman" w:eastAsia="宋体"/>
                      <w:b w:val="0"/>
                      <w:bCs w:val="0"/>
                      <w:color w:val="auto"/>
                      <w:sz w:val="21"/>
                      <w:szCs w:val="21"/>
                      <w:highlight w:val="none"/>
                    </w:rPr>
                    <w:t>/</w:t>
                  </w:r>
                  <w:r>
                    <w:rPr>
                      <w:rFonts w:ascii="Times New Roman" w:hAnsi="Times New Roman" w:eastAsia="宋体"/>
                      <w:b w:val="0"/>
                      <w:bCs w:val="0"/>
                      <w:color w:val="auto"/>
                      <w:sz w:val="21"/>
                      <w:szCs w:val="21"/>
                      <w:highlight w:val="none"/>
                    </w:rPr>
                    <w:t>a</w:t>
                  </w:r>
                </w:p>
              </w:tc>
              <w:tc>
                <w:tcPr>
                  <w:tcW w:w="376" w:type="pct"/>
                  <w:tcBorders>
                    <w:tl2br w:val="nil"/>
                    <w:tr2bl w:val="nil"/>
                  </w:tcBorders>
                  <w:vAlign w:val="center"/>
                </w:tcPr>
                <w:p w14:paraId="57C782B6">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lang w:val="en-US" w:eastAsia="zh-CN"/>
                    </w:rPr>
                    <w:t>kg/h</w:t>
                  </w:r>
                </w:p>
              </w:tc>
              <w:tc>
                <w:tcPr>
                  <w:tcW w:w="1821" w:type="pct"/>
                  <w:vMerge w:val="continue"/>
                  <w:tcBorders>
                    <w:tl2br w:val="nil"/>
                    <w:tr2bl w:val="nil"/>
                  </w:tcBorders>
                  <w:vAlign w:val="center"/>
                </w:tcPr>
                <w:p w14:paraId="69B1F250">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p>
              </w:tc>
              <w:tc>
                <w:tcPr>
                  <w:tcW w:w="369" w:type="pct"/>
                  <w:tcBorders>
                    <w:tl2br w:val="nil"/>
                    <w:tr2bl w:val="nil"/>
                  </w:tcBorders>
                  <w:vAlign w:val="center"/>
                </w:tcPr>
                <w:p w14:paraId="40FA5202">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r>
                    <w:rPr>
                      <w:rFonts w:ascii="Times New Roman" w:hAnsi="Times New Roman" w:eastAsia="宋体"/>
                      <w:b w:val="0"/>
                      <w:bCs w:val="0"/>
                      <w:color w:val="auto"/>
                      <w:sz w:val="21"/>
                      <w:szCs w:val="21"/>
                      <w:highlight w:val="none"/>
                    </w:rPr>
                    <w:t>t</w:t>
                  </w:r>
                  <w:r>
                    <w:rPr>
                      <w:rFonts w:hint="eastAsia" w:ascii="Times New Roman" w:hAnsi="Times New Roman" w:eastAsia="宋体"/>
                      <w:b w:val="0"/>
                      <w:bCs w:val="0"/>
                      <w:color w:val="auto"/>
                      <w:sz w:val="21"/>
                      <w:szCs w:val="21"/>
                      <w:highlight w:val="none"/>
                    </w:rPr>
                    <w:t>/</w:t>
                  </w:r>
                  <w:r>
                    <w:rPr>
                      <w:rFonts w:ascii="Times New Roman" w:hAnsi="Times New Roman" w:eastAsia="宋体"/>
                      <w:b w:val="0"/>
                      <w:bCs w:val="0"/>
                      <w:color w:val="auto"/>
                      <w:sz w:val="21"/>
                      <w:szCs w:val="21"/>
                      <w:highlight w:val="none"/>
                    </w:rPr>
                    <w:t>a</w:t>
                  </w:r>
                </w:p>
              </w:tc>
              <w:tc>
                <w:tcPr>
                  <w:tcW w:w="354" w:type="pct"/>
                  <w:tcBorders>
                    <w:tl2br w:val="nil"/>
                    <w:tr2bl w:val="nil"/>
                  </w:tcBorders>
                  <w:vAlign w:val="center"/>
                </w:tcPr>
                <w:p w14:paraId="23C731F4">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r>
                    <w:rPr>
                      <w:rFonts w:hint="eastAsia" w:ascii="Times New Roman" w:hAnsi="Times New Roman" w:eastAsia="宋体"/>
                      <w:b w:val="0"/>
                      <w:bCs w:val="0"/>
                      <w:color w:val="auto"/>
                      <w:kern w:val="21"/>
                      <w:sz w:val="21"/>
                      <w:szCs w:val="21"/>
                      <w:highlight w:val="none"/>
                      <w:lang w:val="en-US" w:eastAsia="zh-CN"/>
                    </w:rPr>
                    <w:t>kg/h</w:t>
                  </w:r>
                </w:p>
              </w:tc>
              <w:tc>
                <w:tcPr>
                  <w:tcW w:w="427" w:type="pct"/>
                  <w:vMerge w:val="continue"/>
                  <w:tcBorders>
                    <w:tl2br w:val="nil"/>
                    <w:tr2bl w:val="nil"/>
                  </w:tcBorders>
                  <w:vAlign w:val="center"/>
                </w:tcPr>
                <w:p w14:paraId="3BC6D9CD">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r>
            <w:tr w14:paraId="25CBF84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restart"/>
                  <w:tcBorders>
                    <w:tl2br w:val="nil"/>
                    <w:tr2bl w:val="nil"/>
                  </w:tcBorders>
                  <w:vAlign w:val="center"/>
                </w:tcPr>
                <w:p w14:paraId="083E5DE0">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露天</w:t>
                  </w:r>
                </w:p>
                <w:p w14:paraId="5EEF3D8F">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采场</w:t>
                  </w:r>
                </w:p>
              </w:tc>
              <w:tc>
                <w:tcPr>
                  <w:tcW w:w="580" w:type="pct"/>
                  <w:tcBorders>
                    <w:tl2br w:val="nil"/>
                    <w:tr2bl w:val="nil"/>
                  </w:tcBorders>
                  <w:vAlign w:val="center"/>
                </w:tcPr>
                <w:p w14:paraId="47A0E2D5">
                  <w:pPr>
                    <w:pStyle w:val="94"/>
                    <w:pageBreakBefore w:val="0"/>
                    <w:kinsoku/>
                    <w:wordWrap/>
                    <w:bidi w:val="0"/>
                    <w:adjustRightInd/>
                    <w:snapToGrid/>
                    <w:jc w:val="center"/>
                    <w:outlineLvl w:val="9"/>
                    <w:rPr>
                      <w:rFonts w:ascii="Times New Roman" w:hAnsi="Times New Roman" w:eastAsia="宋体" w:cs="Times New Roman"/>
                      <w:b w:val="0"/>
                      <w:bCs w:val="0"/>
                      <w:color w:val="auto"/>
                      <w:kern w:val="21"/>
                      <w:sz w:val="21"/>
                      <w:szCs w:val="21"/>
                      <w:lang w:eastAsia="zh-CN"/>
                    </w:rPr>
                  </w:pPr>
                  <w:r>
                    <w:rPr>
                      <w:rFonts w:hint="eastAsia" w:ascii="Times New Roman" w:hAnsi="Times New Roman" w:eastAsia="宋体" w:cs="Times New Roman"/>
                      <w:b w:val="0"/>
                      <w:bCs w:val="0"/>
                      <w:color w:val="auto"/>
                      <w:sz w:val="21"/>
                      <w:szCs w:val="21"/>
                      <w:lang w:eastAsia="zh-CN"/>
                    </w:rPr>
                    <w:t>开采</w:t>
                  </w:r>
                </w:p>
              </w:tc>
              <w:tc>
                <w:tcPr>
                  <w:tcW w:w="432" w:type="pct"/>
                  <w:tcBorders>
                    <w:tl2br w:val="nil"/>
                    <w:tr2bl w:val="nil"/>
                  </w:tcBorders>
                  <w:vAlign w:val="center"/>
                </w:tcPr>
                <w:p w14:paraId="72044DEB">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eastAsia="zh-CN"/>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vAlign w:val="center"/>
                </w:tcPr>
                <w:p w14:paraId="12440924">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9.35</w:t>
                  </w:r>
                </w:p>
              </w:tc>
              <w:tc>
                <w:tcPr>
                  <w:tcW w:w="376" w:type="pct"/>
                  <w:tcBorders>
                    <w:tl2br w:val="nil"/>
                    <w:tr2bl w:val="nil"/>
                  </w:tcBorders>
                  <w:vAlign w:val="center"/>
                </w:tcPr>
                <w:p w14:paraId="3CC5BDD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4.67</w:t>
                  </w:r>
                </w:p>
              </w:tc>
              <w:tc>
                <w:tcPr>
                  <w:tcW w:w="1821" w:type="pct"/>
                  <w:tcBorders>
                    <w:tl2br w:val="nil"/>
                    <w:tr2bl w:val="nil"/>
                  </w:tcBorders>
                  <w:vAlign w:val="center"/>
                </w:tcPr>
                <w:p w14:paraId="469A0977">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val="0"/>
                      <w:bCs w:val="0"/>
                      <w:color w:val="auto"/>
                      <w:kern w:val="21"/>
                      <w:sz w:val="21"/>
                      <w:szCs w:val="21"/>
                    </w:rPr>
                  </w:pPr>
                  <w:r>
                    <w:rPr>
                      <w:rFonts w:hint="eastAsia" w:ascii="Times New Roman" w:hAnsi="Times New Roman" w:eastAsia="宋体" w:cs="Times New Roman"/>
                      <w:b w:val="0"/>
                      <w:bCs w:val="0"/>
                      <w:color w:val="auto"/>
                      <w:sz w:val="21"/>
                      <w:szCs w:val="21"/>
                      <w:highlight w:val="none"/>
                      <w:lang w:val="en-US" w:eastAsia="zh-CN"/>
                    </w:rPr>
                    <w:t>开采前对开采作业面洒水增湿，开采过程中雾炮机水雾增湿降尘</w:t>
                  </w:r>
                  <w:r>
                    <w:rPr>
                      <w:rFonts w:hint="default" w:ascii="Times New Roman" w:hAnsi="Times New Roman" w:eastAsia="宋体" w:cs="Times New Roman"/>
                      <w:b w:val="0"/>
                      <w:bCs w:val="0"/>
                      <w:color w:val="auto"/>
                      <w:sz w:val="21"/>
                      <w:szCs w:val="21"/>
                      <w:highlight w:val="none"/>
                      <w:lang w:val="en-US" w:eastAsia="zh-CN"/>
                    </w:rPr>
                    <w:t>（除尘效率74%）</w:t>
                  </w:r>
                </w:p>
              </w:tc>
              <w:tc>
                <w:tcPr>
                  <w:tcW w:w="369" w:type="pct"/>
                  <w:tcBorders>
                    <w:tl2br w:val="nil"/>
                    <w:tr2bl w:val="nil"/>
                  </w:tcBorders>
                  <w:vAlign w:val="center"/>
                </w:tcPr>
                <w:p w14:paraId="1B05128C">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2.43</w:t>
                  </w:r>
                </w:p>
              </w:tc>
              <w:tc>
                <w:tcPr>
                  <w:tcW w:w="354" w:type="pct"/>
                  <w:tcBorders>
                    <w:tl2br w:val="nil"/>
                    <w:tr2bl w:val="nil"/>
                  </w:tcBorders>
                  <w:vAlign w:val="center"/>
                </w:tcPr>
                <w:p w14:paraId="65E7A260">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1.22</w:t>
                  </w:r>
                </w:p>
              </w:tc>
              <w:tc>
                <w:tcPr>
                  <w:tcW w:w="427" w:type="pct"/>
                  <w:tcBorders>
                    <w:tl2br w:val="nil"/>
                    <w:tr2bl w:val="nil"/>
                  </w:tcBorders>
                  <w:vAlign w:val="center"/>
                </w:tcPr>
                <w:p w14:paraId="5D079397">
                  <w:pPr>
                    <w:pageBreakBefore w:val="0"/>
                    <w:kinsoku/>
                    <w:wordWrap/>
                    <w:bidi w:val="0"/>
                    <w:adjustRightInd/>
                    <w:snapToGrid/>
                    <w:jc w:val="center"/>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无组织</w:t>
                  </w:r>
                </w:p>
              </w:tc>
            </w:tr>
            <w:tr w14:paraId="408FC25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continue"/>
                  <w:tcBorders>
                    <w:tl2br w:val="nil"/>
                    <w:tr2bl w:val="nil"/>
                  </w:tcBorders>
                  <w:vAlign w:val="center"/>
                </w:tcPr>
                <w:p w14:paraId="1C41C9EC">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c>
                <w:tcPr>
                  <w:tcW w:w="580" w:type="pct"/>
                  <w:tcBorders>
                    <w:tl2br w:val="nil"/>
                    <w:tr2bl w:val="nil"/>
                  </w:tcBorders>
                  <w:vAlign w:val="center"/>
                </w:tcPr>
                <w:p w14:paraId="5C09B441">
                  <w:pPr>
                    <w:pStyle w:val="94"/>
                    <w:pageBreakBefore w:val="0"/>
                    <w:kinsoku/>
                    <w:wordWrap/>
                    <w:bidi w:val="0"/>
                    <w:adjustRightInd/>
                    <w:snapToGrid/>
                    <w:jc w:val="center"/>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运输</w:t>
                  </w:r>
                </w:p>
              </w:tc>
              <w:tc>
                <w:tcPr>
                  <w:tcW w:w="432" w:type="pct"/>
                  <w:tcBorders>
                    <w:tl2br w:val="nil"/>
                    <w:tr2bl w:val="nil"/>
                  </w:tcBorders>
                  <w:vAlign w:val="center"/>
                </w:tcPr>
                <w:p w14:paraId="2403F139">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vAlign w:val="center"/>
                </w:tcPr>
                <w:p w14:paraId="4B58D49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11.48</w:t>
                  </w:r>
                </w:p>
              </w:tc>
              <w:tc>
                <w:tcPr>
                  <w:tcW w:w="376" w:type="pct"/>
                  <w:tcBorders>
                    <w:tl2br w:val="nil"/>
                    <w:tr2bl w:val="nil"/>
                  </w:tcBorders>
                  <w:vAlign w:val="center"/>
                </w:tcPr>
                <w:p w14:paraId="372172BA">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5.74</w:t>
                  </w:r>
                </w:p>
              </w:tc>
              <w:tc>
                <w:tcPr>
                  <w:tcW w:w="1821" w:type="pct"/>
                  <w:tcBorders>
                    <w:tl2br w:val="nil"/>
                    <w:tr2bl w:val="nil"/>
                  </w:tcBorders>
                  <w:vAlign w:val="center"/>
                </w:tcPr>
                <w:p w14:paraId="7E4897A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车辆进行清洗，降低扬尘产生；运输车辆加盖篷布，严禁超速、超载等措施</w:t>
                  </w:r>
                  <w:r>
                    <w:rPr>
                      <w:rFonts w:hint="eastAsia"/>
                      <w:b w:val="0"/>
                      <w:bCs w:val="0"/>
                      <w:color w:val="auto"/>
                      <w:kern w:val="21"/>
                      <w:sz w:val="21"/>
                      <w:szCs w:val="21"/>
                      <w:lang w:eastAsia="zh-CN"/>
                    </w:rPr>
                    <w:t>（</w:t>
                  </w:r>
                  <w:r>
                    <w:rPr>
                      <w:rFonts w:hint="eastAsia"/>
                      <w:b w:val="0"/>
                      <w:bCs w:val="0"/>
                      <w:color w:val="auto"/>
                      <w:kern w:val="21"/>
                      <w:sz w:val="21"/>
                      <w:szCs w:val="21"/>
                      <w:lang w:val="en-US" w:eastAsia="zh-CN"/>
                    </w:rPr>
                    <w:t>除尘效率</w:t>
                  </w:r>
                  <w:r>
                    <w:rPr>
                      <w:rFonts w:hint="eastAsia" w:ascii="Times New Roman" w:hAnsi="Times New Roman" w:eastAsia="宋体"/>
                      <w:b w:val="0"/>
                      <w:bCs w:val="0"/>
                      <w:color w:val="auto"/>
                      <w:kern w:val="21"/>
                      <w:sz w:val="21"/>
                      <w:szCs w:val="21"/>
                    </w:rPr>
                    <w:t>90%</w:t>
                  </w:r>
                  <w:r>
                    <w:rPr>
                      <w:rFonts w:hint="eastAsia"/>
                      <w:b w:val="0"/>
                      <w:bCs w:val="0"/>
                      <w:color w:val="auto"/>
                      <w:kern w:val="21"/>
                      <w:sz w:val="21"/>
                      <w:szCs w:val="21"/>
                      <w:lang w:eastAsia="zh-CN"/>
                    </w:rPr>
                    <w:t>）</w:t>
                  </w:r>
                </w:p>
              </w:tc>
              <w:tc>
                <w:tcPr>
                  <w:tcW w:w="369" w:type="pct"/>
                  <w:tcBorders>
                    <w:tl2br w:val="nil"/>
                    <w:tr2bl w:val="nil"/>
                  </w:tcBorders>
                  <w:vAlign w:val="center"/>
                </w:tcPr>
                <w:p w14:paraId="62DBA85C">
                  <w:pPr>
                    <w:pageBreakBefore w:val="0"/>
                    <w:kinsoku/>
                    <w:wordWrap/>
                    <w:bidi w:val="0"/>
                    <w:adjustRightInd/>
                    <w:snapToGrid/>
                    <w:jc w:val="center"/>
                    <w:outlineLvl w:val="9"/>
                    <w:rPr>
                      <w:rFonts w:hint="default"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1.15</w:t>
                  </w:r>
                </w:p>
              </w:tc>
              <w:tc>
                <w:tcPr>
                  <w:tcW w:w="354" w:type="pct"/>
                  <w:tcBorders>
                    <w:tl2br w:val="nil"/>
                    <w:tr2bl w:val="nil"/>
                  </w:tcBorders>
                  <w:vAlign w:val="center"/>
                </w:tcPr>
                <w:p w14:paraId="36161A96">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0.58</w:t>
                  </w:r>
                </w:p>
              </w:tc>
              <w:tc>
                <w:tcPr>
                  <w:tcW w:w="427" w:type="pct"/>
                  <w:tcBorders>
                    <w:tl2br w:val="nil"/>
                    <w:tr2bl w:val="nil"/>
                  </w:tcBorders>
                  <w:vAlign w:val="center"/>
                </w:tcPr>
                <w:p w14:paraId="7AC3815F">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无组织</w:t>
                  </w:r>
                </w:p>
              </w:tc>
            </w:tr>
            <w:tr w14:paraId="4D8B5FF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continue"/>
                  <w:tcBorders>
                    <w:tl2br w:val="nil"/>
                    <w:tr2bl w:val="nil"/>
                  </w:tcBorders>
                  <w:vAlign w:val="center"/>
                </w:tcPr>
                <w:p w14:paraId="66AD502D">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c>
                <w:tcPr>
                  <w:tcW w:w="580" w:type="pct"/>
                  <w:tcBorders>
                    <w:tl2br w:val="nil"/>
                    <w:tr2bl w:val="nil"/>
                  </w:tcBorders>
                  <w:vAlign w:val="center"/>
                </w:tcPr>
                <w:p w14:paraId="0E3AED8E">
                  <w:pPr>
                    <w:pStyle w:val="94"/>
                    <w:pageBreakBefore w:val="0"/>
                    <w:kinsoku/>
                    <w:wordWrap/>
                    <w:bidi w:val="0"/>
                    <w:adjustRightInd/>
                    <w:snapToGrid/>
                    <w:jc w:val="center"/>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表土堆存</w:t>
                  </w:r>
                </w:p>
              </w:tc>
              <w:tc>
                <w:tcPr>
                  <w:tcW w:w="432" w:type="pct"/>
                  <w:tcBorders>
                    <w:tl2br w:val="nil"/>
                    <w:tr2bl w:val="nil"/>
                  </w:tcBorders>
                  <w:vAlign w:val="center"/>
                </w:tcPr>
                <w:p w14:paraId="0A5E5B01">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vAlign w:val="center"/>
                </w:tcPr>
                <w:p w14:paraId="57EAF05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125.54</w:t>
                  </w:r>
                </w:p>
              </w:tc>
              <w:tc>
                <w:tcPr>
                  <w:tcW w:w="376" w:type="pct"/>
                  <w:tcBorders>
                    <w:tl2br w:val="nil"/>
                    <w:tr2bl w:val="nil"/>
                  </w:tcBorders>
                  <w:vAlign w:val="center"/>
                </w:tcPr>
                <w:p w14:paraId="016120F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62.77</w:t>
                  </w:r>
                </w:p>
              </w:tc>
              <w:tc>
                <w:tcPr>
                  <w:tcW w:w="1821" w:type="pct"/>
                  <w:tcBorders>
                    <w:tl2br w:val="nil"/>
                    <w:tr2bl w:val="nil"/>
                  </w:tcBorders>
                  <w:vAlign w:val="center"/>
                </w:tcPr>
                <w:p w14:paraId="026B3450">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采取洒水降尘</w:t>
                  </w:r>
                  <w:r>
                    <w:rPr>
                      <w:rFonts w:hint="eastAsia" w:ascii="Times New Roman" w:hAnsi="Times New Roman" w:eastAsia="宋体"/>
                      <w:b w:val="0"/>
                      <w:bCs w:val="0"/>
                      <w:color w:val="auto"/>
                      <w:kern w:val="21"/>
                      <w:sz w:val="21"/>
                      <w:szCs w:val="21"/>
                      <w:lang w:eastAsia="zh-CN"/>
                    </w:rPr>
                    <w:t>、</w:t>
                  </w:r>
                  <w:r>
                    <w:rPr>
                      <w:rFonts w:hint="eastAsia" w:ascii="Times New Roman" w:hAnsi="Times New Roman" w:eastAsia="宋体"/>
                      <w:b w:val="0"/>
                      <w:bCs w:val="0"/>
                      <w:color w:val="auto"/>
                      <w:kern w:val="21"/>
                      <w:sz w:val="21"/>
                      <w:szCs w:val="21"/>
                      <w:lang w:val="en-US" w:eastAsia="zh-CN"/>
                    </w:rPr>
                    <w:t>围挡</w:t>
                  </w:r>
                  <w:r>
                    <w:rPr>
                      <w:rFonts w:hint="eastAsia" w:ascii="Times New Roman" w:hAnsi="Times New Roman" w:eastAsia="宋体"/>
                      <w:b w:val="0"/>
                      <w:bCs w:val="0"/>
                      <w:color w:val="auto"/>
                      <w:kern w:val="21"/>
                      <w:sz w:val="21"/>
                      <w:szCs w:val="21"/>
                    </w:rPr>
                    <w:t>的措施，粉尘控制效率取值</w:t>
                  </w:r>
                  <w:r>
                    <w:rPr>
                      <w:rFonts w:hint="eastAsia" w:ascii="Times New Roman" w:hAnsi="Times New Roman" w:eastAsia="宋体"/>
                      <w:b w:val="0"/>
                      <w:bCs w:val="0"/>
                      <w:color w:val="auto"/>
                      <w:kern w:val="21"/>
                      <w:sz w:val="21"/>
                      <w:szCs w:val="21"/>
                      <w:lang w:val="en-US" w:eastAsia="zh-CN"/>
                    </w:rPr>
                    <w:t>90</w:t>
                  </w:r>
                  <w:r>
                    <w:rPr>
                      <w:rFonts w:hint="eastAsia" w:ascii="Times New Roman" w:hAnsi="Times New Roman" w:eastAsia="宋体"/>
                      <w:b w:val="0"/>
                      <w:bCs w:val="0"/>
                      <w:color w:val="auto"/>
                      <w:kern w:val="21"/>
                      <w:sz w:val="21"/>
                      <w:szCs w:val="21"/>
                    </w:rPr>
                    <w:t>%</w:t>
                  </w:r>
                </w:p>
              </w:tc>
              <w:tc>
                <w:tcPr>
                  <w:tcW w:w="369" w:type="pct"/>
                  <w:tcBorders>
                    <w:tl2br w:val="nil"/>
                    <w:tr2bl w:val="nil"/>
                  </w:tcBorders>
                  <w:vAlign w:val="center"/>
                </w:tcPr>
                <w:p w14:paraId="45A4B24A">
                  <w:pPr>
                    <w:pageBreakBefore w:val="0"/>
                    <w:kinsoku/>
                    <w:wordWrap/>
                    <w:bidi w:val="0"/>
                    <w:adjustRightInd/>
                    <w:snapToGrid/>
                    <w:jc w:val="center"/>
                    <w:outlineLvl w:val="9"/>
                    <w:rPr>
                      <w:rFonts w:hint="default"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12.55</w:t>
                  </w:r>
                </w:p>
              </w:tc>
              <w:tc>
                <w:tcPr>
                  <w:tcW w:w="354" w:type="pct"/>
                  <w:tcBorders>
                    <w:tl2br w:val="nil"/>
                    <w:tr2bl w:val="nil"/>
                  </w:tcBorders>
                  <w:vAlign w:val="center"/>
                </w:tcPr>
                <w:p w14:paraId="2DFC4232">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sz w:val="21"/>
                      <w:szCs w:val="21"/>
                      <w:lang w:val="en-US" w:eastAsia="zh-CN"/>
                    </w:rPr>
                    <w:t>2.09</w:t>
                  </w:r>
                </w:p>
              </w:tc>
              <w:tc>
                <w:tcPr>
                  <w:tcW w:w="427" w:type="pct"/>
                  <w:tcBorders>
                    <w:tl2br w:val="nil"/>
                    <w:tr2bl w:val="nil"/>
                  </w:tcBorders>
                  <w:vAlign w:val="center"/>
                </w:tcPr>
                <w:p w14:paraId="204BB389">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无组织</w:t>
                  </w:r>
                </w:p>
              </w:tc>
            </w:tr>
            <w:tr w14:paraId="2473758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continue"/>
                  <w:tcBorders>
                    <w:tl2br w:val="nil"/>
                    <w:tr2bl w:val="nil"/>
                  </w:tcBorders>
                  <w:vAlign w:val="center"/>
                </w:tcPr>
                <w:p w14:paraId="19D0438E">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c>
                <w:tcPr>
                  <w:tcW w:w="580" w:type="pct"/>
                  <w:tcBorders>
                    <w:tl2br w:val="nil"/>
                    <w:tr2bl w:val="nil"/>
                  </w:tcBorders>
                  <w:vAlign w:val="center"/>
                </w:tcPr>
                <w:p w14:paraId="09B97F9D">
                  <w:pPr>
                    <w:pStyle w:val="94"/>
                    <w:pageBreakBefore w:val="0"/>
                    <w:kinsoku/>
                    <w:wordWrap/>
                    <w:bidi w:val="0"/>
                    <w:adjustRightInd/>
                    <w:snapToGrid/>
                    <w:jc w:val="center"/>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合计</w:t>
                  </w:r>
                </w:p>
              </w:tc>
              <w:tc>
                <w:tcPr>
                  <w:tcW w:w="432" w:type="pct"/>
                  <w:tcBorders>
                    <w:tl2br w:val="nil"/>
                    <w:tr2bl w:val="nil"/>
                  </w:tcBorders>
                  <w:shd w:val="clear" w:color="auto" w:fill="auto"/>
                  <w:vAlign w:val="center"/>
                </w:tcPr>
                <w:p w14:paraId="71FB994C">
                  <w:pPr>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val="en-US" w:eastAsia="zh-CN" w:bidi="ar-SA"/>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shd w:val="clear" w:color="auto" w:fill="auto"/>
                  <w:vAlign w:val="center"/>
                </w:tcPr>
                <w:p w14:paraId="3187731C">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ascii="Times New Roman" w:hAnsi="Times New Roman" w:eastAsia="宋体" w:cs="Times New Roman"/>
                      <w:b w:val="0"/>
                      <w:bCs w:val="0"/>
                      <w:color w:val="auto"/>
                      <w:kern w:val="21"/>
                      <w:sz w:val="21"/>
                      <w:szCs w:val="21"/>
                      <w:lang w:val="en-US" w:eastAsia="zh-CN"/>
                    </w:rPr>
                    <w:t>146.37</w:t>
                  </w:r>
                </w:p>
              </w:tc>
              <w:tc>
                <w:tcPr>
                  <w:tcW w:w="376" w:type="pct"/>
                  <w:tcBorders>
                    <w:tl2br w:val="nil"/>
                    <w:tr2bl w:val="nil"/>
                  </w:tcBorders>
                  <w:shd w:val="clear" w:color="auto" w:fill="auto"/>
                  <w:vAlign w:val="center"/>
                </w:tcPr>
                <w:p w14:paraId="1D13CBBB">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ascii="Times New Roman" w:hAnsi="Times New Roman" w:eastAsia="宋体" w:cs="Times New Roman"/>
                      <w:b w:val="0"/>
                      <w:bCs w:val="0"/>
                      <w:color w:val="auto"/>
                      <w:kern w:val="21"/>
                      <w:sz w:val="21"/>
                      <w:szCs w:val="21"/>
                      <w:lang w:val="en-US" w:eastAsia="zh-CN"/>
                    </w:rPr>
                    <w:t>72.91</w:t>
                  </w:r>
                </w:p>
              </w:tc>
              <w:tc>
                <w:tcPr>
                  <w:tcW w:w="1821" w:type="pct"/>
                  <w:tcBorders>
                    <w:tl2br w:val="nil"/>
                    <w:tr2bl w:val="nil"/>
                  </w:tcBorders>
                  <w:shd w:val="clear" w:color="auto" w:fill="auto"/>
                  <w:vAlign w:val="center"/>
                </w:tcPr>
                <w:p w14:paraId="764CE145">
                  <w:pPr>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val="en-US" w:eastAsia="zh-CN"/>
                    </w:rPr>
                  </w:pPr>
                </w:p>
              </w:tc>
              <w:tc>
                <w:tcPr>
                  <w:tcW w:w="369" w:type="pct"/>
                  <w:tcBorders>
                    <w:tl2br w:val="nil"/>
                    <w:tr2bl w:val="nil"/>
                  </w:tcBorders>
                  <w:shd w:val="clear" w:color="auto" w:fill="auto"/>
                  <w:vAlign w:val="center"/>
                </w:tcPr>
                <w:p w14:paraId="46EE1504">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ascii="Times New Roman" w:hAnsi="Times New Roman" w:eastAsia="宋体" w:cs="Times New Roman"/>
                      <w:b w:val="0"/>
                      <w:bCs w:val="0"/>
                      <w:color w:val="auto"/>
                      <w:kern w:val="21"/>
                      <w:sz w:val="21"/>
                      <w:szCs w:val="21"/>
                      <w:lang w:val="en-US" w:eastAsia="zh-CN"/>
                    </w:rPr>
                    <w:t>16.13</w:t>
                  </w:r>
                </w:p>
              </w:tc>
              <w:tc>
                <w:tcPr>
                  <w:tcW w:w="354" w:type="pct"/>
                  <w:tcBorders>
                    <w:tl2br w:val="nil"/>
                    <w:tr2bl w:val="nil"/>
                  </w:tcBorders>
                  <w:shd w:val="clear" w:color="auto" w:fill="auto"/>
                  <w:vAlign w:val="center"/>
                </w:tcPr>
                <w:p w14:paraId="65D16A01">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ascii="Times New Roman" w:hAnsi="Times New Roman" w:eastAsia="宋体" w:cs="Times New Roman"/>
                      <w:b w:val="0"/>
                      <w:bCs w:val="0"/>
                      <w:color w:val="auto"/>
                      <w:kern w:val="21"/>
                      <w:sz w:val="21"/>
                      <w:szCs w:val="21"/>
                      <w:lang w:val="en-US" w:eastAsia="zh-CN"/>
                    </w:rPr>
                    <w:t>3.89</w:t>
                  </w:r>
                </w:p>
              </w:tc>
              <w:tc>
                <w:tcPr>
                  <w:tcW w:w="427" w:type="pct"/>
                  <w:tcBorders>
                    <w:tl2br w:val="nil"/>
                    <w:tr2bl w:val="nil"/>
                  </w:tcBorders>
                  <w:shd w:val="clear" w:color="auto" w:fill="auto"/>
                  <w:vAlign w:val="center"/>
                </w:tcPr>
                <w:p w14:paraId="51FFB63D">
                  <w:pPr>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val="en-US" w:eastAsia="zh-CN" w:bidi="ar-SA"/>
                    </w:rPr>
                  </w:pPr>
                  <w:r>
                    <w:rPr>
                      <w:rFonts w:hint="eastAsia" w:ascii="Times New Roman" w:hAnsi="Times New Roman" w:eastAsia="宋体"/>
                      <w:b w:val="0"/>
                      <w:bCs w:val="0"/>
                      <w:color w:val="auto"/>
                      <w:kern w:val="21"/>
                      <w:sz w:val="21"/>
                      <w:szCs w:val="21"/>
                    </w:rPr>
                    <w:t>无组织</w:t>
                  </w:r>
                </w:p>
              </w:tc>
            </w:tr>
          </w:tbl>
          <w:p w14:paraId="3270064F">
            <w:pPr>
              <w:pStyle w:val="16"/>
              <w:snapToGrid/>
              <w:spacing w:before="0" w:after="0" w:line="240" w:lineRule="auto"/>
              <w:ind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表</w:t>
            </w:r>
            <w:r>
              <w:rPr>
                <w:rFonts w:hint="eastAsia" w:ascii="Times New Roman" w:hAnsi="Times New Roman" w:eastAsia="宋体" w:cs="Times New Roman"/>
                <w:b/>
                <w:bCs/>
                <w:color w:val="auto"/>
                <w:sz w:val="21"/>
                <w:szCs w:val="21"/>
                <w:lang w:eastAsia="zh-CN"/>
              </w:rPr>
              <w:t>4</w:t>
            </w:r>
            <w:r>
              <w:rPr>
                <w:rFonts w:hint="default"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lang w:eastAsia="zh-CN"/>
              </w:rPr>
              <w:t xml:space="preserve"> </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lang w:eastAsia="zh-CN"/>
              </w:rPr>
              <w:t xml:space="preserve"> </w:t>
            </w:r>
            <w:r>
              <w:rPr>
                <w:rFonts w:hint="default" w:ascii="Times New Roman" w:hAnsi="Times New Roman" w:eastAsia="宋体" w:cs="Times New Roman"/>
                <w:b/>
                <w:bCs/>
                <w:color w:val="auto"/>
                <w:sz w:val="21"/>
                <w:szCs w:val="21"/>
                <w:lang w:eastAsia="zh-CN"/>
              </w:rPr>
              <w:t>本工程</w:t>
            </w:r>
            <w:r>
              <w:rPr>
                <w:rFonts w:hint="eastAsia" w:ascii="Times New Roman" w:hAnsi="Times New Roman" w:eastAsia="宋体" w:cs="Times New Roman"/>
                <w:b/>
                <w:bCs/>
                <w:color w:val="auto"/>
                <w:sz w:val="21"/>
                <w:szCs w:val="21"/>
                <w:lang w:val="en-US" w:eastAsia="zh-CN"/>
              </w:rPr>
              <w:t>2号矿区</w:t>
            </w:r>
            <w:r>
              <w:rPr>
                <w:rFonts w:hint="default" w:ascii="Times New Roman" w:hAnsi="Times New Roman" w:eastAsia="宋体" w:cs="Times New Roman"/>
                <w:b/>
                <w:bCs/>
                <w:color w:val="auto"/>
                <w:sz w:val="21"/>
                <w:szCs w:val="21"/>
                <w:lang w:eastAsia="zh-CN"/>
              </w:rPr>
              <w:t>粉尘排放统计表</w:t>
            </w:r>
          </w:p>
          <w:tbl>
            <w:tblPr>
              <w:tblStyle w:val="95"/>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426"/>
              <w:gridCol w:w="949"/>
              <w:gridCol w:w="707"/>
              <w:gridCol w:w="615"/>
              <w:gridCol w:w="615"/>
              <w:gridCol w:w="2978"/>
              <w:gridCol w:w="604"/>
              <w:gridCol w:w="579"/>
              <w:gridCol w:w="698"/>
            </w:tblGrid>
            <w:tr w14:paraId="6BD330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0" w:type="pct"/>
                  <w:vMerge w:val="restart"/>
                  <w:tcBorders>
                    <w:tl2br w:val="nil"/>
                    <w:tr2bl w:val="nil"/>
                  </w:tcBorders>
                  <w:vAlign w:val="center"/>
                </w:tcPr>
                <w:p w14:paraId="4EC9ACF9">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污染</w:t>
                  </w:r>
                </w:p>
                <w:p w14:paraId="777A6C33">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eastAsia="zh-CN"/>
                    </w:rPr>
                  </w:pPr>
                  <w:r>
                    <w:rPr>
                      <w:rFonts w:hint="eastAsia" w:ascii="Times New Roman" w:hAnsi="Times New Roman" w:eastAsia="宋体"/>
                      <w:b w:val="0"/>
                      <w:bCs w:val="0"/>
                      <w:color w:val="auto"/>
                      <w:kern w:val="21"/>
                      <w:sz w:val="21"/>
                      <w:szCs w:val="21"/>
                      <w:lang w:val="en-US" w:eastAsia="zh-CN"/>
                    </w:rPr>
                    <w:t>源</w:t>
                  </w:r>
                </w:p>
              </w:tc>
              <w:tc>
                <w:tcPr>
                  <w:tcW w:w="580" w:type="pct"/>
                  <w:vMerge w:val="restart"/>
                  <w:tcBorders>
                    <w:tl2br w:val="nil"/>
                    <w:tr2bl w:val="nil"/>
                  </w:tcBorders>
                  <w:vAlign w:val="center"/>
                </w:tcPr>
                <w:p w14:paraId="349E7752">
                  <w:pPr>
                    <w:pStyle w:val="94"/>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eastAsia="zh-CN"/>
                    </w:rPr>
                  </w:pPr>
                  <w:r>
                    <w:rPr>
                      <w:rFonts w:hint="eastAsia" w:ascii="Times New Roman" w:hAnsi="Times New Roman" w:eastAsia="宋体" w:cs="Times New Roman"/>
                      <w:b w:val="0"/>
                      <w:bCs w:val="0"/>
                      <w:color w:val="auto"/>
                      <w:kern w:val="21"/>
                      <w:sz w:val="21"/>
                      <w:szCs w:val="21"/>
                      <w:lang w:eastAsia="zh-CN"/>
                    </w:rPr>
                    <w:t>产污</w:t>
                  </w:r>
                </w:p>
                <w:p w14:paraId="038BBFA7">
                  <w:pPr>
                    <w:pStyle w:val="94"/>
                    <w:pageBreakBefore w:val="0"/>
                    <w:kinsoku/>
                    <w:wordWrap/>
                    <w:bidi w:val="0"/>
                    <w:adjustRightInd/>
                    <w:snapToGrid/>
                    <w:jc w:val="center"/>
                    <w:outlineLvl w:val="9"/>
                    <w:rPr>
                      <w:rFonts w:ascii="Times New Roman" w:hAnsi="Times New Roman" w:eastAsia="宋体" w:cs="Times New Roman"/>
                      <w:b w:val="0"/>
                      <w:bCs w:val="0"/>
                      <w:color w:val="auto"/>
                      <w:kern w:val="21"/>
                      <w:sz w:val="21"/>
                      <w:szCs w:val="21"/>
                      <w:lang w:eastAsia="zh-CN"/>
                    </w:rPr>
                  </w:pPr>
                  <w:r>
                    <w:rPr>
                      <w:rFonts w:hint="eastAsia" w:ascii="Times New Roman" w:hAnsi="Times New Roman" w:eastAsia="宋体" w:cs="Times New Roman"/>
                      <w:b w:val="0"/>
                      <w:bCs w:val="0"/>
                      <w:color w:val="auto"/>
                      <w:kern w:val="21"/>
                      <w:sz w:val="21"/>
                      <w:szCs w:val="21"/>
                      <w:lang w:eastAsia="zh-CN"/>
                    </w:rPr>
                    <w:t>节点</w:t>
                  </w:r>
                </w:p>
              </w:tc>
              <w:tc>
                <w:tcPr>
                  <w:tcW w:w="432" w:type="pct"/>
                  <w:vMerge w:val="restart"/>
                  <w:tcBorders>
                    <w:tl2br w:val="nil"/>
                    <w:tr2bl w:val="nil"/>
                  </w:tcBorders>
                  <w:vAlign w:val="center"/>
                </w:tcPr>
                <w:p w14:paraId="17F08B5B">
                  <w:pPr>
                    <w:pageBreakBefore w:val="0"/>
                    <w:kinsoku/>
                    <w:wordWrap/>
                    <w:bidi w:val="0"/>
                    <w:adjustRightInd/>
                    <w:snapToGrid/>
                    <w:jc w:val="center"/>
                    <w:outlineLvl w:val="9"/>
                    <w:rPr>
                      <w:rFonts w:ascii="Times New Roman" w:hAnsi="Times New Roman" w:eastAsia="宋体"/>
                      <w:b w:val="0"/>
                      <w:bCs w:val="0"/>
                      <w:color w:val="auto"/>
                      <w:kern w:val="21"/>
                      <w:sz w:val="21"/>
                      <w:szCs w:val="21"/>
                      <w:highlight w:val="none"/>
                    </w:rPr>
                  </w:pPr>
                  <w:r>
                    <w:rPr>
                      <w:rFonts w:hint="eastAsia" w:ascii="Times New Roman" w:hAnsi="Times New Roman" w:eastAsia="宋体"/>
                      <w:b w:val="0"/>
                      <w:bCs w:val="0"/>
                      <w:color w:val="auto"/>
                      <w:kern w:val="21"/>
                      <w:sz w:val="21"/>
                      <w:szCs w:val="21"/>
                      <w:highlight w:val="none"/>
                    </w:rPr>
                    <w:t>污染物</w:t>
                  </w:r>
                </w:p>
              </w:tc>
              <w:tc>
                <w:tcPr>
                  <w:tcW w:w="752" w:type="pct"/>
                  <w:gridSpan w:val="2"/>
                  <w:tcBorders>
                    <w:tl2br w:val="nil"/>
                    <w:tr2bl w:val="nil"/>
                  </w:tcBorders>
                  <w:vAlign w:val="center"/>
                </w:tcPr>
                <w:p w14:paraId="1EF388D6">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lang w:val="en-US" w:eastAsia="zh-CN"/>
                    </w:rPr>
                    <w:t>产生情况</w:t>
                  </w:r>
                </w:p>
              </w:tc>
              <w:tc>
                <w:tcPr>
                  <w:tcW w:w="1822" w:type="pct"/>
                  <w:vMerge w:val="restart"/>
                  <w:tcBorders>
                    <w:tl2br w:val="nil"/>
                    <w:tr2bl w:val="nil"/>
                  </w:tcBorders>
                  <w:vAlign w:val="center"/>
                </w:tcPr>
                <w:p w14:paraId="09C8E426">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rPr>
                    <w:t>措施</w:t>
                  </w:r>
                  <w:r>
                    <w:rPr>
                      <w:rFonts w:hint="eastAsia" w:ascii="Times New Roman" w:hAnsi="Times New Roman" w:eastAsia="宋体"/>
                      <w:b w:val="0"/>
                      <w:bCs w:val="0"/>
                      <w:color w:val="auto"/>
                      <w:kern w:val="21"/>
                      <w:sz w:val="21"/>
                      <w:szCs w:val="21"/>
                      <w:highlight w:val="none"/>
                      <w:lang w:val="en-US" w:eastAsia="zh-CN"/>
                    </w:rPr>
                    <w:t>及效率</w:t>
                  </w:r>
                </w:p>
              </w:tc>
              <w:tc>
                <w:tcPr>
                  <w:tcW w:w="723" w:type="pct"/>
                  <w:gridSpan w:val="2"/>
                  <w:tcBorders>
                    <w:tl2br w:val="nil"/>
                    <w:tr2bl w:val="nil"/>
                  </w:tcBorders>
                  <w:vAlign w:val="center"/>
                </w:tcPr>
                <w:p w14:paraId="0F7AEDE6">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rPr>
                    <w:t>排放</w:t>
                  </w:r>
                  <w:r>
                    <w:rPr>
                      <w:rFonts w:hint="eastAsia" w:ascii="Times New Roman" w:hAnsi="Times New Roman" w:eastAsia="宋体"/>
                      <w:b w:val="0"/>
                      <w:bCs w:val="0"/>
                      <w:color w:val="auto"/>
                      <w:kern w:val="21"/>
                      <w:sz w:val="21"/>
                      <w:szCs w:val="21"/>
                      <w:highlight w:val="none"/>
                      <w:lang w:val="en-US" w:eastAsia="zh-CN"/>
                    </w:rPr>
                    <w:t>情况</w:t>
                  </w:r>
                </w:p>
              </w:tc>
              <w:tc>
                <w:tcPr>
                  <w:tcW w:w="427" w:type="pct"/>
                  <w:vMerge w:val="restart"/>
                  <w:tcBorders>
                    <w:tl2br w:val="nil"/>
                    <w:tr2bl w:val="nil"/>
                  </w:tcBorders>
                  <w:vAlign w:val="center"/>
                </w:tcPr>
                <w:p w14:paraId="50765359">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排放</w:t>
                  </w:r>
                </w:p>
                <w:p w14:paraId="45C8FDA4">
                  <w:pPr>
                    <w:pageBreakBefore w:val="0"/>
                    <w:kinsoku/>
                    <w:wordWrap/>
                    <w:bidi w:val="0"/>
                    <w:adjustRightInd/>
                    <w:snapToGrid/>
                    <w:jc w:val="center"/>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方式</w:t>
                  </w:r>
                </w:p>
              </w:tc>
            </w:tr>
            <w:tr w14:paraId="05098A0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0" w:type="pct"/>
                  <w:vMerge w:val="continue"/>
                  <w:tcBorders>
                    <w:tl2br w:val="nil"/>
                    <w:tr2bl w:val="nil"/>
                  </w:tcBorders>
                  <w:vAlign w:val="center"/>
                </w:tcPr>
                <w:p w14:paraId="4B49B36A">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p>
              </w:tc>
              <w:tc>
                <w:tcPr>
                  <w:tcW w:w="580" w:type="pct"/>
                  <w:vMerge w:val="continue"/>
                  <w:tcBorders>
                    <w:tl2br w:val="nil"/>
                    <w:tr2bl w:val="nil"/>
                  </w:tcBorders>
                  <w:vAlign w:val="center"/>
                </w:tcPr>
                <w:p w14:paraId="0109B810">
                  <w:pPr>
                    <w:pStyle w:val="94"/>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eastAsia="zh-CN"/>
                    </w:rPr>
                  </w:pPr>
                </w:p>
              </w:tc>
              <w:tc>
                <w:tcPr>
                  <w:tcW w:w="432" w:type="pct"/>
                  <w:vMerge w:val="continue"/>
                  <w:tcBorders>
                    <w:tl2br w:val="nil"/>
                    <w:tr2bl w:val="nil"/>
                  </w:tcBorders>
                  <w:vAlign w:val="center"/>
                </w:tcPr>
                <w:p w14:paraId="4653162E">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p>
              </w:tc>
              <w:tc>
                <w:tcPr>
                  <w:tcW w:w="376" w:type="pct"/>
                  <w:tcBorders>
                    <w:tl2br w:val="nil"/>
                    <w:tr2bl w:val="nil"/>
                  </w:tcBorders>
                  <w:vAlign w:val="center"/>
                </w:tcPr>
                <w:p w14:paraId="35D9A985">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lang w:val="en-US" w:eastAsia="zh-CN"/>
                    </w:rPr>
                  </w:pPr>
                  <w:r>
                    <w:rPr>
                      <w:rFonts w:ascii="Times New Roman" w:hAnsi="Times New Roman" w:eastAsia="宋体"/>
                      <w:b w:val="0"/>
                      <w:bCs w:val="0"/>
                      <w:color w:val="auto"/>
                      <w:sz w:val="21"/>
                      <w:szCs w:val="21"/>
                      <w:highlight w:val="none"/>
                    </w:rPr>
                    <w:t>t</w:t>
                  </w:r>
                  <w:r>
                    <w:rPr>
                      <w:rFonts w:hint="eastAsia" w:ascii="Times New Roman" w:hAnsi="Times New Roman" w:eastAsia="宋体"/>
                      <w:b w:val="0"/>
                      <w:bCs w:val="0"/>
                      <w:color w:val="auto"/>
                      <w:sz w:val="21"/>
                      <w:szCs w:val="21"/>
                      <w:highlight w:val="none"/>
                    </w:rPr>
                    <w:t>/</w:t>
                  </w:r>
                  <w:r>
                    <w:rPr>
                      <w:rFonts w:ascii="Times New Roman" w:hAnsi="Times New Roman" w:eastAsia="宋体"/>
                      <w:b w:val="0"/>
                      <w:bCs w:val="0"/>
                      <w:color w:val="auto"/>
                      <w:sz w:val="21"/>
                      <w:szCs w:val="21"/>
                      <w:highlight w:val="none"/>
                    </w:rPr>
                    <w:t>a</w:t>
                  </w:r>
                </w:p>
              </w:tc>
              <w:tc>
                <w:tcPr>
                  <w:tcW w:w="376" w:type="pct"/>
                  <w:tcBorders>
                    <w:tl2br w:val="nil"/>
                    <w:tr2bl w:val="nil"/>
                  </w:tcBorders>
                  <w:vAlign w:val="center"/>
                </w:tcPr>
                <w:p w14:paraId="7934A04F">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lang w:val="en-US" w:eastAsia="zh-CN"/>
                    </w:rPr>
                    <w:t>kg/h</w:t>
                  </w:r>
                </w:p>
              </w:tc>
              <w:tc>
                <w:tcPr>
                  <w:tcW w:w="1822" w:type="pct"/>
                  <w:vMerge w:val="continue"/>
                  <w:tcBorders>
                    <w:tl2br w:val="nil"/>
                    <w:tr2bl w:val="nil"/>
                  </w:tcBorders>
                  <w:vAlign w:val="center"/>
                </w:tcPr>
                <w:p w14:paraId="351E48F3">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p>
              </w:tc>
              <w:tc>
                <w:tcPr>
                  <w:tcW w:w="369" w:type="pct"/>
                  <w:tcBorders>
                    <w:tl2br w:val="nil"/>
                    <w:tr2bl w:val="nil"/>
                  </w:tcBorders>
                  <w:vAlign w:val="center"/>
                </w:tcPr>
                <w:p w14:paraId="1211A568">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r>
                    <w:rPr>
                      <w:rFonts w:ascii="Times New Roman" w:hAnsi="Times New Roman" w:eastAsia="宋体"/>
                      <w:b w:val="0"/>
                      <w:bCs w:val="0"/>
                      <w:color w:val="auto"/>
                      <w:sz w:val="21"/>
                      <w:szCs w:val="21"/>
                      <w:highlight w:val="none"/>
                    </w:rPr>
                    <w:t>t</w:t>
                  </w:r>
                  <w:r>
                    <w:rPr>
                      <w:rFonts w:hint="eastAsia" w:ascii="Times New Roman" w:hAnsi="Times New Roman" w:eastAsia="宋体"/>
                      <w:b w:val="0"/>
                      <w:bCs w:val="0"/>
                      <w:color w:val="auto"/>
                      <w:sz w:val="21"/>
                      <w:szCs w:val="21"/>
                      <w:highlight w:val="none"/>
                    </w:rPr>
                    <w:t>/</w:t>
                  </w:r>
                  <w:r>
                    <w:rPr>
                      <w:rFonts w:ascii="Times New Roman" w:hAnsi="Times New Roman" w:eastAsia="宋体"/>
                      <w:b w:val="0"/>
                      <w:bCs w:val="0"/>
                      <w:color w:val="auto"/>
                      <w:sz w:val="21"/>
                      <w:szCs w:val="21"/>
                      <w:highlight w:val="none"/>
                    </w:rPr>
                    <w:t>a</w:t>
                  </w:r>
                </w:p>
              </w:tc>
              <w:tc>
                <w:tcPr>
                  <w:tcW w:w="354" w:type="pct"/>
                  <w:tcBorders>
                    <w:tl2br w:val="nil"/>
                    <w:tr2bl w:val="nil"/>
                  </w:tcBorders>
                  <w:vAlign w:val="center"/>
                </w:tcPr>
                <w:p w14:paraId="6C20FE77">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r>
                    <w:rPr>
                      <w:rFonts w:hint="eastAsia" w:ascii="Times New Roman" w:hAnsi="Times New Roman" w:eastAsia="宋体"/>
                      <w:b w:val="0"/>
                      <w:bCs w:val="0"/>
                      <w:color w:val="auto"/>
                      <w:kern w:val="21"/>
                      <w:sz w:val="21"/>
                      <w:szCs w:val="21"/>
                      <w:highlight w:val="none"/>
                      <w:lang w:val="en-US" w:eastAsia="zh-CN"/>
                    </w:rPr>
                    <w:t>kg/h</w:t>
                  </w:r>
                </w:p>
              </w:tc>
              <w:tc>
                <w:tcPr>
                  <w:tcW w:w="427" w:type="pct"/>
                  <w:vMerge w:val="continue"/>
                  <w:tcBorders>
                    <w:tl2br w:val="nil"/>
                    <w:tr2bl w:val="nil"/>
                  </w:tcBorders>
                  <w:vAlign w:val="center"/>
                </w:tcPr>
                <w:p w14:paraId="365C8D33">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r>
            <w:tr w14:paraId="7808B35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0" w:type="pct"/>
                  <w:vMerge w:val="restart"/>
                  <w:tcBorders>
                    <w:tl2br w:val="nil"/>
                    <w:tr2bl w:val="nil"/>
                  </w:tcBorders>
                  <w:vAlign w:val="center"/>
                </w:tcPr>
                <w:p w14:paraId="7D38C5C3">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露天</w:t>
                  </w:r>
                </w:p>
                <w:p w14:paraId="6A22858B">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采场</w:t>
                  </w:r>
                </w:p>
              </w:tc>
              <w:tc>
                <w:tcPr>
                  <w:tcW w:w="580" w:type="pct"/>
                  <w:tcBorders>
                    <w:tl2br w:val="nil"/>
                    <w:tr2bl w:val="nil"/>
                  </w:tcBorders>
                  <w:vAlign w:val="center"/>
                </w:tcPr>
                <w:p w14:paraId="551EEF8C">
                  <w:pPr>
                    <w:pStyle w:val="94"/>
                    <w:pageBreakBefore w:val="0"/>
                    <w:kinsoku/>
                    <w:wordWrap/>
                    <w:bidi w:val="0"/>
                    <w:adjustRightInd/>
                    <w:snapToGrid/>
                    <w:jc w:val="center"/>
                    <w:outlineLvl w:val="9"/>
                    <w:rPr>
                      <w:rFonts w:ascii="Times New Roman" w:hAnsi="Times New Roman" w:eastAsia="宋体" w:cs="Times New Roman"/>
                      <w:b w:val="0"/>
                      <w:bCs w:val="0"/>
                      <w:color w:val="auto"/>
                      <w:kern w:val="21"/>
                      <w:sz w:val="21"/>
                      <w:szCs w:val="21"/>
                      <w:lang w:eastAsia="zh-CN"/>
                    </w:rPr>
                  </w:pPr>
                  <w:r>
                    <w:rPr>
                      <w:rFonts w:hint="eastAsia" w:ascii="Times New Roman" w:hAnsi="Times New Roman" w:eastAsia="宋体" w:cs="Times New Roman"/>
                      <w:b w:val="0"/>
                      <w:bCs w:val="0"/>
                      <w:color w:val="auto"/>
                      <w:sz w:val="21"/>
                      <w:szCs w:val="21"/>
                      <w:lang w:eastAsia="zh-CN"/>
                    </w:rPr>
                    <w:t>开采</w:t>
                  </w:r>
                </w:p>
              </w:tc>
              <w:tc>
                <w:tcPr>
                  <w:tcW w:w="432" w:type="pct"/>
                  <w:tcBorders>
                    <w:tl2br w:val="nil"/>
                    <w:tr2bl w:val="nil"/>
                  </w:tcBorders>
                  <w:vAlign w:val="center"/>
                </w:tcPr>
                <w:p w14:paraId="75ADF43D">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eastAsia="zh-CN"/>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vAlign w:val="center"/>
                </w:tcPr>
                <w:p w14:paraId="21B409F9">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9.35</w:t>
                  </w:r>
                </w:p>
              </w:tc>
              <w:tc>
                <w:tcPr>
                  <w:tcW w:w="376" w:type="pct"/>
                  <w:tcBorders>
                    <w:tl2br w:val="nil"/>
                    <w:tr2bl w:val="nil"/>
                  </w:tcBorders>
                  <w:vAlign w:val="center"/>
                </w:tcPr>
                <w:p w14:paraId="53C3EFBA">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4.67</w:t>
                  </w:r>
                </w:p>
              </w:tc>
              <w:tc>
                <w:tcPr>
                  <w:tcW w:w="1822" w:type="pct"/>
                  <w:tcBorders>
                    <w:tl2br w:val="nil"/>
                    <w:tr2bl w:val="nil"/>
                  </w:tcBorders>
                  <w:vAlign w:val="center"/>
                </w:tcPr>
                <w:p w14:paraId="59D49D55">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val="0"/>
                      <w:bCs w:val="0"/>
                      <w:color w:val="auto"/>
                      <w:kern w:val="21"/>
                      <w:sz w:val="21"/>
                      <w:szCs w:val="21"/>
                    </w:rPr>
                  </w:pPr>
                  <w:r>
                    <w:rPr>
                      <w:rFonts w:hint="eastAsia" w:ascii="Times New Roman" w:hAnsi="Times New Roman" w:eastAsia="宋体" w:cs="Times New Roman"/>
                      <w:b w:val="0"/>
                      <w:bCs w:val="0"/>
                      <w:color w:val="auto"/>
                      <w:sz w:val="21"/>
                      <w:szCs w:val="21"/>
                      <w:highlight w:val="none"/>
                      <w:lang w:val="en-US" w:eastAsia="zh-CN"/>
                    </w:rPr>
                    <w:t>开采前对开采作业面洒水增湿，开采过程中雾炮机水雾增湿降尘</w:t>
                  </w:r>
                  <w:r>
                    <w:rPr>
                      <w:rFonts w:hint="default" w:ascii="Times New Roman" w:hAnsi="Times New Roman" w:eastAsia="宋体" w:cs="Times New Roman"/>
                      <w:b w:val="0"/>
                      <w:bCs w:val="0"/>
                      <w:color w:val="auto"/>
                      <w:sz w:val="21"/>
                      <w:szCs w:val="21"/>
                      <w:highlight w:val="none"/>
                      <w:lang w:val="en-US" w:eastAsia="zh-CN"/>
                    </w:rPr>
                    <w:t>（除尘效率74%）</w:t>
                  </w:r>
                </w:p>
              </w:tc>
              <w:tc>
                <w:tcPr>
                  <w:tcW w:w="369" w:type="pct"/>
                  <w:tcBorders>
                    <w:tl2br w:val="nil"/>
                    <w:tr2bl w:val="nil"/>
                  </w:tcBorders>
                  <w:vAlign w:val="center"/>
                </w:tcPr>
                <w:p w14:paraId="0FB742D4">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2.43</w:t>
                  </w:r>
                </w:p>
              </w:tc>
              <w:tc>
                <w:tcPr>
                  <w:tcW w:w="354" w:type="pct"/>
                  <w:tcBorders>
                    <w:tl2br w:val="nil"/>
                    <w:tr2bl w:val="nil"/>
                  </w:tcBorders>
                  <w:vAlign w:val="center"/>
                </w:tcPr>
                <w:p w14:paraId="62EF61BF">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1.22</w:t>
                  </w:r>
                </w:p>
              </w:tc>
              <w:tc>
                <w:tcPr>
                  <w:tcW w:w="427" w:type="pct"/>
                  <w:tcBorders>
                    <w:tl2br w:val="nil"/>
                    <w:tr2bl w:val="nil"/>
                  </w:tcBorders>
                  <w:vAlign w:val="center"/>
                </w:tcPr>
                <w:p w14:paraId="31BD12CC">
                  <w:pPr>
                    <w:pageBreakBefore w:val="0"/>
                    <w:kinsoku/>
                    <w:wordWrap/>
                    <w:bidi w:val="0"/>
                    <w:adjustRightInd/>
                    <w:snapToGrid/>
                    <w:jc w:val="center"/>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无组织</w:t>
                  </w:r>
                </w:p>
              </w:tc>
            </w:tr>
            <w:tr w14:paraId="2710ABD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0" w:type="pct"/>
                  <w:vMerge w:val="continue"/>
                  <w:tcBorders>
                    <w:tl2br w:val="nil"/>
                    <w:tr2bl w:val="nil"/>
                  </w:tcBorders>
                  <w:vAlign w:val="center"/>
                </w:tcPr>
                <w:p w14:paraId="682726E6">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c>
                <w:tcPr>
                  <w:tcW w:w="580" w:type="pct"/>
                  <w:tcBorders>
                    <w:tl2br w:val="nil"/>
                    <w:tr2bl w:val="nil"/>
                  </w:tcBorders>
                  <w:vAlign w:val="center"/>
                </w:tcPr>
                <w:p w14:paraId="33403919">
                  <w:pPr>
                    <w:pStyle w:val="94"/>
                    <w:pageBreakBefore w:val="0"/>
                    <w:kinsoku/>
                    <w:wordWrap/>
                    <w:bidi w:val="0"/>
                    <w:adjustRightInd/>
                    <w:snapToGrid/>
                    <w:jc w:val="center"/>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运输</w:t>
                  </w:r>
                </w:p>
              </w:tc>
              <w:tc>
                <w:tcPr>
                  <w:tcW w:w="432" w:type="pct"/>
                  <w:tcBorders>
                    <w:tl2br w:val="nil"/>
                    <w:tr2bl w:val="nil"/>
                  </w:tcBorders>
                  <w:vAlign w:val="center"/>
                </w:tcPr>
                <w:p w14:paraId="29A34F7F">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vAlign w:val="center"/>
                </w:tcPr>
                <w:p w14:paraId="6DBD0BB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9.18</w:t>
                  </w:r>
                </w:p>
              </w:tc>
              <w:tc>
                <w:tcPr>
                  <w:tcW w:w="376" w:type="pct"/>
                  <w:tcBorders>
                    <w:tl2br w:val="nil"/>
                    <w:tr2bl w:val="nil"/>
                  </w:tcBorders>
                  <w:vAlign w:val="center"/>
                </w:tcPr>
                <w:p w14:paraId="3F3B3297">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4.59</w:t>
                  </w:r>
                </w:p>
              </w:tc>
              <w:tc>
                <w:tcPr>
                  <w:tcW w:w="1822" w:type="pct"/>
                  <w:tcBorders>
                    <w:tl2br w:val="nil"/>
                    <w:tr2bl w:val="nil"/>
                  </w:tcBorders>
                  <w:vAlign w:val="center"/>
                </w:tcPr>
                <w:p w14:paraId="4D5C6586">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车辆进行清洗，降低扬尘产生；运输车辆加盖篷布，严禁超速、超载等措施</w:t>
                  </w:r>
                  <w:r>
                    <w:rPr>
                      <w:rFonts w:hint="eastAsia"/>
                      <w:b w:val="0"/>
                      <w:bCs w:val="0"/>
                      <w:color w:val="auto"/>
                      <w:kern w:val="21"/>
                      <w:sz w:val="21"/>
                      <w:szCs w:val="21"/>
                      <w:lang w:eastAsia="zh-CN"/>
                    </w:rPr>
                    <w:t>（</w:t>
                  </w:r>
                  <w:r>
                    <w:rPr>
                      <w:rFonts w:hint="eastAsia"/>
                      <w:b w:val="0"/>
                      <w:bCs w:val="0"/>
                      <w:color w:val="auto"/>
                      <w:kern w:val="21"/>
                      <w:sz w:val="21"/>
                      <w:szCs w:val="21"/>
                      <w:lang w:val="en-US" w:eastAsia="zh-CN"/>
                    </w:rPr>
                    <w:t>除尘效率</w:t>
                  </w:r>
                  <w:r>
                    <w:rPr>
                      <w:rFonts w:hint="eastAsia" w:ascii="Times New Roman" w:hAnsi="Times New Roman" w:eastAsia="宋体"/>
                      <w:b w:val="0"/>
                      <w:bCs w:val="0"/>
                      <w:color w:val="auto"/>
                      <w:kern w:val="21"/>
                      <w:sz w:val="21"/>
                      <w:szCs w:val="21"/>
                    </w:rPr>
                    <w:t>90%</w:t>
                  </w:r>
                  <w:r>
                    <w:rPr>
                      <w:rFonts w:hint="eastAsia"/>
                      <w:b w:val="0"/>
                      <w:bCs w:val="0"/>
                      <w:color w:val="auto"/>
                      <w:kern w:val="21"/>
                      <w:sz w:val="21"/>
                      <w:szCs w:val="21"/>
                      <w:lang w:eastAsia="zh-CN"/>
                    </w:rPr>
                    <w:t>）</w:t>
                  </w:r>
                </w:p>
              </w:tc>
              <w:tc>
                <w:tcPr>
                  <w:tcW w:w="369" w:type="pct"/>
                  <w:tcBorders>
                    <w:tl2br w:val="nil"/>
                    <w:tr2bl w:val="nil"/>
                  </w:tcBorders>
                  <w:vAlign w:val="center"/>
                </w:tcPr>
                <w:p w14:paraId="5E96F6A1">
                  <w:pPr>
                    <w:pageBreakBefore w:val="0"/>
                    <w:kinsoku/>
                    <w:wordWrap/>
                    <w:bidi w:val="0"/>
                    <w:adjustRightInd/>
                    <w:snapToGrid/>
                    <w:jc w:val="center"/>
                    <w:outlineLvl w:val="9"/>
                    <w:rPr>
                      <w:rFonts w:hint="default"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0.92</w:t>
                  </w:r>
                </w:p>
              </w:tc>
              <w:tc>
                <w:tcPr>
                  <w:tcW w:w="354" w:type="pct"/>
                  <w:tcBorders>
                    <w:tl2br w:val="nil"/>
                    <w:tr2bl w:val="nil"/>
                  </w:tcBorders>
                  <w:vAlign w:val="center"/>
                </w:tcPr>
                <w:p w14:paraId="72C563D0">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0.46</w:t>
                  </w:r>
                </w:p>
              </w:tc>
              <w:tc>
                <w:tcPr>
                  <w:tcW w:w="427" w:type="pct"/>
                  <w:tcBorders>
                    <w:tl2br w:val="nil"/>
                    <w:tr2bl w:val="nil"/>
                  </w:tcBorders>
                  <w:vAlign w:val="center"/>
                </w:tcPr>
                <w:p w14:paraId="0361B6BA">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无组织</w:t>
                  </w:r>
                </w:p>
              </w:tc>
            </w:tr>
            <w:tr w14:paraId="17A23C9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0" w:type="pct"/>
                  <w:vMerge w:val="continue"/>
                  <w:tcBorders>
                    <w:tl2br w:val="nil"/>
                    <w:tr2bl w:val="nil"/>
                  </w:tcBorders>
                  <w:vAlign w:val="center"/>
                </w:tcPr>
                <w:p w14:paraId="3E6F98E8">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c>
                <w:tcPr>
                  <w:tcW w:w="580" w:type="pct"/>
                  <w:tcBorders>
                    <w:tl2br w:val="nil"/>
                    <w:tr2bl w:val="nil"/>
                  </w:tcBorders>
                  <w:vAlign w:val="center"/>
                </w:tcPr>
                <w:p w14:paraId="4750AE3B">
                  <w:pPr>
                    <w:pStyle w:val="94"/>
                    <w:pageBreakBefore w:val="0"/>
                    <w:kinsoku/>
                    <w:wordWrap/>
                    <w:bidi w:val="0"/>
                    <w:adjustRightInd/>
                    <w:snapToGrid/>
                    <w:jc w:val="center"/>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表土堆存</w:t>
                  </w:r>
                </w:p>
              </w:tc>
              <w:tc>
                <w:tcPr>
                  <w:tcW w:w="432" w:type="pct"/>
                  <w:tcBorders>
                    <w:tl2br w:val="nil"/>
                    <w:tr2bl w:val="nil"/>
                  </w:tcBorders>
                  <w:vAlign w:val="center"/>
                </w:tcPr>
                <w:p w14:paraId="25E19D08">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vAlign w:val="center"/>
                </w:tcPr>
                <w:p w14:paraId="19A309D7">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251.37</w:t>
                  </w:r>
                </w:p>
              </w:tc>
              <w:tc>
                <w:tcPr>
                  <w:tcW w:w="376" w:type="pct"/>
                  <w:tcBorders>
                    <w:tl2br w:val="nil"/>
                    <w:tr2bl w:val="nil"/>
                  </w:tcBorders>
                  <w:vAlign w:val="center"/>
                </w:tcPr>
                <w:p w14:paraId="6A7482D3">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125.69</w:t>
                  </w:r>
                </w:p>
              </w:tc>
              <w:tc>
                <w:tcPr>
                  <w:tcW w:w="1822" w:type="pct"/>
                  <w:tcBorders>
                    <w:tl2br w:val="nil"/>
                    <w:tr2bl w:val="nil"/>
                  </w:tcBorders>
                  <w:vAlign w:val="center"/>
                </w:tcPr>
                <w:p w14:paraId="404A44C2">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采取洒水降尘</w:t>
                  </w:r>
                  <w:r>
                    <w:rPr>
                      <w:rFonts w:hint="eastAsia" w:ascii="Times New Roman" w:hAnsi="Times New Roman" w:eastAsia="宋体"/>
                      <w:b w:val="0"/>
                      <w:bCs w:val="0"/>
                      <w:color w:val="auto"/>
                      <w:kern w:val="21"/>
                      <w:sz w:val="21"/>
                      <w:szCs w:val="21"/>
                      <w:lang w:eastAsia="zh-CN"/>
                    </w:rPr>
                    <w:t>、</w:t>
                  </w:r>
                  <w:r>
                    <w:rPr>
                      <w:rFonts w:hint="eastAsia" w:ascii="Times New Roman" w:hAnsi="Times New Roman" w:eastAsia="宋体"/>
                      <w:b w:val="0"/>
                      <w:bCs w:val="0"/>
                      <w:color w:val="auto"/>
                      <w:kern w:val="21"/>
                      <w:sz w:val="21"/>
                      <w:szCs w:val="21"/>
                      <w:lang w:val="en-US" w:eastAsia="zh-CN"/>
                    </w:rPr>
                    <w:t>围挡</w:t>
                  </w:r>
                  <w:r>
                    <w:rPr>
                      <w:rFonts w:hint="eastAsia" w:ascii="Times New Roman" w:hAnsi="Times New Roman" w:eastAsia="宋体"/>
                      <w:b w:val="0"/>
                      <w:bCs w:val="0"/>
                      <w:color w:val="auto"/>
                      <w:kern w:val="21"/>
                      <w:sz w:val="21"/>
                      <w:szCs w:val="21"/>
                    </w:rPr>
                    <w:t>的措施，粉尘控制效率取值</w:t>
                  </w:r>
                  <w:r>
                    <w:rPr>
                      <w:rFonts w:hint="eastAsia" w:ascii="Times New Roman" w:hAnsi="Times New Roman" w:eastAsia="宋体"/>
                      <w:b w:val="0"/>
                      <w:bCs w:val="0"/>
                      <w:color w:val="auto"/>
                      <w:kern w:val="21"/>
                      <w:sz w:val="21"/>
                      <w:szCs w:val="21"/>
                      <w:lang w:val="en-US" w:eastAsia="zh-CN"/>
                    </w:rPr>
                    <w:t>90</w:t>
                  </w:r>
                  <w:r>
                    <w:rPr>
                      <w:rFonts w:hint="eastAsia" w:ascii="Times New Roman" w:hAnsi="Times New Roman" w:eastAsia="宋体"/>
                      <w:b w:val="0"/>
                      <w:bCs w:val="0"/>
                      <w:color w:val="auto"/>
                      <w:kern w:val="21"/>
                      <w:sz w:val="21"/>
                      <w:szCs w:val="21"/>
                    </w:rPr>
                    <w:t>%</w:t>
                  </w:r>
                </w:p>
              </w:tc>
              <w:tc>
                <w:tcPr>
                  <w:tcW w:w="369" w:type="pct"/>
                  <w:tcBorders>
                    <w:tl2br w:val="nil"/>
                    <w:tr2bl w:val="nil"/>
                  </w:tcBorders>
                  <w:vAlign w:val="center"/>
                </w:tcPr>
                <w:p w14:paraId="6E66DB3A">
                  <w:pPr>
                    <w:pageBreakBefore w:val="0"/>
                    <w:kinsoku/>
                    <w:wordWrap/>
                    <w:bidi w:val="0"/>
                    <w:adjustRightInd/>
                    <w:snapToGrid/>
                    <w:jc w:val="center"/>
                    <w:outlineLvl w:val="9"/>
                    <w:rPr>
                      <w:rFonts w:hint="default"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25.14</w:t>
                  </w:r>
                </w:p>
              </w:tc>
              <w:tc>
                <w:tcPr>
                  <w:tcW w:w="354" w:type="pct"/>
                  <w:tcBorders>
                    <w:tl2br w:val="nil"/>
                    <w:tr2bl w:val="nil"/>
                  </w:tcBorders>
                  <w:vAlign w:val="center"/>
                </w:tcPr>
                <w:p w14:paraId="2468893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4.19</w:t>
                  </w:r>
                </w:p>
              </w:tc>
              <w:tc>
                <w:tcPr>
                  <w:tcW w:w="427" w:type="pct"/>
                  <w:tcBorders>
                    <w:tl2br w:val="nil"/>
                    <w:tr2bl w:val="nil"/>
                  </w:tcBorders>
                  <w:vAlign w:val="center"/>
                </w:tcPr>
                <w:p w14:paraId="64004687">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无组织</w:t>
                  </w:r>
                </w:p>
              </w:tc>
            </w:tr>
            <w:tr w14:paraId="6EBD913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0" w:type="pct"/>
                  <w:vMerge w:val="continue"/>
                  <w:tcBorders>
                    <w:tl2br w:val="nil"/>
                    <w:tr2bl w:val="nil"/>
                  </w:tcBorders>
                  <w:vAlign w:val="center"/>
                </w:tcPr>
                <w:p w14:paraId="33925E4E">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c>
                <w:tcPr>
                  <w:tcW w:w="580" w:type="pct"/>
                  <w:tcBorders>
                    <w:tl2br w:val="nil"/>
                    <w:tr2bl w:val="nil"/>
                  </w:tcBorders>
                  <w:vAlign w:val="center"/>
                </w:tcPr>
                <w:p w14:paraId="70178155">
                  <w:pPr>
                    <w:pStyle w:val="94"/>
                    <w:pageBreakBefore w:val="0"/>
                    <w:kinsoku/>
                    <w:wordWrap/>
                    <w:bidi w:val="0"/>
                    <w:adjustRightInd/>
                    <w:snapToGrid/>
                    <w:jc w:val="center"/>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合计</w:t>
                  </w:r>
                </w:p>
              </w:tc>
              <w:tc>
                <w:tcPr>
                  <w:tcW w:w="432" w:type="pct"/>
                  <w:tcBorders>
                    <w:tl2br w:val="nil"/>
                    <w:tr2bl w:val="nil"/>
                  </w:tcBorders>
                  <w:shd w:val="clear" w:color="auto" w:fill="auto"/>
                  <w:vAlign w:val="center"/>
                </w:tcPr>
                <w:p w14:paraId="6C386843">
                  <w:pPr>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val="en-US" w:eastAsia="zh-CN" w:bidi="ar-SA"/>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shd w:val="clear" w:color="auto" w:fill="auto"/>
                  <w:vAlign w:val="center"/>
                </w:tcPr>
                <w:p w14:paraId="3B03DEF5">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ascii="Times New Roman" w:hAnsi="Times New Roman" w:eastAsia="宋体" w:cs="Times New Roman"/>
                      <w:b w:val="0"/>
                      <w:bCs w:val="0"/>
                      <w:color w:val="auto"/>
                      <w:kern w:val="21"/>
                      <w:sz w:val="21"/>
                      <w:szCs w:val="21"/>
                      <w:lang w:val="en-US" w:eastAsia="zh-CN"/>
                    </w:rPr>
                    <w:t>269.9</w:t>
                  </w:r>
                </w:p>
              </w:tc>
              <w:tc>
                <w:tcPr>
                  <w:tcW w:w="376" w:type="pct"/>
                  <w:tcBorders>
                    <w:tl2br w:val="nil"/>
                    <w:tr2bl w:val="nil"/>
                  </w:tcBorders>
                  <w:shd w:val="clear" w:color="auto" w:fill="auto"/>
                  <w:vAlign w:val="center"/>
                </w:tcPr>
                <w:p w14:paraId="0BBBE7AE">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ascii="Times New Roman" w:hAnsi="Times New Roman" w:eastAsia="宋体" w:cs="Times New Roman"/>
                      <w:b w:val="0"/>
                      <w:bCs w:val="0"/>
                      <w:color w:val="auto"/>
                      <w:kern w:val="21"/>
                      <w:sz w:val="21"/>
                      <w:szCs w:val="21"/>
                      <w:lang w:val="en-US" w:eastAsia="zh-CN"/>
                    </w:rPr>
                    <w:t>134.95</w:t>
                  </w:r>
                </w:p>
              </w:tc>
              <w:tc>
                <w:tcPr>
                  <w:tcW w:w="1822" w:type="pct"/>
                  <w:tcBorders>
                    <w:tl2br w:val="nil"/>
                    <w:tr2bl w:val="nil"/>
                  </w:tcBorders>
                  <w:shd w:val="clear" w:color="auto" w:fill="auto"/>
                  <w:vAlign w:val="center"/>
                </w:tcPr>
                <w:p w14:paraId="39242D42">
                  <w:pPr>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val="en-US" w:eastAsia="zh-CN"/>
                    </w:rPr>
                  </w:pPr>
                </w:p>
              </w:tc>
              <w:tc>
                <w:tcPr>
                  <w:tcW w:w="369" w:type="pct"/>
                  <w:tcBorders>
                    <w:tl2br w:val="nil"/>
                    <w:tr2bl w:val="nil"/>
                  </w:tcBorders>
                  <w:shd w:val="clear" w:color="auto" w:fill="auto"/>
                  <w:vAlign w:val="center"/>
                </w:tcPr>
                <w:p w14:paraId="17BD3702">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ascii="Times New Roman" w:hAnsi="Times New Roman" w:eastAsia="宋体" w:cs="Times New Roman"/>
                      <w:b w:val="0"/>
                      <w:bCs w:val="0"/>
                      <w:color w:val="auto"/>
                      <w:kern w:val="21"/>
                      <w:sz w:val="21"/>
                      <w:szCs w:val="21"/>
                      <w:lang w:val="en-US" w:eastAsia="zh-CN"/>
                    </w:rPr>
                    <w:t>28.49</w:t>
                  </w:r>
                </w:p>
              </w:tc>
              <w:tc>
                <w:tcPr>
                  <w:tcW w:w="354" w:type="pct"/>
                  <w:tcBorders>
                    <w:tl2br w:val="nil"/>
                    <w:tr2bl w:val="nil"/>
                  </w:tcBorders>
                  <w:shd w:val="clear" w:color="auto" w:fill="auto"/>
                  <w:vAlign w:val="center"/>
                </w:tcPr>
                <w:p w14:paraId="5000059A">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ascii="Times New Roman" w:hAnsi="Times New Roman" w:eastAsia="宋体" w:cs="Times New Roman"/>
                      <w:b w:val="0"/>
                      <w:bCs w:val="0"/>
                      <w:color w:val="auto"/>
                      <w:kern w:val="21"/>
                      <w:sz w:val="21"/>
                      <w:szCs w:val="21"/>
                      <w:lang w:val="en-US" w:eastAsia="zh-CN"/>
                    </w:rPr>
                    <w:t>5.87</w:t>
                  </w:r>
                </w:p>
              </w:tc>
              <w:tc>
                <w:tcPr>
                  <w:tcW w:w="427" w:type="pct"/>
                  <w:tcBorders>
                    <w:tl2br w:val="nil"/>
                    <w:tr2bl w:val="nil"/>
                  </w:tcBorders>
                  <w:shd w:val="clear" w:color="auto" w:fill="auto"/>
                  <w:vAlign w:val="center"/>
                </w:tcPr>
                <w:p w14:paraId="65B13A85">
                  <w:pPr>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val="en-US" w:eastAsia="zh-CN" w:bidi="ar-SA"/>
                    </w:rPr>
                  </w:pPr>
                  <w:r>
                    <w:rPr>
                      <w:rFonts w:hint="eastAsia" w:ascii="Times New Roman" w:hAnsi="Times New Roman" w:eastAsia="宋体"/>
                      <w:b w:val="0"/>
                      <w:bCs w:val="0"/>
                      <w:color w:val="auto"/>
                      <w:kern w:val="21"/>
                      <w:sz w:val="21"/>
                      <w:szCs w:val="21"/>
                    </w:rPr>
                    <w:t>无组织</w:t>
                  </w:r>
                </w:p>
              </w:tc>
            </w:tr>
          </w:tbl>
          <w:p w14:paraId="7528B2DF">
            <w:pPr>
              <w:spacing w:line="336" w:lineRule="auto"/>
              <w:rPr>
                <w:bCs/>
                <w:snapToGrid w:val="0"/>
                <w:color w:val="auto"/>
                <w:kern w:val="0"/>
                <w:sz w:val="24"/>
              </w:rPr>
            </w:pPr>
          </w:p>
          <w:p w14:paraId="5BA7C37B">
            <w:pPr>
              <w:pStyle w:val="16"/>
              <w:snapToGrid/>
              <w:spacing w:before="0" w:after="0" w:line="360" w:lineRule="auto"/>
              <w:ind w:right="0"/>
              <w:jc w:val="left"/>
              <w:rPr>
                <w:rFonts w:hint="eastAsia" w:eastAsia="宋体"/>
                <w:b/>
                <w:bCs/>
                <w:color w:val="auto"/>
                <w:sz w:val="24"/>
                <w:lang w:val="en-US" w:eastAsia="zh-CN"/>
              </w:rPr>
            </w:pPr>
            <w:r>
              <w:rPr>
                <w:rFonts w:hint="eastAsia"/>
                <w:b/>
                <w:bCs/>
                <w:color w:val="auto"/>
                <w:sz w:val="24"/>
              </w:rPr>
              <w:t>3.2废气影响分析</w:t>
            </w:r>
          </w:p>
          <w:p w14:paraId="4E033DB8">
            <w:pPr>
              <w:pStyle w:val="16"/>
              <w:snapToGrid/>
              <w:spacing w:before="0" w:after="0" w:line="360" w:lineRule="auto"/>
              <w:ind w:right="0" w:firstLine="480" w:firstLineChars="200"/>
              <w:jc w:val="left"/>
              <w:rPr>
                <w:color w:val="auto"/>
                <w:sz w:val="24"/>
              </w:rPr>
            </w:pPr>
            <w:r>
              <w:rPr>
                <w:rFonts w:hint="eastAsia"/>
                <w:color w:val="auto"/>
                <w:sz w:val="24"/>
              </w:rPr>
              <w:t>（1）预测模式</w:t>
            </w:r>
          </w:p>
          <w:p w14:paraId="6D63953B">
            <w:pPr>
              <w:pStyle w:val="16"/>
              <w:snapToGrid/>
              <w:spacing w:before="0" w:after="0" w:line="360" w:lineRule="auto"/>
              <w:ind w:right="0" w:firstLine="480" w:firstLineChars="200"/>
              <w:jc w:val="left"/>
              <w:rPr>
                <w:color w:val="auto"/>
                <w:sz w:val="24"/>
              </w:rPr>
            </w:pPr>
            <w:r>
              <w:rPr>
                <w:rFonts w:hint="eastAsia"/>
                <w:color w:val="auto"/>
                <w:sz w:val="24"/>
              </w:rPr>
              <w:t>采取《环境影响评价技术导则 大气环境》（HJ2.2-2018）中 AERSCREEN模型对项目主要大气污染物进行预测。</w:t>
            </w:r>
          </w:p>
          <w:p w14:paraId="2060ED06">
            <w:pPr>
              <w:pStyle w:val="16"/>
              <w:snapToGrid/>
              <w:spacing w:before="0" w:after="0" w:line="360" w:lineRule="auto"/>
              <w:ind w:right="0" w:firstLine="480" w:firstLineChars="200"/>
              <w:jc w:val="left"/>
              <w:rPr>
                <w:color w:val="auto"/>
                <w:sz w:val="24"/>
              </w:rPr>
            </w:pPr>
            <w:r>
              <w:rPr>
                <w:rFonts w:hint="eastAsia"/>
                <w:color w:val="auto"/>
                <w:sz w:val="24"/>
              </w:rPr>
              <w:t>（2）预测因子</w:t>
            </w:r>
          </w:p>
          <w:p w14:paraId="4171CAEF">
            <w:pPr>
              <w:pStyle w:val="16"/>
              <w:snapToGrid/>
              <w:spacing w:before="0" w:after="0" w:line="360" w:lineRule="auto"/>
              <w:ind w:right="0" w:firstLine="480" w:firstLineChars="200"/>
              <w:jc w:val="left"/>
              <w:rPr>
                <w:color w:val="auto"/>
                <w:sz w:val="24"/>
              </w:rPr>
            </w:pPr>
            <w:r>
              <w:rPr>
                <w:rFonts w:hint="eastAsia"/>
                <w:color w:val="auto"/>
                <w:sz w:val="24"/>
              </w:rPr>
              <w:t>预测因子：TSP。</w:t>
            </w:r>
          </w:p>
          <w:p w14:paraId="4582FECD">
            <w:pPr>
              <w:pStyle w:val="16"/>
              <w:snapToGrid/>
              <w:spacing w:before="0" w:after="0" w:line="360" w:lineRule="auto"/>
              <w:ind w:right="0" w:firstLine="480" w:firstLineChars="200"/>
              <w:jc w:val="left"/>
              <w:rPr>
                <w:color w:val="auto"/>
                <w:sz w:val="24"/>
              </w:rPr>
            </w:pPr>
            <w:r>
              <w:rPr>
                <w:rFonts w:hint="eastAsia"/>
                <w:color w:val="auto"/>
                <w:sz w:val="24"/>
              </w:rPr>
              <w:t>（3）污染源参数</w:t>
            </w:r>
          </w:p>
          <w:p w14:paraId="4D75DF5B">
            <w:pPr>
              <w:pStyle w:val="16"/>
              <w:snapToGrid/>
              <w:spacing w:before="0" w:after="0" w:line="360" w:lineRule="auto"/>
              <w:ind w:right="0" w:firstLine="480" w:firstLineChars="200"/>
              <w:jc w:val="left"/>
              <w:rPr>
                <w:color w:val="auto"/>
                <w:sz w:val="24"/>
              </w:rPr>
            </w:pPr>
            <w:r>
              <w:rPr>
                <w:rFonts w:hint="eastAsia"/>
                <w:color w:val="auto"/>
                <w:sz w:val="24"/>
              </w:rPr>
              <w:t>本项目大气污染物为建筑用砂开采、运输扬尘、表土堆场扬尘，</w:t>
            </w:r>
            <w:r>
              <w:rPr>
                <w:rFonts w:hint="eastAsia"/>
                <w:color w:val="auto"/>
                <w:sz w:val="24"/>
                <w:highlight w:val="none"/>
              </w:rPr>
              <w:t>运营期先开采2号矿区，再开采1号矿区</w:t>
            </w:r>
            <w:r>
              <w:rPr>
                <w:rFonts w:hint="eastAsia"/>
                <w:color w:val="auto"/>
                <w:sz w:val="24"/>
                <w:highlight w:val="none"/>
                <w:lang w:eastAsia="zh-CN"/>
              </w:rPr>
              <w:t>，</w:t>
            </w:r>
            <w:r>
              <w:rPr>
                <w:rFonts w:hint="eastAsia"/>
                <w:color w:val="auto"/>
                <w:sz w:val="24"/>
              </w:rPr>
              <w:t>项目</w:t>
            </w:r>
            <w:r>
              <w:rPr>
                <w:rFonts w:hint="eastAsia"/>
                <w:color w:val="auto"/>
                <w:sz w:val="24"/>
                <w:lang w:val="en-US" w:eastAsia="zh-CN"/>
              </w:rPr>
              <w:t>1号矿开采时、2号矿区</w:t>
            </w:r>
            <w:r>
              <w:rPr>
                <w:rFonts w:hint="eastAsia" w:ascii="Times New Roman" w:hAnsi="Times New Roman" w:eastAsia="宋体"/>
                <w:caps w:val="0"/>
                <w:color w:val="auto"/>
                <w:sz w:val="24"/>
                <w:highlight w:val="none"/>
                <w:lang w:val="en-US" w:eastAsia="zh-CN"/>
              </w:rPr>
              <w:t>颗粒物无组织</w:t>
            </w:r>
            <w:r>
              <w:rPr>
                <w:rFonts w:ascii="Times New Roman" w:hAnsi="Times New Roman" w:eastAsia="宋体"/>
                <w:caps w:val="0"/>
                <w:color w:val="auto"/>
                <w:sz w:val="24"/>
                <w:highlight w:val="none"/>
              </w:rPr>
              <w:t>排放参数</w:t>
            </w:r>
            <w:r>
              <w:rPr>
                <w:rFonts w:hint="eastAsia" w:ascii="Times New Roman" w:hAnsi="Times New Roman" w:eastAsia="宋体"/>
                <w:caps w:val="0"/>
                <w:color w:val="auto"/>
                <w:sz w:val="24"/>
                <w:highlight w:val="none"/>
                <w:lang w:val="en-US" w:eastAsia="zh-CN"/>
              </w:rPr>
              <w:t>见</w:t>
            </w:r>
            <w:r>
              <w:rPr>
                <w:rFonts w:hint="eastAsia"/>
                <w:color w:val="auto"/>
                <w:sz w:val="24"/>
              </w:rPr>
              <w:t>表</w:t>
            </w:r>
            <w:r>
              <w:rPr>
                <w:rFonts w:hint="eastAsia"/>
                <w:color w:val="auto"/>
                <w:sz w:val="24"/>
                <w:lang w:val="en-US" w:eastAsia="zh-CN"/>
              </w:rPr>
              <w:t>4-6、表4-7</w:t>
            </w:r>
            <w:r>
              <w:rPr>
                <w:rFonts w:hint="eastAsia"/>
                <w:color w:val="auto"/>
                <w:sz w:val="24"/>
              </w:rPr>
              <w:t>。</w:t>
            </w:r>
          </w:p>
          <w:p w14:paraId="08B9C78A">
            <w:pPr>
              <w:pStyle w:val="16"/>
              <w:snapToGrid/>
              <w:spacing w:before="0" w:after="0" w:line="240" w:lineRule="auto"/>
              <w:ind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表4</w:t>
            </w: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6</w:t>
            </w:r>
            <w:r>
              <w:rPr>
                <w:rFonts w:hint="default" w:ascii="Times New Roman" w:hAnsi="Times New Roman" w:eastAsia="宋体" w:cs="Times New Roman"/>
                <w:b/>
                <w:bCs/>
                <w:color w:val="auto"/>
                <w:sz w:val="21"/>
                <w:szCs w:val="21"/>
                <w:lang w:eastAsia="zh-CN"/>
              </w:rPr>
              <w:t xml:space="preserve">    </w:t>
            </w:r>
            <w:r>
              <w:rPr>
                <w:rFonts w:hint="eastAsia"/>
                <w:b/>
                <w:bCs/>
                <w:color w:val="auto"/>
                <w:sz w:val="21"/>
                <w:szCs w:val="21"/>
                <w:lang w:val="en-US" w:eastAsia="zh-CN"/>
              </w:rPr>
              <w:t>1号矿开采时厂区</w:t>
            </w:r>
            <w:r>
              <w:rPr>
                <w:rFonts w:hint="default" w:ascii="Times New Roman" w:hAnsi="Times New Roman" w:eastAsia="宋体" w:cs="Times New Roman"/>
                <w:b/>
                <w:bCs/>
                <w:color w:val="auto"/>
                <w:sz w:val="21"/>
                <w:szCs w:val="21"/>
                <w:lang w:eastAsia="zh-CN"/>
              </w:rPr>
              <w:t>无组织排放粉尘预测参数</w:t>
            </w:r>
          </w:p>
          <w:tbl>
            <w:tblPr>
              <w:tblStyle w:val="2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10"/>
              <w:gridCol w:w="887"/>
              <w:gridCol w:w="728"/>
              <w:gridCol w:w="719"/>
              <w:gridCol w:w="1110"/>
              <w:gridCol w:w="887"/>
              <w:gridCol w:w="666"/>
              <w:gridCol w:w="1181"/>
            </w:tblGrid>
            <w:tr w14:paraId="18F4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1" w:type="pct"/>
                  <w:noWrap w:val="0"/>
                  <w:vAlign w:val="center"/>
                </w:tcPr>
                <w:p w14:paraId="440ACF1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污染物</w:t>
                  </w:r>
                </w:p>
              </w:tc>
              <w:tc>
                <w:tcPr>
                  <w:tcW w:w="678" w:type="pct"/>
                  <w:noWrap w:val="0"/>
                  <w:vAlign w:val="center"/>
                </w:tcPr>
                <w:p w14:paraId="47E7DD6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污染源</w:t>
                  </w:r>
                </w:p>
                <w:p w14:paraId="4272216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类型</w:t>
                  </w:r>
                </w:p>
              </w:tc>
              <w:tc>
                <w:tcPr>
                  <w:tcW w:w="542" w:type="pct"/>
                  <w:noWrap w:val="0"/>
                  <w:vAlign w:val="center"/>
                </w:tcPr>
                <w:p w14:paraId="24B4931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面源海</w:t>
                  </w:r>
                </w:p>
                <w:p w14:paraId="2543593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拔高度</w:t>
                  </w:r>
                </w:p>
              </w:tc>
              <w:tc>
                <w:tcPr>
                  <w:tcW w:w="445" w:type="pct"/>
                  <w:noWrap w:val="0"/>
                  <w:vAlign w:val="center"/>
                </w:tcPr>
                <w:p w14:paraId="1B50272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w:t>
                  </w:r>
                </w:p>
                <w:p w14:paraId="5098994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长度</w:t>
                  </w:r>
                </w:p>
              </w:tc>
              <w:tc>
                <w:tcPr>
                  <w:tcW w:w="439" w:type="pct"/>
                  <w:noWrap w:val="0"/>
                  <w:vAlign w:val="center"/>
                </w:tcPr>
                <w:p w14:paraId="4678224A">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w:t>
                  </w:r>
                </w:p>
                <w:p w14:paraId="1E26737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宽度</w:t>
                  </w:r>
                </w:p>
              </w:tc>
              <w:tc>
                <w:tcPr>
                  <w:tcW w:w="678" w:type="pct"/>
                  <w:noWrap w:val="0"/>
                  <w:vAlign w:val="center"/>
                </w:tcPr>
                <w:p w14:paraId="46D040C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面源有效</w:t>
                  </w:r>
                </w:p>
                <w:p w14:paraId="3035887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排放高度</w:t>
                  </w:r>
                </w:p>
              </w:tc>
              <w:tc>
                <w:tcPr>
                  <w:tcW w:w="542" w:type="pct"/>
                  <w:noWrap w:val="0"/>
                  <w:vAlign w:val="center"/>
                </w:tcPr>
                <w:p w14:paraId="48D119A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年排放</w:t>
                  </w:r>
                </w:p>
                <w:p w14:paraId="1127595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小时数</w:t>
                  </w:r>
                </w:p>
              </w:tc>
              <w:tc>
                <w:tcPr>
                  <w:tcW w:w="407" w:type="pct"/>
                  <w:noWrap w:val="0"/>
                  <w:vAlign w:val="center"/>
                </w:tcPr>
                <w:p w14:paraId="1D6D20B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排放</w:t>
                  </w:r>
                </w:p>
                <w:p w14:paraId="4E649A1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工况</w:t>
                  </w:r>
                </w:p>
              </w:tc>
              <w:tc>
                <w:tcPr>
                  <w:tcW w:w="722" w:type="pct"/>
                  <w:noWrap w:val="0"/>
                  <w:vAlign w:val="center"/>
                </w:tcPr>
                <w:p w14:paraId="1AB057E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排放速率</w:t>
                  </w:r>
                </w:p>
              </w:tc>
            </w:tr>
            <w:tr w14:paraId="6B75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1" w:type="pct"/>
                  <w:noWrap w:val="0"/>
                  <w:vAlign w:val="center"/>
                </w:tcPr>
                <w:p w14:paraId="7FA3869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颗粒物</w:t>
                  </w:r>
                </w:p>
              </w:tc>
              <w:tc>
                <w:tcPr>
                  <w:tcW w:w="678" w:type="pct"/>
                  <w:noWrap w:val="0"/>
                  <w:vAlign w:val="center"/>
                </w:tcPr>
                <w:p w14:paraId="4A5FCDE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lang w:val="en-US" w:eastAsia="zh-CN"/>
                    </w:rPr>
                    <w:t>采场</w:t>
                  </w:r>
                  <w:r>
                    <w:rPr>
                      <w:rFonts w:hint="default" w:ascii="Times New Roman" w:hAnsi="Times New Roman" w:eastAsia="宋体" w:cs="Times New Roman"/>
                      <w:b w:val="0"/>
                      <w:bCs w:val="0"/>
                      <w:caps w:val="0"/>
                      <w:color w:val="auto"/>
                      <w:sz w:val="21"/>
                      <w:szCs w:val="21"/>
                      <w:highlight w:val="none"/>
                    </w:rPr>
                    <w:t>面源</w:t>
                  </w:r>
                </w:p>
              </w:tc>
              <w:tc>
                <w:tcPr>
                  <w:tcW w:w="542" w:type="pct"/>
                  <w:noWrap w:val="0"/>
                  <w:vAlign w:val="center"/>
                </w:tcPr>
                <w:p w14:paraId="75D42EA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854m</w:t>
                  </w:r>
                </w:p>
              </w:tc>
              <w:tc>
                <w:tcPr>
                  <w:tcW w:w="445" w:type="pct"/>
                  <w:noWrap w:val="0"/>
                  <w:vAlign w:val="center"/>
                </w:tcPr>
                <w:p w14:paraId="4BFB768D">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590</w:t>
                  </w:r>
                  <w:r>
                    <w:rPr>
                      <w:rFonts w:hint="eastAsia" w:ascii="Times New Roman" w:hAnsi="Times New Roman" w:eastAsia="宋体" w:cs="Times New Roman"/>
                      <w:b w:val="0"/>
                      <w:bCs w:val="0"/>
                      <w:caps w:val="0"/>
                      <w:color w:val="auto"/>
                      <w:sz w:val="21"/>
                      <w:szCs w:val="21"/>
                      <w:highlight w:val="none"/>
                      <w:lang w:val="en-US" w:eastAsia="zh-CN"/>
                    </w:rPr>
                    <w:t>m</w:t>
                  </w:r>
                </w:p>
              </w:tc>
              <w:tc>
                <w:tcPr>
                  <w:tcW w:w="439" w:type="pct"/>
                  <w:noWrap w:val="0"/>
                  <w:vAlign w:val="center"/>
                </w:tcPr>
                <w:p w14:paraId="6EC09FF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200</w:t>
                  </w:r>
                  <w:r>
                    <w:rPr>
                      <w:rFonts w:hint="eastAsia" w:ascii="Times New Roman" w:hAnsi="Times New Roman" w:eastAsia="宋体" w:cs="Times New Roman"/>
                      <w:b w:val="0"/>
                      <w:bCs w:val="0"/>
                      <w:caps w:val="0"/>
                      <w:color w:val="auto"/>
                      <w:sz w:val="21"/>
                      <w:szCs w:val="21"/>
                      <w:highlight w:val="none"/>
                      <w:lang w:val="en-US" w:eastAsia="zh-CN"/>
                    </w:rPr>
                    <w:t>m</w:t>
                  </w:r>
                </w:p>
              </w:tc>
              <w:tc>
                <w:tcPr>
                  <w:tcW w:w="678" w:type="pct"/>
                  <w:noWrap w:val="0"/>
                  <w:vAlign w:val="center"/>
                </w:tcPr>
                <w:p w14:paraId="5306A80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eastAsia" w:cs="Times New Roman"/>
                      <w:b w:val="0"/>
                      <w:bCs w:val="0"/>
                      <w:caps w:val="0"/>
                      <w:color w:val="auto"/>
                      <w:sz w:val="21"/>
                      <w:szCs w:val="21"/>
                      <w:highlight w:val="none"/>
                      <w:lang w:val="en-US" w:eastAsia="zh-CN"/>
                    </w:rPr>
                    <w:t>10</w:t>
                  </w:r>
                  <w:r>
                    <w:rPr>
                      <w:rFonts w:hint="default" w:ascii="Times New Roman" w:hAnsi="Times New Roman" w:eastAsia="宋体" w:cs="Times New Roman"/>
                      <w:b w:val="0"/>
                      <w:bCs w:val="0"/>
                      <w:caps w:val="0"/>
                      <w:color w:val="auto"/>
                      <w:sz w:val="21"/>
                      <w:szCs w:val="21"/>
                      <w:highlight w:val="none"/>
                    </w:rPr>
                    <w:t>m</w:t>
                  </w:r>
                </w:p>
              </w:tc>
              <w:tc>
                <w:tcPr>
                  <w:tcW w:w="542" w:type="pct"/>
                  <w:noWrap w:val="0"/>
                  <w:vAlign w:val="center"/>
                </w:tcPr>
                <w:p w14:paraId="3EE0095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2000</w:t>
                  </w:r>
                  <w:r>
                    <w:rPr>
                      <w:rFonts w:hint="eastAsia" w:ascii="Times New Roman" w:hAnsi="Times New Roman" w:eastAsia="宋体" w:cs="Times New Roman"/>
                      <w:b w:val="0"/>
                      <w:bCs w:val="0"/>
                      <w:caps w:val="0"/>
                      <w:color w:val="auto"/>
                      <w:sz w:val="21"/>
                      <w:szCs w:val="21"/>
                      <w:highlight w:val="none"/>
                      <w:lang w:val="en-US" w:eastAsia="zh-CN"/>
                    </w:rPr>
                    <w:t>h</w:t>
                  </w:r>
                </w:p>
              </w:tc>
              <w:tc>
                <w:tcPr>
                  <w:tcW w:w="407" w:type="pct"/>
                  <w:noWrap w:val="0"/>
                  <w:vAlign w:val="center"/>
                </w:tcPr>
                <w:p w14:paraId="79FE549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正常</w:t>
                  </w:r>
                </w:p>
              </w:tc>
              <w:tc>
                <w:tcPr>
                  <w:tcW w:w="722" w:type="pct"/>
                  <w:noWrap w:val="0"/>
                  <w:vAlign w:val="center"/>
                </w:tcPr>
                <w:p w14:paraId="3C24D8F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rPr>
                  </w:pPr>
                  <w:r>
                    <w:rPr>
                      <w:rFonts w:hint="default" w:ascii="Times New Roman" w:hAnsi="Times New Roman" w:eastAsia="宋体" w:cs="Times New Roman"/>
                      <w:b w:val="0"/>
                      <w:bCs w:val="0"/>
                      <w:caps w:val="0"/>
                      <w:color w:val="auto"/>
                      <w:sz w:val="21"/>
                      <w:szCs w:val="21"/>
                      <w:highlight w:val="none"/>
                      <w:lang w:val="en-US" w:eastAsia="zh-CN"/>
                    </w:rPr>
                    <w:t>3.89kg/h</w:t>
                  </w:r>
                </w:p>
              </w:tc>
            </w:tr>
          </w:tbl>
          <w:p w14:paraId="13B618DA">
            <w:pPr>
              <w:pStyle w:val="16"/>
              <w:snapToGrid/>
              <w:spacing w:before="0" w:after="0" w:line="240" w:lineRule="auto"/>
              <w:ind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表4</w:t>
            </w: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7</w:t>
            </w:r>
            <w:r>
              <w:rPr>
                <w:rFonts w:hint="default" w:ascii="Times New Roman" w:hAnsi="Times New Roman" w:eastAsia="宋体" w:cs="Times New Roman"/>
                <w:b/>
                <w:bCs/>
                <w:color w:val="auto"/>
                <w:sz w:val="21"/>
                <w:szCs w:val="21"/>
                <w:lang w:eastAsia="zh-CN"/>
              </w:rPr>
              <w:t xml:space="preserve">    </w:t>
            </w:r>
            <w:r>
              <w:rPr>
                <w:rFonts w:hint="eastAsia" w:ascii="Times New Roman" w:hAnsi="Times New Roman" w:eastAsia="宋体" w:cs="Times New Roman"/>
                <w:b/>
                <w:bCs/>
                <w:color w:val="auto"/>
                <w:sz w:val="21"/>
                <w:szCs w:val="21"/>
                <w:lang w:val="en-US" w:eastAsia="zh-CN"/>
              </w:rPr>
              <w:t>2</w:t>
            </w:r>
            <w:r>
              <w:rPr>
                <w:rFonts w:hint="eastAsia"/>
                <w:b/>
                <w:bCs/>
                <w:color w:val="auto"/>
                <w:sz w:val="21"/>
                <w:szCs w:val="21"/>
                <w:lang w:val="en-US" w:eastAsia="zh-CN"/>
              </w:rPr>
              <w:t>号矿开采时厂区</w:t>
            </w:r>
            <w:r>
              <w:rPr>
                <w:rFonts w:hint="default" w:ascii="Times New Roman" w:hAnsi="Times New Roman" w:eastAsia="宋体" w:cs="Times New Roman"/>
                <w:b/>
                <w:bCs/>
                <w:color w:val="auto"/>
                <w:sz w:val="21"/>
                <w:szCs w:val="21"/>
                <w:lang w:eastAsia="zh-CN"/>
              </w:rPr>
              <w:t>无组织排放粉尘预测参数</w:t>
            </w:r>
          </w:p>
          <w:tbl>
            <w:tblPr>
              <w:tblStyle w:val="2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10"/>
              <w:gridCol w:w="887"/>
              <w:gridCol w:w="728"/>
              <w:gridCol w:w="719"/>
              <w:gridCol w:w="1110"/>
              <w:gridCol w:w="887"/>
              <w:gridCol w:w="666"/>
              <w:gridCol w:w="1181"/>
            </w:tblGrid>
            <w:tr w14:paraId="5706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1" w:type="pct"/>
                  <w:noWrap w:val="0"/>
                  <w:vAlign w:val="center"/>
                </w:tcPr>
                <w:p w14:paraId="4C79F32A">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污染物</w:t>
                  </w:r>
                </w:p>
              </w:tc>
              <w:tc>
                <w:tcPr>
                  <w:tcW w:w="678" w:type="pct"/>
                  <w:noWrap w:val="0"/>
                  <w:vAlign w:val="center"/>
                </w:tcPr>
                <w:p w14:paraId="1AEC314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污染源</w:t>
                  </w:r>
                </w:p>
                <w:p w14:paraId="6AB8C09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类型</w:t>
                  </w:r>
                </w:p>
              </w:tc>
              <w:tc>
                <w:tcPr>
                  <w:tcW w:w="542" w:type="pct"/>
                  <w:noWrap w:val="0"/>
                  <w:vAlign w:val="center"/>
                </w:tcPr>
                <w:p w14:paraId="3526562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面源海</w:t>
                  </w:r>
                </w:p>
                <w:p w14:paraId="1187A7A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拔高度</w:t>
                  </w:r>
                </w:p>
              </w:tc>
              <w:tc>
                <w:tcPr>
                  <w:tcW w:w="445" w:type="pct"/>
                  <w:noWrap w:val="0"/>
                  <w:vAlign w:val="center"/>
                </w:tcPr>
                <w:p w14:paraId="7D40AAA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w:t>
                  </w:r>
                </w:p>
                <w:p w14:paraId="71806AB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长度</w:t>
                  </w:r>
                </w:p>
              </w:tc>
              <w:tc>
                <w:tcPr>
                  <w:tcW w:w="439" w:type="pct"/>
                  <w:noWrap w:val="0"/>
                  <w:vAlign w:val="center"/>
                </w:tcPr>
                <w:p w14:paraId="7D20E9B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w:t>
                  </w:r>
                </w:p>
                <w:p w14:paraId="7AE4730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宽度</w:t>
                  </w:r>
                </w:p>
              </w:tc>
              <w:tc>
                <w:tcPr>
                  <w:tcW w:w="678" w:type="pct"/>
                  <w:noWrap w:val="0"/>
                  <w:vAlign w:val="center"/>
                </w:tcPr>
                <w:p w14:paraId="23273D0B">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面源有效</w:t>
                  </w:r>
                </w:p>
                <w:p w14:paraId="20F0FC9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排放高度</w:t>
                  </w:r>
                </w:p>
              </w:tc>
              <w:tc>
                <w:tcPr>
                  <w:tcW w:w="542" w:type="pct"/>
                  <w:noWrap w:val="0"/>
                  <w:vAlign w:val="center"/>
                </w:tcPr>
                <w:p w14:paraId="02BE830D">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年排放</w:t>
                  </w:r>
                </w:p>
                <w:p w14:paraId="193D6F3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小时数</w:t>
                  </w:r>
                </w:p>
              </w:tc>
              <w:tc>
                <w:tcPr>
                  <w:tcW w:w="407" w:type="pct"/>
                  <w:noWrap w:val="0"/>
                  <w:vAlign w:val="center"/>
                </w:tcPr>
                <w:p w14:paraId="470B4D6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排放</w:t>
                  </w:r>
                </w:p>
                <w:p w14:paraId="34C3F1D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工况</w:t>
                  </w:r>
                </w:p>
              </w:tc>
              <w:tc>
                <w:tcPr>
                  <w:tcW w:w="722" w:type="pct"/>
                  <w:noWrap w:val="0"/>
                  <w:vAlign w:val="center"/>
                </w:tcPr>
                <w:p w14:paraId="62ADFE7B">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排放速率</w:t>
                  </w:r>
                </w:p>
              </w:tc>
            </w:tr>
            <w:tr w14:paraId="26AA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1" w:type="pct"/>
                  <w:noWrap w:val="0"/>
                  <w:vAlign w:val="center"/>
                </w:tcPr>
                <w:p w14:paraId="3036D85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颗粒物</w:t>
                  </w:r>
                </w:p>
              </w:tc>
              <w:tc>
                <w:tcPr>
                  <w:tcW w:w="678" w:type="pct"/>
                  <w:noWrap w:val="0"/>
                  <w:vAlign w:val="center"/>
                </w:tcPr>
                <w:p w14:paraId="46B445A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lang w:val="en-US" w:eastAsia="zh-CN"/>
                    </w:rPr>
                    <w:t>采场</w:t>
                  </w:r>
                  <w:r>
                    <w:rPr>
                      <w:rFonts w:hint="default" w:ascii="Times New Roman" w:hAnsi="Times New Roman" w:eastAsia="宋体" w:cs="Times New Roman"/>
                      <w:b w:val="0"/>
                      <w:bCs w:val="0"/>
                      <w:caps w:val="0"/>
                      <w:color w:val="auto"/>
                      <w:sz w:val="21"/>
                      <w:szCs w:val="21"/>
                      <w:highlight w:val="none"/>
                    </w:rPr>
                    <w:t>面源</w:t>
                  </w:r>
                </w:p>
              </w:tc>
              <w:tc>
                <w:tcPr>
                  <w:tcW w:w="542" w:type="pct"/>
                  <w:noWrap w:val="0"/>
                  <w:vAlign w:val="center"/>
                </w:tcPr>
                <w:p w14:paraId="7E15091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85</w:t>
                  </w:r>
                  <w:r>
                    <w:rPr>
                      <w:rFonts w:hint="eastAsia" w:ascii="Times New Roman" w:hAnsi="Times New Roman" w:eastAsia="宋体" w:cs="Times New Roman"/>
                      <w:b w:val="0"/>
                      <w:bCs w:val="0"/>
                      <w:caps w:val="0"/>
                      <w:color w:val="auto"/>
                      <w:sz w:val="21"/>
                      <w:szCs w:val="21"/>
                      <w:highlight w:val="none"/>
                      <w:lang w:val="en-US" w:eastAsia="zh-CN"/>
                    </w:rPr>
                    <w:t>9</w:t>
                  </w:r>
                  <w:r>
                    <w:rPr>
                      <w:rFonts w:hint="default" w:ascii="Times New Roman" w:hAnsi="Times New Roman" w:eastAsia="宋体" w:cs="Times New Roman"/>
                      <w:b w:val="0"/>
                      <w:bCs w:val="0"/>
                      <w:caps w:val="0"/>
                      <w:color w:val="auto"/>
                      <w:sz w:val="21"/>
                      <w:szCs w:val="21"/>
                      <w:highlight w:val="none"/>
                      <w:lang w:val="en-US" w:eastAsia="zh-CN"/>
                    </w:rPr>
                    <w:t>m</w:t>
                  </w:r>
                </w:p>
              </w:tc>
              <w:tc>
                <w:tcPr>
                  <w:tcW w:w="445" w:type="pct"/>
                  <w:noWrap w:val="0"/>
                  <w:vAlign w:val="center"/>
                </w:tcPr>
                <w:p w14:paraId="70C34FA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eastAsia" w:ascii="Times New Roman" w:hAnsi="Times New Roman" w:eastAsia="宋体" w:cs="Times New Roman"/>
                      <w:b w:val="0"/>
                      <w:bCs w:val="0"/>
                      <w:caps w:val="0"/>
                      <w:color w:val="auto"/>
                      <w:sz w:val="21"/>
                      <w:szCs w:val="21"/>
                      <w:highlight w:val="none"/>
                      <w:lang w:val="en-US" w:eastAsia="zh-CN"/>
                    </w:rPr>
                    <w:t>560m</w:t>
                  </w:r>
                </w:p>
              </w:tc>
              <w:tc>
                <w:tcPr>
                  <w:tcW w:w="439" w:type="pct"/>
                  <w:noWrap w:val="0"/>
                  <w:vAlign w:val="center"/>
                </w:tcPr>
                <w:p w14:paraId="635CE66D">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eastAsia" w:ascii="Times New Roman" w:hAnsi="Times New Roman" w:eastAsia="宋体" w:cs="Times New Roman"/>
                      <w:b w:val="0"/>
                      <w:bCs w:val="0"/>
                      <w:caps w:val="0"/>
                      <w:color w:val="auto"/>
                      <w:sz w:val="21"/>
                      <w:szCs w:val="21"/>
                      <w:highlight w:val="none"/>
                      <w:lang w:val="en-US" w:eastAsia="zh-CN"/>
                    </w:rPr>
                    <w:t>480m</w:t>
                  </w:r>
                </w:p>
              </w:tc>
              <w:tc>
                <w:tcPr>
                  <w:tcW w:w="678" w:type="pct"/>
                  <w:noWrap w:val="0"/>
                  <w:vAlign w:val="center"/>
                </w:tcPr>
                <w:p w14:paraId="3F613ED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eastAsia" w:cs="Times New Roman"/>
                      <w:b w:val="0"/>
                      <w:bCs w:val="0"/>
                      <w:caps w:val="0"/>
                      <w:color w:val="auto"/>
                      <w:sz w:val="21"/>
                      <w:szCs w:val="21"/>
                      <w:highlight w:val="none"/>
                      <w:lang w:val="en-US" w:eastAsia="zh-CN"/>
                    </w:rPr>
                    <w:t>10</w:t>
                  </w:r>
                  <w:r>
                    <w:rPr>
                      <w:rFonts w:hint="default" w:ascii="Times New Roman" w:hAnsi="Times New Roman" w:eastAsia="宋体" w:cs="Times New Roman"/>
                      <w:b w:val="0"/>
                      <w:bCs w:val="0"/>
                      <w:caps w:val="0"/>
                      <w:color w:val="auto"/>
                      <w:sz w:val="21"/>
                      <w:szCs w:val="21"/>
                      <w:highlight w:val="none"/>
                    </w:rPr>
                    <w:t>m</w:t>
                  </w:r>
                </w:p>
              </w:tc>
              <w:tc>
                <w:tcPr>
                  <w:tcW w:w="542" w:type="pct"/>
                  <w:noWrap w:val="0"/>
                  <w:vAlign w:val="center"/>
                </w:tcPr>
                <w:p w14:paraId="502B9BB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2000</w:t>
                  </w:r>
                  <w:r>
                    <w:rPr>
                      <w:rFonts w:hint="eastAsia" w:ascii="Times New Roman" w:hAnsi="Times New Roman" w:eastAsia="宋体" w:cs="Times New Roman"/>
                      <w:b w:val="0"/>
                      <w:bCs w:val="0"/>
                      <w:caps w:val="0"/>
                      <w:color w:val="auto"/>
                      <w:sz w:val="21"/>
                      <w:szCs w:val="21"/>
                      <w:highlight w:val="none"/>
                      <w:lang w:val="en-US" w:eastAsia="zh-CN"/>
                    </w:rPr>
                    <w:t>h</w:t>
                  </w:r>
                </w:p>
              </w:tc>
              <w:tc>
                <w:tcPr>
                  <w:tcW w:w="407" w:type="pct"/>
                  <w:noWrap w:val="0"/>
                  <w:vAlign w:val="center"/>
                </w:tcPr>
                <w:p w14:paraId="228AA2F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正常</w:t>
                  </w:r>
                </w:p>
              </w:tc>
              <w:tc>
                <w:tcPr>
                  <w:tcW w:w="722" w:type="pct"/>
                  <w:noWrap w:val="0"/>
                  <w:vAlign w:val="center"/>
                </w:tcPr>
                <w:p w14:paraId="4573493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rPr>
                  </w:pPr>
                  <w:r>
                    <w:rPr>
                      <w:rFonts w:hint="eastAsia" w:ascii="Times New Roman" w:hAnsi="Times New Roman" w:eastAsia="宋体" w:cs="Times New Roman"/>
                      <w:b w:val="0"/>
                      <w:bCs w:val="0"/>
                      <w:caps w:val="0"/>
                      <w:color w:val="auto"/>
                      <w:sz w:val="21"/>
                      <w:szCs w:val="21"/>
                      <w:highlight w:val="none"/>
                      <w:lang w:val="en-US" w:eastAsia="zh-CN"/>
                    </w:rPr>
                    <w:t>5.87</w:t>
                  </w:r>
                  <w:r>
                    <w:rPr>
                      <w:rFonts w:hint="default" w:ascii="Times New Roman" w:hAnsi="Times New Roman" w:eastAsia="宋体" w:cs="Times New Roman"/>
                      <w:b w:val="0"/>
                      <w:bCs w:val="0"/>
                      <w:caps w:val="0"/>
                      <w:color w:val="auto"/>
                      <w:sz w:val="21"/>
                      <w:szCs w:val="21"/>
                      <w:highlight w:val="none"/>
                      <w:lang w:val="en-US" w:eastAsia="zh-CN"/>
                    </w:rPr>
                    <w:t>kg/h</w:t>
                  </w:r>
                </w:p>
              </w:tc>
            </w:tr>
          </w:tbl>
          <w:p w14:paraId="01A81B41">
            <w:pPr>
              <w:pStyle w:val="16"/>
              <w:snapToGrid/>
              <w:spacing w:before="0" w:after="0" w:line="360" w:lineRule="auto"/>
              <w:ind w:right="0" w:firstLine="480" w:firstLineChars="200"/>
              <w:jc w:val="left"/>
              <w:rPr>
                <w:color w:val="auto"/>
                <w:sz w:val="24"/>
                <w:highlight w:val="none"/>
              </w:rPr>
            </w:pPr>
            <w:r>
              <w:rPr>
                <w:rFonts w:hint="eastAsia"/>
                <w:color w:val="auto"/>
                <w:sz w:val="24"/>
                <w:highlight w:val="none"/>
              </w:rPr>
              <w:t>（4）估算模型参数</w:t>
            </w:r>
          </w:p>
          <w:p w14:paraId="292A372D">
            <w:pPr>
              <w:pStyle w:val="16"/>
              <w:snapToGrid/>
              <w:spacing w:before="0" w:after="0" w:line="360" w:lineRule="auto"/>
              <w:ind w:right="0" w:firstLine="480" w:firstLineChars="200"/>
              <w:jc w:val="left"/>
              <w:rPr>
                <w:color w:val="auto"/>
                <w:sz w:val="24"/>
              </w:rPr>
            </w:pPr>
            <w:r>
              <w:rPr>
                <w:rFonts w:hint="eastAsia"/>
                <w:color w:val="auto"/>
                <w:sz w:val="24"/>
              </w:rPr>
              <w:t>项目估算模式参数见表4-</w:t>
            </w:r>
            <w:r>
              <w:rPr>
                <w:rFonts w:hint="eastAsia"/>
                <w:color w:val="auto"/>
                <w:sz w:val="24"/>
                <w:lang w:val="en-US" w:eastAsia="zh-CN"/>
              </w:rPr>
              <w:t>8</w:t>
            </w:r>
            <w:r>
              <w:rPr>
                <w:rFonts w:hint="eastAsia"/>
                <w:color w:val="auto"/>
                <w:sz w:val="24"/>
              </w:rPr>
              <w:t>。</w:t>
            </w:r>
          </w:p>
          <w:p w14:paraId="1D9F7B9A">
            <w:pPr>
              <w:pStyle w:val="16"/>
              <w:snapToGrid/>
              <w:spacing w:before="0" w:after="0" w:line="240" w:lineRule="auto"/>
              <w:ind w:right="0"/>
              <w:jc w:val="center"/>
              <w:rPr>
                <w:rFonts w:hint="eastAsia"/>
                <w:b/>
                <w:bCs/>
                <w:color w:val="auto"/>
                <w:sz w:val="21"/>
                <w:szCs w:val="21"/>
              </w:rPr>
            </w:pPr>
          </w:p>
          <w:p w14:paraId="5393736B">
            <w:pPr>
              <w:pStyle w:val="16"/>
              <w:snapToGrid/>
              <w:spacing w:before="0" w:after="0" w:line="240" w:lineRule="auto"/>
              <w:ind w:right="0"/>
              <w:jc w:val="center"/>
              <w:rPr>
                <w:b/>
                <w:bCs/>
                <w:color w:val="auto"/>
                <w:sz w:val="21"/>
                <w:szCs w:val="21"/>
              </w:rPr>
            </w:pPr>
            <w:r>
              <w:rPr>
                <w:rFonts w:hint="eastAsia"/>
                <w:b/>
                <w:bCs/>
                <w:color w:val="auto"/>
                <w:sz w:val="21"/>
                <w:szCs w:val="21"/>
              </w:rPr>
              <w:t>表4-</w:t>
            </w:r>
            <w:r>
              <w:rPr>
                <w:rFonts w:hint="eastAsia"/>
                <w:b/>
                <w:bCs/>
                <w:color w:val="auto"/>
                <w:sz w:val="21"/>
                <w:szCs w:val="21"/>
                <w:lang w:val="en-US" w:eastAsia="zh-CN"/>
              </w:rPr>
              <w:t>8</w:t>
            </w:r>
            <w:r>
              <w:rPr>
                <w:rFonts w:hint="eastAsia"/>
                <w:b/>
                <w:bCs/>
                <w:color w:val="auto"/>
                <w:sz w:val="21"/>
                <w:szCs w:val="21"/>
              </w:rPr>
              <w:t xml:space="preserve">   估算模型参数一览表</w:t>
            </w:r>
          </w:p>
          <w:tbl>
            <w:tblPr>
              <w:tblStyle w:val="29"/>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05"/>
              <w:gridCol w:w="2159"/>
              <w:gridCol w:w="3631"/>
            </w:tblGrid>
            <w:tr w14:paraId="7C6E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5ABFAC72">
                  <w:pPr>
                    <w:pStyle w:val="16"/>
                    <w:snapToGrid/>
                    <w:spacing w:before="0" w:after="0" w:line="240" w:lineRule="auto"/>
                    <w:ind w:right="0"/>
                    <w:jc w:val="center"/>
                    <w:rPr>
                      <w:color w:val="auto"/>
                      <w:sz w:val="21"/>
                      <w:szCs w:val="21"/>
                    </w:rPr>
                  </w:pPr>
                  <w:r>
                    <w:rPr>
                      <w:rFonts w:hint="eastAsia"/>
                      <w:color w:val="auto"/>
                      <w:sz w:val="21"/>
                      <w:szCs w:val="21"/>
                    </w:rPr>
                    <w:t>参数</w:t>
                  </w:r>
                </w:p>
              </w:tc>
              <w:tc>
                <w:tcPr>
                  <w:tcW w:w="3631" w:type="dxa"/>
                </w:tcPr>
                <w:p w14:paraId="06476809">
                  <w:pPr>
                    <w:pStyle w:val="16"/>
                    <w:snapToGrid/>
                    <w:spacing w:before="0" w:after="0" w:line="240" w:lineRule="auto"/>
                    <w:ind w:right="0"/>
                    <w:jc w:val="center"/>
                    <w:rPr>
                      <w:color w:val="auto"/>
                      <w:sz w:val="21"/>
                      <w:szCs w:val="21"/>
                    </w:rPr>
                  </w:pPr>
                  <w:r>
                    <w:rPr>
                      <w:rFonts w:hint="eastAsia"/>
                      <w:color w:val="auto"/>
                      <w:sz w:val="21"/>
                      <w:szCs w:val="21"/>
                    </w:rPr>
                    <w:t>取值</w:t>
                  </w:r>
                </w:p>
              </w:tc>
            </w:tr>
            <w:tr w14:paraId="3ACB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restart"/>
                </w:tcPr>
                <w:p w14:paraId="42C1F69C">
                  <w:pPr>
                    <w:pStyle w:val="16"/>
                    <w:snapToGrid/>
                    <w:spacing w:before="0" w:after="0" w:line="240" w:lineRule="auto"/>
                    <w:ind w:right="0"/>
                    <w:jc w:val="center"/>
                    <w:rPr>
                      <w:color w:val="auto"/>
                      <w:sz w:val="21"/>
                      <w:szCs w:val="21"/>
                    </w:rPr>
                  </w:pPr>
                  <w:r>
                    <w:rPr>
                      <w:rFonts w:hint="eastAsia"/>
                      <w:color w:val="auto"/>
                      <w:sz w:val="21"/>
                      <w:szCs w:val="21"/>
                    </w:rPr>
                    <w:t>城市/农村选项</w:t>
                  </w:r>
                </w:p>
              </w:tc>
              <w:tc>
                <w:tcPr>
                  <w:tcW w:w="2864" w:type="dxa"/>
                  <w:gridSpan w:val="2"/>
                </w:tcPr>
                <w:p w14:paraId="261EA34D">
                  <w:pPr>
                    <w:pStyle w:val="16"/>
                    <w:snapToGrid/>
                    <w:spacing w:before="0" w:after="0" w:line="240" w:lineRule="auto"/>
                    <w:ind w:right="0"/>
                    <w:jc w:val="center"/>
                    <w:rPr>
                      <w:color w:val="auto"/>
                      <w:sz w:val="21"/>
                      <w:szCs w:val="21"/>
                    </w:rPr>
                  </w:pPr>
                  <w:r>
                    <w:rPr>
                      <w:rFonts w:hint="eastAsia"/>
                      <w:color w:val="auto"/>
                      <w:sz w:val="21"/>
                      <w:szCs w:val="21"/>
                    </w:rPr>
                    <w:t>城市/农村</w:t>
                  </w:r>
                </w:p>
              </w:tc>
              <w:tc>
                <w:tcPr>
                  <w:tcW w:w="3631" w:type="dxa"/>
                </w:tcPr>
                <w:p w14:paraId="006B98A5">
                  <w:pPr>
                    <w:pStyle w:val="16"/>
                    <w:snapToGrid/>
                    <w:spacing w:before="0" w:after="0" w:line="240" w:lineRule="auto"/>
                    <w:ind w:right="0"/>
                    <w:jc w:val="center"/>
                    <w:rPr>
                      <w:color w:val="auto"/>
                      <w:sz w:val="21"/>
                      <w:szCs w:val="21"/>
                    </w:rPr>
                  </w:pPr>
                  <w:r>
                    <w:rPr>
                      <w:rFonts w:hint="eastAsia"/>
                      <w:color w:val="auto"/>
                      <w:sz w:val="21"/>
                      <w:szCs w:val="21"/>
                    </w:rPr>
                    <w:t>农村</w:t>
                  </w:r>
                </w:p>
              </w:tc>
            </w:tr>
            <w:tr w14:paraId="048A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tcPr>
                <w:p w14:paraId="2ED2AB5C">
                  <w:pPr>
                    <w:pStyle w:val="16"/>
                    <w:snapToGrid/>
                    <w:spacing w:before="0" w:after="0" w:line="240" w:lineRule="auto"/>
                    <w:ind w:right="0"/>
                    <w:jc w:val="center"/>
                    <w:rPr>
                      <w:color w:val="auto"/>
                      <w:sz w:val="21"/>
                      <w:szCs w:val="21"/>
                    </w:rPr>
                  </w:pPr>
                </w:p>
              </w:tc>
              <w:tc>
                <w:tcPr>
                  <w:tcW w:w="2864" w:type="dxa"/>
                  <w:gridSpan w:val="2"/>
                </w:tcPr>
                <w:p w14:paraId="6304B73F">
                  <w:pPr>
                    <w:pStyle w:val="16"/>
                    <w:snapToGrid/>
                    <w:spacing w:before="0" w:after="0" w:line="240" w:lineRule="auto"/>
                    <w:ind w:right="0"/>
                    <w:jc w:val="center"/>
                    <w:rPr>
                      <w:color w:val="auto"/>
                      <w:sz w:val="21"/>
                      <w:szCs w:val="21"/>
                    </w:rPr>
                  </w:pPr>
                  <w:r>
                    <w:rPr>
                      <w:rFonts w:hint="eastAsia"/>
                      <w:color w:val="auto"/>
                      <w:sz w:val="21"/>
                      <w:szCs w:val="21"/>
                    </w:rPr>
                    <w:t>人口数（城市选项时）</w:t>
                  </w:r>
                </w:p>
              </w:tc>
              <w:tc>
                <w:tcPr>
                  <w:tcW w:w="3631" w:type="dxa"/>
                </w:tcPr>
                <w:p w14:paraId="46F6C906">
                  <w:pPr>
                    <w:pStyle w:val="16"/>
                    <w:snapToGrid/>
                    <w:spacing w:before="0" w:after="0" w:line="240" w:lineRule="auto"/>
                    <w:ind w:right="0"/>
                    <w:jc w:val="center"/>
                    <w:rPr>
                      <w:color w:val="auto"/>
                      <w:sz w:val="21"/>
                      <w:szCs w:val="21"/>
                    </w:rPr>
                  </w:pPr>
                  <w:r>
                    <w:rPr>
                      <w:rFonts w:hint="eastAsia"/>
                      <w:color w:val="auto"/>
                      <w:sz w:val="21"/>
                      <w:szCs w:val="21"/>
                    </w:rPr>
                    <w:t>/</w:t>
                  </w:r>
                </w:p>
              </w:tc>
            </w:tr>
            <w:tr w14:paraId="013E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5970511A">
                  <w:pPr>
                    <w:pStyle w:val="16"/>
                    <w:snapToGrid/>
                    <w:spacing w:before="0" w:after="0" w:line="240" w:lineRule="auto"/>
                    <w:ind w:right="0"/>
                    <w:jc w:val="center"/>
                    <w:rPr>
                      <w:color w:val="auto"/>
                      <w:sz w:val="21"/>
                      <w:szCs w:val="21"/>
                    </w:rPr>
                  </w:pPr>
                  <w:r>
                    <w:rPr>
                      <w:rFonts w:hint="eastAsia"/>
                      <w:color w:val="auto"/>
                      <w:sz w:val="21"/>
                      <w:szCs w:val="21"/>
                    </w:rPr>
                    <w:t>最高环境温度/℃</w:t>
                  </w:r>
                </w:p>
              </w:tc>
              <w:tc>
                <w:tcPr>
                  <w:tcW w:w="3631" w:type="dxa"/>
                </w:tcPr>
                <w:p w14:paraId="44E43128">
                  <w:pPr>
                    <w:pStyle w:val="16"/>
                    <w:snapToGrid/>
                    <w:spacing w:before="0" w:after="0" w:line="240" w:lineRule="auto"/>
                    <w:ind w:right="0"/>
                    <w:jc w:val="center"/>
                    <w:rPr>
                      <w:color w:val="auto"/>
                      <w:sz w:val="21"/>
                      <w:szCs w:val="21"/>
                    </w:rPr>
                  </w:pPr>
                  <w:r>
                    <w:rPr>
                      <w:rFonts w:hint="eastAsia"/>
                      <w:color w:val="auto"/>
                      <w:sz w:val="21"/>
                      <w:szCs w:val="21"/>
                    </w:rPr>
                    <w:t>41.6</w:t>
                  </w:r>
                </w:p>
              </w:tc>
            </w:tr>
            <w:tr w14:paraId="60E4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59051A15">
                  <w:pPr>
                    <w:pStyle w:val="16"/>
                    <w:snapToGrid/>
                    <w:spacing w:before="0" w:after="0" w:line="240" w:lineRule="auto"/>
                    <w:ind w:right="0"/>
                    <w:jc w:val="center"/>
                    <w:rPr>
                      <w:color w:val="auto"/>
                      <w:sz w:val="21"/>
                      <w:szCs w:val="21"/>
                    </w:rPr>
                  </w:pPr>
                  <w:r>
                    <w:rPr>
                      <w:rFonts w:hint="eastAsia"/>
                      <w:color w:val="auto"/>
                      <w:sz w:val="21"/>
                      <w:szCs w:val="21"/>
                    </w:rPr>
                    <w:t>最低环境温度/℃</w:t>
                  </w:r>
                </w:p>
              </w:tc>
              <w:tc>
                <w:tcPr>
                  <w:tcW w:w="3631" w:type="dxa"/>
                </w:tcPr>
                <w:p w14:paraId="33C67E35">
                  <w:pPr>
                    <w:pStyle w:val="16"/>
                    <w:snapToGrid/>
                    <w:spacing w:before="0" w:after="0" w:line="240" w:lineRule="auto"/>
                    <w:ind w:right="0"/>
                    <w:jc w:val="center"/>
                    <w:rPr>
                      <w:color w:val="auto"/>
                      <w:sz w:val="21"/>
                      <w:szCs w:val="21"/>
                    </w:rPr>
                  </w:pPr>
                  <w:r>
                    <w:rPr>
                      <w:rFonts w:hint="eastAsia"/>
                      <w:color w:val="auto"/>
                      <w:sz w:val="21"/>
                      <w:szCs w:val="21"/>
                    </w:rPr>
                    <w:t>-39.6</w:t>
                  </w:r>
                </w:p>
              </w:tc>
            </w:tr>
            <w:tr w14:paraId="4769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3B6B59B8">
                  <w:pPr>
                    <w:pStyle w:val="16"/>
                    <w:snapToGrid/>
                    <w:spacing w:before="0" w:after="0" w:line="240" w:lineRule="auto"/>
                    <w:ind w:right="0"/>
                    <w:jc w:val="center"/>
                    <w:rPr>
                      <w:color w:val="auto"/>
                      <w:sz w:val="21"/>
                      <w:szCs w:val="21"/>
                    </w:rPr>
                  </w:pPr>
                  <w:r>
                    <w:rPr>
                      <w:rFonts w:hint="eastAsia"/>
                      <w:color w:val="auto"/>
                      <w:sz w:val="21"/>
                      <w:szCs w:val="21"/>
                    </w:rPr>
                    <w:t>土地利用类型</w:t>
                  </w:r>
                </w:p>
              </w:tc>
              <w:tc>
                <w:tcPr>
                  <w:tcW w:w="3631" w:type="dxa"/>
                </w:tcPr>
                <w:p w14:paraId="205DBEB0">
                  <w:pPr>
                    <w:pStyle w:val="16"/>
                    <w:snapToGrid/>
                    <w:spacing w:before="0" w:after="0" w:line="240" w:lineRule="auto"/>
                    <w:ind w:right="0"/>
                    <w:jc w:val="center"/>
                    <w:rPr>
                      <w:color w:val="auto"/>
                      <w:sz w:val="21"/>
                      <w:szCs w:val="21"/>
                    </w:rPr>
                  </w:pPr>
                  <w:r>
                    <w:rPr>
                      <w:rFonts w:hint="eastAsia"/>
                      <w:color w:val="auto"/>
                      <w:sz w:val="21"/>
                      <w:szCs w:val="21"/>
                    </w:rPr>
                    <w:t>草地</w:t>
                  </w:r>
                </w:p>
              </w:tc>
            </w:tr>
            <w:tr w14:paraId="320B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290046A7">
                  <w:pPr>
                    <w:pStyle w:val="16"/>
                    <w:snapToGrid/>
                    <w:spacing w:before="0" w:after="0" w:line="240" w:lineRule="auto"/>
                    <w:ind w:right="0"/>
                    <w:jc w:val="center"/>
                    <w:rPr>
                      <w:color w:val="auto"/>
                      <w:sz w:val="21"/>
                      <w:szCs w:val="21"/>
                    </w:rPr>
                  </w:pPr>
                  <w:r>
                    <w:rPr>
                      <w:rFonts w:hint="eastAsia"/>
                      <w:color w:val="auto"/>
                      <w:sz w:val="21"/>
                      <w:szCs w:val="21"/>
                    </w:rPr>
                    <w:t>区域湿度条件</w:t>
                  </w:r>
                </w:p>
              </w:tc>
              <w:tc>
                <w:tcPr>
                  <w:tcW w:w="3631" w:type="dxa"/>
                </w:tcPr>
                <w:p w14:paraId="0AA333E9">
                  <w:pPr>
                    <w:pStyle w:val="16"/>
                    <w:snapToGrid/>
                    <w:spacing w:before="0" w:after="0" w:line="240" w:lineRule="auto"/>
                    <w:ind w:right="0"/>
                    <w:jc w:val="center"/>
                    <w:rPr>
                      <w:color w:val="auto"/>
                      <w:sz w:val="21"/>
                      <w:szCs w:val="21"/>
                    </w:rPr>
                  </w:pPr>
                  <w:r>
                    <w:rPr>
                      <w:rFonts w:hint="eastAsia"/>
                      <w:color w:val="auto"/>
                      <w:sz w:val="21"/>
                      <w:szCs w:val="21"/>
                    </w:rPr>
                    <w:t>干燥</w:t>
                  </w:r>
                </w:p>
              </w:tc>
            </w:tr>
            <w:tr w14:paraId="1CC3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2"/>
                  <w:vMerge w:val="restart"/>
                </w:tcPr>
                <w:p w14:paraId="725C53C2">
                  <w:pPr>
                    <w:pStyle w:val="16"/>
                    <w:snapToGrid/>
                    <w:spacing w:before="0" w:after="0" w:line="240" w:lineRule="auto"/>
                    <w:ind w:right="0"/>
                    <w:jc w:val="center"/>
                    <w:rPr>
                      <w:color w:val="auto"/>
                      <w:sz w:val="21"/>
                      <w:szCs w:val="21"/>
                    </w:rPr>
                  </w:pPr>
                  <w:r>
                    <w:rPr>
                      <w:rFonts w:hint="eastAsia"/>
                      <w:color w:val="auto"/>
                      <w:sz w:val="21"/>
                      <w:szCs w:val="21"/>
                    </w:rPr>
                    <w:t>是否考虑地形</w:t>
                  </w:r>
                </w:p>
              </w:tc>
              <w:tc>
                <w:tcPr>
                  <w:tcW w:w="2159" w:type="dxa"/>
                </w:tcPr>
                <w:p w14:paraId="5B061C28">
                  <w:pPr>
                    <w:pStyle w:val="16"/>
                    <w:snapToGrid/>
                    <w:spacing w:before="0" w:after="0" w:line="240" w:lineRule="auto"/>
                    <w:ind w:right="0"/>
                    <w:jc w:val="center"/>
                    <w:rPr>
                      <w:color w:val="auto"/>
                      <w:sz w:val="21"/>
                      <w:szCs w:val="21"/>
                    </w:rPr>
                  </w:pPr>
                  <w:r>
                    <w:rPr>
                      <w:rFonts w:hint="eastAsia"/>
                      <w:color w:val="auto"/>
                      <w:sz w:val="21"/>
                      <w:szCs w:val="21"/>
                    </w:rPr>
                    <w:t>考虑地形</w:t>
                  </w:r>
                </w:p>
              </w:tc>
              <w:tc>
                <w:tcPr>
                  <w:tcW w:w="3631" w:type="dxa"/>
                </w:tcPr>
                <w:p w14:paraId="14730CEA">
                  <w:pPr>
                    <w:pStyle w:val="16"/>
                    <w:snapToGrid/>
                    <w:spacing w:before="0" w:after="0" w:line="240" w:lineRule="auto"/>
                    <w:ind w:right="0"/>
                    <w:jc w:val="center"/>
                    <w:rPr>
                      <w:color w:val="auto"/>
                      <w:sz w:val="21"/>
                      <w:szCs w:val="21"/>
                    </w:rPr>
                  </w:pPr>
                  <w:r>
                    <w:rPr>
                      <w:rFonts w:hint="eastAsia"/>
                      <w:color w:val="auto"/>
                      <w:sz w:val="21"/>
                      <w:szCs w:val="21"/>
                    </w:rPr>
                    <w:t>是</w:t>
                  </w:r>
                </w:p>
              </w:tc>
            </w:tr>
            <w:tr w14:paraId="1828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2"/>
                  <w:vMerge w:val="continue"/>
                </w:tcPr>
                <w:p w14:paraId="07994601">
                  <w:pPr>
                    <w:pStyle w:val="16"/>
                    <w:snapToGrid/>
                    <w:spacing w:before="0" w:after="0" w:line="240" w:lineRule="auto"/>
                    <w:ind w:right="0"/>
                    <w:jc w:val="center"/>
                    <w:rPr>
                      <w:color w:val="auto"/>
                      <w:sz w:val="21"/>
                      <w:szCs w:val="21"/>
                    </w:rPr>
                  </w:pPr>
                </w:p>
              </w:tc>
              <w:tc>
                <w:tcPr>
                  <w:tcW w:w="2159" w:type="dxa"/>
                </w:tcPr>
                <w:p w14:paraId="1E1F4093">
                  <w:pPr>
                    <w:pStyle w:val="16"/>
                    <w:snapToGrid/>
                    <w:spacing w:before="0" w:after="0" w:line="240" w:lineRule="auto"/>
                    <w:ind w:right="0"/>
                    <w:jc w:val="center"/>
                    <w:rPr>
                      <w:color w:val="auto"/>
                      <w:sz w:val="21"/>
                      <w:szCs w:val="21"/>
                    </w:rPr>
                  </w:pPr>
                  <w:r>
                    <w:rPr>
                      <w:rFonts w:hint="eastAsia"/>
                      <w:color w:val="auto"/>
                      <w:sz w:val="21"/>
                      <w:szCs w:val="21"/>
                    </w:rPr>
                    <w:t>地形数据分辨率/m</w:t>
                  </w:r>
                </w:p>
              </w:tc>
              <w:tc>
                <w:tcPr>
                  <w:tcW w:w="3631" w:type="dxa"/>
                </w:tcPr>
                <w:p w14:paraId="2FFD0153">
                  <w:pPr>
                    <w:pStyle w:val="16"/>
                    <w:snapToGrid/>
                    <w:spacing w:before="0" w:after="0" w:line="240" w:lineRule="auto"/>
                    <w:ind w:right="0"/>
                    <w:jc w:val="center"/>
                    <w:rPr>
                      <w:color w:val="auto"/>
                      <w:sz w:val="21"/>
                      <w:szCs w:val="21"/>
                    </w:rPr>
                  </w:pPr>
                  <w:r>
                    <w:rPr>
                      <w:rFonts w:hint="eastAsia"/>
                      <w:color w:val="auto"/>
                      <w:sz w:val="21"/>
                      <w:szCs w:val="21"/>
                    </w:rPr>
                    <w:t>90</w:t>
                  </w:r>
                </w:p>
              </w:tc>
            </w:tr>
            <w:tr w14:paraId="0B15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2"/>
                  <w:vMerge w:val="restart"/>
                </w:tcPr>
                <w:p w14:paraId="67343721">
                  <w:pPr>
                    <w:pStyle w:val="16"/>
                    <w:snapToGrid/>
                    <w:spacing w:before="0" w:after="0" w:line="240" w:lineRule="auto"/>
                    <w:ind w:right="0"/>
                    <w:jc w:val="center"/>
                    <w:rPr>
                      <w:color w:val="auto"/>
                      <w:sz w:val="21"/>
                      <w:szCs w:val="21"/>
                    </w:rPr>
                  </w:pPr>
                  <w:r>
                    <w:rPr>
                      <w:rFonts w:hint="eastAsia"/>
                      <w:color w:val="auto"/>
                      <w:sz w:val="21"/>
                      <w:szCs w:val="21"/>
                    </w:rPr>
                    <w:t>是否考虑岸线熏烟</w:t>
                  </w:r>
                </w:p>
              </w:tc>
              <w:tc>
                <w:tcPr>
                  <w:tcW w:w="2159" w:type="dxa"/>
                </w:tcPr>
                <w:p w14:paraId="5933DB6E">
                  <w:pPr>
                    <w:pStyle w:val="16"/>
                    <w:snapToGrid/>
                    <w:spacing w:before="0" w:after="0" w:line="240" w:lineRule="auto"/>
                    <w:ind w:right="0"/>
                    <w:jc w:val="center"/>
                    <w:rPr>
                      <w:color w:val="auto"/>
                      <w:sz w:val="21"/>
                      <w:szCs w:val="21"/>
                    </w:rPr>
                  </w:pPr>
                  <w:r>
                    <w:rPr>
                      <w:rFonts w:hint="eastAsia"/>
                      <w:color w:val="auto"/>
                      <w:sz w:val="21"/>
                      <w:szCs w:val="21"/>
                    </w:rPr>
                    <w:t>考虑岸线熏烟</w:t>
                  </w:r>
                </w:p>
              </w:tc>
              <w:tc>
                <w:tcPr>
                  <w:tcW w:w="3631" w:type="dxa"/>
                </w:tcPr>
                <w:p w14:paraId="35760120">
                  <w:pPr>
                    <w:pStyle w:val="16"/>
                    <w:snapToGrid/>
                    <w:spacing w:before="0" w:after="0" w:line="240" w:lineRule="auto"/>
                    <w:ind w:right="0"/>
                    <w:jc w:val="center"/>
                    <w:rPr>
                      <w:color w:val="auto"/>
                      <w:sz w:val="21"/>
                      <w:szCs w:val="21"/>
                    </w:rPr>
                  </w:pPr>
                  <w:r>
                    <w:rPr>
                      <w:rFonts w:hint="eastAsia"/>
                      <w:color w:val="auto"/>
                      <w:sz w:val="21"/>
                      <w:szCs w:val="21"/>
                    </w:rPr>
                    <w:t>否</w:t>
                  </w:r>
                </w:p>
              </w:tc>
            </w:tr>
            <w:tr w14:paraId="66DC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2"/>
                  <w:vMerge w:val="continue"/>
                </w:tcPr>
                <w:p w14:paraId="633BE580">
                  <w:pPr>
                    <w:pStyle w:val="16"/>
                    <w:snapToGrid/>
                    <w:spacing w:before="0" w:after="0" w:line="240" w:lineRule="auto"/>
                    <w:ind w:right="0"/>
                    <w:jc w:val="center"/>
                    <w:rPr>
                      <w:color w:val="auto"/>
                      <w:sz w:val="21"/>
                      <w:szCs w:val="21"/>
                    </w:rPr>
                  </w:pPr>
                </w:p>
              </w:tc>
              <w:tc>
                <w:tcPr>
                  <w:tcW w:w="2159" w:type="dxa"/>
                </w:tcPr>
                <w:p w14:paraId="0BE04841">
                  <w:pPr>
                    <w:pStyle w:val="16"/>
                    <w:snapToGrid/>
                    <w:spacing w:before="0" w:after="0" w:line="240" w:lineRule="auto"/>
                    <w:ind w:right="0"/>
                    <w:jc w:val="center"/>
                    <w:rPr>
                      <w:color w:val="auto"/>
                      <w:sz w:val="21"/>
                      <w:szCs w:val="21"/>
                    </w:rPr>
                  </w:pPr>
                  <w:r>
                    <w:rPr>
                      <w:rFonts w:hint="eastAsia"/>
                      <w:color w:val="auto"/>
                      <w:sz w:val="21"/>
                      <w:szCs w:val="21"/>
                    </w:rPr>
                    <w:t>岸线距离/km</w:t>
                  </w:r>
                </w:p>
              </w:tc>
              <w:tc>
                <w:tcPr>
                  <w:tcW w:w="3631" w:type="dxa"/>
                </w:tcPr>
                <w:p w14:paraId="3640968B">
                  <w:pPr>
                    <w:pStyle w:val="16"/>
                    <w:snapToGrid/>
                    <w:spacing w:before="0" w:after="0" w:line="240" w:lineRule="auto"/>
                    <w:ind w:right="0"/>
                    <w:jc w:val="center"/>
                    <w:rPr>
                      <w:color w:val="auto"/>
                      <w:sz w:val="21"/>
                      <w:szCs w:val="21"/>
                    </w:rPr>
                  </w:pPr>
                  <w:r>
                    <w:rPr>
                      <w:rFonts w:hint="eastAsia"/>
                      <w:color w:val="auto"/>
                      <w:sz w:val="21"/>
                      <w:szCs w:val="21"/>
                    </w:rPr>
                    <w:t>/</w:t>
                  </w:r>
                </w:p>
              </w:tc>
            </w:tr>
            <w:tr w14:paraId="4EA3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2"/>
                  <w:vMerge w:val="continue"/>
                </w:tcPr>
                <w:p w14:paraId="2561AAA7">
                  <w:pPr>
                    <w:pStyle w:val="16"/>
                    <w:snapToGrid/>
                    <w:spacing w:before="0" w:after="0" w:line="240" w:lineRule="auto"/>
                    <w:ind w:right="0"/>
                    <w:jc w:val="center"/>
                    <w:rPr>
                      <w:color w:val="auto"/>
                      <w:sz w:val="21"/>
                      <w:szCs w:val="21"/>
                    </w:rPr>
                  </w:pPr>
                </w:p>
              </w:tc>
              <w:tc>
                <w:tcPr>
                  <w:tcW w:w="2159" w:type="dxa"/>
                </w:tcPr>
                <w:p w14:paraId="2EDC8A28">
                  <w:pPr>
                    <w:pStyle w:val="16"/>
                    <w:snapToGrid/>
                    <w:spacing w:before="0" w:after="0" w:line="240" w:lineRule="auto"/>
                    <w:ind w:right="0"/>
                    <w:jc w:val="center"/>
                    <w:rPr>
                      <w:color w:val="auto"/>
                      <w:sz w:val="21"/>
                      <w:szCs w:val="21"/>
                    </w:rPr>
                  </w:pPr>
                  <w:r>
                    <w:rPr>
                      <w:rFonts w:hint="eastAsia"/>
                      <w:color w:val="auto"/>
                      <w:sz w:val="21"/>
                      <w:szCs w:val="21"/>
                    </w:rPr>
                    <w:t>岸线方向/°</w:t>
                  </w:r>
                </w:p>
              </w:tc>
              <w:tc>
                <w:tcPr>
                  <w:tcW w:w="3631" w:type="dxa"/>
                </w:tcPr>
                <w:p w14:paraId="5DACF0EE">
                  <w:pPr>
                    <w:pStyle w:val="16"/>
                    <w:snapToGrid/>
                    <w:spacing w:before="0" w:after="0" w:line="240" w:lineRule="auto"/>
                    <w:ind w:right="0"/>
                    <w:jc w:val="center"/>
                    <w:rPr>
                      <w:color w:val="auto"/>
                      <w:sz w:val="21"/>
                      <w:szCs w:val="21"/>
                    </w:rPr>
                  </w:pPr>
                  <w:r>
                    <w:rPr>
                      <w:rFonts w:hint="eastAsia"/>
                      <w:color w:val="auto"/>
                      <w:sz w:val="21"/>
                      <w:szCs w:val="21"/>
                    </w:rPr>
                    <w:t>/</w:t>
                  </w:r>
                </w:p>
              </w:tc>
            </w:tr>
            <w:tr w14:paraId="537E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78B6263D">
                  <w:pPr>
                    <w:pStyle w:val="16"/>
                    <w:snapToGrid/>
                    <w:spacing w:before="0" w:after="0" w:line="240" w:lineRule="auto"/>
                    <w:ind w:right="0"/>
                    <w:jc w:val="center"/>
                    <w:rPr>
                      <w:color w:val="auto"/>
                      <w:sz w:val="21"/>
                      <w:szCs w:val="21"/>
                    </w:rPr>
                  </w:pPr>
                </w:p>
              </w:tc>
              <w:tc>
                <w:tcPr>
                  <w:tcW w:w="3631" w:type="dxa"/>
                </w:tcPr>
                <w:p w14:paraId="7EE5DDE7">
                  <w:pPr>
                    <w:pStyle w:val="16"/>
                    <w:snapToGrid/>
                    <w:spacing w:before="0" w:after="0" w:line="240" w:lineRule="auto"/>
                    <w:ind w:right="0"/>
                    <w:jc w:val="center"/>
                    <w:rPr>
                      <w:color w:val="auto"/>
                      <w:sz w:val="21"/>
                      <w:szCs w:val="21"/>
                    </w:rPr>
                  </w:pPr>
                </w:p>
              </w:tc>
            </w:tr>
          </w:tbl>
          <w:p w14:paraId="47A0548F">
            <w:pPr>
              <w:pStyle w:val="16"/>
              <w:snapToGrid/>
              <w:spacing w:before="0" w:after="0" w:line="360" w:lineRule="auto"/>
              <w:ind w:right="0" w:firstLine="480" w:firstLineChars="200"/>
              <w:jc w:val="left"/>
              <w:rPr>
                <w:color w:val="auto"/>
                <w:sz w:val="24"/>
              </w:rPr>
            </w:pPr>
            <w:r>
              <w:rPr>
                <w:rFonts w:hint="eastAsia"/>
                <w:color w:val="auto"/>
                <w:sz w:val="24"/>
              </w:rPr>
              <w:t>（5）预测结果</w:t>
            </w:r>
          </w:p>
          <w:p w14:paraId="6CD8CBB6">
            <w:pPr>
              <w:pStyle w:val="16"/>
              <w:snapToGrid/>
              <w:spacing w:before="0" w:after="0" w:line="360" w:lineRule="auto"/>
              <w:ind w:right="0" w:firstLine="480" w:firstLineChars="200"/>
              <w:jc w:val="left"/>
              <w:rPr>
                <w:color w:val="auto"/>
                <w:sz w:val="24"/>
              </w:rPr>
            </w:pPr>
            <w:r>
              <w:rPr>
                <w:rFonts w:hint="eastAsia"/>
                <w:color w:val="auto"/>
                <w:sz w:val="24"/>
                <w:highlight w:val="none"/>
                <w:lang w:val="en-US" w:eastAsia="zh-CN"/>
              </w:rPr>
              <w:t>1号矿区、2号矿区</w:t>
            </w:r>
            <w:r>
              <w:rPr>
                <w:rFonts w:hint="eastAsia"/>
                <w:color w:val="auto"/>
                <w:sz w:val="24"/>
              </w:rPr>
              <w:t>废气污染物</w:t>
            </w:r>
            <w:r>
              <w:rPr>
                <w:color w:val="auto"/>
                <w:sz w:val="24"/>
              </w:rPr>
              <w:t>TSP</w:t>
            </w:r>
            <w:r>
              <w:rPr>
                <w:rFonts w:hint="eastAsia"/>
                <w:color w:val="auto"/>
                <w:sz w:val="24"/>
              </w:rPr>
              <w:t>的估算结果见</w:t>
            </w:r>
            <w:r>
              <w:rPr>
                <w:rFonts w:hint="eastAsia"/>
                <w:color w:val="auto"/>
                <w:sz w:val="24"/>
                <w:lang w:val="en-US" w:eastAsia="zh-CN"/>
              </w:rPr>
              <w:t>下</w:t>
            </w:r>
            <w:r>
              <w:rPr>
                <w:rFonts w:hint="eastAsia"/>
                <w:color w:val="auto"/>
                <w:sz w:val="24"/>
              </w:rPr>
              <w:t xml:space="preserve">表。 </w:t>
            </w:r>
          </w:p>
          <w:p w14:paraId="540BF62F">
            <w:pPr>
              <w:pStyle w:val="16"/>
              <w:snapToGrid/>
              <w:spacing w:before="0" w:after="0" w:line="240" w:lineRule="auto"/>
              <w:ind w:right="0"/>
              <w:jc w:val="center"/>
              <w:rPr>
                <w:rFonts w:hint="eastAsia"/>
                <w:b/>
                <w:bCs/>
                <w:color w:val="auto"/>
                <w:sz w:val="21"/>
                <w:szCs w:val="21"/>
              </w:rPr>
            </w:pPr>
            <w:r>
              <w:rPr>
                <w:rFonts w:hint="eastAsia"/>
                <w:b/>
                <w:bCs/>
                <w:color w:val="auto"/>
                <w:sz w:val="21"/>
                <w:szCs w:val="21"/>
              </w:rPr>
              <w:t>表4-</w:t>
            </w:r>
            <w:r>
              <w:rPr>
                <w:rFonts w:hint="eastAsia"/>
                <w:b/>
                <w:bCs/>
                <w:color w:val="auto"/>
                <w:sz w:val="21"/>
                <w:szCs w:val="21"/>
                <w:lang w:val="en-US" w:eastAsia="zh-CN"/>
              </w:rPr>
              <w:t>9</w:t>
            </w:r>
            <w:r>
              <w:rPr>
                <w:rFonts w:hint="eastAsia"/>
                <w:b/>
                <w:bCs/>
                <w:color w:val="auto"/>
                <w:sz w:val="21"/>
                <w:szCs w:val="21"/>
              </w:rPr>
              <w:t xml:space="preserve">    </w:t>
            </w:r>
            <w:r>
              <w:rPr>
                <w:rFonts w:hint="eastAsia"/>
                <w:b/>
                <w:bCs/>
                <w:color w:val="auto"/>
                <w:sz w:val="21"/>
                <w:szCs w:val="21"/>
                <w:lang w:val="en-US" w:eastAsia="zh-CN"/>
              </w:rPr>
              <w:t>1号矿区无组织粉尘</w:t>
            </w:r>
            <w:r>
              <w:rPr>
                <w:rFonts w:hint="eastAsia"/>
                <w:b/>
                <w:bCs/>
                <w:color w:val="auto"/>
                <w:sz w:val="21"/>
                <w:szCs w:val="21"/>
              </w:rPr>
              <w:t>估算模型计算结果表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065"/>
            </w:tblGrid>
            <w:tr w14:paraId="2014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vMerge w:val="restart"/>
                  <w:noWrap w:val="0"/>
                  <w:vAlign w:val="center"/>
                </w:tcPr>
                <w:p w14:paraId="665264E5">
                  <w:pPr>
                    <w:pageBreakBefore w:val="0"/>
                    <w:kinsoku/>
                    <w:wordWrap/>
                    <w:bidi w:val="0"/>
                    <w:adjustRightInd/>
                    <w:snapToGrid/>
                    <w:jc w:val="center"/>
                    <w:outlineLvl w:val="9"/>
                    <w:rPr>
                      <w:rFonts w:ascii="Times New Roman" w:hAnsi="Times New Roman" w:eastAsia="宋体"/>
                      <w:b/>
                      <w:bCs/>
                      <w:caps w:val="0"/>
                      <w:color w:val="auto"/>
                      <w:szCs w:val="21"/>
                    </w:rPr>
                  </w:pPr>
                  <w:r>
                    <w:rPr>
                      <w:rFonts w:ascii="Times New Roman" w:hAnsi="Times New Roman" w:eastAsia="宋体"/>
                      <w:b/>
                      <w:bCs/>
                      <w:caps w:val="0"/>
                      <w:color w:val="auto"/>
                      <w:szCs w:val="21"/>
                    </w:rPr>
                    <w:t>中心下风向距离</w:t>
                  </w:r>
                  <w:r>
                    <w:rPr>
                      <w:rFonts w:hint="eastAsia" w:ascii="Times New Roman" w:hAnsi="Times New Roman" w:eastAsia="宋体"/>
                      <w:b/>
                      <w:bCs/>
                      <w:caps w:val="0"/>
                      <w:color w:val="auto"/>
                      <w:szCs w:val="21"/>
                    </w:rPr>
                    <w:t>（</w:t>
                  </w:r>
                  <w:r>
                    <w:rPr>
                      <w:rFonts w:ascii="Times New Roman" w:hAnsi="Times New Roman" w:eastAsia="宋体"/>
                      <w:b/>
                      <w:bCs/>
                      <w:caps w:val="0"/>
                      <w:color w:val="auto"/>
                      <w:szCs w:val="21"/>
                    </w:rPr>
                    <w:t>m</w:t>
                  </w:r>
                  <w:r>
                    <w:rPr>
                      <w:rFonts w:hint="eastAsia" w:ascii="Times New Roman" w:hAnsi="Times New Roman" w:eastAsia="宋体"/>
                      <w:b/>
                      <w:bCs/>
                      <w:caps w:val="0"/>
                      <w:color w:val="auto"/>
                      <w:szCs w:val="21"/>
                    </w:rPr>
                    <w:t>）</w:t>
                  </w:r>
                </w:p>
              </w:tc>
              <w:tc>
                <w:tcPr>
                  <w:tcW w:w="2487" w:type="pct"/>
                  <w:noWrap w:val="0"/>
                  <w:vAlign w:val="center"/>
                </w:tcPr>
                <w:p w14:paraId="631F71C5">
                  <w:pPr>
                    <w:pageBreakBefore w:val="0"/>
                    <w:kinsoku/>
                    <w:wordWrap/>
                    <w:bidi w:val="0"/>
                    <w:adjustRightInd/>
                    <w:snapToGrid/>
                    <w:jc w:val="center"/>
                    <w:outlineLvl w:val="9"/>
                    <w:rPr>
                      <w:rFonts w:ascii="Times New Roman" w:hAnsi="Times New Roman" w:eastAsia="宋体"/>
                      <w:b/>
                      <w:bCs/>
                      <w:caps w:val="0"/>
                      <w:color w:val="auto"/>
                      <w:szCs w:val="21"/>
                    </w:rPr>
                  </w:pPr>
                  <w:r>
                    <w:rPr>
                      <w:rFonts w:ascii="Times New Roman" w:hAnsi="Times New Roman" w:eastAsia="宋体"/>
                      <w:b/>
                      <w:bCs/>
                      <w:caps w:val="0"/>
                      <w:color w:val="auto"/>
                      <w:szCs w:val="21"/>
                    </w:rPr>
                    <w:t>下风向预测浓度</w:t>
                  </w:r>
                  <w:r>
                    <w:rPr>
                      <w:rFonts w:hint="eastAsia" w:ascii="Times New Roman" w:hAnsi="Times New Roman" w:eastAsia="宋体"/>
                      <w:b/>
                      <w:bCs/>
                      <w:caps w:val="0"/>
                      <w:color w:val="auto"/>
                      <w:szCs w:val="21"/>
                    </w:rPr>
                    <w:t>（m</w:t>
                  </w:r>
                  <w:r>
                    <w:rPr>
                      <w:rFonts w:ascii="Times New Roman" w:hAnsi="Times New Roman" w:eastAsia="宋体"/>
                      <w:b/>
                      <w:bCs/>
                      <w:caps w:val="0"/>
                      <w:color w:val="auto"/>
                      <w:szCs w:val="21"/>
                    </w:rPr>
                    <w:t>g/m</w:t>
                  </w:r>
                  <w:r>
                    <w:rPr>
                      <w:rFonts w:ascii="Times New Roman" w:hAnsi="Times New Roman" w:eastAsia="宋体"/>
                      <w:b/>
                      <w:bCs/>
                      <w:caps w:val="0"/>
                      <w:color w:val="auto"/>
                      <w:szCs w:val="21"/>
                      <w:vertAlign w:val="superscript"/>
                    </w:rPr>
                    <w:t>3</w:t>
                  </w:r>
                  <w:r>
                    <w:rPr>
                      <w:rFonts w:hint="eastAsia" w:ascii="Times New Roman" w:hAnsi="Times New Roman" w:eastAsia="宋体"/>
                      <w:b/>
                      <w:bCs/>
                      <w:caps w:val="0"/>
                      <w:color w:val="auto"/>
                      <w:szCs w:val="21"/>
                    </w:rPr>
                    <w:t>）</w:t>
                  </w:r>
                </w:p>
              </w:tc>
            </w:tr>
            <w:tr w14:paraId="6B2F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vMerge w:val="continue"/>
                  <w:noWrap w:val="0"/>
                  <w:vAlign w:val="center"/>
                </w:tcPr>
                <w:p w14:paraId="3E3B8E3F">
                  <w:pPr>
                    <w:pageBreakBefore w:val="0"/>
                    <w:kinsoku/>
                    <w:wordWrap/>
                    <w:bidi w:val="0"/>
                    <w:adjustRightInd/>
                    <w:snapToGrid/>
                    <w:jc w:val="center"/>
                    <w:outlineLvl w:val="9"/>
                    <w:rPr>
                      <w:rFonts w:ascii="Times New Roman" w:hAnsi="Times New Roman" w:eastAsia="宋体"/>
                      <w:b/>
                      <w:bCs/>
                      <w:caps w:val="0"/>
                      <w:color w:val="auto"/>
                      <w:szCs w:val="21"/>
                    </w:rPr>
                  </w:pPr>
                </w:p>
              </w:tc>
              <w:tc>
                <w:tcPr>
                  <w:tcW w:w="2487" w:type="pct"/>
                  <w:noWrap w:val="0"/>
                  <w:vAlign w:val="center"/>
                </w:tcPr>
                <w:p w14:paraId="378A083E">
                  <w:pPr>
                    <w:pageBreakBefore w:val="0"/>
                    <w:kinsoku/>
                    <w:wordWrap/>
                    <w:bidi w:val="0"/>
                    <w:adjustRightInd/>
                    <w:snapToGrid/>
                    <w:jc w:val="center"/>
                    <w:outlineLvl w:val="9"/>
                    <w:rPr>
                      <w:rFonts w:ascii="Times New Roman" w:hAnsi="Times New Roman" w:eastAsia="宋体"/>
                      <w:b/>
                      <w:bCs/>
                      <w:caps w:val="0"/>
                      <w:color w:val="auto"/>
                      <w:szCs w:val="21"/>
                    </w:rPr>
                  </w:pPr>
                  <w:r>
                    <w:rPr>
                      <w:rFonts w:hint="eastAsia" w:ascii="Times New Roman" w:hAnsi="Times New Roman" w:eastAsia="宋体"/>
                      <w:b/>
                      <w:bCs/>
                      <w:caps w:val="0"/>
                      <w:color w:val="auto"/>
                      <w:szCs w:val="21"/>
                    </w:rPr>
                    <w:t>颗粒物</w:t>
                  </w:r>
                </w:p>
              </w:tc>
            </w:tr>
            <w:tr w14:paraId="5A77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2CA76503">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10</w:t>
                  </w:r>
                </w:p>
              </w:tc>
              <w:tc>
                <w:tcPr>
                  <w:tcW w:w="2487" w:type="pct"/>
                  <w:noWrap w:val="0"/>
                  <w:vAlign w:val="center"/>
                </w:tcPr>
                <w:p w14:paraId="2D2D4DF1">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0.33</w:t>
                  </w:r>
                </w:p>
              </w:tc>
            </w:tr>
            <w:tr w14:paraId="1016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5F4B5D94">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25</w:t>
                  </w:r>
                </w:p>
              </w:tc>
              <w:tc>
                <w:tcPr>
                  <w:tcW w:w="2487" w:type="pct"/>
                  <w:noWrap w:val="0"/>
                  <w:vAlign w:val="center"/>
                </w:tcPr>
                <w:p w14:paraId="214B75A6">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0.35</w:t>
                  </w:r>
                </w:p>
              </w:tc>
            </w:tr>
            <w:tr w14:paraId="1059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tcBorders>
                    <w:bottom w:val="single" w:color="auto" w:sz="4" w:space="0"/>
                  </w:tcBorders>
                  <w:noWrap w:val="0"/>
                  <w:vAlign w:val="center"/>
                </w:tcPr>
                <w:p w14:paraId="1C6E76DE">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50</w:t>
                  </w:r>
                </w:p>
              </w:tc>
              <w:tc>
                <w:tcPr>
                  <w:tcW w:w="2487" w:type="pct"/>
                  <w:tcBorders>
                    <w:bottom w:val="single" w:color="auto" w:sz="4" w:space="0"/>
                  </w:tcBorders>
                  <w:noWrap w:val="0"/>
                  <w:vAlign w:val="center"/>
                </w:tcPr>
                <w:p w14:paraId="2DFA233C">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0.39</w:t>
                  </w:r>
                </w:p>
              </w:tc>
            </w:tr>
            <w:tr w14:paraId="68D1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tcBorders>
                    <w:bottom w:val="single" w:color="auto" w:sz="4" w:space="0"/>
                  </w:tcBorders>
                  <w:shd w:val="clear" w:color="auto" w:fill="auto"/>
                  <w:noWrap w:val="0"/>
                  <w:vAlign w:val="center"/>
                </w:tcPr>
                <w:p w14:paraId="692EDF7C">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75</w:t>
                  </w:r>
                </w:p>
              </w:tc>
              <w:tc>
                <w:tcPr>
                  <w:tcW w:w="2487" w:type="pct"/>
                  <w:tcBorders>
                    <w:bottom w:val="single" w:color="auto" w:sz="4" w:space="0"/>
                  </w:tcBorders>
                  <w:shd w:val="clear" w:color="auto" w:fill="auto"/>
                  <w:noWrap w:val="0"/>
                  <w:vAlign w:val="center"/>
                </w:tcPr>
                <w:p w14:paraId="6CD7670B">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0.42</w:t>
                  </w:r>
                </w:p>
              </w:tc>
            </w:tr>
            <w:tr w14:paraId="1410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tcBorders>
                    <w:top w:val="single" w:color="auto" w:sz="4" w:space="0"/>
                  </w:tcBorders>
                  <w:noWrap w:val="0"/>
                  <w:vAlign w:val="center"/>
                </w:tcPr>
                <w:p w14:paraId="5CBD95F5">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100</w:t>
                  </w:r>
                </w:p>
              </w:tc>
              <w:tc>
                <w:tcPr>
                  <w:tcW w:w="2487" w:type="pct"/>
                  <w:tcBorders>
                    <w:top w:val="single" w:color="auto" w:sz="4" w:space="0"/>
                  </w:tcBorders>
                  <w:noWrap w:val="0"/>
                  <w:vAlign w:val="center"/>
                </w:tcPr>
                <w:p w14:paraId="32D45BE1">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0.45</w:t>
                  </w:r>
                </w:p>
              </w:tc>
            </w:tr>
            <w:tr w14:paraId="6FDB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5D54EC6B">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125</w:t>
                  </w:r>
                </w:p>
              </w:tc>
              <w:tc>
                <w:tcPr>
                  <w:tcW w:w="2487" w:type="pct"/>
                  <w:noWrap w:val="0"/>
                  <w:vAlign w:val="center"/>
                </w:tcPr>
                <w:p w14:paraId="77CD917B">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0.48</w:t>
                  </w:r>
                </w:p>
              </w:tc>
            </w:tr>
            <w:tr w14:paraId="4A3D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0ACF9E11">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150</w:t>
                  </w:r>
                </w:p>
              </w:tc>
              <w:tc>
                <w:tcPr>
                  <w:tcW w:w="2487" w:type="pct"/>
                  <w:noWrap w:val="0"/>
                  <w:vAlign w:val="center"/>
                </w:tcPr>
                <w:p w14:paraId="56426E9E">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0.51</w:t>
                  </w:r>
                </w:p>
              </w:tc>
            </w:tr>
            <w:tr w14:paraId="7A71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329BFCA0">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175</w:t>
                  </w:r>
                </w:p>
              </w:tc>
              <w:tc>
                <w:tcPr>
                  <w:tcW w:w="2487" w:type="pct"/>
                  <w:noWrap w:val="0"/>
                  <w:vAlign w:val="center"/>
                </w:tcPr>
                <w:p w14:paraId="61218AC0">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0.54</w:t>
                  </w:r>
                </w:p>
              </w:tc>
            </w:tr>
            <w:tr w14:paraId="7072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42A9F0C9">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200</w:t>
                  </w:r>
                </w:p>
              </w:tc>
              <w:tc>
                <w:tcPr>
                  <w:tcW w:w="2487" w:type="pct"/>
                  <w:noWrap w:val="0"/>
                  <w:vAlign w:val="center"/>
                </w:tcPr>
                <w:p w14:paraId="70E5AE1A">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0.57</w:t>
                  </w:r>
                </w:p>
              </w:tc>
            </w:tr>
            <w:tr w14:paraId="7077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08EDF30E">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225</w:t>
                  </w:r>
                </w:p>
              </w:tc>
              <w:tc>
                <w:tcPr>
                  <w:tcW w:w="2487" w:type="pct"/>
                  <w:noWrap w:val="0"/>
                  <w:vAlign w:val="center"/>
                </w:tcPr>
                <w:p w14:paraId="00AD01B5">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0.59</w:t>
                  </w:r>
                </w:p>
              </w:tc>
            </w:tr>
            <w:tr w14:paraId="4515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7F3070EC">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250</w:t>
                  </w:r>
                </w:p>
              </w:tc>
              <w:tc>
                <w:tcPr>
                  <w:tcW w:w="2487" w:type="pct"/>
                  <w:noWrap w:val="0"/>
                  <w:vAlign w:val="center"/>
                </w:tcPr>
                <w:p w14:paraId="57641D3D">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0.62</w:t>
                  </w:r>
                </w:p>
              </w:tc>
            </w:tr>
            <w:tr w14:paraId="0A32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5F505983">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275</w:t>
                  </w:r>
                </w:p>
              </w:tc>
              <w:tc>
                <w:tcPr>
                  <w:tcW w:w="2487" w:type="pct"/>
                  <w:noWrap w:val="0"/>
                  <w:vAlign w:val="center"/>
                </w:tcPr>
                <w:p w14:paraId="1593F162">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0.62</w:t>
                  </w:r>
                </w:p>
              </w:tc>
            </w:tr>
            <w:tr w14:paraId="0F41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771AC585">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300</w:t>
                  </w:r>
                </w:p>
              </w:tc>
              <w:tc>
                <w:tcPr>
                  <w:tcW w:w="2487" w:type="pct"/>
                  <w:noWrap w:val="0"/>
                  <w:vAlign w:val="center"/>
                </w:tcPr>
                <w:p w14:paraId="718CDCCE">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0.63</w:t>
                  </w:r>
                </w:p>
              </w:tc>
            </w:tr>
            <w:tr w14:paraId="4461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5B778FD8">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325</w:t>
                  </w:r>
                </w:p>
              </w:tc>
              <w:tc>
                <w:tcPr>
                  <w:tcW w:w="2487" w:type="pct"/>
                  <w:noWrap w:val="0"/>
                  <w:vAlign w:val="center"/>
                </w:tcPr>
                <w:p w14:paraId="74FCB7AE">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0.63</w:t>
                  </w:r>
                </w:p>
              </w:tc>
            </w:tr>
            <w:tr w14:paraId="581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16C162A9">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350</w:t>
                  </w:r>
                </w:p>
              </w:tc>
              <w:tc>
                <w:tcPr>
                  <w:tcW w:w="2487" w:type="pct"/>
                  <w:noWrap w:val="0"/>
                  <w:vAlign w:val="center"/>
                </w:tcPr>
                <w:p w14:paraId="3663BA93">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0.64</w:t>
                  </w:r>
                </w:p>
              </w:tc>
            </w:tr>
            <w:tr w14:paraId="0F16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2378D903">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375</w:t>
                  </w:r>
                </w:p>
              </w:tc>
              <w:tc>
                <w:tcPr>
                  <w:tcW w:w="2487" w:type="pct"/>
                  <w:noWrap w:val="0"/>
                  <w:vAlign w:val="center"/>
                </w:tcPr>
                <w:p w14:paraId="34918F1C">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0.64</w:t>
                  </w:r>
                </w:p>
              </w:tc>
            </w:tr>
            <w:tr w14:paraId="599E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6F3FAE95">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389</w:t>
                  </w:r>
                </w:p>
              </w:tc>
              <w:tc>
                <w:tcPr>
                  <w:tcW w:w="2487" w:type="pct"/>
                  <w:noWrap w:val="0"/>
                  <w:vAlign w:val="center"/>
                </w:tcPr>
                <w:p w14:paraId="020BDE67">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0.64</w:t>
                  </w:r>
                </w:p>
              </w:tc>
            </w:tr>
            <w:tr w14:paraId="3550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59EFC7B0">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400</w:t>
                  </w:r>
                </w:p>
              </w:tc>
              <w:tc>
                <w:tcPr>
                  <w:tcW w:w="2487" w:type="pct"/>
                  <w:noWrap w:val="0"/>
                  <w:vAlign w:val="center"/>
                </w:tcPr>
                <w:p w14:paraId="41D2870F">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0.64</w:t>
                  </w:r>
                </w:p>
              </w:tc>
            </w:tr>
            <w:tr w14:paraId="2BA9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03A22C01">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500</w:t>
                  </w:r>
                </w:p>
              </w:tc>
              <w:tc>
                <w:tcPr>
                  <w:tcW w:w="2487" w:type="pct"/>
                  <w:noWrap w:val="0"/>
                  <w:vAlign w:val="center"/>
                </w:tcPr>
                <w:p w14:paraId="57F7B43C">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0.63</w:t>
                  </w:r>
                </w:p>
              </w:tc>
            </w:tr>
            <w:tr w14:paraId="015F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2" w:type="pct"/>
                  <w:noWrap w:val="0"/>
                  <w:vAlign w:val="center"/>
                </w:tcPr>
                <w:p w14:paraId="3AE25262">
                  <w:pPr>
                    <w:pageBreakBefore w:val="0"/>
                    <w:kinsoku/>
                    <w:wordWrap/>
                    <w:bidi w:val="0"/>
                    <w:adjustRightInd/>
                    <w:snapToGrid/>
                    <w:jc w:val="center"/>
                    <w:outlineLvl w:val="9"/>
                    <w:rPr>
                      <w:rFonts w:ascii="Times New Roman" w:hAnsi="Times New Roman" w:eastAsia="宋体"/>
                      <w:caps w:val="0"/>
                      <w:color w:val="auto"/>
                      <w:szCs w:val="21"/>
                    </w:rPr>
                  </w:pPr>
                  <w:r>
                    <w:rPr>
                      <w:rFonts w:hint="eastAsia" w:ascii="Times New Roman" w:hAnsi="Times New Roman" w:eastAsia="宋体"/>
                      <w:bCs/>
                      <w:caps w:val="0"/>
                      <w:color w:val="auto"/>
                      <w:szCs w:val="21"/>
                    </w:rPr>
                    <w:t>《大气污染物综合排放标准》</w:t>
                  </w:r>
                  <w:r>
                    <w:rPr>
                      <w:rFonts w:hint="eastAsia" w:ascii="Times New Roman" w:hAnsi="Times New Roman" w:eastAsia="宋体"/>
                      <w:caps w:val="0"/>
                      <w:color w:val="auto"/>
                      <w:kern w:val="0"/>
                      <w:szCs w:val="21"/>
                      <w:lang w:bidi="ar"/>
                    </w:rPr>
                    <w:t>无组织排放监控浓度限值</w:t>
                  </w:r>
                </w:p>
              </w:tc>
              <w:tc>
                <w:tcPr>
                  <w:tcW w:w="2487" w:type="pct"/>
                  <w:noWrap w:val="0"/>
                  <w:vAlign w:val="center"/>
                </w:tcPr>
                <w:p w14:paraId="1214B27A">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rPr>
                    <w:t>1.0</w:t>
                  </w:r>
                </w:p>
              </w:tc>
            </w:tr>
          </w:tbl>
          <w:p w14:paraId="470129E8">
            <w:pPr>
              <w:pStyle w:val="13"/>
              <w:rPr>
                <w:rFonts w:hint="eastAsia"/>
                <w:color w:val="auto"/>
              </w:rPr>
            </w:pPr>
          </w:p>
          <w:p w14:paraId="6FBB5B06">
            <w:pPr>
              <w:pStyle w:val="16"/>
              <w:snapToGrid/>
              <w:spacing w:before="0" w:after="0" w:line="240" w:lineRule="auto"/>
              <w:ind w:right="0"/>
              <w:jc w:val="center"/>
              <w:rPr>
                <w:rFonts w:hint="eastAsia"/>
                <w:b/>
                <w:bCs/>
                <w:color w:val="auto"/>
                <w:sz w:val="21"/>
                <w:szCs w:val="21"/>
              </w:rPr>
            </w:pPr>
            <w:r>
              <w:rPr>
                <w:rFonts w:hint="eastAsia"/>
                <w:b/>
                <w:bCs/>
                <w:color w:val="auto"/>
                <w:sz w:val="21"/>
                <w:szCs w:val="21"/>
              </w:rPr>
              <w:t>表4-</w:t>
            </w:r>
            <w:r>
              <w:rPr>
                <w:rFonts w:hint="eastAsia"/>
                <w:b/>
                <w:bCs/>
                <w:color w:val="auto"/>
                <w:sz w:val="21"/>
                <w:szCs w:val="21"/>
                <w:lang w:val="en-US" w:eastAsia="zh-CN"/>
              </w:rPr>
              <w:t>10</w:t>
            </w:r>
            <w:r>
              <w:rPr>
                <w:rFonts w:hint="eastAsia"/>
                <w:b/>
                <w:bCs/>
                <w:color w:val="auto"/>
                <w:sz w:val="21"/>
                <w:szCs w:val="21"/>
              </w:rPr>
              <w:t xml:space="preserve">    </w:t>
            </w:r>
            <w:r>
              <w:rPr>
                <w:rFonts w:hint="eastAsia"/>
                <w:b/>
                <w:bCs/>
                <w:color w:val="auto"/>
                <w:sz w:val="21"/>
                <w:szCs w:val="21"/>
                <w:lang w:val="en-US" w:eastAsia="zh-CN"/>
              </w:rPr>
              <w:t>2号矿区无组织粉尘</w:t>
            </w:r>
            <w:r>
              <w:rPr>
                <w:rFonts w:hint="eastAsia"/>
                <w:b/>
                <w:bCs/>
                <w:color w:val="auto"/>
                <w:sz w:val="21"/>
                <w:szCs w:val="21"/>
              </w:rPr>
              <w:t>估算模型计算结果表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6"/>
              <w:gridCol w:w="4165"/>
            </w:tblGrid>
            <w:tr w14:paraId="5A7B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vMerge w:val="restart"/>
                  <w:noWrap w:val="0"/>
                  <w:vAlign w:val="center"/>
                </w:tcPr>
                <w:p w14:paraId="322C7E54">
                  <w:pPr>
                    <w:pageBreakBefore w:val="0"/>
                    <w:kinsoku/>
                    <w:wordWrap/>
                    <w:bidi w:val="0"/>
                    <w:adjustRightInd/>
                    <w:snapToGrid/>
                    <w:jc w:val="center"/>
                    <w:outlineLvl w:val="9"/>
                    <w:rPr>
                      <w:rFonts w:ascii="Times New Roman" w:hAnsi="Times New Roman" w:eastAsia="宋体"/>
                      <w:b/>
                      <w:bCs/>
                      <w:caps w:val="0"/>
                      <w:color w:val="auto"/>
                      <w:szCs w:val="21"/>
                    </w:rPr>
                  </w:pPr>
                  <w:r>
                    <w:rPr>
                      <w:rFonts w:ascii="Times New Roman" w:hAnsi="Times New Roman" w:eastAsia="宋体"/>
                      <w:b/>
                      <w:bCs/>
                      <w:caps w:val="0"/>
                      <w:color w:val="auto"/>
                      <w:szCs w:val="21"/>
                    </w:rPr>
                    <w:t>中心下风向距离</w:t>
                  </w:r>
                  <w:r>
                    <w:rPr>
                      <w:rFonts w:hint="eastAsia" w:ascii="Times New Roman" w:hAnsi="Times New Roman" w:eastAsia="宋体"/>
                      <w:b/>
                      <w:bCs/>
                      <w:caps w:val="0"/>
                      <w:color w:val="auto"/>
                      <w:szCs w:val="21"/>
                    </w:rPr>
                    <w:t>（</w:t>
                  </w:r>
                  <w:r>
                    <w:rPr>
                      <w:rFonts w:ascii="Times New Roman" w:hAnsi="Times New Roman" w:eastAsia="宋体"/>
                      <w:b/>
                      <w:bCs/>
                      <w:caps w:val="0"/>
                      <w:color w:val="auto"/>
                      <w:szCs w:val="21"/>
                    </w:rPr>
                    <w:t>m</w:t>
                  </w:r>
                  <w:r>
                    <w:rPr>
                      <w:rFonts w:hint="eastAsia" w:ascii="Times New Roman" w:hAnsi="Times New Roman" w:eastAsia="宋体"/>
                      <w:b/>
                      <w:bCs/>
                      <w:caps w:val="0"/>
                      <w:color w:val="auto"/>
                      <w:szCs w:val="21"/>
                    </w:rPr>
                    <w:t>）</w:t>
                  </w:r>
                </w:p>
              </w:tc>
              <w:tc>
                <w:tcPr>
                  <w:tcW w:w="2548" w:type="pct"/>
                  <w:noWrap w:val="0"/>
                  <w:vAlign w:val="center"/>
                </w:tcPr>
                <w:p w14:paraId="3CA24508">
                  <w:pPr>
                    <w:pageBreakBefore w:val="0"/>
                    <w:kinsoku/>
                    <w:wordWrap/>
                    <w:bidi w:val="0"/>
                    <w:adjustRightInd/>
                    <w:snapToGrid/>
                    <w:jc w:val="center"/>
                    <w:outlineLvl w:val="9"/>
                    <w:rPr>
                      <w:rFonts w:ascii="Times New Roman" w:hAnsi="Times New Roman" w:eastAsia="宋体"/>
                      <w:b/>
                      <w:bCs/>
                      <w:caps w:val="0"/>
                      <w:color w:val="auto"/>
                      <w:szCs w:val="21"/>
                    </w:rPr>
                  </w:pPr>
                  <w:r>
                    <w:rPr>
                      <w:rFonts w:ascii="Times New Roman" w:hAnsi="Times New Roman" w:eastAsia="宋体"/>
                      <w:b/>
                      <w:bCs/>
                      <w:caps w:val="0"/>
                      <w:color w:val="auto"/>
                      <w:szCs w:val="21"/>
                    </w:rPr>
                    <w:t>下风向预测浓度</w:t>
                  </w:r>
                  <w:r>
                    <w:rPr>
                      <w:rFonts w:hint="eastAsia" w:ascii="Times New Roman" w:hAnsi="Times New Roman" w:eastAsia="宋体"/>
                      <w:b/>
                      <w:bCs/>
                      <w:caps w:val="0"/>
                      <w:color w:val="auto"/>
                      <w:szCs w:val="21"/>
                    </w:rPr>
                    <w:t>（m</w:t>
                  </w:r>
                  <w:r>
                    <w:rPr>
                      <w:rFonts w:ascii="Times New Roman" w:hAnsi="Times New Roman" w:eastAsia="宋体"/>
                      <w:b/>
                      <w:bCs/>
                      <w:caps w:val="0"/>
                      <w:color w:val="auto"/>
                      <w:szCs w:val="21"/>
                    </w:rPr>
                    <w:t>g/m</w:t>
                  </w:r>
                  <w:r>
                    <w:rPr>
                      <w:rFonts w:ascii="Times New Roman" w:hAnsi="Times New Roman" w:eastAsia="宋体"/>
                      <w:b/>
                      <w:bCs/>
                      <w:caps w:val="0"/>
                      <w:color w:val="auto"/>
                      <w:szCs w:val="21"/>
                      <w:vertAlign w:val="superscript"/>
                    </w:rPr>
                    <w:t>3</w:t>
                  </w:r>
                  <w:r>
                    <w:rPr>
                      <w:rFonts w:hint="eastAsia" w:ascii="Times New Roman" w:hAnsi="Times New Roman" w:eastAsia="宋体"/>
                      <w:b/>
                      <w:bCs/>
                      <w:caps w:val="0"/>
                      <w:color w:val="auto"/>
                      <w:szCs w:val="21"/>
                    </w:rPr>
                    <w:t>）</w:t>
                  </w:r>
                </w:p>
              </w:tc>
            </w:tr>
            <w:tr w14:paraId="6489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vMerge w:val="continue"/>
                  <w:noWrap w:val="0"/>
                  <w:vAlign w:val="center"/>
                </w:tcPr>
                <w:p w14:paraId="194ABB98">
                  <w:pPr>
                    <w:pageBreakBefore w:val="0"/>
                    <w:kinsoku/>
                    <w:wordWrap/>
                    <w:bidi w:val="0"/>
                    <w:adjustRightInd/>
                    <w:snapToGrid/>
                    <w:jc w:val="center"/>
                    <w:outlineLvl w:val="9"/>
                    <w:rPr>
                      <w:rFonts w:ascii="Times New Roman" w:hAnsi="Times New Roman" w:eastAsia="宋体"/>
                      <w:b/>
                      <w:bCs/>
                      <w:caps w:val="0"/>
                      <w:color w:val="auto"/>
                      <w:szCs w:val="21"/>
                    </w:rPr>
                  </w:pPr>
                </w:p>
              </w:tc>
              <w:tc>
                <w:tcPr>
                  <w:tcW w:w="2548" w:type="pct"/>
                  <w:noWrap w:val="0"/>
                  <w:vAlign w:val="center"/>
                </w:tcPr>
                <w:p w14:paraId="5D344C81">
                  <w:pPr>
                    <w:pageBreakBefore w:val="0"/>
                    <w:kinsoku/>
                    <w:wordWrap/>
                    <w:bidi w:val="0"/>
                    <w:adjustRightInd/>
                    <w:snapToGrid/>
                    <w:jc w:val="center"/>
                    <w:outlineLvl w:val="9"/>
                    <w:rPr>
                      <w:rFonts w:ascii="Times New Roman" w:hAnsi="Times New Roman" w:eastAsia="宋体"/>
                      <w:b/>
                      <w:bCs/>
                      <w:caps w:val="0"/>
                      <w:color w:val="auto"/>
                      <w:szCs w:val="21"/>
                    </w:rPr>
                  </w:pPr>
                  <w:r>
                    <w:rPr>
                      <w:rFonts w:hint="eastAsia" w:ascii="Times New Roman" w:hAnsi="Times New Roman" w:eastAsia="宋体"/>
                      <w:b/>
                      <w:bCs/>
                      <w:caps w:val="0"/>
                      <w:color w:val="auto"/>
                      <w:szCs w:val="21"/>
                    </w:rPr>
                    <w:t>颗粒物</w:t>
                  </w:r>
                </w:p>
              </w:tc>
            </w:tr>
            <w:tr w14:paraId="06C4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6F02B752">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10</w:t>
                  </w:r>
                </w:p>
              </w:tc>
              <w:tc>
                <w:tcPr>
                  <w:tcW w:w="2548" w:type="pct"/>
                  <w:noWrap w:val="0"/>
                  <w:vAlign w:val="center"/>
                </w:tcPr>
                <w:p w14:paraId="4EB68681">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0.38</w:t>
                  </w:r>
                </w:p>
              </w:tc>
            </w:tr>
            <w:tr w14:paraId="1557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12D9CEAD">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25</w:t>
                  </w:r>
                </w:p>
              </w:tc>
              <w:tc>
                <w:tcPr>
                  <w:tcW w:w="2548" w:type="pct"/>
                  <w:noWrap w:val="0"/>
                  <w:vAlign w:val="center"/>
                </w:tcPr>
                <w:p w14:paraId="17EB4350">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0.4</w:t>
                  </w:r>
                </w:p>
              </w:tc>
            </w:tr>
            <w:tr w14:paraId="7B14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tcBorders>
                    <w:bottom w:val="single" w:color="auto" w:sz="4" w:space="0"/>
                  </w:tcBorders>
                  <w:noWrap w:val="0"/>
                  <w:vAlign w:val="center"/>
                </w:tcPr>
                <w:p w14:paraId="6F80F178">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50</w:t>
                  </w:r>
                </w:p>
              </w:tc>
              <w:tc>
                <w:tcPr>
                  <w:tcW w:w="2548" w:type="pct"/>
                  <w:tcBorders>
                    <w:bottom w:val="single" w:color="auto" w:sz="4" w:space="0"/>
                  </w:tcBorders>
                  <w:noWrap w:val="0"/>
                  <w:vAlign w:val="center"/>
                </w:tcPr>
                <w:p w14:paraId="61DF0715">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0.43</w:t>
                  </w:r>
                </w:p>
              </w:tc>
            </w:tr>
            <w:tr w14:paraId="0901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tcBorders>
                    <w:bottom w:val="single" w:color="auto" w:sz="4" w:space="0"/>
                  </w:tcBorders>
                  <w:shd w:val="clear" w:color="auto" w:fill="auto"/>
                  <w:noWrap w:val="0"/>
                  <w:vAlign w:val="center"/>
                </w:tcPr>
                <w:p w14:paraId="6F6D4A97">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75</w:t>
                  </w:r>
                </w:p>
              </w:tc>
              <w:tc>
                <w:tcPr>
                  <w:tcW w:w="2548" w:type="pct"/>
                  <w:tcBorders>
                    <w:bottom w:val="single" w:color="auto" w:sz="4" w:space="0"/>
                  </w:tcBorders>
                  <w:shd w:val="clear" w:color="auto" w:fill="auto"/>
                  <w:noWrap w:val="0"/>
                  <w:vAlign w:val="center"/>
                </w:tcPr>
                <w:p w14:paraId="06003131">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0.46</w:t>
                  </w:r>
                </w:p>
              </w:tc>
            </w:tr>
            <w:tr w14:paraId="320B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tcBorders>
                    <w:top w:val="single" w:color="auto" w:sz="4" w:space="0"/>
                  </w:tcBorders>
                  <w:noWrap w:val="0"/>
                  <w:vAlign w:val="center"/>
                </w:tcPr>
                <w:p w14:paraId="72C38A40">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100</w:t>
                  </w:r>
                </w:p>
              </w:tc>
              <w:tc>
                <w:tcPr>
                  <w:tcW w:w="2548" w:type="pct"/>
                  <w:tcBorders>
                    <w:top w:val="single" w:color="auto" w:sz="4" w:space="0"/>
                  </w:tcBorders>
                  <w:noWrap w:val="0"/>
                  <w:vAlign w:val="center"/>
                </w:tcPr>
                <w:p w14:paraId="5D7BB996">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0.5</w:t>
                  </w:r>
                </w:p>
              </w:tc>
            </w:tr>
            <w:tr w14:paraId="3A93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5900439C">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125</w:t>
                  </w:r>
                </w:p>
              </w:tc>
              <w:tc>
                <w:tcPr>
                  <w:tcW w:w="2548" w:type="pct"/>
                  <w:noWrap w:val="0"/>
                  <w:vAlign w:val="center"/>
                </w:tcPr>
                <w:p w14:paraId="330E1225">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0.52</w:t>
                  </w:r>
                </w:p>
              </w:tc>
            </w:tr>
            <w:tr w14:paraId="4604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2F02015C">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150</w:t>
                  </w:r>
                </w:p>
              </w:tc>
              <w:tc>
                <w:tcPr>
                  <w:tcW w:w="2548" w:type="pct"/>
                  <w:noWrap w:val="0"/>
                  <w:vAlign w:val="center"/>
                </w:tcPr>
                <w:p w14:paraId="4A7E1214">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0.55</w:t>
                  </w:r>
                </w:p>
              </w:tc>
            </w:tr>
            <w:tr w14:paraId="4D20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454D7BAB">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175</w:t>
                  </w:r>
                </w:p>
              </w:tc>
              <w:tc>
                <w:tcPr>
                  <w:tcW w:w="2548" w:type="pct"/>
                  <w:noWrap w:val="0"/>
                  <w:vAlign w:val="center"/>
                </w:tcPr>
                <w:p w14:paraId="703ED2F0">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0.58</w:t>
                  </w:r>
                </w:p>
              </w:tc>
            </w:tr>
            <w:tr w14:paraId="0882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54B102DD">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200</w:t>
                  </w:r>
                </w:p>
              </w:tc>
              <w:tc>
                <w:tcPr>
                  <w:tcW w:w="2548" w:type="pct"/>
                  <w:noWrap w:val="0"/>
                  <w:vAlign w:val="center"/>
                </w:tcPr>
                <w:p w14:paraId="571A0D11">
                  <w:pPr>
                    <w:pageBreakBefore w:val="0"/>
                    <w:kinsoku/>
                    <w:wordWrap/>
                    <w:bidi w:val="0"/>
                    <w:adjustRightInd/>
                    <w:snapToGrid/>
                    <w:jc w:val="center"/>
                    <w:outlineLvl w:val="9"/>
                    <w:rPr>
                      <w:rFonts w:hint="default"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0.61</w:t>
                  </w:r>
                </w:p>
              </w:tc>
            </w:tr>
            <w:tr w14:paraId="691D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5C815272">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300</w:t>
                  </w:r>
                </w:p>
              </w:tc>
              <w:tc>
                <w:tcPr>
                  <w:tcW w:w="2548" w:type="pct"/>
                  <w:noWrap w:val="0"/>
                  <w:vAlign w:val="center"/>
                </w:tcPr>
                <w:p w14:paraId="55C92188">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0.71</w:t>
                  </w:r>
                </w:p>
              </w:tc>
            </w:tr>
            <w:tr w14:paraId="4972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591DF6A1">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400</w:t>
                  </w:r>
                </w:p>
              </w:tc>
              <w:tc>
                <w:tcPr>
                  <w:tcW w:w="2548" w:type="pct"/>
                  <w:noWrap w:val="0"/>
                  <w:vAlign w:val="center"/>
                </w:tcPr>
                <w:p w14:paraId="3CC29BE3">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0.74</w:t>
                  </w:r>
                </w:p>
              </w:tc>
            </w:tr>
            <w:tr w14:paraId="67F8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1CB3C5E1">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500</w:t>
                  </w:r>
                </w:p>
              </w:tc>
              <w:tc>
                <w:tcPr>
                  <w:tcW w:w="2548" w:type="pct"/>
                  <w:noWrap w:val="0"/>
                  <w:vAlign w:val="center"/>
                </w:tcPr>
                <w:p w14:paraId="20B568BE">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0.77</w:t>
                  </w:r>
                </w:p>
              </w:tc>
            </w:tr>
            <w:tr w14:paraId="0351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02344999">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571</w:t>
                  </w:r>
                </w:p>
              </w:tc>
              <w:tc>
                <w:tcPr>
                  <w:tcW w:w="2548" w:type="pct"/>
                  <w:noWrap w:val="0"/>
                  <w:vAlign w:val="center"/>
                </w:tcPr>
                <w:p w14:paraId="6A6DF3A7">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0.77</w:t>
                  </w:r>
                </w:p>
              </w:tc>
            </w:tr>
            <w:tr w14:paraId="77B9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590804EC">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600</w:t>
                  </w:r>
                </w:p>
              </w:tc>
              <w:tc>
                <w:tcPr>
                  <w:tcW w:w="2548" w:type="pct"/>
                  <w:noWrap w:val="0"/>
                  <w:vAlign w:val="center"/>
                </w:tcPr>
                <w:p w14:paraId="0E4A8990">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0.77</w:t>
                  </w:r>
                </w:p>
              </w:tc>
            </w:tr>
            <w:tr w14:paraId="1913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54EC3A0C">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700</w:t>
                  </w:r>
                </w:p>
              </w:tc>
              <w:tc>
                <w:tcPr>
                  <w:tcW w:w="2548" w:type="pct"/>
                  <w:noWrap w:val="0"/>
                  <w:vAlign w:val="center"/>
                </w:tcPr>
                <w:p w14:paraId="18E72F1F">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0.76</w:t>
                  </w:r>
                </w:p>
              </w:tc>
            </w:tr>
            <w:tr w14:paraId="32C0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0F39508F">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800</w:t>
                  </w:r>
                </w:p>
              </w:tc>
              <w:tc>
                <w:tcPr>
                  <w:tcW w:w="2548" w:type="pct"/>
                  <w:noWrap w:val="0"/>
                  <w:vAlign w:val="center"/>
                </w:tcPr>
                <w:p w14:paraId="15A0C54E">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0.74</w:t>
                  </w:r>
                </w:p>
              </w:tc>
            </w:tr>
            <w:tr w14:paraId="1377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5E2F4B55">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lang w:val="en-US" w:eastAsia="zh-CN"/>
                    </w:rPr>
                    <w:t>900</w:t>
                  </w:r>
                </w:p>
              </w:tc>
              <w:tc>
                <w:tcPr>
                  <w:tcW w:w="2548" w:type="pct"/>
                  <w:noWrap w:val="0"/>
                  <w:vAlign w:val="center"/>
                </w:tcPr>
                <w:p w14:paraId="4DF57627">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0.71</w:t>
                  </w:r>
                </w:p>
              </w:tc>
            </w:tr>
            <w:tr w14:paraId="7493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6A8F2B86">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1000</w:t>
                  </w:r>
                </w:p>
              </w:tc>
              <w:tc>
                <w:tcPr>
                  <w:tcW w:w="2548" w:type="pct"/>
                  <w:noWrap w:val="0"/>
                  <w:vAlign w:val="center"/>
                </w:tcPr>
                <w:p w14:paraId="7D01D3E3">
                  <w:pPr>
                    <w:pageBreakBefore w:val="0"/>
                    <w:kinsoku/>
                    <w:wordWrap/>
                    <w:bidi w:val="0"/>
                    <w:adjustRightInd/>
                    <w:snapToGrid/>
                    <w:jc w:val="center"/>
                    <w:outlineLvl w:val="9"/>
                    <w:rPr>
                      <w:rFonts w:hint="eastAsia" w:ascii="Times New Roman" w:hAnsi="Times New Roman" w:eastAsia="宋体"/>
                      <w:caps w:val="0"/>
                      <w:color w:val="auto"/>
                      <w:szCs w:val="21"/>
                      <w:lang w:val="en-US" w:eastAsia="zh-CN"/>
                    </w:rPr>
                  </w:pPr>
                  <w:r>
                    <w:rPr>
                      <w:rFonts w:hint="eastAsia" w:ascii="Times New Roman" w:hAnsi="Times New Roman" w:eastAsia="宋体"/>
                      <w:caps w:val="0"/>
                      <w:color w:val="auto"/>
                      <w:szCs w:val="21"/>
                      <w:lang w:val="en-US" w:eastAsia="zh-CN"/>
                    </w:rPr>
                    <w:t>0.69</w:t>
                  </w:r>
                </w:p>
              </w:tc>
            </w:tr>
            <w:tr w14:paraId="1B74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1" w:type="pct"/>
                  <w:noWrap w:val="0"/>
                  <w:vAlign w:val="center"/>
                </w:tcPr>
                <w:p w14:paraId="34C7E133">
                  <w:pPr>
                    <w:pageBreakBefore w:val="0"/>
                    <w:kinsoku/>
                    <w:wordWrap/>
                    <w:bidi w:val="0"/>
                    <w:adjustRightInd/>
                    <w:snapToGrid/>
                    <w:jc w:val="center"/>
                    <w:outlineLvl w:val="9"/>
                    <w:rPr>
                      <w:rFonts w:ascii="Times New Roman" w:hAnsi="Times New Roman" w:eastAsia="宋体"/>
                      <w:caps w:val="0"/>
                      <w:color w:val="auto"/>
                      <w:szCs w:val="21"/>
                    </w:rPr>
                  </w:pPr>
                  <w:r>
                    <w:rPr>
                      <w:rFonts w:hint="eastAsia" w:ascii="Times New Roman" w:hAnsi="Times New Roman" w:eastAsia="宋体"/>
                      <w:bCs/>
                      <w:caps w:val="0"/>
                      <w:color w:val="auto"/>
                      <w:szCs w:val="21"/>
                    </w:rPr>
                    <w:t>《大气污染物综合排放标准》</w:t>
                  </w:r>
                  <w:r>
                    <w:rPr>
                      <w:rFonts w:hint="eastAsia" w:ascii="Times New Roman" w:hAnsi="Times New Roman" w:eastAsia="宋体"/>
                      <w:caps w:val="0"/>
                      <w:color w:val="auto"/>
                      <w:kern w:val="0"/>
                      <w:szCs w:val="21"/>
                      <w:lang w:bidi="ar"/>
                    </w:rPr>
                    <w:t>无组织排放监控浓度限值</w:t>
                  </w:r>
                </w:p>
              </w:tc>
              <w:tc>
                <w:tcPr>
                  <w:tcW w:w="2548" w:type="pct"/>
                  <w:noWrap w:val="0"/>
                  <w:vAlign w:val="center"/>
                </w:tcPr>
                <w:p w14:paraId="2F434DB6">
                  <w:pPr>
                    <w:pageBreakBefore w:val="0"/>
                    <w:kinsoku/>
                    <w:wordWrap/>
                    <w:bidi w:val="0"/>
                    <w:adjustRightInd/>
                    <w:snapToGrid/>
                    <w:jc w:val="center"/>
                    <w:outlineLvl w:val="9"/>
                    <w:rPr>
                      <w:rFonts w:hint="eastAsia" w:ascii="Times New Roman" w:hAnsi="Times New Roman" w:eastAsia="宋体"/>
                      <w:caps w:val="0"/>
                      <w:color w:val="auto"/>
                      <w:szCs w:val="21"/>
                    </w:rPr>
                  </w:pPr>
                  <w:r>
                    <w:rPr>
                      <w:rFonts w:hint="eastAsia" w:ascii="Times New Roman" w:hAnsi="Times New Roman" w:eastAsia="宋体"/>
                      <w:caps w:val="0"/>
                      <w:color w:val="auto"/>
                      <w:szCs w:val="21"/>
                    </w:rPr>
                    <w:t>1.0</w:t>
                  </w:r>
                </w:p>
              </w:tc>
            </w:tr>
          </w:tbl>
          <w:p w14:paraId="29CC81E3">
            <w:pPr>
              <w:pStyle w:val="16"/>
              <w:snapToGrid/>
              <w:spacing w:before="0" w:after="0" w:line="360" w:lineRule="auto"/>
              <w:ind w:right="0" w:firstLine="480" w:firstLineChars="200"/>
              <w:rPr>
                <w:rFonts w:hint="eastAsia"/>
                <w:color w:val="auto"/>
                <w:sz w:val="24"/>
                <w:highlight w:val="none"/>
              </w:rPr>
            </w:pPr>
            <w:r>
              <w:rPr>
                <w:rFonts w:hint="eastAsia"/>
                <w:color w:val="auto"/>
                <w:sz w:val="24"/>
                <w:highlight w:val="none"/>
              </w:rPr>
              <w:t>项目各生产环节产生的无组织粉尘在采取以上有效防治措施后，可大量减少其排放量，由估算结果可知，</w:t>
            </w:r>
            <w:r>
              <w:rPr>
                <w:rFonts w:hint="eastAsia"/>
                <w:color w:val="auto"/>
                <w:sz w:val="24"/>
                <w:highlight w:val="none"/>
                <w:lang w:val="en-US" w:eastAsia="zh-CN"/>
              </w:rPr>
              <w:t>1号矿区、2号矿区</w:t>
            </w:r>
            <w:r>
              <w:rPr>
                <w:rFonts w:hint="eastAsia"/>
                <w:color w:val="auto"/>
                <w:sz w:val="24"/>
                <w:highlight w:val="none"/>
              </w:rPr>
              <w:t>厂界外1m颗粒物无组织排放浓度均满足《大气污染物综合排放标准》（GB16297-1996）表2中污染物无组织排放监控浓度限值要求（颗粒物≤1.0mg/m</w:t>
            </w:r>
            <w:r>
              <w:rPr>
                <w:rFonts w:hint="eastAsia"/>
                <w:color w:val="auto"/>
                <w:sz w:val="24"/>
                <w:highlight w:val="none"/>
                <w:vertAlign w:val="superscript"/>
              </w:rPr>
              <w:t>3</w:t>
            </w:r>
            <w:r>
              <w:rPr>
                <w:rFonts w:hint="eastAsia"/>
                <w:color w:val="auto"/>
                <w:sz w:val="24"/>
                <w:highlight w:val="none"/>
              </w:rPr>
              <w:t>），对区域空气环境质量影响不大。</w:t>
            </w:r>
          </w:p>
          <w:p w14:paraId="0C6CADA6">
            <w:pPr>
              <w:pStyle w:val="16"/>
              <w:snapToGrid/>
              <w:spacing w:before="0" w:after="0" w:line="360" w:lineRule="auto"/>
              <w:ind w:right="0"/>
              <w:jc w:val="left"/>
              <w:rPr>
                <w:b/>
                <w:bCs/>
                <w:color w:val="auto"/>
                <w:sz w:val="24"/>
              </w:rPr>
            </w:pPr>
            <w:r>
              <w:rPr>
                <w:rFonts w:hint="eastAsia"/>
                <w:b/>
                <w:bCs/>
                <w:color w:val="auto"/>
                <w:sz w:val="24"/>
              </w:rPr>
              <w:t>3.3监测计划</w:t>
            </w:r>
          </w:p>
          <w:p w14:paraId="404E78C5">
            <w:pPr>
              <w:pStyle w:val="16"/>
              <w:snapToGrid/>
              <w:spacing w:before="0" w:after="0" w:line="360" w:lineRule="auto"/>
              <w:ind w:right="0" w:firstLine="480" w:firstLineChars="200"/>
              <w:jc w:val="left"/>
              <w:rPr>
                <w:color w:val="auto"/>
                <w:sz w:val="24"/>
              </w:rPr>
            </w:pPr>
            <w:r>
              <w:rPr>
                <w:rFonts w:hint="eastAsia"/>
                <w:color w:val="auto"/>
                <w:sz w:val="24"/>
              </w:rPr>
              <w:t>根据《排污单位自行监测技术指南 总则》（HJ819-2017），本项目废气监测计划见表4-</w:t>
            </w:r>
            <w:r>
              <w:rPr>
                <w:rFonts w:hint="eastAsia"/>
                <w:color w:val="auto"/>
                <w:sz w:val="24"/>
                <w:lang w:val="en-US" w:eastAsia="zh-CN"/>
              </w:rPr>
              <w:t>11</w:t>
            </w:r>
            <w:r>
              <w:rPr>
                <w:color w:val="auto"/>
                <w:sz w:val="24"/>
              </w:rPr>
              <w:t>。</w:t>
            </w:r>
          </w:p>
          <w:p w14:paraId="1D7BF1A3">
            <w:pPr>
              <w:pStyle w:val="16"/>
              <w:snapToGrid/>
              <w:spacing w:before="0" w:after="0" w:line="240" w:lineRule="auto"/>
              <w:ind w:right="0"/>
              <w:jc w:val="center"/>
              <w:rPr>
                <w:b/>
                <w:bCs/>
                <w:color w:val="auto"/>
                <w:sz w:val="21"/>
                <w:szCs w:val="21"/>
              </w:rPr>
            </w:pPr>
            <w:r>
              <w:rPr>
                <w:rFonts w:hint="eastAsia"/>
                <w:b/>
                <w:bCs/>
                <w:color w:val="auto"/>
                <w:sz w:val="21"/>
                <w:szCs w:val="21"/>
              </w:rPr>
              <w:t>表4-</w:t>
            </w:r>
            <w:r>
              <w:rPr>
                <w:rFonts w:hint="eastAsia"/>
                <w:b/>
                <w:bCs/>
                <w:color w:val="auto"/>
                <w:sz w:val="21"/>
                <w:szCs w:val="21"/>
                <w:lang w:val="en-US" w:eastAsia="zh-CN"/>
              </w:rPr>
              <w:t>11</w:t>
            </w:r>
            <w:r>
              <w:rPr>
                <w:rFonts w:hint="eastAsia"/>
                <w:b/>
                <w:bCs/>
                <w:color w:val="auto"/>
                <w:sz w:val="21"/>
                <w:szCs w:val="21"/>
              </w:rPr>
              <w:t xml:space="preserve">   废气监测计划一览表</w:t>
            </w:r>
          </w:p>
          <w:tbl>
            <w:tblPr>
              <w:tblStyle w:val="29"/>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256"/>
              <w:gridCol w:w="1200"/>
              <w:gridCol w:w="1289"/>
              <w:gridCol w:w="3123"/>
            </w:tblGrid>
            <w:tr w14:paraId="1803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14:paraId="36F1CC69">
                  <w:pPr>
                    <w:jc w:val="center"/>
                    <w:rPr>
                      <w:color w:val="auto"/>
                      <w:szCs w:val="21"/>
                    </w:rPr>
                  </w:pPr>
                  <w:r>
                    <w:rPr>
                      <w:rFonts w:hint="eastAsia"/>
                      <w:color w:val="auto"/>
                      <w:szCs w:val="21"/>
                    </w:rPr>
                    <w:t>污染源名称</w:t>
                  </w:r>
                </w:p>
              </w:tc>
              <w:tc>
                <w:tcPr>
                  <w:tcW w:w="1256" w:type="dxa"/>
                </w:tcPr>
                <w:p w14:paraId="753BBBF2">
                  <w:pPr>
                    <w:jc w:val="center"/>
                    <w:rPr>
                      <w:color w:val="auto"/>
                      <w:szCs w:val="21"/>
                    </w:rPr>
                  </w:pPr>
                  <w:r>
                    <w:rPr>
                      <w:rFonts w:hint="eastAsia"/>
                      <w:color w:val="auto"/>
                      <w:szCs w:val="21"/>
                    </w:rPr>
                    <w:t>监测点位</w:t>
                  </w:r>
                </w:p>
              </w:tc>
              <w:tc>
                <w:tcPr>
                  <w:tcW w:w="1200" w:type="dxa"/>
                </w:tcPr>
                <w:p w14:paraId="0FA63106">
                  <w:pPr>
                    <w:jc w:val="center"/>
                    <w:rPr>
                      <w:color w:val="auto"/>
                      <w:szCs w:val="21"/>
                    </w:rPr>
                  </w:pPr>
                  <w:r>
                    <w:rPr>
                      <w:rFonts w:hint="eastAsia"/>
                      <w:color w:val="auto"/>
                      <w:szCs w:val="21"/>
                    </w:rPr>
                    <w:t>监测项目</w:t>
                  </w:r>
                </w:p>
              </w:tc>
              <w:tc>
                <w:tcPr>
                  <w:tcW w:w="1289" w:type="dxa"/>
                </w:tcPr>
                <w:p w14:paraId="75B35B43">
                  <w:pPr>
                    <w:jc w:val="center"/>
                    <w:rPr>
                      <w:color w:val="auto"/>
                      <w:szCs w:val="21"/>
                    </w:rPr>
                  </w:pPr>
                  <w:r>
                    <w:rPr>
                      <w:rFonts w:hint="eastAsia"/>
                      <w:color w:val="auto"/>
                      <w:szCs w:val="21"/>
                    </w:rPr>
                    <w:t>监测频率</w:t>
                  </w:r>
                </w:p>
              </w:tc>
              <w:tc>
                <w:tcPr>
                  <w:tcW w:w="3123" w:type="dxa"/>
                </w:tcPr>
                <w:p w14:paraId="7CC1205B">
                  <w:pPr>
                    <w:jc w:val="center"/>
                    <w:rPr>
                      <w:color w:val="auto"/>
                      <w:szCs w:val="21"/>
                    </w:rPr>
                  </w:pPr>
                  <w:r>
                    <w:rPr>
                      <w:rFonts w:hint="eastAsia"/>
                      <w:color w:val="auto"/>
                      <w:szCs w:val="21"/>
                    </w:rPr>
                    <w:t>执行标准</w:t>
                  </w:r>
                </w:p>
              </w:tc>
            </w:tr>
            <w:tr w14:paraId="224B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14:paraId="520F9DE0">
                  <w:pPr>
                    <w:jc w:val="center"/>
                    <w:rPr>
                      <w:color w:val="auto"/>
                      <w:szCs w:val="21"/>
                    </w:rPr>
                  </w:pPr>
                  <w:r>
                    <w:rPr>
                      <w:rFonts w:hint="eastAsia"/>
                      <w:color w:val="auto"/>
                      <w:szCs w:val="21"/>
                    </w:rPr>
                    <w:t>矿区</w:t>
                  </w:r>
                </w:p>
              </w:tc>
              <w:tc>
                <w:tcPr>
                  <w:tcW w:w="1256" w:type="dxa"/>
                </w:tcPr>
                <w:p w14:paraId="3C28896B">
                  <w:pPr>
                    <w:jc w:val="center"/>
                    <w:rPr>
                      <w:color w:val="auto"/>
                      <w:szCs w:val="21"/>
                    </w:rPr>
                  </w:pPr>
                  <w:r>
                    <w:rPr>
                      <w:rFonts w:hint="eastAsia"/>
                      <w:color w:val="auto"/>
                      <w:szCs w:val="21"/>
                    </w:rPr>
                    <w:t>厂界</w:t>
                  </w:r>
                </w:p>
              </w:tc>
              <w:tc>
                <w:tcPr>
                  <w:tcW w:w="1200" w:type="dxa"/>
                </w:tcPr>
                <w:p w14:paraId="7A2CAF0D">
                  <w:pPr>
                    <w:jc w:val="center"/>
                    <w:rPr>
                      <w:color w:val="auto"/>
                      <w:szCs w:val="21"/>
                    </w:rPr>
                  </w:pPr>
                  <w:r>
                    <w:rPr>
                      <w:rFonts w:hint="eastAsia"/>
                      <w:color w:val="auto"/>
                      <w:szCs w:val="21"/>
                    </w:rPr>
                    <w:t>颗粒物</w:t>
                  </w:r>
                </w:p>
              </w:tc>
              <w:tc>
                <w:tcPr>
                  <w:tcW w:w="1289" w:type="dxa"/>
                </w:tcPr>
                <w:p w14:paraId="1F44761E">
                  <w:pPr>
                    <w:jc w:val="center"/>
                    <w:rPr>
                      <w:color w:val="auto"/>
                      <w:szCs w:val="21"/>
                    </w:rPr>
                  </w:pPr>
                  <w:r>
                    <w:rPr>
                      <w:rFonts w:hint="eastAsia"/>
                      <w:color w:val="auto"/>
                      <w:szCs w:val="21"/>
                    </w:rPr>
                    <w:t>1次/季度</w:t>
                  </w:r>
                </w:p>
              </w:tc>
              <w:tc>
                <w:tcPr>
                  <w:tcW w:w="3123" w:type="dxa"/>
                </w:tcPr>
                <w:p w14:paraId="2074220F">
                  <w:pPr>
                    <w:jc w:val="center"/>
                    <w:rPr>
                      <w:color w:val="auto"/>
                      <w:szCs w:val="21"/>
                    </w:rPr>
                  </w:pPr>
                  <w:r>
                    <w:rPr>
                      <w:rFonts w:hint="eastAsia"/>
                      <w:color w:val="auto"/>
                      <w:szCs w:val="21"/>
                    </w:rPr>
                    <w:t>《大气污染物综合排放标准》（GB16297-1996）中无组织排放浓度1.0mg/m</w:t>
                  </w:r>
                  <w:r>
                    <w:rPr>
                      <w:rFonts w:hint="eastAsia"/>
                      <w:color w:val="auto"/>
                      <w:szCs w:val="21"/>
                      <w:vertAlign w:val="superscript"/>
                    </w:rPr>
                    <w:t>3</w:t>
                  </w:r>
                </w:p>
              </w:tc>
            </w:tr>
          </w:tbl>
          <w:p w14:paraId="4195E672">
            <w:pPr>
              <w:adjustRightInd w:val="0"/>
              <w:spacing w:before="120" w:beforeLines="50" w:line="360" w:lineRule="auto"/>
              <w:rPr>
                <w:color w:val="auto"/>
                <w:sz w:val="24"/>
              </w:rPr>
            </w:pPr>
            <w:r>
              <w:rPr>
                <w:b/>
                <w:bCs/>
                <w:color w:val="auto"/>
                <w:sz w:val="24"/>
                <w:szCs w:val="32"/>
              </w:rPr>
              <w:t>4、运营期</w:t>
            </w:r>
            <w:r>
              <w:rPr>
                <w:b/>
                <w:color w:val="auto"/>
                <w:sz w:val="24"/>
              </w:rPr>
              <w:t>水环境影响分析</w:t>
            </w:r>
          </w:p>
          <w:p w14:paraId="38EEFC77">
            <w:pPr>
              <w:topLinePunct/>
              <w:spacing w:line="360" w:lineRule="auto"/>
              <w:ind w:firstLine="480" w:firstLineChars="200"/>
              <w:rPr>
                <w:rFonts w:hint="eastAsia"/>
                <w:color w:val="auto"/>
                <w:sz w:val="24"/>
              </w:rPr>
            </w:pPr>
            <w:r>
              <w:rPr>
                <w:rFonts w:hint="eastAsia"/>
                <w:color w:val="auto"/>
                <w:sz w:val="24"/>
                <w:szCs w:val="28"/>
              </w:rPr>
              <w:t>运营期矿区不设办公生活区，矿区作业人员聘用当地人员，食宿均自行解决。</w:t>
            </w:r>
            <w:r>
              <w:rPr>
                <w:rFonts w:hint="eastAsia"/>
                <w:color w:val="auto"/>
                <w:sz w:val="24"/>
              </w:rPr>
              <w:t>运营期劳动定员20人，正常情况下每天排尿量约为1000—2000mL，</w:t>
            </w:r>
            <w:r>
              <w:rPr>
                <w:rFonts w:hint="eastAsia"/>
                <w:color w:val="auto"/>
                <w:sz w:val="24"/>
                <w:lang w:val="en-US" w:eastAsia="zh-CN"/>
              </w:rPr>
              <w:t>按20</w:t>
            </w:r>
            <w:r>
              <w:rPr>
                <w:rFonts w:hint="eastAsia"/>
                <w:color w:val="auto"/>
                <w:sz w:val="24"/>
              </w:rPr>
              <w:t>00mL</w:t>
            </w:r>
            <w:r>
              <w:rPr>
                <w:rFonts w:hint="eastAsia"/>
                <w:color w:val="auto"/>
                <w:sz w:val="24"/>
                <w:lang w:val="en-US" w:eastAsia="zh-CN"/>
              </w:rPr>
              <w:t>计</w:t>
            </w:r>
            <w:r>
              <w:rPr>
                <w:rFonts w:hint="eastAsia"/>
                <w:color w:val="auto"/>
                <w:sz w:val="24"/>
              </w:rPr>
              <w:t>，每日排放量</w:t>
            </w:r>
            <w:r>
              <w:rPr>
                <w:rFonts w:hint="eastAsia"/>
                <w:color w:val="auto"/>
                <w:sz w:val="24"/>
                <w:lang w:val="en-US" w:eastAsia="zh-CN"/>
              </w:rPr>
              <w:t>4</w:t>
            </w:r>
            <w:r>
              <w:rPr>
                <w:rFonts w:hint="eastAsia"/>
                <w:color w:val="auto"/>
                <w:sz w:val="24"/>
              </w:rPr>
              <w:t>0L，</w:t>
            </w:r>
            <w:r>
              <w:rPr>
                <w:rFonts w:hint="eastAsia"/>
                <w:color w:val="auto"/>
                <w:sz w:val="24"/>
                <w:lang w:val="en-US" w:eastAsia="zh-CN"/>
              </w:rPr>
              <w:t>年排放量10m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矿区设1处环保厕所</w:t>
            </w:r>
            <w:r>
              <w:rPr>
                <w:rFonts w:hint="eastAsia"/>
                <w:color w:val="auto"/>
                <w:sz w:val="24"/>
                <w:lang w:val="en-US" w:eastAsia="zh-CN"/>
              </w:rPr>
              <w:t>和1座防渗化粪池（15m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，人员如厕废水</w:t>
            </w:r>
            <w:r>
              <w:rPr>
                <w:rFonts w:hint="eastAsia"/>
                <w:color w:val="auto"/>
                <w:sz w:val="24"/>
                <w:lang w:val="en-US" w:eastAsia="zh-CN"/>
              </w:rPr>
              <w:t>暂存于防渗化粪池，每年至少清理1次，采用</w:t>
            </w:r>
            <w:r>
              <w:rPr>
                <w:rFonts w:hint="eastAsia"/>
                <w:color w:val="auto"/>
                <w:sz w:val="24"/>
              </w:rPr>
              <w:t>吸污车拉运至奇台县污水处理厂进一步处理。</w:t>
            </w:r>
          </w:p>
          <w:p w14:paraId="47E72642">
            <w:pPr>
              <w:topLinePunct/>
              <w:spacing w:line="360" w:lineRule="auto"/>
              <w:ind w:firstLine="480" w:firstLineChars="200"/>
              <w:rPr>
                <w:rFonts w:hint="eastAsia"/>
                <w:color w:val="auto"/>
                <w:sz w:val="24"/>
                <w:szCs w:val="28"/>
              </w:rPr>
            </w:pPr>
            <w:r>
              <w:rPr>
                <w:rFonts w:hint="eastAsia"/>
                <w:color w:val="auto"/>
                <w:sz w:val="24"/>
                <w:szCs w:val="28"/>
              </w:rPr>
              <w:t>本项目用水环节主要为露天采场、表土堆场、矿区道路等洒水降尘用水</w:t>
            </w:r>
            <w:r>
              <w:rPr>
                <w:rFonts w:hint="eastAsia"/>
                <w:color w:val="auto"/>
                <w:sz w:val="24"/>
                <w:szCs w:val="28"/>
                <w:lang w:val="en-US" w:eastAsia="zh-CN"/>
              </w:rPr>
              <w:t>和车辆清洗用水</w:t>
            </w:r>
            <w:r>
              <w:rPr>
                <w:rFonts w:hint="eastAsia"/>
                <w:color w:val="auto"/>
                <w:sz w:val="24"/>
                <w:szCs w:val="28"/>
              </w:rPr>
              <w:t>，用水量为33</w:t>
            </w:r>
            <w:r>
              <w:rPr>
                <w:rFonts w:hint="eastAsia"/>
                <w:color w:val="auto"/>
                <w:sz w:val="24"/>
                <w:szCs w:val="28"/>
                <w:lang w:val="en-US" w:eastAsia="zh-CN"/>
              </w:rPr>
              <w:t>.5</w:t>
            </w:r>
            <w:r>
              <w:rPr>
                <w:rFonts w:hint="eastAsia"/>
                <w:color w:val="auto"/>
                <w:sz w:val="24"/>
                <w:szCs w:val="28"/>
              </w:rPr>
              <w:t>m</w:t>
            </w:r>
            <w:r>
              <w:rPr>
                <w:rFonts w:hint="eastAsia"/>
                <w:color w:val="auto"/>
                <w:sz w:val="24"/>
                <w:szCs w:val="28"/>
                <w:vertAlign w:val="superscript"/>
              </w:rPr>
              <w:t>3</w:t>
            </w:r>
            <w:r>
              <w:rPr>
                <w:rFonts w:hint="eastAsia"/>
                <w:color w:val="auto"/>
                <w:sz w:val="24"/>
                <w:szCs w:val="28"/>
              </w:rPr>
              <w:t>/d，</w:t>
            </w:r>
            <w:r>
              <w:rPr>
                <w:rFonts w:hint="eastAsia"/>
                <w:color w:val="auto"/>
                <w:sz w:val="24"/>
                <w:szCs w:val="28"/>
                <w:lang w:val="en-US" w:eastAsia="zh-CN"/>
              </w:rPr>
              <w:t>其中33m</w:t>
            </w:r>
            <w:r>
              <w:rPr>
                <w:rFonts w:hint="eastAsia"/>
                <w:color w:val="auto"/>
                <w:sz w:val="24"/>
                <w:szCs w:val="28"/>
                <w:vertAlign w:val="superscript"/>
                <w:lang w:val="en-US" w:eastAsia="zh-CN"/>
              </w:rPr>
              <w:t>3</w:t>
            </w:r>
            <w:r>
              <w:rPr>
                <w:rFonts w:hint="eastAsia"/>
                <w:color w:val="auto"/>
                <w:sz w:val="24"/>
                <w:szCs w:val="28"/>
                <w:lang w:val="en-US" w:eastAsia="zh-CN"/>
              </w:rPr>
              <w:t>/d</w:t>
            </w:r>
            <w:r>
              <w:rPr>
                <w:rFonts w:hint="eastAsia"/>
                <w:color w:val="auto"/>
                <w:sz w:val="24"/>
                <w:szCs w:val="28"/>
              </w:rPr>
              <w:t>降尘用水全部自然蒸发。</w:t>
            </w:r>
          </w:p>
          <w:p w14:paraId="2CCFF514">
            <w:pPr>
              <w:topLinePunct/>
              <w:spacing w:line="360" w:lineRule="auto"/>
              <w:ind w:firstLine="480" w:firstLineChars="200"/>
              <w:rPr>
                <w:rFonts w:hint="eastAsia"/>
                <w:color w:val="auto"/>
                <w:sz w:val="24"/>
                <w:szCs w:val="28"/>
              </w:rPr>
            </w:pPr>
            <w:r>
              <w:rPr>
                <w:rFonts w:hint="eastAsia"/>
                <w:color w:val="auto"/>
                <w:sz w:val="24"/>
                <w:szCs w:val="28"/>
              </w:rPr>
              <w:t>本项目车辆清洗用水量为</w:t>
            </w:r>
            <w:r>
              <w:rPr>
                <w:rFonts w:hint="eastAsia"/>
                <w:color w:val="auto"/>
                <w:sz w:val="24"/>
                <w:szCs w:val="28"/>
                <w:lang w:val="en-US" w:eastAsia="zh-CN"/>
              </w:rPr>
              <w:t>5</w:t>
            </w:r>
            <w:r>
              <w:rPr>
                <w:rFonts w:hint="eastAsia"/>
                <w:color w:val="auto"/>
                <w:sz w:val="24"/>
                <w:szCs w:val="28"/>
              </w:rPr>
              <w:t>m</w:t>
            </w:r>
            <w:r>
              <w:rPr>
                <w:rFonts w:hint="eastAsia"/>
                <w:color w:val="auto"/>
                <w:sz w:val="24"/>
                <w:szCs w:val="28"/>
                <w:vertAlign w:val="superscript"/>
              </w:rPr>
              <w:t>3</w:t>
            </w:r>
            <w:r>
              <w:rPr>
                <w:rFonts w:hint="eastAsia"/>
                <w:color w:val="auto"/>
                <w:sz w:val="24"/>
                <w:szCs w:val="28"/>
              </w:rPr>
              <w:t>/d（</w:t>
            </w:r>
            <w:r>
              <w:rPr>
                <w:rFonts w:hint="eastAsia"/>
                <w:color w:val="auto"/>
                <w:sz w:val="24"/>
                <w:szCs w:val="28"/>
                <w:lang w:val="en-US" w:eastAsia="zh-CN"/>
              </w:rPr>
              <w:t>125</w:t>
            </w:r>
            <w:r>
              <w:rPr>
                <w:rFonts w:hint="eastAsia"/>
                <w:color w:val="auto"/>
                <w:sz w:val="24"/>
                <w:szCs w:val="28"/>
              </w:rPr>
              <w:t>0m</w:t>
            </w:r>
            <w:r>
              <w:rPr>
                <w:rFonts w:hint="eastAsia"/>
                <w:color w:val="auto"/>
                <w:sz w:val="24"/>
                <w:szCs w:val="28"/>
                <w:vertAlign w:val="superscript"/>
              </w:rPr>
              <w:t>3</w:t>
            </w:r>
            <w:r>
              <w:rPr>
                <w:rFonts w:hint="eastAsia"/>
                <w:color w:val="auto"/>
                <w:sz w:val="24"/>
                <w:szCs w:val="28"/>
              </w:rPr>
              <w:t>/a），产污系数按90%计，则车辆清洗废水量产生量为</w:t>
            </w:r>
            <w:r>
              <w:rPr>
                <w:rFonts w:hint="eastAsia"/>
                <w:color w:val="auto"/>
                <w:sz w:val="24"/>
                <w:szCs w:val="28"/>
                <w:lang w:val="en-US" w:eastAsia="zh-CN"/>
              </w:rPr>
              <w:t>4.5</w:t>
            </w:r>
            <w:r>
              <w:rPr>
                <w:rFonts w:hint="eastAsia"/>
                <w:color w:val="auto"/>
                <w:sz w:val="24"/>
                <w:szCs w:val="28"/>
              </w:rPr>
              <w:t>m</w:t>
            </w:r>
            <w:r>
              <w:rPr>
                <w:rFonts w:hint="eastAsia"/>
                <w:color w:val="auto"/>
                <w:sz w:val="24"/>
                <w:szCs w:val="28"/>
                <w:vertAlign w:val="superscript"/>
              </w:rPr>
              <w:t>3</w:t>
            </w:r>
            <w:r>
              <w:rPr>
                <w:rFonts w:hint="eastAsia"/>
                <w:color w:val="auto"/>
                <w:sz w:val="24"/>
                <w:szCs w:val="28"/>
              </w:rPr>
              <w:t>/d（</w:t>
            </w:r>
            <w:r>
              <w:rPr>
                <w:rFonts w:hint="eastAsia"/>
                <w:color w:val="auto"/>
                <w:sz w:val="24"/>
                <w:szCs w:val="28"/>
                <w:lang w:val="en-US" w:eastAsia="zh-CN"/>
              </w:rPr>
              <w:t>1125</w:t>
            </w:r>
            <w:r>
              <w:rPr>
                <w:rFonts w:hint="eastAsia"/>
                <w:color w:val="auto"/>
                <w:sz w:val="24"/>
                <w:szCs w:val="28"/>
              </w:rPr>
              <w:t>m</w:t>
            </w:r>
            <w:r>
              <w:rPr>
                <w:rFonts w:hint="eastAsia"/>
                <w:color w:val="auto"/>
                <w:sz w:val="24"/>
                <w:szCs w:val="28"/>
                <w:vertAlign w:val="superscript"/>
              </w:rPr>
              <w:t>3</w:t>
            </w:r>
            <w:r>
              <w:rPr>
                <w:rFonts w:hint="eastAsia"/>
                <w:color w:val="auto"/>
                <w:sz w:val="24"/>
                <w:szCs w:val="28"/>
              </w:rPr>
              <w:t>/a）</w:t>
            </w:r>
            <w:r>
              <w:rPr>
                <w:rFonts w:hint="eastAsia"/>
                <w:color w:val="auto"/>
                <w:sz w:val="24"/>
                <w:szCs w:val="28"/>
                <w:lang w:eastAsia="zh-CN"/>
              </w:rPr>
              <w:t>，车辆</w:t>
            </w:r>
            <w:r>
              <w:rPr>
                <w:rFonts w:hint="eastAsia"/>
                <w:color w:val="auto"/>
                <w:sz w:val="24"/>
                <w:szCs w:val="28"/>
                <w:lang w:val="en-US" w:eastAsia="zh-CN"/>
              </w:rPr>
              <w:t>清洗</w:t>
            </w:r>
            <w:r>
              <w:rPr>
                <w:rFonts w:hint="eastAsia"/>
                <w:color w:val="auto"/>
                <w:sz w:val="24"/>
                <w:szCs w:val="28"/>
                <w:lang w:eastAsia="zh-CN"/>
              </w:rPr>
              <w:t>废水主要污染物为 SS，</w:t>
            </w:r>
            <w:r>
              <w:rPr>
                <w:rFonts w:hint="eastAsia"/>
                <w:color w:val="auto"/>
                <w:sz w:val="24"/>
                <w:szCs w:val="28"/>
              </w:rPr>
              <w:t>本次评价要求在</w:t>
            </w:r>
            <w:r>
              <w:rPr>
                <w:rFonts w:hint="eastAsia"/>
                <w:color w:val="auto"/>
                <w:sz w:val="24"/>
                <w:szCs w:val="28"/>
                <w:lang w:val="en-US" w:eastAsia="zh-CN"/>
              </w:rPr>
              <w:t>矿区</w:t>
            </w:r>
            <w:r>
              <w:rPr>
                <w:rFonts w:hint="eastAsia"/>
                <w:color w:val="auto"/>
                <w:sz w:val="24"/>
                <w:szCs w:val="28"/>
              </w:rPr>
              <w:t>出入口处设沉淀池，即车辆</w:t>
            </w:r>
            <w:r>
              <w:rPr>
                <w:rFonts w:hint="eastAsia"/>
                <w:color w:val="auto"/>
                <w:sz w:val="24"/>
                <w:szCs w:val="28"/>
                <w:lang w:eastAsia="zh-CN"/>
              </w:rPr>
              <w:t>清理</w:t>
            </w:r>
            <w:r>
              <w:rPr>
                <w:rFonts w:hint="eastAsia"/>
                <w:color w:val="auto"/>
                <w:sz w:val="24"/>
                <w:szCs w:val="28"/>
              </w:rPr>
              <w:t>废水经沉淀池处理后用于洒水抑尘，不外排。</w:t>
            </w:r>
          </w:p>
          <w:p w14:paraId="29F2D828">
            <w:pPr>
              <w:spacing w:line="360" w:lineRule="auto"/>
              <w:rPr>
                <w:color w:val="auto"/>
                <w:sz w:val="24"/>
              </w:rPr>
            </w:pPr>
            <w:r>
              <w:rPr>
                <w:b/>
                <w:bCs/>
                <w:color w:val="auto"/>
                <w:sz w:val="24"/>
              </w:rPr>
              <w:t>5、</w:t>
            </w:r>
            <w:r>
              <w:rPr>
                <w:b/>
                <w:bCs/>
                <w:color w:val="auto"/>
                <w:sz w:val="24"/>
                <w:szCs w:val="32"/>
              </w:rPr>
              <w:t>运营期</w:t>
            </w:r>
            <w:r>
              <w:rPr>
                <w:b/>
                <w:color w:val="auto"/>
                <w:sz w:val="24"/>
              </w:rPr>
              <w:t>噪声环境影响分析</w:t>
            </w:r>
          </w:p>
          <w:p w14:paraId="645B4BCC">
            <w:pPr>
              <w:spacing w:line="360" w:lineRule="auto"/>
              <w:rPr>
                <w:b/>
                <w:bCs/>
                <w:color w:val="auto"/>
                <w:sz w:val="24"/>
              </w:rPr>
            </w:pPr>
            <w:r>
              <w:rPr>
                <w:rFonts w:hint="eastAsia"/>
                <w:b/>
                <w:bCs/>
                <w:color w:val="auto"/>
                <w:sz w:val="24"/>
              </w:rPr>
              <w:t>5.1噪声源强</w:t>
            </w:r>
          </w:p>
          <w:p w14:paraId="1D77C613">
            <w:pPr>
              <w:spacing w:line="360" w:lineRule="auto"/>
              <w:ind w:firstLine="573"/>
              <w:rPr>
                <w:color w:val="auto"/>
                <w:sz w:val="24"/>
              </w:rPr>
            </w:pPr>
            <w:r>
              <w:rPr>
                <w:color w:val="auto"/>
                <w:sz w:val="24"/>
              </w:rPr>
              <w:t>项目噪声源主要有</w:t>
            </w:r>
            <w:r>
              <w:rPr>
                <w:rFonts w:hint="eastAsia"/>
                <w:color w:val="auto"/>
                <w:sz w:val="24"/>
              </w:rPr>
              <w:t>挖掘机、装载机、</w:t>
            </w:r>
            <w:r>
              <w:rPr>
                <w:color w:val="auto"/>
                <w:sz w:val="24"/>
              </w:rPr>
              <w:t>车辆运输过程产生，噪声源强约</w:t>
            </w:r>
            <w:r>
              <w:rPr>
                <w:rFonts w:hint="eastAsia"/>
                <w:color w:val="auto"/>
                <w:sz w:val="24"/>
              </w:rPr>
              <w:t>80-90</w:t>
            </w:r>
            <w:r>
              <w:rPr>
                <w:color w:val="auto"/>
                <w:sz w:val="24"/>
              </w:rPr>
              <w:t>（A）。项目主要噪声源见下表</w:t>
            </w:r>
            <w:r>
              <w:rPr>
                <w:rFonts w:hint="eastAsia"/>
                <w:color w:val="auto"/>
                <w:sz w:val="24"/>
              </w:rPr>
              <w:t>4-</w:t>
            </w:r>
            <w:r>
              <w:rPr>
                <w:rFonts w:hint="eastAsia"/>
                <w:color w:val="auto"/>
                <w:sz w:val="24"/>
                <w:lang w:val="en-US" w:eastAsia="zh-CN"/>
              </w:rPr>
              <w:t>12</w:t>
            </w:r>
            <w:r>
              <w:rPr>
                <w:color w:val="auto"/>
                <w:sz w:val="24"/>
              </w:rPr>
              <w:t>。</w:t>
            </w:r>
          </w:p>
          <w:p w14:paraId="16F68F23">
            <w:pPr>
              <w:pStyle w:val="16"/>
              <w:snapToGrid/>
              <w:spacing w:before="0" w:after="0" w:line="240" w:lineRule="auto"/>
              <w:ind w:right="0"/>
              <w:jc w:val="center"/>
              <w:rPr>
                <w:b/>
                <w:bCs/>
                <w:color w:val="auto"/>
                <w:sz w:val="21"/>
                <w:szCs w:val="21"/>
              </w:rPr>
            </w:pPr>
            <w:r>
              <w:rPr>
                <w:rFonts w:hint="eastAsia"/>
                <w:b/>
                <w:bCs/>
                <w:color w:val="auto"/>
                <w:sz w:val="21"/>
                <w:szCs w:val="21"/>
              </w:rPr>
              <w:t>表4</w:t>
            </w:r>
            <w:r>
              <w:rPr>
                <w:rFonts w:hint="eastAsia"/>
                <w:b/>
                <w:bCs/>
                <w:color w:val="auto"/>
                <w:sz w:val="21"/>
                <w:szCs w:val="21"/>
                <w:lang w:val="en-US" w:eastAsia="zh-CN"/>
              </w:rPr>
              <w:t>-12</w:t>
            </w:r>
            <w:r>
              <w:rPr>
                <w:rFonts w:hint="eastAsia"/>
                <w:b/>
                <w:bCs/>
                <w:color w:val="auto"/>
                <w:sz w:val="21"/>
                <w:szCs w:val="21"/>
              </w:rPr>
              <w:t xml:space="preserve">  工业企业噪声源强调查清单（室外声源）</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167"/>
              <w:gridCol w:w="394"/>
              <w:gridCol w:w="364"/>
              <w:gridCol w:w="1036"/>
              <w:gridCol w:w="765"/>
              <w:gridCol w:w="2930"/>
              <w:gridCol w:w="760"/>
            </w:tblGrid>
            <w:tr w14:paraId="3D62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5" w:type="dxa"/>
                  <w:vMerge w:val="restart"/>
                  <w:shd w:val="clear" w:color="auto" w:fill="auto"/>
                  <w:vAlign w:val="center"/>
                </w:tcPr>
                <w:p w14:paraId="0BDDE917">
                  <w:pPr>
                    <w:jc w:val="center"/>
                    <w:rPr>
                      <w:color w:val="auto"/>
                      <w:szCs w:val="21"/>
                    </w:rPr>
                  </w:pPr>
                  <w:r>
                    <w:rPr>
                      <w:b/>
                      <w:color w:val="auto"/>
                      <w:szCs w:val="21"/>
                    </w:rPr>
                    <w:t>序号</w:t>
                  </w:r>
                </w:p>
              </w:tc>
              <w:tc>
                <w:tcPr>
                  <w:tcW w:w="1167" w:type="dxa"/>
                  <w:vMerge w:val="restart"/>
                  <w:shd w:val="clear" w:color="auto" w:fill="auto"/>
                  <w:vAlign w:val="center"/>
                </w:tcPr>
                <w:p w14:paraId="5B43D3BF">
                  <w:pPr>
                    <w:jc w:val="center"/>
                    <w:rPr>
                      <w:color w:val="auto"/>
                      <w:szCs w:val="21"/>
                    </w:rPr>
                  </w:pPr>
                  <w:r>
                    <w:rPr>
                      <w:b/>
                      <w:color w:val="auto"/>
                      <w:szCs w:val="21"/>
                    </w:rPr>
                    <w:t>声源名称</w:t>
                  </w:r>
                </w:p>
              </w:tc>
              <w:tc>
                <w:tcPr>
                  <w:tcW w:w="394" w:type="dxa"/>
                  <w:vMerge w:val="restart"/>
                  <w:shd w:val="clear" w:color="auto" w:fill="auto"/>
                  <w:vAlign w:val="center"/>
                </w:tcPr>
                <w:p w14:paraId="541F2FA9">
                  <w:pPr>
                    <w:jc w:val="center"/>
                    <w:rPr>
                      <w:color w:val="auto"/>
                      <w:szCs w:val="21"/>
                    </w:rPr>
                  </w:pPr>
                  <w:r>
                    <w:rPr>
                      <w:b/>
                      <w:color w:val="auto"/>
                      <w:szCs w:val="21"/>
                    </w:rPr>
                    <w:t>型号</w:t>
                  </w:r>
                </w:p>
              </w:tc>
              <w:tc>
                <w:tcPr>
                  <w:tcW w:w="364" w:type="dxa"/>
                  <w:vMerge w:val="restart"/>
                  <w:shd w:val="clear" w:color="auto" w:fill="auto"/>
                  <w:vAlign w:val="center"/>
                </w:tcPr>
                <w:p w14:paraId="48B8070E">
                  <w:pPr>
                    <w:jc w:val="center"/>
                    <w:rPr>
                      <w:b/>
                      <w:color w:val="auto"/>
                      <w:szCs w:val="21"/>
                    </w:rPr>
                  </w:pPr>
                  <w:r>
                    <w:rPr>
                      <w:rFonts w:hint="eastAsia"/>
                      <w:b/>
                      <w:color w:val="auto"/>
                      <w:szCs w:val="21"/>
                    </w:rPr>
                    <w:t>数量</w:t>
                  </w:r>
                </w:p>
              </w:tc>
              <w:tc>
                <w:tcPr>
                  <w:tcW w:w="1036" w:type="dxa"/>
                  <w:vMerge w:val="restart"/>
                  <w:shd w:val="clear" w:color="auto" w:fill="auto"/>
                  <w:vAlign w:val="center"/>
                </w:tcPr>
                <w:p w14:paraId="4B74481A">
                  <w:pPr>
                    <w:jc w:val="center"/>
                    <w:rPr>
                      <w:color w:val="auto"/>
                      <w:szCs w:val="21"/>
                    </w:rPr>
                  </w:pPr>
                  <w:r>
                    <w:rPr>
                      <w:color w:val="auto"/>
                      <w:szCs w:val="21"/>
                    </w:rPr>
                    <w:t>声压级/距声源距离）/dBA/m</w:t>
                  </w:r>
                </w:p>
              </w:tc>
              <w:tc>
                <w:tcPr>
                  <w:tcW w:w="765" w:type="dxa"/>
                  <w:vMerge w:val="restart"/>
                  <w:shd w:val="clear" w:color="auto" w:fill="auto"/>
                  <w:vAlign w:val="center"/>
                </w:tcPr>
                <w:p w14:paraId="7A9469AF">
                  <w:pPr>
                    <w:jc w:val="center"/>
                    <w:rPr>
                      <w:color w:val="auto"/>
                      <w:szCs w:val="21"/>
                    </w:rPr>
                  </w:pPr>
                  <w:r>
                    <w:rPr>
                      <w:color w:val="auto"/>
                      <w:szCs w:val="21"/>
                    </w:rPr>
                    <w:t>声压级/距声源距离）/dBA/m</w:t>
                  </w:r>
                </w:p>
              </w:tc>
              <w:tc>
                <w:tcPr>
                  <w:tcW w:w="2930" w:type="dxa"/>
                  <w:vMerge w:val="restart"/>
                  <w:shd w:val="clear" w:color="auto" w:fill="auto"/>
                  <w:vAlign w:val="center"/>
                </w:tcPr>
                <w:p w14:paraId="30BE7F4D">
                  <w:pPr>
                    <w:topLinePunct/>
                    <w:spacing w:line="360" w:lineRule="auto"/>
                    <w:ind w:firstLine="422" w:firstLineChars="200"/>
                    <w:rPr>
                      <w:color w:val="auto"/>
                      <w:sz w:val="24"/>
                      <w:szCs w:val="28"/>
                    </w:rPr>
                  </w:pPr>
                  <w:r>
                    <w:rPr>
                      <w:b/>
                      <w:color w:val="auto"/>
                      <w:szCs w:val="21"/>
                    </w:rPr>
                    <w:t>声源控制措施</w:t>
                  </w:r>
                </w:p>
                <w:p w14:paraId="78C886A6">
                  <w:pPr>
                    <w:jc w:val="center"/>
                    <w:rPr>
                      <w:color w:val="auto"/>
                      <w:szCs w:val="21"/>
                    </w:rPr>
                  </w:pPr>
                  <w:r>
                    <w:rPr>
                      <w:rFonts w:hint="eastAsia"/>
                      <w:color w:val="auto"/>
                      <w:sz w:val="24"/>
                      <w:szCs w:val="28"/>
                    </w:rPr>
                    <w:t>本项目噪声源为移动声源，无固定行进路线，矿区开挖</w:t>
                  </w:r>
                </w:p>
              </w:tc>
              <w:tc>
                <w:tcPr>
                  <w:tcW w:w="760" w:type="dxa"/>
                  <w:vMerge w:val="restart"/>
                  <w:shd w:val="clear" w:color="auto" w:fill="auto"/>
                  <w:vAlign w:val="center"/>
                </w:tcPr>
                <w:p w14:paraId="3B2CB681">
                  <w:pPr>
                    <w:jc w:val="center"/>
                    <w:rPr>
                      <w:b/>
                      <w:color w:val="auto"/>
                      <w:szCs w:val="21"/>
                    </w:rPr>
                  </w:pPr>
                  <w:r>
                    <w:rPr>
                      <w:b/>
                      <w:color w:val="auto"/>
                      <w:szCs w:val="21"/>
                    </w:rPr>
                    <w:t>运行时段</w:t>
                  </w:r>
                </w:p>
              </w:tc>
            </w:tr>
            <w:tr w14:paraId="4A9D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5" w:type="dxa"/>
                  <w:vMerge w:val="continue"/>
                  <w:shd w:val="clear" w:color="auto" w:fill="auto"/>
                  <w:vAlign w:val="center"/>
                </w:tcPr>
                <w:p w14:paraId="7D8D396C">
                  <w:pPr>
                    <w:jc w:val="center"/>
                    <w:rPr>
                      <w:color w:val="auto"/>
                      <w:szCs w:val="21"/>
                    </w:rPr>
                  </w:pPr>
                </w:p>
              </w:tc>
              <w:tc>
                <w:tcPr>
                  <w:tcW w:w="1167" w:type="dxa"/>
                  <w:vMerge w:val="continue"/>
                  <w:shd w:val="clear" w:color="auto" w:fill="auto"/>
                  <w:vAlign w:val="center"/>
                </w:tcPr>
                <w:p w14:paraId="2DE0EDBB">
                  <w:pPr>
                    <w:jc w:val="center"/>
                    <w:rPr>
                      <w:color w:val="auto"/>
                      <w:szCs w:val="21"/>
                    </w:rPr>
                  </w:pPr>
                </w:p>
              </w:tc>
              <w:tc>
                <w:tcPr>
                  <w:tcW w:w="394" w:type="dxa"/>
                  <w:vMerge w:val="continue"/>
                  <w:shd w:val="clear" w:color="auto" w:fill="auto"/>
                  <w:vAlign w:val="center"/>
                </w:tcPr>
                <w:p w14:paraId="290CDE66">
                  <w:pPr>
                    <w:jc w:val="center"/>
                    <w:rPr>
                      <w:color w:val="auto"/>
                      <w:szCs w:val="21"/>
                    </w:rPr>
                  </w:pPr>
                </w:p>
              </w:tc>
              <w:tc>
                <w:tcPr>
                  <w:tcW w:w="364" w:type="dxa"/>
                  <w:vMerge w:val="continue"/>
                  <w:shd w:val="clear" w:color="auto" w:fill="auto"/>
                  <w:vAlign w:val="center"/>
                </w:tcPr>
                <w:p w14:paraId="219CF9AE">
                  <w:pPr>
                    <w:jc w:val="center"/>
                    <w:rPr>
                      <w:color w:val="auto"/>
                      <w:szCs w:val="21"/>
                    </w:rPr>
                  </w:pPr>
                </w:p>
              </w:tc>
              <w:tc>
                <w:tcPr>
                  <w:tcW w:w="1036" w:type="dxa"/>
                  <w:vMerge w:val="continue"/>
                  <w:shd w:val="clear" w:color="auto" w:fill="auto"/>
                  <w:vAlign w:val="center"/>
                </w:tcPr>
                <w:p w14:paraId="43F5C7D2">
                  <w:pPr>
                    <w:jc w:val="center"/>
                    <w:rPr>
                      <w:color w:val="auto"/>
                      <w:szCs w:val="21"/>
                    </w:rPr>
                  </w:pPr>
                </w:p>
              </w:tc>
              <w:tc>
                <w:tcPr>
                  <w:tcW w:w="765" w:type="dxa"/>
                  <w:vMerge w:val="continue"/>
                  <w:shd w:val="clear" w:color="auto" w:fill="auto"/>
                  <w:vAlign w:val="center"/>
                </w:tcPr>
                <w:p w14:paraId="10CA9034">
                  <w:pPr>
                    <w:jc w:val="center"/>
                    <w:rPr>
                      <w:color w:val="auto"/>
                      <w:szCs w:val="21"/>
                    </w:rPr>
                  </w:pPr>
                </w:p>
              </w:tc>
              <w:tc>
                <w:tcPr>
                  <w:tcW w:w="2930" w:type="dxa"/>
                  <w:vMerge w:val="continue"/>
                  <w:shd w:val="clear" w:color="auto" w:fill="auto"/>
                  <w:vAlign w:val="center"/>
                </w:tcPr>
                <w:p w14:paraId="12D91959">
                  <w:pPr>
                    <w:jc w:val="center"/>
                    <w:rPr>
                      <w:color w:val="auto"/>
                      <w:szCs w:val="21"/>
                    </w:rPr>
                  </w:pPr>
                </w:p>
              </w:tc>
              <w:tc>
                <w:tcPr>
                  <w:tcW w:w="760" w:type="dxa"/>
                  <w:vMerge w:val="continue"/>
                  <w:shd w:val="clear" w:color="auto" w:fill="auto"/>
                  <w:vAlign w:val="center"/>
                </w:tcPr>
                <w:p w14:paraId="100C802C">
                  <w:pPr>
                    <w:jc w:val="center"/>
                    <w:rPr>
                      <w:color w:val="auto"/>
                      <w:szCs w:val="21"/>
                    </w:rPr>
                  </w:pPr>
                </w:p>
              </w:tc>
            </w:tr>
            <w:tr w14:paraId="2C54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55" w:type="dxa"/>
                  <w:shd w:val="clear" w:color="auto" w:fill="auto"/>
                  <w:vAlign w:val="center"/>
                </w:tcPr>
                <w:p w14:paraId="2350F701">
                  <w:pPr>
                    <w:jc w:val="center"/>
                    <w:rPr>
                      <w:color w:val="auto"/>
                      <w:szCs w:val="21"/>
                    </w:rPr>
                  </w:pPr>
                  <w:r>
                    <w:rPr>
                      <w:color w:val="auto"/>
                      <w:szCs w:val="21"/>
                    </w:rPr>
                    <w:t>1</w:t>
                  </w:r>
                </w:p>
              </w:tc>
              <w:tc>
                <w:tcPr>
                  <w:tcW w:w="1167" w:type="dxa"/>
                  <w:shd w:val="clear" w:color="auto" w:fill="auto"/>
                  <w:vAlign w:val="center"/>
                </w:tcPr>
                <w:p w14:paraId="7420B74E">
                  <w:pPr>
                    <w:jc w:val="center"/>
                    <w:rPr>
                      <w:color w:val="auto"/>
                      <w:szCs w:val="21"/>
                    </w:rPr>
                  </w:pPr>
                  <w:r>
                    <w:rPr>
                      <w:color w:val="auto"/>
                      <w:szCs w:val="21"/>
                    </w:rPr>
                    <w:t>挖掘机</w:t>
                  </w:r>
                </w:p>
              </w:tc>
              <w:tc>
                <w:tcPr>
                  <w:tcW w:w="394" w:type="dxa"/>
                  <w:shd w:val="clear" w:color="auto" w:fill="auto"/>
                  <w:vAlign w:val="center"/>
                </w:tcPr>
                <w:p w14:paraId="2625124A">
                  <w:pPr>
                    <w:jc w:val="center"/>
                    <w:rPr>
                      <w:color w:val="auto"/>
                      <w:szCs w:val="21"/>
                    </w:rPr>
                  </w:pPr>
                  <w:r>
                    <w:rPr>
                      <w:rFonts w:hint="eastAsia"/>
                      <w:color w:val="auto"/>
                      <w:szCs w:val="21"/>
                    </w:rPr>
                    <w:t>/</w:t>
                  </w:r>
                </w:p>
              </w:tc>
              <w:tc>
                <w:tcPr>
                  <w:tcW w:w="364" w:type="dxa"/>
                  <w:shd w:val="clear" w:color="auto" w:fill="auto"/>
                  <w:vAlign w:val="center"/>
                </w:tcPr>
                <w:p w14:paraId="3503E979">
                  <w:pPr>
                    <w:jc w:val="center"/>
                    <w:rPr>
                      <w:color w:val="auto"/>
                      <w:szCs w:val="21"/>
                    </w:rPr>
                  </w:pPr>
                  <w:r>
                    <w:rPr>
                      <w:rFonts w:hint="eastAsia"/>
                      <w:color w:val="auto"/>
                      <w:szCs w:val="21"/>
                    </w:rPr>
                    <w:t>5</w:t>
                  </w:r>
                </w:p>
              </w:tc>
              <w:tc>
                <w:tcPr>
                  <w:tcW w:w="1036" w:type="dxa"/>
                  <w:shd w:val="clear" w:color="auto" w:fill="auto"/>
                  <w:vAlign w:val="center"/>
                </w:tcPr>
                <w:p w14:paraId="773B6A89">
                  <w:pPr>
                    <w:jc w:val="center"/>
                    <w:rPr>
                      <w:color w:val="auto"/>
                      <w:szCs w:val="21"/>
                    </w:rPr>
                  </w:pPr>
                  <w:r>
                    <w:rPr>
                      <w:color w:val="auto"/>
                      <w:szCs w:val="21"/>
                    </w:rPr>
                    <w:t>90/1</w:t>
                  </w:r>
                </w:p>
              </w:tc>
              <w:tc>
                <w:tcPr>
                  <w:tcW w:w="765" w:type="dxa"/>
                  <w:shd w:val="clear" w:color="auto" w:fill="auto"/>
                  <w:vAlign w:val="center"/>
                </w:tcPr>
                <w:p w14:paraId="412A7E5B">
                  <w:pPr>
                    <w:jc w:val="center"/>
                    <w:rPr>
                      <w:color w:val="auto"/>
                      <w:szCs w:val="21"/>
                    </w:rPr>
                  </w:pPr>
                  <w:r>
                    <w:rPr>
                      <w:rFonts w:hint="eastAsia"/>
                      <w:color w:val="auto"/>
                      <w:szCs w:val="21"/>
                    </w:rPr>
                    <w:t>98.5</w:t>
                  </w:r>
                </w:p>
              </w:tc>
              <w:tc>
                <w:tcPr>
                  <w:tcW w:w="2930" w:type="dxa"/>
                  <w:shd w:val="clear" w:color="auto" w:fill="auto"/>
                  <w:vAlign w:val="center"/>
                </w:tcPr>
                <w:p w14:paraId="3D72F8D0">
                  <w:pPr>
                    <w:jc w:val="center"/>
                    <w:rPr>
                      <w:color w:val="auto"/>
                      <w:szCs w:val="21"/>
                    </w:rPr>
                  </w:pPr>
                  <w:r>
                    <w:rPr>
                      <w:rFonts w:hint="eastAsia"/>
                      <w:color w:val="auto"/>
                      <w:szCs w:val="21"/>
                    </w:rPr>
                    <w:t>采取低噪设备</w:t>
                  </w:r>
                  <w:r>
                    <w:rPr>
                      <w:color w:val="auto"/>
                      <w:szCs w:val="21"/>
                    </w:rPr>
                    <w:t>，加强设备保养</w:t>
                  </w:r>
                </w:p>
              </w:tc>
              <w:tc>
                <w:tcPr>
                  <w:tcW w:w="760" w:type="dxa"/>
                  <w:shd w:val="clear" w:color="auto" w:fill="auto"/>
                  <w:vAlign w:val="center"/>
                </w:tcPr>
                <w:p w14:paraId="7EC024E4">
                  <w:pPr>
                    <w:jc w:val="center"/>
                    <w:rPr>
                      <w:color w:val="auto"/>
                      <w:szCs w:val="21"/>
                    </w:rPr>
                  </w:pPr>
                  <w:r>
                    <w:rPr>
                      <w:rFonts w:hint="eastAsia"/>
                      <w:color w:val="auto"/>
                      <w:szCs w:val="21"/>
                    </w:rPr>
                    <w:t>8h</w:t>
                  </w:r>
                </w:p>
              </w:tc>
            </w:tr>
            <w:tr w14:paraId="69EE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36BB0AF6">
                  <w:pPr>
                    <w:jc w:val="center"/>
                    <w:rPr>
                      <w:color w:val="auto"/>
                      <w:szCs w:val="21"/>
                    </w:rPr>
                  </w:pPr>
                  <w:r>
                    <w:rPr>
                      <w:color w:val="auto"/>
                      <w:szCs w:val="21"/>
                    </w:rPr>
                    <w:t>2</w:t>
                  </w:r>
                </w:p>
              </w:tc>
              <w:tc>
                <w:tcPr>
                  <w:tcW w:w="1167" w:type="dxa"/>
                  <w:shd w:val="clear" w:color="auto" w:fill="auto"/>
                  <w:vAlign w:val="center"/>
                </w:tcPr>
                <w:p w14:paraId="40A05AA1">
                  <w:pPr>
                    <w:jc w:val="center"/>
                    <w:rPr>
                      <w:color w:val="auto"/>
                      <w:szCs w:val="21"/>
                    </w:rPr>
                  </w:pPr>
                  <w:r>
                    <w:rPr>
                      <w:color w:val="auto"/>
                      <w:szCs w:val="21"/>
                    </w:rPr>
                    <w:t>装载机</w:t>
                  </w:r>
                </w:p>
              </w:tc>
              <w:tc>
                <w:tcPr>
                  <w:tcW w:w="394" w:type="dxa"/>
                  <w:shd w:val="clear" w:color="auto" w:fill="auto"/>
                  <w:vAlign w:val="center"/>
                </w:tcPr>
                <w:p w14:paraId="62C1B577">
                  <w:pPr>
                    <w:jc w:val="center"/>
                    <w:rPr>
                      <w:color w:val="auto"/>
                      <w:szCs w:val="21"/>
                    </w:rPr>
                  </w:pPr>
                  <w:r>
                    <w:rPr>
                      <w:rFonts w:hint="eastAsia"/>
                      <w:color w:val="auto"/>
                      <w:szCs w:val="21"/>
                    </w:rPr>
                    <w:t>/</w:t>
                  </w:r>
                </w:p>
              </w:tc>
              <w:tc>
                <w:tcPr>
                  <w:tcW w:w="364" w:type="dxa"/>
                  <w:shd w:val="clear" w:color="auto" w:fill="auto"/>
                  <w:vAlign w:val="center"/>
                </w:tcPr>
                <w:p w14:paraId="58DB43DA">
                  <w:pPr>
                    <w:jc w:val="center"/>
                    <w:rPr>
                      <w:color w:val="auto"/>
                      <w:szCs w:val="21"/>
                    </w:rPr>
                  </w:pPr>
                  <w:r>
                    <w:rPr>
                      <w:rFonts w:hint="eastAsia"/>
                      <w:color w:val="auto"/>
                      <w:szCs w:val="21"/>
                    </w:rPr>
                    <w:t>2</w:t>
                  </w:r>
                </w:p>
              </w:tc>
              <w:tc>
                <w:tcPr>
                  <w:tcW w:w="1036" w:type="dxa"/>
                  <w:shd w:val="clear" w:color="auto" w:fill="auto"/>
                  <w:vAlign w:val="center"/>
                </w:tcPr>
                <w:p w14:paraId="3C5B9469">
                  <w:pPr>
                    <w:jc w:val="center"/>
                    <w:rPr>
                      <w:color w:val="auto"/>
                      <w:szCs w:val="21"/>
                    </w:rPr>
                  </w:pPr>
                  <w:r>
                    <w:rPr>
                      <w:color w:val="auto"/>
                      <w:szCs w:val="21"/>
                    </w:rPr>
                    <w:t>85/1</w:t>
                  </w:r>
                </w:p>
              </w:tc>
              <w:tc>
                <w:tcPr>
                  <w:tcW w:w="765" w:type="dxa"/>
                  <w:shd w:val="clear" w:color="auto" w:fill="auto"/>
                  <w:vAlign w:val="center"/>
                </w:tcPr>
                <w:p w14:paraId="1528F295">
                  <w:pPr>
                    <w:jc w:val="center"/>
                    <w:rPr>
                      <w:color w:val="auto"/>
                      <w:szCs w:val="21"/>
                    </w:rPr>
                  </w:pPr>
                  <w:r>
                    <w:rPr>
                      <w:rFonts w:hint="eastAsia"/>
                      <w:color w:val="auto"/>
                      <w:szCs w:val="21"/>
                    </w:rPr>
                    <w:t>88.0</w:t>
                  </w:r>
                </w:p>
              </w:tc>
              <w:tc>
                <w:tcPr>
                  <w:tcW w:w="2930" w:type="dxa"/>
                  <w:shd w:val="clear" w:color="auto" w:fill="auto"/>
                  <w:vAlign w:val="center"/>
                </w:tcPr>
                <w:p w14:paraId="2059557D">
                  <w:pPr>
                    <w:jc w:val="center"/>
                    <w:rPr>
                      <w:color w:val="auto"/>
                      <w:szCs w:val="21"/>
                    </w:rPr>
                  </w:pPr>
                  <w:r>
                    <w:rPr>
                      <w:color w:val="auto"/>
                      <w:szCs w:val="21"/>
                    </w:rPr>
                    <w:t>采取低噪设备，加强设备保养</w:t>
                  </w:r>
                </w:p>
              </w:tc>
              <w:tc>
                <w:tcPr>
                  <w:tcW w:w="760" w:type="dxa"/>
                  <w:shd w:val="clear" w:color="auto" w:fill="auto"/>
                  <w:vAlign w:val="center"/>
                </w:tcPr>
                <w:p w14:paraId="1E3171FB">
                  <w:pPr>
                    <w:jc w:val="center"/>
                    <w:rPr>
                      <w:color w:val="auto"/>
                      <w:szCs w:val="21"/>
                    </w:rPr>
                  </w:pPr>
                  <w:r>
                    <w:rPr>
                      <w:rFonts w:hint="eastAsia"/>
                      <w:color w:val="auto"/>
                      <w:szCs w:val="21"/>
                    </w:rPr>
                    <w:t>8h</w:t>
                  </w:r>
                </w:p>
              </w:tc>
            </w:tr>
            <w:tr w14:paraId="1D1D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7B0A115A">
                  <w:pPr>
                    <w:jc w:val="center"/>
                    <w:rPr>
                      <w:color w:val="auto"/>
                      <w:szCs w:val="21"/>
                    </w:rPr>
                  </w:pPr>
                  <w:r>
                    <w:rPr>
                      <w:color w:val="auto"/>
                      <w:szCs w:val="21"/>
                    </w:rPr>
                    <w:t>3</w:t>
                  </w:r>
                </w:p>
              </w:tc>
              <w:tc>
                <w:tcPr>
                  <w:tcW w:w="1167" w:type="dxa"/>
                  <w:shd w:val="clear" w:color="auto" w:fill="auto"/>
                  <w:vAlign w:val="center"/>
                </w:tcPr>
                <w:p w14:paraId="4C48AF4B">
                  <w:pPr>
                    <w:jc w:val="center"/>
                    <w:rPr>
                      <w:color w:val="auto"/>
                      <w:szCs w:val="21"/>
                    </w:rPr>
                  </w:pPr>
                  <w:r>
                    <w:rPr>
                      <w:color w:val="auto"/>
                      <w:szCs w:val="21"/>
                    </w:rPr>
                    <w:t>自卸车</w:t>
                  </w:r>
                </w:p>
              </w:tc>
              <w:tc>
                <w:tcPr>
                  <w:tcW w:w="394" w:type="dxa"/>
                  <w:shd w:val="clear" w:color="auto" w:fill="auto"/>
                  <w:vAlign w:val="center"/>
                </w:tcPr>
                <w:p w14:paraId="1B79A4FE">
                  <w:pPr>
                    <w:jc w:val="center"/>
                    <w:rPr>
                      <w:color w:val="auto"/>
                      <w:szCs w:val="21"/>
                    </w:rPr>
                  </w:pPr>
                  <w:r>
                    <w:rPr>
                      <w:rFonts w:hint="eastAsia"/>
                      <w:color w:val="auto"/>
                      <w:szCs w:val="21"/>
                    </w:rPr>
                    <w:t>/</w:t>
                  </w:r>
                </w:p>
              </w:tc>
              <w:tc>
                <w:tcPr>
                  <w:tcW w:w="364" w:type="dxa"/>
                  <w:shd w:val="clear" w:color="auto" w:fill="auto"/>
                  <w:vAlign w:val="center"/>
                </w:tcPr>
                <w:p w14:paraId="62C04758">
                  <w:pPr>
                    <w:jc w:val="center"/>
                    <w:rPr>
                      <w:color w:val="auto"/>
                      <w:szCs w:val="21"/>
                    </w:rPr>
                  </w:pPr>
                  <w:r>
                    <w:rPr>
                      <w:rFonts w:hint="eastAsia"/>
                      <w:color w:val="auto"/>
                      <w:szCs w:val="21"/>
                    </w:rPr>
                    <w:t>8</w:t>
                  </w:r>
                </w:p>
              </w:tc>
              <w:tc>
                <w:tcPr>
                  <w:tcW w:w="1036" w:type="dxa"/>
                  <w:shd w:val="clear" w:color="auto" w:fill="auto"/>
                  <w:vAlign w:val="center"/>
                </w:tcPr>
                <w:p w14:paraId="24BB6876">
                  <w:pPr>
                    <w:jc w:val="center"/>
                    <w:rPr>
                      <w:color w:val="auto"/>
                      <w:szCs w:val="21"/>
                    </w:rPr>
                  </w:pPr>
                  <w:r>
                    <w:rPr>
                      <w:color w:val="auto"/>
                      <w:szCs w:val="21"/>
                    </w:rPr>
                    <w:t>85/1</w:t>
                  </w:r>
                </w:p>
              </w:tc>
              <w:tc>
                <w:tcPr>
                  <w:tcW w:w="765" w:type="dxa"/>
                  <w:shd w:val="clear" w:color="auto" w:fill="auto"/>
                  <w:vAlign w:val="center"/>
                </w:tcPr>
                <w:p w14:paraId="2D3FBF54">
                  <w:pPr>
                    <w:jc w:val="center"/>
                    <w:rPr>
                      <w:color w:val="auto"/>
                      <w:szCs w:val="21"/>
                    </w:rPr>
                  </w:pPr>
                  <w:r>
                    <w:rPr>
                      <w:rFonts w:hint="eastAsia"/>
                      <w:color w:val="auto"/>
                      <w:szCs w:val="21"/>
                    </w:rPr>
                    <w:t>94.0</w:t>
                  </w:r>
                </w:p>
              </w:tc>
              <w:tc>
                <w:tcPr>
                  <w:tcW w:w="2930" w:type="dxa"/>
                  <w:shd w:val="clear" w:color="auto" w:fill="auto"/>
                  <w:vAlign w:val="center"/>
                </w:tcPr>
                <w:p w14:paraId="44A33595">
                  <w:pPr>
                    <w:jc w:val="center"/>
                    <w:rPr>
                      <w:color w:val="auto"/>
                      <w:szCs w:val="21"/>
                    </w:rPr>
                  </w:pPr>
                  <w:r>
                    <w:rPr>
                      <w:rFonts w:hint="eastAsia"/>
                      <w:color w:val="auto"/>
                      <w:szCs w:val="21"/>
                    </w:rPr>
                    <w:t>采取禁鸣限速措施</w:t>
                  </w:r>
                </w:p>
              </w:tc>
              <w:tc>
                <w:tcPr>
                  <w:tcW w:w="760" w:type="dxa"/>
                  <w:shd w:val="clear" w:color="auto" w:fill="auto"/>
                  <w:vAlign w:val="center"/>
                </w:tcPr>
                <w:p w14:paraId="444B703E">
                  <w:pPr>
                    <w:jc w:val="center"/>
                    <w:rPr>
                      <w:color w:val="auto"/>
                      <w:szCs w:val="21"/>
                    </w:rPr>
                  </w:pPr>
                  <w:r>
                    <w:rPr>
                      <w:rFonts w:hint="eastAsia"/>
                      <w:color w:val="auto"/>
                      <w:szCs w:val="21"/>
                    </w:rPr>
                    <w:t>8h</w:t>
                  </w:r>
                </w:p>
              </w:tc>
            </w:tr>
            <w:tr w14:paraId="4180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14:paraId="1BB0CDBD">
                  <w:pPr>
                    <w:jc w:val="center"/>
                    <w:rPr>
                      <w:color w:val="auto"/>
                      <w:szCs w:val="21"/>
                    </w:rPr>
                  </w:pPr>
                  <w:r>
                    <w:rPr>
                      <w:color w:val="auto"/>
                      <w:szCs w:val="21"/>
                    </w:rPr>
                    <w:t>4</w:t>
                  </w:r>
                </w:p>
              </w:tc>
              <w:tc>
                <w:tcPr>
                  <w:tcW w:w="1167" w:type="dxa"/>
                  <w:shd w:val="clear" w:color="auto" w:fill="auto"/>
                  <w:vAlign w:val="center"/>
                </w:tcPr>
                <w:p w14:paraId="68D179E4">
                  <w:pPr>
                    <w:jc w:val="center"/>
                    <w:rPr>
                      <w:color w:val="auto"/>
                      <w:szCs w:val="21"/>
                    </w:rPr>
                  </w:pPr>
                  <w:r>
                    <w:rPr>
                      <w:color w:val="auto"/>
                      <w:szCs w:val="21"/>
                    </w:rPr>
                    <w:t>洒水车</w:t>
                  </w:r>
                </w:p>
              </w:tc>
              <w:tc>
                <w:tcPr>
                  <w:tcW w:w="394" w:type="dxa"/>
                  <w:shd w:val="clear" w:color="auto" w:fill="auto"/>
                  <w:vAlign w:val="center"/>
                </w:tcPr>
                <w:p w14:paraId="473DFC70">
                  <w:pPr>
                    <w:jc w:val="center"/>
                    <w:rPr>
                      <w:color w:val="auto"/>
                      <w:szCs w:val="21"/>
                    </w:rPr>
                  </w:pPr>
                  <w:r>
                    <w:rPr>
                      <w:rFonts w:hint="eastAsia"/>
                      <w:color w:val="auto"/>
                      <w:szCs w:val="21"/>
                    </w:rPr>
                    <w:t>/</w:t>
                  </w:r>
                </w:p>
              </w:tc>
              <w:tc>
                <w:tcPr>
                  <w:tcW w:w="364" w:type="dxa"/>
                  <w:shd w:val="clear" w:color="auto" w:fill="auto"/>
                  <w:vAlign w:val="center"/>
                </w:tcPr>
                <w:p w14:paraId="0871B3B4">
                  <w:pPr>
                    <w:jc w:val="center"/>
                    <w:rPr>
                      <w:color w:val="auto"/>
                      <w:szCs w:val="21"/>
                    </w:rPr>
                  </w:pPr>
                  <w:r>
                    <w:rPr>
                      <w:rFonts w:hint="eastAsia"/>
                      <w:color w:val="auto"/>
                      <w:szCs w:val="21"/>
                    </w:rPr>
                    <w:t>1</w:t>
                  </w:r>
                </w:p>
              </w:tc>
              <w:tc>
                <w:tcPr>
                  <w:tcW w:w="1036" w:type="dxa"/>
                  <w:shd w:val="clear" w:color="auto" w:fill="auto"/>
                  <w:vAlign w:val="center"/>
                </w:tcPr>
                <w:p w14:paraId="300A4202">
                  <w:pPr>
                    <w:jc w:val="center"/>
                    <w:rPr>
                      <w:color w:val="auto"/>
                      <w:szCs w:val="21"/>
                    </w:rPr>
                  </w:pPr>
                  <w:r>
                    <w:rPr>
                      <w:color w:val="auto"/>
                      <w:szCs w:val="21"/>
                    </w:rPr>
                    <w:t>85/1</w:t>
                  </w:r>
                </w:p>
              </w:tc>
              <w:tc>
                <w:tcPr>
                  <w:tcW w:w="765" w:type="dxa"/>
                  <w:shd w:val="clear" w:color="auto" w:fill="auto"/>
                  <w:vAlign w:val="center"/>
                </w:tcPr>
                <w:p w14:paraId="0C67130A">
                  <w:pPr>
                    <w:jc w:val="center"/>
                    <w:rPr>
                      <w:color w:val="auto"/>
                      <w:szCs w:val="21"/>
                    </w:rPr>
                  </w:pPr>
                  <w:r>
                    <w:rPr>
                      <w:rFonts w:hint="eastAsia"/>
                      <w:color w:val="auto"/>
                      <w:szCs w:val="21"/>
                    </w:rPr>
                    <w:t>85.0</w:t>
                  </w:r>
                </w:p>
              </w:tc>
              <w:tc>
                <w:tcPr>
                  <w:tcW w:w="2930" w:type="dxa"/>
                  <w:shd w:val="clear" w:color="auto" w:fill="auto"/>
                  <w:vAlign w:val="center"/>
                </w:tcPr>
                <w:p w14:paraId="14932118">
                  <w:pPr>
                    <w:jc w:val="center"/>
                    <w:rPr>
                      <w:color w:val="auto"/>
                      <w:szCs w:val="21"/>
                    </w:rPr>
                  </w:pPr>
                  <w:r>
                    <w:rPr>
                      <w:rFonts w:hint="eastAsia"/>
                      <w:color w:val="auto"/>
                      <w:szCs w:val="21"/>
                    </w:rPr>
                    <w:t>采取禁鸣限速措施</w:t>
                  </w:r>
                </w:p>
              </w:tc>
              <w:tc>
                <w:tcPr>
                  <w:tcW w:w="760" w:type="dxa"/>
                  <w:shd w:val="clear" w:color="auto" w:fill="auto"/>
                  <w:vAlign w:val="center"/>
                </w:tcPr>
                <w:p w14:paraId="6B694B71">
                  <w:pPr>
                    <w:jc w:val="center"/>
                    <w:rPr>
                      <w:color w:val="auto"/>
                      <w:szCs w:val="21"/>
                    </w:rPr>
                  </w:pPr>
                  <w:r>
                    <w:rPr>
                      <w:rFonts w:hint="eastAsia"/>
                      <w:color w:val="auto"/>
                      <w:szCs w:val="21"/>
                    </w:rPr>
                    <w:t>8h</w:t>
                  </w:r>
                </w:p>
              </w:tc>
            </w:tr>
            <w:tr w14:paraId="23CB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495FADEC">
                  <w:pPr>
                    <w:jc w:val="center"/>
                    <w:rPr>
                      <w:color w:val="auto"/>
                      <w:szCs w:val="21"/>
                    </w:rPr>
                  </w:pPr>
                  <w:r>
                    <w:rPr>
                      <w:rFonts w:hint="eastAsia"/>
                      <w:color w:val="auto"/>
                      <w:szCs w:val="21"/>
                    </w:rPr>
                    <w:t>5</w:t>
                  </w:r>
                </w:p>
              </w:tc>
              <w:tc>
                <w:tcPr>
                  <w:tcW w:w="1167" w:type="dxa"/>
                  <w:shd w:val="clear" w:color="auto" w:fill="auto"/>
                  <w:vAlign w:val="center"/>
                </w:tcPr>
                <w:p w14:paraId="42D4736C">
                  <w:pPr>
                    <w:jc w:val="center"/>
                    <w:rPr>
                      <w:color w:val="auto"/>
                      <w:szCs w:val="21"/>
                    </w:rPr>
                  </w:pPr>
                  <w:r>
                    <w:rPr>
                      <w:rFonts w:hint="eastAsia"/>
                      <w:color w:val="auto"/>
                      <w:szCs w:val="21"/>
                    </w:rPr>
                    <w:t>雾炮机</w:t>
                  </w:r>
                </w:p>
              </w:tc>
              <w:tc>
                <w:tcPr>
                  <w:tcW w:w="394" w:type="dxa"/>
                  <w:shd w:val="clear" w:color="auto" w:fill="auto"/>
                  <w:vAlign w:val="center"/>
                </w:tcPr>
                <w:p w14:paraId="48D82AC4">
                  <w:pPr>
                    <w:jc w:val="center"/>
                    <w:rPr>
                      <w:color w:val="auto"/>
                      <w:szCs w:val="21"/>
                    </w:rPr>
                  </w:pPr>
                  <w:r>
                    <w:rPr>
                      <w:rFonts w:hint="eastAsia"/>
                      <w:color w:val="auto"/>
                      <w:szCs w:val="21"/>
                    </w:rPr>
                    <w:t>/</w:t>
                  </w:r>
                </w:p>
              </w:tc>
              <w:tc>
                <w:tcPr>
                  <w:tcW w:w="364" w:type="dxa"/>
                  <w:shd w:val="clear" w:color="auto" w:fill="auto"/>
                  <w:vAlign w:val="center"/>
                </w:tcPr>
                <w:p w14:paraId="64448C3C">
                  <w:pPr>
                    <w:jc w:val="center"/>
                    <w:rPr>
                      <w:color w:val="auto"/>
                      <w:szCs w:val="21"/>
                    </w:rPr>
                  </w:pPr>
                  <w:r>
                    <w:rPr>
                      <w:rFonts w:hint="eastAsia"/>
                      <w:color w:val="auto"/>
                      <w:szCs w:val="21"/>
                    </w:rPr>
                    <w:t>3</w:t>
                  </w:r>
                </w:p>
              </w:tc>
              <w:tc>
                <w:tcPr>
                  <w:tcW w:w="1036" w:type="dxa"/>
                  <w:shd w:val="clear" w:color="auto" w:fill="auto"/>
                  <w:vAlign w:val="center"/>
                </w:tcPr>
                <w:p w14:paraId="76EBC69A">
                  <w:pPr>
                    <w:jc w:val="center"/>
                    <w:rPr>
                      <w:color w:val="auto"/>
                      <w:szCs w:val="21"/>
                    </w:rPr>
                  </w:pPr>
                  <w:r>
                    <w:rPr>
                      <w:rFonts w:hint="eastAsia"/>
                      <w:color w:val="auto"/>
                      <w:szCs w:val="21"/>
                    </w:rPr>
                    <w:t>80/1</w:t>
                  </w:r>
                </w:p>
              </w:tc>
              <w:tc>
                <w:tcPr>
                  <w:tcW w:w="765" w:type="dxa"/>
                  <w:shd w:val="clear" w:color="auto" w:fill="auto"/>
                  <w:vAlign w:val="center"/>
                </w:tcPr>
                <w:p w14:paraId="21926BD3">
                  <w:pPr>
                    <w:jc w:val="center"/>
                    <w:rPr>
                      <w:color w:val="auto"/>
                      <w:szCs w:val="21"/>
                    </w:rPr>
                  </w:pPr>
                  <w:r>
                    <w:rPr>
                      <w:rFonts w:hint="eastAsia"/>
                      <w:color w:val="auto"/>
                      <w:szCs w:val="21"/>
                    </w:rPr>
                    <w:t>84.8</w:t>
                  </w:r>
                </w:p>
              </w:tc>
              <w:tc>
                <w:tcPr>
                  <w:tcW w:w="2930" w:type="dxa"/>
                  <w:shd w:val="clear" w:color="auto" w:fill="auto"/>
                  <w:vAlign w:val="center"/>
                </w:tcPr>
                <w:p w14:paraId="2E5930D3">
                  <w:pPr>
                    <w:jc w:val="center"/>
                    <w:rPr>
                      <w:color w:val="auto"/>
                      <w:szCs w:val="21"/>
                    </w:rPr>
                  </w:pPr>
                  <w:r>
                    <w:rPr>
                      <w:color w:val="auto"/>
                      <w:szCs w:val="21"/>
                    </w:rPr>
                    <w:t>采取低噪设备</w:t>
                  </w:r>
                  <w:r>
                    <w:rPr>
                      <w:rFonts w:hint="eastAsia"/>
                      <w:color w:val="auto"/>
                      <w:szCs w:val="21"/>
                    </w:rPr>
                    <w:t>，</w:t>
                  </w:r>
                  <w:r>
                    <w:rPr>
                      <w:color w:val="auto"/>
                      <w:szCs w:val="21"/>
                    </w:rPr>
                    <w:t>加强设备保养</w:t>
                  </w:r>
                </w:p>
              </w:tc>
              <w:tc>
                <w:tcPr>
                  <w:tcW w:w="760" w:type="dxa"/>
                  <w:shd w:val="clear" w:color="auto" w:fill="auto"/>
                  <w:vAlign w:val="center"/>
                </w:tcPr>
                <w:p w14:paraId="49E6E8B3">
                  <w:pPr>
                    <w:jc w:val="center"/>
                    <w:rPr>
                      <w:color w:val="auto"/>
                      <w:szCs w:val="21"/>
                    </w:rPr>
                  </w:pPr>
                  <w:r>
                    <w:rPr>
                      <w:rFonts w:hint="eastAsia"/>
                      <w:color w:val="auto"/>
                      <w:szCs w:val="21"/>
                    </w:rPr>
                    <w:t>8h</w:t>
                  </w:r>
                </w:p>
              </w:tc>
            </w:tr>
          </w:tbl>
          <w:p w14:paraId="691757D9">
            <w:pPr>
              <w:spacing w:before="120" w:beforeLines="50" w:line="360" w:lineRule="auto"/>
              <w:rPr>
                <w:b/>
                <w:bCs/>
                <w:color w:val="auto"/>
                <w:sz w:val="24"/>
              </w:rPr>
            </w:pPr>
            <w:r>
              <w:rPr>
                <w:rFonts w:hint="eastAsia"/>
                <w:b/>
                <w:bCs/>
                <w:color w:val="auto"/>
                <w:sz w:val="24"/>
              </w:rPr>
              <w:t>5.2预测模式</w:t>
            </w:r>
          </w:p>
          <w:p w14:paraId="63D56B96">
            <w:pPr>
              <w:topLinePunct/>
              <w:spacing w:line="360" w:lineRule="auto"/>
              <w:ind w:firstLine="480" w:firstLineChars="200"/>
              <w:rPr>
                <w:color w:val="auto"/>
                <w:sz w:val="24"/>
                <w:szCs w:val="28"/>
              </w:rPr>
            </w:pPr>
            <w:r>
              <w:rPr>
                <w:rFonts w:hint="eastAsia"/>
                <w:color w:val="auto"/>
                <w:sz w:val="24"/>
                <w:szCs w:val="28"/>
              </w:rPr>
              <w:t>本次评价采用《环境影响评价技术导则 声环境》（HJ2.4-2021）中所推荐的点源预测模式。在预测时不考虑屏障、地面效益、绿化带等衰减，仅考虑距离衰减，其计算模式如下：作业每天都集中在一定单元内，范围较小，假设作业区紧临厂界，自卸卡车、装载机、挖掘机同时作业，根据《环境影响评价技术导则 声环境》（HJ2.4-2021）规定，本次评价采用《环境影响评价技术导则 声环境》（HJ2.4-2021）中所推荐的点源预测模式。在预测时不考虑屏障、地面效益、绿化带等衰减，仅考虑距离衰减，其计算模式如下：</w:t>
            </w:r>
          </w:p>
          <w:p w14:paraId="0D8D477E">
            <w:pPr>
              <w:topLinePunct/>
              <w:spacing w:line="360" w:lineRule="auto"/>
              <w:ind w:firstLine="480" w:firstLineChars="200"/>
              <w:rPr>
                <w:color w:val="auto"/>
                <w:sz w:val="24"/>
                <w:szCs w:val="28"/>
              </w:rPr>
            </w:pPr>
            <w:r>
              <w:rPr>
                <w:rFonts w:hint="eastAsia"/>
                <w:color w:val="auto"/>
                <w:sz w:val="24"/>
                <w:szCs w:val="28"/>
              </w:rPr>
              <w:t>预测点处声压级按下式计算：</w:t>
            </w:r>
          </w:p>
          <w:p w14:paraId="7FFC52C2">
            <w:pPr>
              <w:topLinePunct/>
              <w:spacing w:line="360" w:lineRule="auto"/>
              <w:ind w:firstLine="480" w:firstLineChars="200"/>
              <w:rPr>
                <w:color w:val="auto"/>
                <w:sz w:val="24"/>
                <w:szCs w:val="28"/>
              </w:rPr>
            </w:pPr>
            <w:r>
              <w:rPr>
                <w:rFonts w:hint="eastAsia"/>
                <w:color w:val="auto"/>
                <w:sz w:val="24"/>
                <w:szCs w:val="28"/>
              </w:rPr>
              <w:t>Lp(r</w:t>
            </w:r>
            <w:r>
              <w:rPr>
                <w:rFonts w:hint="eastAsia"/>
                <w:color w:val="auto"/>
                <w:sz w:val="24"/>
                <w:szCs w:val="28"/>
                <w:lang w:eastAsia="zh-CN"/>
              </w:rPr>
              <w:t>)</w:t>
            </w:r>
            <w:r>
              <w:rPr>
                <w:rFonts w:hint="eastAsia"/>
                <w:color w:val="auto"/>
                <w:sz w:val="24"/>
                <w:szCs w:val="28"/>
              </w:rPr>
              <w:t>=Lw+Dc-(Adiv+Aatm+Abar+Agr+Amisc</w:t>
            </w:r>
            <w:r>
              <w:rPr>
                <w:rFonts w:hint="eastAsia"/>
                <w:color w:val="auto"/>
                <w:sz w:val="24"/>
                <w:szCs w:val="28"/>
                <w:lang w:eastAsia="zh-CN"/>
              </w:rPr>
              <w:t>)</w:t>
            </w:r>
          </w:p>
          <w:p w14:paraId="0DFFE034">
            <w:pPr>
              <w:topLinePunct/>
              <w:spacing w:line="360" w:lineRule="auto"/>
              <w:ind w:firstLine="480" w:firstLineChars="200"/>
              <w:rPr>
                <w:color w:val="auto"/>
                <w:sz w:val="24"/>
                <w:szCs w:val="28"/>
              </w:rPr>
            </w:pPr>
            <w:r>
              <w:rPr>
                <w:rFonts w:hint="eastAsia"/>
                <w:color w:val="auto"/>
                <w:sz w:val="24"/>
                <w:szCs w:val="28"/>
              </w:rPr>
              <w:t>式中：Lp（r）—预测点处声压级，dB；</w:t>
            </w:r>
          </w:p>
          <w:p w14:paraId="2C48EAF5">
            <w:pPr>
              <w:topLinePunct/>
              <w:spacing w:line="360" w:lineRule="auto"/>
              <w:ind w:firstLine="480" w:firstLineChars="200"/>
              <w:rPr>
                <w:color w:val="auto"/>
                <w:sz w:val="24"/>
                <w:szCs w:val="28"/>
              </w:rPr>
            </w:pPr>
            <w:r>
              <w:rPr>
                <w:rFonts w:hint="eastAsia"/>
                <w:color w:val="auto"/>
                <w:sz w:val="24"/>
                <w:szCs w:val="28"/>
              </w:rPr>
              <w:t>Lw—由点声源产生的声功率级（A 计权或倍频带），dB；</w:t>
            </w:r>
          </w:p>
          <w:p w14:paraId="046A7819">
            <w:pPr>
              <w:topLinePunct/>
              <w:spacing w:line="360" w:lineRule="auto"/>
              <w:ind w:firstLine="480" w:firstLineChars="200"/>
              <w:rPr>
                <w:color w:val="auto"/>
                <w:sz w:val="24"/>
                <w:szCs w:val="28"/>
              </w:rPr>
            </w:pPr>
            <w:r>
              <w:rPr>
                <w:rFonts w:hint="eastAsia"/>
                <w:color w:val="auto"/>
                <w:sz w:val="24"/>
                <w:szCs w:val="28"/>
              </w:rPr>
              <w:t>Dc—指向性校正，它描述点声源的等效连续声压级与产生声功率级的全向点声源定方向的级的偏差程度，dB；</w:t>
            </w:r>
          </w:p>
          <w:p w14:paraId="038E0850">
            <w:pPr>
              <w:topLinePunct/>
              <w:spacing w:line="360" w:lineRule="auto"/>
              <w:ind w:firstLine="480" w:firstLineChars="200"/>
              <w:rPr>
                <w:color w:val="auto"/>
                <w:sz w:val="24"/>
                <w:szCs w:val="28"/>
              </w:rPr>
            </w:pPr>
            <w:r>
              <w:rPr>
                <w:rFonts w:hint="eastAsia"/>
                <w:color w:val="auto"/>
                <w:sz w:val="24"/>
                <w:szCs w:val="28"/>
              </w:rPr>
              <w:t>Adiv—几何发散引起的倍频带衰减，dB；</w:t>
            </w:r>
          </w:p>
          <w:p w14:paraId="7AE1A57F">
            <w:pPr>
              <w:topLinePunct/>
              <w:spacing w:line="360" w:lineRule="auto"/>
              <w:ind w:firstLine="480" w:firstLineChars="200"/>
              <w:rPr>
                <w:color w:val="auto"/>
                <w:sz w:val="24"/>
                <w:szCs w:val="28"/>
              </w:rPr>
            </w:pPr>
            <w:r>
              <w:rPr>
                <w:rFonts w:hint="eastAsia"/>
                <w:color w:val="auto"/>
                <w:sz w:val="24"/>
                <w:szCs w:val="28"/>
              </w:rPr>
              <w:t>Aatm—大气吸收引起的倍频带衰减，dB；</w:t>
            </w:r>
          </w:p>
          <w:p w14:paraId="3D97016F">
            <w:pPr>
              <w:topLinePunct/>
              <w:spacing w:line="360" w:lineRule="auto"/>
              <w:ind w:firstLine="480" w:firstLineChars="200"/>
              <w:rPr>
                <w:color w:val="auto"/>
                <w:sz w:val="24"/>
                <w:szCs w:val="28"/>
              </w:rPr>
            </w:pPr>
            <w:r>
              <w:rPr>
                <w:rFonts w:hint="eastAsia"/>
                <w:color w:val="auto"/>
                <w:sz w:val="24"/>
                <w:szCs w:val="28"/>
              </w:rPr>
              <w:t>Agr—地面效应引起的倍频带衰减，dB；</w:t>
            </w:r>
          </w:p>
          <w:p w14:paraId="651EC262">
            <w:pPr>
              <w:topLinePunct/>
              <w:spacing w:line="360" w:lineRule="auto"/>
              <w:ind w:firstLine="480" w:firstLineChars="200"/>
              <w:rPr>
                <w:color w:val="auto"/>
                <w:sz w:val="24"/>
                <w:szCs w:val="28"/>
              </w:rPr>
            </w:pPr>
            <w:r>
              <w:rPr>
                <w:rFonts w:hint="eastAsia"/>
                <w:color w:val="auto"/>
                <w:sz w:val="24"/>
                <w:szCs w:val="28"/>
              </w:rPr>
              <w:t>Abar—障碍物屏蔽引起的衰减，dB；</w:t>
            </w:r>
          </w:p>
          <w:p w14:paraId="6814193E">
            <w:pPr>
              <w:topLinePunct/>
              <w:spacing w:line="360" w:lineRule="auto"/>
              <w:ind w:firstLine="480" w:firstLineChars="200"/>
              <w:rPr>
                <w:color w:val="auto"/>
                <w:sz w:val="24"/>
                <w:szCs w:val="28"/>
              </w:rPr>
            </w:pPr>
            <w:r>
              <w:rPr>
                <w:rFonts w:hint="eastAsia"/>
                <w:color w:val="auto"/>
                <w:sz w:val="24"/>
                <w:szCs w:val="28"/>
              </w:rPr>
              <w:t>Amisc—其他多方面效应引起的倍频带衰减，dB。</w:t>
            </w:r>
          </w:p>
          <w:p w14:paraId="66195216">
            <w:pPr>
              <w:topLinePunct/>
              <w:spacing w:line="360" w:lineRule="auto"/>
              <w:ind w:firstLine="480" w:firstLineChars="200"/>
              <w:rPr>
                <w:color w:val="auto"/>
                <w:sz w:val="24"/>
                <w:szCs w:val="28"/>
              </w:rPr>
            </w:pPr>
            <w:r>
              <w:rPr>
                <w:rFonts w:hint="eastAsia"/>
                <w:color w:val="auto"/>
                <w:sz w:val="24"/>
                <w:szCs w:val="28"/>
              </w:rPr>
              <w:t>由各倍频带声压级合成计算出该声源产生的 A 声级 LA。</w:t>
            </w:r>
          </w:p>
          <w:p w14:paraId="746F0BC7">
            <w:pPr>
              <w:spacing w:before="120" w:beforeLines="50" w:line="360" w:lineRule="auto"/>
              <w:rPr>
                <w:b/>
                <w:bCs/>
                <w:color w:val="auto"/>
                <w:sz w:val="24"/>
              </w:rPr>
            </w:pPr>
            <w:r>
              <w:rPr>
                <w:rFonts w:hint="eastAsia"/>
                <w:b/>
                <w:bCs/>
                <w:color w:val="auto"/>
                <w:sz w:val="24"/>
              </w:rPr>
              <w:t>5.3预测结果</w:t>
            </w:r>
          </w:p>
          <w:p w14:paraId="6323BFCF">
            <w:pPr>
              <w:topLinePunct/>
              <w:spacing w:line="360" w:lineRule="auto"/>
              <w:ind w:firstLine="480" w:firstLineChars="200"/>
              <w:rPr>
                <w:color w:val="auto"/>
                <w:sz w:val="24"/>
                <w:szCs w:val="28"/>
              </w:rPr>
            </w:pPr>
            <w:r>
              <w:rPr>
                <w:rFonts w:hint="eastAsia"/>
                <w:color w:val="auto"/>
                <w:sz w:val="24"/>
                <w:szCs w:val="28"/>
              </w:rPr>
              <w:t>本项目运营期的噪声主要来源于机械设备和运输车辆，噪声预测结果见表4-</w:t>
            </w:r>
            <w:r>
              <w:rPr>
                <w:rFonts w:hint="eastAsia"/>
                <w:color w:val="auto"/>
                <w:sz w:val="24"/>
                <w:szCs w:val="28"/>
                <w:lang w:val="en-US" w:eastAsia="zh-CN"/>
              </w:rPr>
              <w:t>13</w:t>
            </w:r>
            <w:r>
              <w:rPr>
                <w:rFonts w:hint="eastAsia"/>
                <w:color w:val="auto"/>
                <w:sz w:val="24"/>
                <w:szCs w:val="28"/>
              </w:rPr>
              <w:t>。</w:t>
            </w:r>
          </w:p>
          <w:p w14:paraId="6D826567">
            <w:pPr>
              <w:pStyle w:val="16"/>
              <w:snapToGrid/>
              <w:spacing w:before="0" w:after="0" w:line="240" w:lineRule="auto"/>
              <w:ind w:right="0"/>
              <w:jc w:val="center"/>
              <w:rPr>
                <w:b/>
                <w:bCs/>
                <w:color w:val="auto"/>
                <w:sz w:val="21"/>
                <w:szCs w:val="21"/>
              </w:rPr>
            </w:pPr>
            <w:r>
              <w:rPr>
                <w:rFonts w:hint="eastAsia"/>
                <w:b/>
                <w:bCs/>
                <w:color w:val="auto"/>
                <w:sz w:val="21"/>
                <w:szCs w:val="21"/>
              </w:rPr>
              <w:t>表4-</w:t>
            </w:r>
            <w:r>
              <w:rPr>
                <w:rFonts w:hint="eastAsia"/>
                <w:b/>
                <w:bCs/>
                <w:color w:val="auto"/>
                <w:sz w:val="21"/>
                <w:szCs w:val="21"/>
                <w:lang w:val="en-US" w:eastAsia="zh-CN"/>
              </w:rPr>
              <w:t>13</w:t>
            </w:r>
            <w:r>
              <w:rPr>
                <w:rFonts w:hint="eastAsia"/>
                <w:b/>
                <w:bCs/>
                <w:color w:val="auto"/>
                <w:sz w:val="21"/>
                <w:szCs w:val="21"/>
              </w:rPr>
              <w:t xml:space="preserve">    噪声预测结果与达标分析表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772"/>
              <w:gridCol w:w="772"/>
              <w:gridCol w:w="772"/>
              <w:gridCol w:w="952"/>
              <w:gridCol w:w="1354"/>
              <w:gridCol w:w="1356"/>
              <w:gridCol w:w="1138"/>
            </w:tblGrid>
            <w:tr w14:paraId="4199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vMerge w:val="restart"/>
                  <w:shd w:val="clear" w:color="auto" w:fill="auto"/>
                  <w:vAlign w:val="center"/>
                </w:tcPr>
                <w:p w14:paraId="3E790E43">
                  <w:pPr>
                    <w:jc w:val="center"/>
                    <w:rPr>
                      <w:b/>
                      <w:color w:val="auto"/>
                      <w:szCs w:val="21"/>
                    </w:rPr>
                  </w:pPr>
                  <w:r>
                    <w:rPr>
                      <w:b/>
                      <w:color w:val="auto"/>
                      <w:szCs w:val="21"/>
                    </w:rPr>
                    <w:t>预测</w:t>
                  </w:r>
                </w:p>
                <w:p w14:paraId="45250545">
                  <w:pPr>
                    <w:jc w:val="center"/>
                    <w:rPr>
                      <w:color w:val="auto"/>
                      <w:szCs w:val="21"/>
                    </w:rPr>
                  </w:pPr>
                  <w:r>
                    <w:rPr>
                      <w:b/>
                      <w:color w:val="auto"/>
                      <w:szCs w:val="21"/>
                    </w:rPr>
                    <w:t>方位</w:t>
                  </w:r>
                </w:p>
              </w:tc>
              <w:tc>
                <w:tcPr>
                  <w:tcW w:w="2316" w:type="dxa"/>
                  <w:gridSpan w:val="3"/>
                  <w:shd w:val="clear" w:color="auto" w:fill="auto"/>
                  <w:vAlign w:val="center"/>
                </w:tcPr>
                <w:p w14:paraId="3847F53E">
                  <w:pPr>
                    <w:jc w:val="center"/>
                    <w:rPr>
                      <w:color w:val="auto"/>
                      <w:szCs w:val="21"/>
                    </w:rPr>
                  </w:pPr>
                  <w:r>
                    <w:rPr>
                      <w:b/>
                      <w:color w:val="auto"/>
                      <w:szCs w:val="21"/>
                    </w:rPr>
                    <w:t>最大值点空间相对位置/m</w:t>
                  </w:r>
                </w:p>
              </w:tc>
              <w:tc>
                <w:tcPr>
                  <w:tcW w:w="952" w:type="dxa"/>
                  <w:vMerge w:val="restart"/>
                  <w:shd w:val="clear" w:color="auto" w:fill="auto"/>
                  <w:vAlign w:val="center"/>
                </w:tcPr>
                <w:p w14:paraId="3B9828CF">
                  <w:pPr>
                    <w:jc w:val="center"/>
                    <w:rPr>
                      <w:color w:val="auto"/>
                      <w:szCs w:val="21"/>
                    </w:rPr>
                  </w:pPr>
                  <w:r>
                    <w:rPr>
                      <w:b/>
                      <w:color w:val="auto"/>
                      <w:szCs w:val="21"/>
                    </w:rPr>
                    <w:t>时段</w:t>
                  </w:r>
                </w:p>
              </w:tc>
              <w:tc>
                <w:tcPr>
                  <w:tcW w:w="1354" w:type="dxa"/>
                  <w:vMerge w:val="restart"/>
                  <w:shd w:val="clear" w:color="auto" w:fill="auto"/>
                  <w:vAlign w:val="center"/>
                </w:tcPr>
                <w:p w14:paraId="57626C82">
                  <w:pPr>
                    <w:jc w:val="center"/>
                    <w:rPr>
                      <w:color w:val="auto"/>
                      <w:szCs w:val="21"/>
                    </w:rPr>
                  </w:pPr>
                  <w:r>
                    <w:rPr>
                      <w:b/>
                      <w:color w:val="auto"/>
                      <w:szCs w:val="21"/>
                    </w:rPr>
                    <w:t>贡献值dB(A）</w:t>
                  </w:r>
                </w:p>
              </w:tc>
              <w:tc>
                <w:tcPr>
                  <w:tcW w:w="1356" w:type="dxa"/>
                  <w:vMerge w:val="restart"/>
                  <w:shd w:val="clear" w:color="auto" w:fill="auto"/>
                  <w:vAlign w:val="center"/>
                </w:tcPr>
                <w:p w14:paraId="75E992DC">
                  <w:pPr>
                    <w:jc w:val="center"/>
                    <w:rPr>
                      <w:color w:val="auto"/>
                      <w:szCs w:val="21"/>
                    </w:rPr>
                  </w:pPr>
                  <w:r>
                    <w:rPr>
                      <w:b/>
                      <w:color w:val="auto"/>
                      <w:szCs w:val="21"/>
                    </w:rPr>
                    <w:t>标准限值dB(A）</w:t>
                  </w:r>
                </w:p>
              </w:tc>
              <w:tc>
                <w:tcPr>
                  <w:tcW w:w="1138" w:type="dxa"/>
                  <w:vMerge w:val="restart"/>
                  <w:shd w:val="clear" w:color="auto" w:fill="auto"/>
                  <w:vAlign w:val="center"/>
                </w:tcPr>
                <w:p w14:paraId="1CB407BF">
                  <w:pPr>
                    <w:jc w:val="center"/>
                    <w:rPr>
                      <w:color w:val="auto"/>
                      <w:szCs w:val="21"/>
                    </w:rPr>
                  </w:pPr>
                  <w:r>
                    <w:rPr>
                      <w:b/>
                      <w:color w:val="auto"/>
                      <w:szCs w:val="21"/>
                    </w:rPr>
                    <w:t>达标情况</w:t>
                  </w:r>
                </w:p>
              </w:tc>
            </w:tr>
            <w:tr w14:paraId="5C1E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vMerge w:val="continue"/>
                  <w:shd w:val="clear" w:color="auto" w:fill="auto"/>
                  <w:vAlign w:val="center"/>
                </w:tcPr>
                <w:p w14:paraId="49429D8A">
                  <w:pPr>
                    <w:jc w:val="center"/>
                    <w:rPr>
                      <w:color w:val="auto"/>
                      <w:szCs w:val="21"/>
                    </w:rPr>
                  </w:pPr>
                </w:p>
              </w:tc>
              <w:tc>
                <w:tcPr>
                  <w:tcW w:w="772" w:type="dxa"/>
                  <w:shd w:val="clear" w:color="auto" w:fill="auto"/>
                  <w:vAlign w:val="center"/>
                </w:tcPr>
                <w:p w14:paraId="1BA29937">
                  <w:pPr>
                    <w:jc w:val="center"/>
                    <w:rPr>
                      <w:color w:val="auto"/>
                      <w:szCs w:val="21"/>
                    </w:rPr>
                  </w:pPr>
                  <w:r>
                    <w:rPr>
                      <w:color w:val="auto"/>
                      <w:szCs w:val="21"/>
                    </w:rPr>
                    <w:t>X</w:t>
                  </w:r>
                </w:p>
              </w:tc>
              <w:tc>
                <w:tcPr>
                  <w:tcW w:w="772" w:type="dxa"/>
                  <w:shd w:val="clear" w:color="auto" w:fill="auto"/>
                  <w:vAlign w:val="center"/>
                </w:tcPr>
                <w:p w14:paraId="47DCA3E7">
                  <w:pPr>
                    <w:jc w:val="center"/>
                    <w:rPr>
                      <w:color w:val="auto"/>
                      <w:szCs w:val="21"/>
                    </w:rPr>
                  </w:pPr>
                  <w:r>
                    <w:rPr>
                      <w:color w:val="auto"/>
                      <w:szCs w:val="21"/>
                    </w:rPr>
                    <w:t>Y</w:t>
                  </w:r>
                </w:p>
              </w:tc>
              <w:tc>
                <w:tcPr>
                  <w:tcW w:w="772" w:type="dxa"/>
                  <w:shd w:val="clear" w:color="auto" w:fill="auto"/>
                  <w:vAlign w:val="center"/>
                </w:tcPr>
                <w:p w14:paraId="7688B559">
                  <w:pPr>
                    <w:jc w:val="center"/>
                    <w:rPr>
                      <w:color w:val="auto"/>
                      <w:szCs w:val="21"/>
                    </w:rPr>
                  </w:pPr>
                  <w:r>
                    <w:rPr>
                      <w:color w:val="auto"/>
                      <w:szCs w:val="21"/>
                    </w:rPr>
                    <w:t>Z</w:t>
                  </w:r>
                </w:p>
              </w:tc>
              <w:tc>
                <w:tcPr>
                  <w:tcW w:w="952" w:type="dxa"/>
                  <w:vMerge w:val="continue"/>
                  <w:shd w:val="clear" w:color="auto" w:fill="auto"/>
                  <w:vAlign w:val="center"/>
                </w:tcPr>
                <w:p w14:paraId="75A20EC4">
                  <w:pPr>
                    <w:jc w:val="center"/>
                    <w:rPr>
                      <w:color w:val="auto"/>
                      <w:szCs w:val="21"/>
                    </w:rPr>
                  </w:pPr>
                </w:p>
              </w:tc>
              <w:tc>
                <w:tcPr>
                  <w:tcW w:w="1354" w:type="dxa"/>
                  <w:vMerge w:val="continue"/>
                  <w:shd w:val="clear" w:color="auto" w:fill="auto"/>
                  <w:vAlign w:val="center"/>
                </w:tcPr>
                <w:p w14:paraId="651D63B8">
                  <w:pPr>
                    <w:jc w:val="center"/>
                    <w:rPr>
                      <w:color w:val="auto"/>
                      <w:szCs w:val="21"/>
                    </w:rPr>
                  </w:pPr>
                </w:p>
              </w:tc>
              <w:tc>
                <w:tcPr>
                  <w:tcW w:w="1356" w:type="dxa"/>
                  <w:vMerge w:val="continue"/>
                  <w:shd w:val="clear" w:color="auto" w:fill="auto"/>
                  <w:vAlign w:val="center"/>
                </w:tcPr>
                <w:p w14:paraId="3387870D">
                  <w:pPr>
                    <w:jc w:val="center"/>
                    <w:rPr>
                      <w:color w:val="auto"/>
                      <w:szCs w:val="21"/>
                    </w:rPr>
                  </w:pPr>
                </w:p>
              </w:tc>
              <w:tc>
                <w:tcPr>
                  <w:tcW w:w="1138" w:type="dxa"/>
                  <w:vMerge w:val="continue"/>
                  <w:shd w:val="clear" w:color="auto" w:fill="auto"/>
                  <w:vAlign w:val="center"/>
                </w:tcPr>
                <w:p w14:paraId="7154C534">
                  <w:pPr>
                    <w:jc w:val="center"/>
                    <w:rPr>
                      <w:color w:val="auto"/>
                      <w:szCs w:val="21"/>
                    </w:rPr>
                  </w:pPr>
                </w:p>
              </w:tc>
            </w:tr>
            <w:tr w14:paraId="62C6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shd w:val="clear" w:color="auto" w:fill="auto"/>
                  <w:vAlign w:val="center"/>
                </w:tcPr>
                <w:p w14:paraId="0FA3C5CD">
                  <w:pPr>
                    <w:jc w:val="center"/>
                    <w:rPr>
                      <w:color w:val="auto"/>
                      <w:szCs w:val="21"/>
                    </w:rPr>
                  </w:pPr>
                  <w:r>
                    <w:rPr>
                      <w:color w:val="auto"/>
                      <w:szCs w:val="21"/>
                    </w:rPr>
                    <w:t>东侧</w:t>
                  </w:r>
                </w:p>
              </w:tc>
              <w:tc>
                <w:tcPr>
                  <w:tcW w:w="772" w:type="dxa"/>
                  <w:shd w:val="clear" w:color="auto" w:fill="auto"/>
                  <w:vAlign w:val="center"/>
                </w:tcPr>
                <w:p w14:paraId="18E80F9C">
                  <w:pPr>
                    <w:jc w:val="center"/>
                    <w:rPr>
                      <w:color w:val="auto"/>
                      <w:szCs w:val="21"/>
                    </w:rPr>
                  </w:pPr>
                  <w:r>
                    <w:rPr>
                      <w:color w:val="auto"/>
                      <w:szCs w:val="21"/>
                    </w:rPr>
                    <w:t>276.8</w:t>
                  </w:r>
                </w:p>
              </w:tc>
              <w:tc>
                <w:tcPr>
                  <w:tcW w:w="772" w:type="dxa"/>
                  <w:shd w:val="clear" w:color="auto" w:fill="auto"/>
                  <w:vAlign w:val="center"/>
                </w:tcPr>
                <w:p w14:paraId="19AB87C0">
                  <w:pPr>
                    <w:jc w:val="center"/>
                    <w:rPr>
                      <w:color w:val="auto"/>
                      <w:szCs w:val="21"/>
                    </w:rPr>
                  </w:pPr>
                  <w:r>
                    <w:rPr>
                      <w:color w:val="auto"/>
                      <w:szCs w:val="21"/>
                    </w:rPr>
                    <w:t>-377.1</w:t>
                  </w:r>
                </w:p>
              </w:tc>
              <w:tc>
                <w:tcPr>
                  <w:tcW w:w="772" w:type="dxa"/>
                  <w:shd w:val="clear" w:color="auto" w:fill="auto"/>
                  <w:vAlign w:val="center"/>
                </w:tcPr>
                <w:p w14:paraId="64838D71">
                  <w:pPr>
                    <w:jc w:val="center"/>
                    <w:rPr>
                      <w:color w:val="auto"/>
                      <w:szCs w:val="21"/>
                    </w:rPr>
                  </w:pPr>
                  <w:r>
                    <w:rPr>
                      <w:color w:val="auto"/>
                      <w:szCs w:val="21"/>
                    </w:rPr>
                    <w:t>1.2</w:t>
                  </w:r>
                </w:p>
              </w:tc>
              <w:tc>
                <w:tcPr>
                  <w:tcW w:w="952" w:type="dxa"/>
                  <w:shd w:val="clear" w:color="auto" w:fill="auto"/>
                  <w:vAlign w:val="center"/>
                </w:tcPr>
                <w:p w14:paraId="25D606D6">
                  <w:pPr>
                    <w:jc w:val="center"/>
                    <w:rPr>
                      <w:color w:val="auto"/>
                      <w:szCs w:val="21"/>
                    </w:rPr>
                  </w:pPr>
                  <w:r>
                    <w:rPr>
                      <w:color w:val="auto"/>
                      <w:szCs w:val="21"/>
                    </w:rPr>
                    <w:t>昼间</w:t>
                  </w:r>
                </w:p>
              </w:tc>
              <w:tc>
                <w:tcPr>
                  <w:tcW w:w="1354" w:type="dxa"/>
                  <w:shd w:val="clear" w:color="auto" w:fill="auto"/>
                  <w:vAlign w:val="center"/>
                </w:tcPr>
                <w:p w14:paraId="1ED110F8">
                  <w:pPr>
                    <w:jc w:val="center"/>
                    <w:rPr>
                      <w:color w:val="auto"/>
                      <w:szCs w:val="21"/>
                    </w:rPr>
                  </w:pPr>
                  <w:r>
                    <w:rPr>
                      <w:color w:val="auto"/>
                      <w:szCs w:val="21"/>
                    </w:rPr>
                    <w:t>26.4</w:t>
                  </w:r>
                </w:p>
              </w:tc>
              <w:tc>
                <w:tcPr>
                  <w:tcW w:w="1356" w:type="dxa"/>
                  <w:shd w:val="clear" w:color="auto" w:fill="auto"/>
                  <w:vAlign w:val="center"/>
                </w:tcPr>
                <w:p w14:paraId="5584A9AC">
                  <w:pPr>
                    <w:jc w:val="center"/>
                    <w:rPr>
                      <w:color w:val="auto"/>
                      <w:szCs w:val="21"/>
                    </w:rPr>
                  </w:pPr>
                  <w:r>
                    <w:rPr>
                      <w:color w:val="auto"/>
                      <w:szCs w:val="21"/>
                    </w:rPr>
                    <w:t>60</w:t>
                  </w:r>
                </w:p>
              </w:tc>
              <w:tc>
                <w:tcPr>
                  <w:tcW w:w="1138" w:type="dxa"/>
                  <w:shd w:val="clear" w:color="auto" w:fill="auto"/>
                  <w:vAlign w:val="center"/>
                </w:tcPr>
                <w:p w14:paraId="5D6E126F">
                  <w:pPr>
                    <w:jc w:val="center"/>
                    <w:rPr>
                      <w:color w:val="auto"/>
                      <w:szCs w:val="21"/>
                    </w:rPr>
                  </w:pPr>
                  <w:r>
                    <w:rPr>
                      <w:color w:val="auto"/>
                      <w:szCs w:val="21"/>
                    </w:rPr>
                    <w:t>达标</w:t>
                  </w:r>
                </w:p>
              </w:tc>
            </w:tr>
            <w:tr w14:paraId="6833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shd w:val="clear" w:color="auto" w:fill="auto"/>
                  <w:vAlign w:val="center"/>
                </w:tcPr>
                <w:p w14:paraId="653464E8">
                  <w:pPr>
                    <w:jc w:val="center"/>
                    <w:rPr>
                      <w:color w:val="auto"/>
                      <w:szCs w:val="21"/>
                    </w:rPr>
                  </w:pPr>
                  <w:r>
                    <w:rPr>
                      <w:color w:val="auto"/>
                      <w:szCs w:val="21"/>
                    </w:rPr>
                    <w:t>南侧</w:t>
                  </w:r>
                </w:p>
              </w:tc>
              <w:tc>
                <w:tcPr>
                  <w:tcW w:w="772" w:type="dxa"/>
                  <w:shd w:val="clear" w:color="auto" w:fill="auto"/>
                  <w:vAlign w:val="center"/>
                </w:tcPr>
                <w:p w14:paraId="261001B5">
                  <w:pPr>
                    <w:jc w:val="center"/>
                    <w:rPr>
                      <w:color w:val="auto"/>
                      <w:szCs w:val="21"/>
                    </w:rPr>
                  </w:pPr>
                  <w:r>
                    <w:rPr>
                      <w:color w:val="auto"/>
                      <w:szCs w:val="21"/>
                    </w:rPr>
                    <w:t>31.8</w:t>
                  </w:r>
                </w:p>
              </w:tc>
              <w:tc>
                <w:tcPr>
                  <w:tcW w:w="772" w:type="dxa"/>
                  <w:shd w:val="clear" w:color="auto" w:fill="auto"/>
                  <w:vAlign w:val="center"/>
                </w:tcPr>
                <w:p w14:paraId="4F1E4608">
                  <w:pPr>
                    <w:jc w:val="center"/>
                    <w:rPr>
                      <w:color w:val="auto"/>
                      <w:szCs w:val="21"/>
                    </w:rPr>
                  </w:pPr>
                  <w:r>
                    <w:rPr>
                      <w:color w:val="auto"/>
                      <w:szCs w:val="21"/>
                    </w:rPr>
                    <w:t>-178.2</w:t>
                  </w:r>
                </w:p>
              </w:tc>
              <w:tc>
                <w:tcPr>
                  <w:tcW w:w="772" w:type="dxa"/>
                  <w:shd w:val="clear" w:color="auto" w:fill="auto"/>
                  <w:vAlign w:val="center"/>
                </w:tcPr>
                <w:p w14:paraId="57719378">
                  <w:pPr>
                    <w:jc w:val="center"/>
                    <w:rPr>
                      <w:color w:val="auto"/>
                      <w:szCs w:val="21"/>
                    </w:rPr>
                  </w:pPr>
                  <w:r>
                    <w:rPr>
                      <w:color w:val="auto"/>
                      <w:szCs w:val="21"/>
                    </w:rPr>
                    <w:t>1.2</w:t>
                  </w:r>
                </w:p>
              </w:tc>
              <w:tc>
                <w:tcPr>
                  <w:tcW w:w="952" w:type="dxa"/>
                  <w:shd w:val="clear" w:color="auto" w:fill="auto"/>
                  <w:vAlign w:val="center"/>
                </w:tcPr>
                <w:p w14:paraId="3B335862">
                  <w:pPr>
                    <w:jc w:val="center"/>
                    <w:rPr>
                      <w:color w:val="auto"/>
                      <w:szCs w:val="21"/>
                    </w:rPr>
                  </w:pPr>
                  <w:r>
                    <w:rPr>
                      <w:color w:val="auto"/>
                      <w:szCs w:val="21"/>
                    </w:rPr>
                    <w:t>昼间</w:t>
                  </w:r>
                </w:p>
              </w:tc>
              <w:tc>
                <w:tcPr>
                  <w:tcW w:w="1354" w:type="dxa"/>
                  <w:shd w:val="clear" w:color="auto" w:fill="auto"/>
                  <w:vAlign w:val="center"/>
                </w:tcPr>
                <w:p w14:paraId="3BD26FC2">
                  <w:pPr>
                    <w:jc w:val="center"/>
                    <w:rPr>
                      <w:color w:val="auto"/>
                      <w:szCs w:val="21"/>
                    </w:rPr>
                  </w:pPr>
                  <w:r>
                    <w:rPr>
                      <w:color w:val="auto"/>
                      <w:szCs w:val="21"/>
                    </w:rPr>
                    <w:t>34.1</w:t>
                  </w:r>
                </w:p>
              </w:tc>
              <w:tc>
                <w:tcPr>
                  <w:tcW w:w="1356" w:type="dxa"/>
                  <w:shd w:val="clear" w:color="auto" w:fill="auto"/>
                  <w:vAlign w:val="center"/>
                </w:tcPr>
                <w:p w14:paraId="13163C3F">
                  <w:pPr>
                    <w:jc w:val="center"/>
                    <w:rPr>
                      <w:color w:val="auto"/>
                      <w:szCs w:val="21"/>
                    </w:rPr>
                  </w:pPr>
                  <w:r>
                    <w:rPr>
                      <w:color w:val="auto"/>
                      <w:szCs w:val="21"/>
                    </w:rPr>
                    <w:t>60</w:t>
                  </w:r>
                </w:p>
              </w:tc>
              <w:tc>
                <w:tcPr>
                  <w:tcW w:w="1138" w:type="dxa"/>
                  <w:shd w:val="clear" w:color="auto" w:fill="auto"/>
                  <w:vAlign w:val="center"/>
                </w:tcPr>
                <w:p w14:paraId="5711FD66">
                  <w:pPr>
                    <w:jc w:val="center"/>
                    <w:rPr>
                      <w:color w:val="auto"/>
                      <w:szCs w:val="21"/>
                    </w:rPr>
                  </w:pPr>
                  <w:r>
                    <w:rPr>
                      <w:color w:val="auto"/>
                      <w:szCs w:val="21"/>
                    </w:rPr>
                    <w:t>达标</w:t>
                  </w:r>
                </w:p>
              </w:tc>
            </w:tr>
            <w:tr w14:paraId="7145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shd w:val="clear" w:color="auto" w:fill="auto"/>
                  <w:vAlign w:val="center"/>
                </w:tcPr>
                <w:p w14:paraId="0B9DE7DF">
                  <w:pPr>
                    <w:jc w:val="center"/>
                    <w:rPr>
                      <w:color w:val="auto"/>
                      <w:szCs w:val="21"/>
                    </w:rPr>
                  </w:pPr>
                  <w:r>
                    <w:rPr>
                      <w:color w:val="auto"/>
                      <w:szCs w:val="21"/>
                    </w:rPr>
                    <w:t>西侧</w:t>
                  </w:r>
                </w:p>
              </w:tc>
              <w:tc>
                <w:tcPr>
                  <w:tcW w:w="772" w:type="dxa"/>
                  <w:shd w:val="clear" w:color="auto" w:fill="auto"/>
                  <w:vAlign w:val="center"/>
                </w:tcPr>
                <w:p w14:paraId="43D518B3">
                  <w:pPr>
                    <w:jc w:val="center"/>
                    <w:rPr>
                      <w:color w:val="auto"/>
                      <w:szCs w:val="21"/>
                    </w:rPr>
                  </w:pPr>
                  <w:r>
                    <w:rPr>
                      <w:color w:val="auto"/>
                      <w:szCs w:val="21"/>
                    </w:rPr>
                    <w:t>-138.7</w:t>
                  </w:r>
                </w:p>
              </w:tc>
              <w:tc>
                <w:tcPr>
                  <w:tcW w:w="772" w:type="dxa"/>
                  <w:shd w:val="clear" w:color="auto" w:fill="auto"/>
                  <w:vAlign w:val="center"/>
                </w:tcPr>
                <w:p w14:paraId="612157D4">
                  <w:pPr>
                    <w:jc w:val="center"/>
                    <w:rPr>
                      <w:color w:val="auto"/>
                      <w:szCs w:val="21"/>
                    </w:rPr>
                  </w:pPr>
                  <w:r>
                    <w:rPr>
                      <w:color w:val="auto"/>
                      <w:szCs w:val="21"/>
                    </w:rPr>
                    <w:t>3.3</w:t>
                  </w:r>
                </w:p>
              </w:tc>
              <w:tc>
                <w:tcPr>
                  <w:tcW w:w="772" w:type="dxa"/>
                  <w:shd w:val="clear" w:color="auto" w:fill="auto"/>
                  <w:vAlign w:val="center"/>
                </w:tcPr>
                <w:p w14:paraId="573340D2">
                  <w:pPr>
                    <w:jc w:val="center"/>
                    <w:rPr>
                      <w:color w:val="auto"/>
                      <w:szCs w:val="21"/>
                    </w:rPr>
                  </w:pPr>
                  <w:r>
                    <w:rPr>
                      <w:color w:val="auto"/>
                      <w:szCs w:val="21"/>
                    </w:rPr>
                    <w:t>1.2</w:t>
                  </w:r>
                </w:p>
              </w:tc>
              <w:tc>
                <w:tcPr>
                  <w:tcW w:w="952" w:type="dxa"/>
                  <w:shd w:val="clear" w:color="auto" w:fill="auto"/>
                  <w:vAlign w:val="center"/>
                </w:tcPr>
                <w:p w14:paraId="644AAC34">
                  <w:pPr>
                    <w:jc w:val="center"/>
                    <w:rPr>
                      <w:color w:val="auto"/>
                      <w:szCs w:val="21"/>
                    </w:rPr>
                  </w:pPr>
                  <w:r>
                    <w:rPr>
                      <w:color w:val="auto"/>
                      <w:szCs w:val="21"/>
                    </w:rPr>
                    <w:t>昼间</w:t>
                  </w:r>
                </w:p>
              </w:tc>
              <w:tc>
                <w:tcPr>
                  <w:tcW w:w="1354" w:type="dxa"/>
                  <w:shd w:val="clear" w:color="auto" w:fill="auto"/>
                  <w:vAlign w:val="center"/>
                </w:tcPr>
                <w:p w14:paraId="1FBD20A8">
                  <w:pPr>
                    <w:jc w:val="center"/>
                    <w:rPr>
                      <w:color w:val="auto"/>
                      <w:szCs w:val="21"/>
                    </w:rPr>
                  </w:pPr>
                  <w:r>
                    <w:rPr>
                      <w:color w:val="auto"/>
                      <w:szCs w:val="21"/>
                    </w:rPr>
                    <w:t>58.5</w:t>
                  </w:r>
                </w:p>
              </w:tc>
              <w:tc>
                <w:tcPr>
                  <w:tcW w:w="1356" w:type="dxa"/>
                  <w:shd w:val="clear" w:color="auto" w:fill="auto"/>
                  <w:vAlign w:val="center"/>
                </w:tcPr>
                <w:p w14:paraId="359A97BC">
                  <w:pPr>
                    <w:jc w:val="center"/>
                    <w:rPr>
                      <w:color w:val="auto"/>
                      <w:szCs w:val="21"/>
                    </w:rPr>
                  </w:pPr>
                  <w:r>
                    <w:rPr>
                      <w:color w:val="auto"/>
                      <w:szCs w:val="21"/>
                    </w:rPr>
                    <w:t>60</w:t>
                  </w:r>
                </w:p>
              </w:tc>
              <w:tc>
                <w:tcPr>
                  <w:tcW w:w="1138" w:type="dxa"/>
                  <w:shd w:val="clear" w:color="auto" w:fill="auto"/>
                  <w:vAlign w:val="center"/>
                </w:tcPr>
                <w:p w14:paraId="06BBE4D0">
                  <w:pPr>
                    <w:jc w:val="center"/>
                    <w:rPr>
                      <w:color w:val="auto"/>
                      <w:szCs w:val="21"/>
                    </w:rPr>
                  </w:pPr>
                  <w:r>
                    <w:rPr>
                      <w:color w:val="auto"/>
                      <w:szCs w:val="21"/>
                    </w:rPr>
                    <w:t>达标</w:t>
                  </w:r>
                </w:p>
              </w:tc>
            </w:tr>
            <w:tr w14:paraId="45C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shd w:val="clear" w:color="auto" w:fill="auto"/>
                  <w:vAlign w:val="center"/>
                </w:tcPr>
                <w:p w14:paraId="18266D00">
                  <w:pPr>
                    <w:jc w:val="center"/>
                    <w:rPr>
                      <w:color w:val="auto"/>
                      <w:szCs w:val="21"/>
                    </w:rPr>
                  </w:pPr>
                  <w:r>
                    <w:rPr>
                      <w:color w:val="auto"/>
                      <w:szCs w:val="21"/>
                    </w:rPr>
                    <w:t>北侧</w:t>
                  </w:r>
                </w:p>
              </w:tc>
              <w:tc>
                <w:tcPr>
                  <w:tcW w:w="772" w:type="dxa"/>
                  <w:shd w:val="clear" w:color="auto" w:fill="auto"/>
                  <w:vAlign w:val="center"/>
                </w:tcPr>
                <w:p w14:paraId="1530535F">
                  <w:pPr>
                    <w:jc w:val="center"/>
                    <w:rPr>
                      <w:color w:val="auto"/>
                      <w:szCs w:val="21"/>
                    </w:rPr>
                  </w:pPr>
                  <w:r>
                    <w:rPr>
                      <w:color w:val="auto"/>
                      <w:szCs w:val="21"/>
                    </w:rPr>
                    <w:t>-76.9</w:t>
                  </w:r>
                </w:p>
              </w:tc>
              <w:tc>
                <w:tcPr>
                  <w:tcW w:w="772" w:type="dxa"/>
                  <w:shd w:val="clear" w:color="auto" w:fill="auto"/>
                  <w:vAlign w:val="center"/>
                </w:tcPr>
                <w:p w14:paraId="79FB2A17">
                  <w:pPr>
                    <w:jc w:val="center"/>
                    <w:rPr>
                      <w:color w:val="auto"/>
                      <w:szCs w:val="21"/>
                    </w:rPr>
                  </w:pPr>
                  <w:r>
                    <w:rPr>
                      <w:color w:val="auto"/>
                      <w:szCs w:val="21"/>
                    </w:rPr>
                    <w:t>151.9</w:t>
                  </w:r>
                </w:p>
              </w:tc>
              <w:tc>
                <w:tcPr>
                  <w:tcW w:w="772" w:type="dxa"/>
                  <w:shd w:val="clear" w:color="auto" w:fill="auto"/>
                  <w:vAlign w:val="center"/>
                </w:tcPr>
                <w:p w14:paraId="338AB89B">
                  <w:pPr>
                    <w:jc w:val="center"/>
                    <w:rPr>
                      <w:color w:val="auto"/>
                      <w:szCs w:val="21"/>
                    </w:rPr>
                  </w:pPr>
                  <w:r>
                    <w:rPr>
                      <w:color w:val="auto"/>
                      <w:szCs w:val="21"/>
                    </w:rPr>
                    <w:t>1.2</w:t>
                  </w:r>
                </w:p>
              </w:tc>
              <w:tc>
                <w:tcPr>
                  <w:tcW w:w="952" w:type="dxa"/>
                  <w:shd w:val="clear" w:color="auto" w:fill="auto"/>
                  <w:vAlign w:val="center"/>
                </w:tcPr>
                <w:p w14:paraId="6BD8DCB6">
                  <w:pPr>
                    <w:jc w:val="center"/>
                    <w:rPr>
                      <w:color w:val="auto"/>
                      <w:szCs w:val="21"/>
                    </w:rPr>
                  </w:pPr>
                  <w:r>
                    <w:rPr>
                      <w:color w:val="auto"/>
                      <w:szCs w:val="21"/>
                    </w:rPr>
                    <w:t>昼间</w:t>
                  </w:r>
                </w:p>
              </w:tc>
              <w:tc>
                <w:tcPr>
                  <w:tcW w:w="1354" w:type="dxa"/>
                  <w:shd w:val="clear" w:color="auto" w:fill="auto"/>
                  <w:vAlign w:val="center"/>
                </w:tcPr>
                <w:p w14:paraId="79981A1D">
                  <w:pPr>
                    <w:jc w:val="center"/>
                    <w:rPr>
                      <w:color w:val="auto"/>
                      <w:szCs w:val="21"/>
                    </w:rPr>
                  </w:pPr>
                  <w:r>
                    <w:rPr>
                      <w:color w:val="auto"/>
                      <w:szCs w:val="21"/>
                    </w:rPr>
                    <w:t>46.7</w:t>
                  </w:r>
                </w:p>
              </w:tc>
              <w:tc>
                <w:tcPr>
                  <w:tcW w:w="1356" w:type="dxa"/>
                  <w:shd w:val="clear" w:color="auto" w:fill="auto"/>
                  <w:vAlign w:val="center"/>
                </w:tcPr>
                <w:p w14:paraId="5B2ECF3B">
                  <w:pPr>
                    <w:jc w:val="center"/>
                    <w:rPr>
                      <w:color w:val="auto"/>
                      <w:szCs w:val="21"/>
                    </w:rPr>
                  </w:pPr>
                  <w:r>
                    <w:rPr>
                      <w:color w:val="auto"/>
                      <w:szCs w:val="21"/>
                    </w:rPr>
                    <w:t>60</w:t>
                  </w:r>
                </w:p>
              </w:tc>
              <w:tc>
                <w:tcPr>
                  <w:tcW w:w="1138" w:type="dxa"/>
                  <w:shd w:val="clear" w:color="auto" w:fill="auto"/>
                  <w:vAlign w:val="center"/>
                </w:tcPr>
                <w:p w14:paraId="2DD0FEA6">
                  <w:pPr>
                    <w:jc w:val="center"/>
                    <w:rPr>
                      <w:color w:val="auto"/>
                      <w:szCs w:val="21"/>
                    </w:rPr>
                  </w:pPr>
                  <w:r>
                    <w:rPr>
                      <w:color w:val="auto"/>
                      <w:szCs w:val="21"/>
                    </w:rPr>
                    <w:t>达标</w:t>
                  </w:r>
                </w:p>
              </w:tc>
            </w:tr>
          </w:tbl>
          <w:p w14:paraId="4BCED536">
            <w:pPr>
              <w:rPr>
                <w:b/>
                <w:bCs/>
                <w:color w:val="auto"/>
                <w:sz w:val="24"/>
              </w:rPr>
            </w:pPr>
          </w:p>
          <w:p w14:paraId="6438A857">
            <w:pPr>
              <w:topLinePunct/>
              <w:spacing w:line="360" w:lineRule="auto"/>
              <w:ind w:firstLine="480" w:firstLineChars="200"/>
              <w:rPr>
                <w:color w:val="auto"/>
                <w:sz w:val="24"/>
                <w:szCs w:val="28"/>
              </w:rPr>
            </w:pPr>
            <w:r>
              <w:rPr>
                <w:rFonts w:hint="eastAsia"/>
                <w:color w:val="auto"/>
                <w:sz w:val="24"/>
                <w:szCs w:val="28"/>
              </w:rPr>
              <w:t xml:space="preserve">项目工作制度为白天，夜间不进行生产作业，不产生噪声。由上表可知，正常工况下，项目厂界噪声满足《工业企业厂界环境噪声排放标准》(GB12348.2008) </w:t>
            </w:r>
            <w:bookmarkStart w:id="15" w:name="PO_3"/>
            <w:r>
              <w:rPr>
                <w:rFonts w:hint="eastAsia"/>
                <w:color w:val="auto"/>
                <w:sz w:val="24"/>
                <w:szCs w:val="28"/>
              </w:rPr>
              <w:t>2</w:t>
            </w:r>
            <w:bookmarkEnd w:id="15"/>
            <w:r>
              <w:rPr>
                <w:rFonts w:hint="eastAsia"/>
                <w:color w:val="auto"/>
                <w:sz w:val="24"/>
                <w:szCs w:val="28"/>
              </w:rPr>
              <w:t>类标准。</w:t>
            </w:r>
          </w:p>
          <w:p w14:paraId="6C9EF7BB">
            <w:pPr>
              <w:spacing w:before="120" w:beforeLines="50" w:line="360" w:lineRule="auto"/>
              <w:rPr>
                <w:b/>
                <w:bCs/>
                <w:color w:val="auto"/>
                <w:sz w:val="24"/>
              </w:rPr>
            </w:pPr>
            <w:r>
              <w:rPr>
                <w:rFonts w:hint="eastAsia"/>
                <w:b/>
                <w:bCs/>
                <w:color w:val="auto"/>
                <w:sz w:val="24"/>
              </w:rPr>
              <w:t>5.4噪声监测计划</w:t>
            </w:r>
          </w:p>
          <w:p w14:paraId="2992B0E1">
            <w:pPr>
              <w:adjustRightInd w:val="0"/>
              <w:snapToGrid w:val="0"/>
              <w:spacing w:line="360" w:lineRule="auto"/>
              <w:ind w:firstLine="480" w:firstLineChars="200"/>
              <w:rPr>
                <w:color w:val="auto"/>
                <w:sz w:val="24"/>
              </w:rPr>
            </w:pPr>
            <w:r>
              <w:rPr>
                <w:rFonts w:hint="eastAsia"/>
                <w:color w:val="auto"/>
                <w:sz w:val="24"/>
              </w:rPr>
              <w:t>根据《排污单位自行监测技术指南 总则》（HJ819-2017），本项目环境噪声监测方案见表4-</w:t>
            </w:r>
            <w:r>
              <w:rPr>
                <w:rFonts w:hint="eastAsia"/>
                <w:color w:val="auto"/>
                <w:sz w:val="24"/>
                <w:lang w:val="en-US" w:eastAsia="zh-CN"/>
              </w:rPr>
              <w:t>14</w:t>
            </w:r>
            <w:r>
              <w:rPr>
                <w:color w:val="auto"/>
                <w:sz w:val="24"/>
              </w:rPr>
              <w:t>。</w:t>
            </w:r>
          </w:p>
          <w:p w14:paraId="7B986999">
            <w:pPr>
              <w:pStyle w:val="16"/>
              <w:snapToGrid/>
              <w:spacing w:before="0" w:after="0" w:line="240" w:lineRule="auto"/>
              <w:ind w:right="0"/>
              <w:jc w:val="center"/>
              <w:rPr>
                <w:b/>
                <w:bCs/>
                <w:color w:val="auto"/>
                <w:sz w:val="21"/>
                <w:szCs w:val="21"/>
              </w:rPr>
            </w:pPr>
            <w:r>
              <w:rPr>
                <w:rFonts w:hint="eastAsia"/>
                <w:b/>
                <w:bCs/>
                <w:color w:val="auto"/>
                <w:sz w:val="21"/>
                <w:szCs w:val="21"/>
              </w:rPr>
              <w:t>表4-</w:t>
            </w:r>
            <w:r>
              <w:rPr>
                <w:rFonts w:hint="eastAsia"/>
                <w:b/>
                <w:bCs/>
                <w:color w:val="auto"/>
                <w:sz w:val="21"/>
                <w:szCs w:val="21"/>
                <w:lang w:val="en-US" w:eastAsia="zh-CN"/>
              </w:rPr>
              <w:t>14</w:t>
            </w:r>
            <w:r>
              <w:rPr>
                <w:rFonts w:hint="eastAsia"/>
                <w:b/>
                <w:bCs/>
                <w:color w:val="auto"/>
                <w:sz w:val="21"/>
                <w:szCs w:val="21"/>
              </w:rPr>
              <w:t xml:space="preserve">    噪声监测计划表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9"/>
              <w:gridCol w:w="2767"/>
              <w:gridCol w:w="1525"/>
              <w:gridCol w:w="1370"/>
              <w:gridCol w:w="1160"/>
            </w:tblGrid>
            <w:tr w14:paraId="1C35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342" w:type="dxa"/>
                  <w:vAlign w:val="center"/>
                </w:tcPr>
                <w:p w14:paraId="211805D3">
                  <w:pPr>
                    <w:wordWrap w:val="0"/>
                    <w:jc w:val="center"/>
                    <w:rPr>
                      <w:color w:val="auto"/>
                      <w:szCs w:val="21"/>
                    </w:rPr>
                  </w:pPr>
                  <w:r>
                    <w:rPr>
                      <w:color w:val="auto"/>
                      <w:szCs w:val="21"/>
                    </w:rPr>
                    <w:t>监测项目</w:t>
                  </w:r>
                </w:p>
              </w:tc>
              <w:tc>
                <w:tcPr>
                  <w:tcW w:w="2753" w:type="dxa"/>
                  <w:vAlign w:val="center"/>
                </w:tcPr>
                <w:p w14:paraId="31A43137">
                  <w:pPr>
                    <w:wordWrap w:val="0"/>
                    <w:jc w:val="center"/>
                    <w:rPr>
                      <w:color w:val="auto"/>
                      <w:szCs w:val="21"/>
                    </w:rPr>
                  </w:pPr>
                  <w:r>
                    <w:rPr>
                      <w:color w:val="auto"/>
                      <w:szCs w:val="21"/>
                    </w:rPr>
                    <w:t>监测因子</w:t>
                  </w:r>
                </w:p>
              </w:tc>
              <w:tc>
                <w:tcPr>
                  <w:tcW w:w="1517" w:type="dxa"/>
                  <w:vAlign w:val="center"/>
                </w:tcPr>
                <w:p w14:paraId="0300E25A">
                  <w:pPr>
                    <w:wordWrap w:val="0"/>
                    <w:jc w:val="center"/>
                    <w:rPr>
                      <w:color w:val="auto"/>
                      <w:szCs w:val="21"/>
                    </w:rPr>
                  </w:pPr>
                  <w:r>
                    <w:rPr>
                      <w:color w:val="auto"/>
                      <w:szCs w:val="21"/>
                    </w:rPr>
                    <w:t>监测点位</w:t>
                  </w:r>
                </w:p>
              </w:tc>
              <w:tc>
                <w:tcPr>
                  <w:tcW w:w="1363" w:type="dxa"/>
                  <w:vAlign w:val="center"/>
                </w:tcPr>
                <w:p w14:paraId="53F8423A">
                  <w:pPr>
                    <w:wordWrap w:val="0"/>
                    <w:jc w:val="center"/>
                    <w:rPr>
                      <w:color w:val="auto"/>
                      <w:szCs w:val="21"/>
                    </w:rPr>
                  </w:pPr>
                  <w:r>
                    <w:rPr>
                      <w:color w:val="auto"/>
                      <w:szCs w:val="21"/>
                    </w:rPr>
                    <w:t>监测时间</w:t>
                  </w:r>
                </w:p>
              </w:tc>
              <w:tc>
                <w:tcPr>
                  <w:tcW w:w="1154" w:type="dxa"/>
                  <w:vAlign w:val="center"/>
                </w:tcPr>
                <w:p w14:paraId="7611995D">
                  <w:pPr>
                    <w:wordWrap w:val="0"/>
                    <w:jc w:val="center"/>
                    <w:rPr>
                      <w:color w:val="auto"/>
                      <w:szCs w:val="21"/>
                    </w:rPr>
                  </w:pPr>
                  <w:r>
                    <w:rPr>
                      <w:color w:val="auto"/>
                      <w:szCs w:val="21"/>
                    </w:rPr>
                    <w:t>监测频率</w:t>
                  </w:r>
                </w:p>
              </w:tc>
            </w:tr>
            <w:tr w14:paraId="6D4A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342" w:type="dxa"/>
                  <w:vAlign w:val="center"/>
                </w:tcPr>
                <w:p w14:paraId="4C16516A">
                  <w:pPr>
                    <w:wordWrap w:val="0"/>
                    <w:jc w:val="center"/>
                    <w:rPr>
                      <w:color w:val="auto"/>
                      <w:szCs w:val="21"/>
                    </w:rPr>
                  </w:pPr>
                  <w:r>
                    <w:rPr>
                      <w:color w:val="auto"/>
                      <w:szCs w:val="21"/>
                    </w:rPr>
                    <w:t>噪声</w:t>
                  </w:r>
                </w:p>
              </w:tc>
              <w:tc>
                <w:tcPr>
                  <w:tcW w:w="2753" w:type="dxa"/>
                  <w:vAlign w:val="center"/>
                </w:tcPr>
                <w:p w14:paraId="0F3E1FAF">
                  <w:pPr>
                    <w:wordWrap w:val="0"/>
                    <w:jc w:val="center"/>
                    <w:rPr>
                      <w:color w:val="auto"/>
                      <w:szCs w:val="21"/>
                    </w:rPr>
                  </w:pPr>
                  <w:r>
                    <w:rPr>
                      <w:color w:val="auto"/>
                      <w:szCs w:val="21"/>
                    </w:rPr>
                    <w:t>等效连续A声级：LeqdB（A）</w:t>
                  </w:r>
                </w:p>
              </w:tc>
              <w:tc>
                <w:tcPr>
                  <w:tcW w:w="1517" w:type="dxa"/>
                  <w:vAlign w:val="center"/>
                </w:tcPr>
                <w:p w14:paraId="5D523DAF">
                  <w:pPr>
                    <w:wordWrap w:val="0"/>
                    <w:jc w:val="left"/>
                    <w:rPr>
                      <w:color w:val="auto"/>
                      <w:szCs w:val="21"/>
                    </w:rPr>
                  </w:pPr>
                  <w:r>
                    <w:rPr>
                      <w:color w:val="auto"/>
                      <w:szCs w:val="21"/>
                    </w:rPr>
                    <w:t>厂界四周各设1个监测点位</w:t>
                  </w:r>
                </w:p>
              </w:tc>
              <w:tc>
                <w:tcPr>
                  <w:tcW w:w="1363" w:type="dxa"/>
                  <w:vAlign w:val="center"/>
                </w:tcPr>
                <w:p w14:paraId="37155CDC">
                  <w:pPr>
                    <w:wordWrap w:val="0"/>
                    <w:jc w:val="center"/>
                    <w:rPr>
                      <w:color w:val="auto"/>
                      <w:szCs w:val="21"/>
                    </w:rPr>
                  </w:pPr>
                  <w:r>
                    <w:rPr>
                      <w:color w:val="auto"/>
                      <w:szCs w:val="21"/>
                    </w:rPr>
                    <w:t>昼间一次</w:t>
                  </w:r>
                </w:p>
              </w:tc>
              <w:tc>
                <w:tcPr>
                  <w:tcW w:w="1154" w:type="dxa"/>
                  <w:vAlign w:val="center"/>
                </w:tcPr>
                <w:p w14:paraId="4998282E">
                  <w:pPr>
                    <w:wordWrap w:val="0"/>
                    <w:jc w:val="center"/>
                    <w:rPr>
                      <w:color w:val="auto"/>
                      <w:szCs w:val="21"/>
                    </w:rPr>
                  </w:pPr>
                  <w:r>
                    <w:rPr>
                      <w:color w:val="auto"/>
                      <w:szCs w:val="21"/>
                    </w:rPr>
                    <w:t>每季度一次</w:t>
                  </w:r>
                </w:p>
              </w:tc>
            </w:tr>
          </w:tbl>
          <w:p w14:paraId="583BE178">
            <w:pPr>
              <w:adjustRightInd w:val="0"/>
              <w:snapToGrid w:val="0"/>
              <w:spacing w:before="120" w:beforeLines="50" w:line="360" w:lineRule="auto"/>
              <w:rPr>
                <w:color w:val="auto"/>
                <w:sz w:val="24"/>
              </w:rPr>
            </w:pPr>
            <w:r>
              <w:rPr>
                <w:b/>
                <w:bCs/>
                <w:color w:val="auto"/>
                <w:sz w:val="24"/>
              </w:rPr>
              <w:t>6、</w:t>
            </w:r>
            <w:r>
              <w:rPr>
                <w:b/>
                <w:bCs/>
                <w:color w:val="auto"/>
                <w:sz w:val="24"/>
                <w:szCs w:val="32"/>
              </w:rPr>
              <w:t>运营期固体废物</w:t>
            </w:r>
            <w:r>
              <w:rPr>
                <w:b/>
                <w:color w:val="auto"/>
                <w:sz w:val="24"/>
              </w:rPr>
              <w:t>环境影响分析</w:t>
            </w:r>
          </w:p>
          <w:p w14:paraId="25844809">
            <w:pPr>
              <w:adjustRightInd w:val="0"/>
              <w:spacing w:line="360" w:lineRule="auto"/>
              <w:ind w:firstLine="480" w:firstLineChars="200"/>
              <w:rPr>
                <w:rFonts w:hint="default"/>
                <w:color w:val="auto"/>
                <w:sz w:val="24"/>
                <w:lang w:val="en-US" w:eastAsia="zh-CN"/>
              </w:rPr>
            </w:pPr>
            <w:r>
              <w:rPr>
                <w:rFonts w:hint="eastAsia"/>
                <w:color w:val="auto"/>
                <w:sz w:val="24"/>
                <w:lang w:val="en-US" w:eastAsia="zh-CN"/>
              </w:rPr>
              <w:t>本项目不建设机修间，运行期间挖掘机、装载机、自卸车、洒水车及雾炮机等机械设备</w:t>
            </w:r>
            <w:r>
              <w:rPr>
                <w:rFonts w:hint="eastAsia"/>
                <w:snapToGrid w:val="0"/>
                <w:color w:val="auto"/>
                <w:kern w:val="0"/>
                <w:sz w:val="24"/>
              </w:rPr>
              <w:t>修理委托专业检修机构承担</w:t>
            </w:r>
            <w:r>
              <w:rPr>
                <w:rFonts w:hint="eastAsia"/>
                <w:color w:val="auto"/>
                <w:sz w:val="24"/>
                <w:lang w:val="en-US" w:eastAsia="zh-CN"/>
              </w:rPr>
              <w:t>。因此矿区无机械设备检修废油产生。</w:t>
            </w:r>
          </w:p>
          <w:p w14:paraId="0C458E17">
            <w:pPr>
              <w:adjustRightInd w:val="0"/>
              <w:spacing w:line="360" w:lineRule="auto"/>
              <w:ind w:firstLine="480" w:firstLineChars="200"/>
              <w:rPr>
                <w:color w:val="auto"/>
                <w:sz w:val="24"/>
              </w:rPr>
            </w:pPr>
            <w:r>
              <w:rPr>
                <w:rFonts w:hint="eastAsia"/>
                <w:color w:val="auto"/>
                <w:sz w:val="24"/>
              </w:rPr>
              <w:t>本项目为露天开采建筑用砂，在开采过程中仅会产生剥离表土，无采矿废石产生。本项目运营期产生的固体废物主要为剥离表土，本项目服务期内剥离土量约143300m</w:t>
            </w:r>
            <w:r>
              <w:rPr>
                <w:rFonts w:hint="eastAsia"/>
                <w:color w:val="auto"/>
                <w:sz w:val="24"/>
                <w:vertAlign w:val="superscript"/>
              </w:rPr>
              <w:t>3</w:t>
            </w:r>
            <w:r>
              <w:rPr>
                <w:rFonts w:hint="eastAsia"/>
                <w:color w:val="auto"/>
                <w:sz w:val="24"/>
              </w:rPr>
              <w:t>（235012t），服务期6.47年，则每年剥离表土量22148m</w:t>
            </w:r>
            <w:r>
              <w:rPr>
                <w:rFonts w:hint="eastAsia"/>
                <w:color w:val="auto"/>
                <w:sz w:val="24"/>
                <w:vertAlign w:val="superscript"/>
              </w:rPr>
              <w:t>3</w:t>
            </w:r>
            <w:r>
              <w:rPr>
                <w:rFonts w:hint="eastAsia"/>
                <w:color w:val="auto"/>
                <w:sz w:val="24"/>
              </w:rPr>
              <w:t>（36323t/a），剥离表土拉运至表土堆场堆放，采用防尘网苫盖，用于后期矿区回填。</w:t>
            </w:r>
          </w:p>
          <w:p w14:paraId="6368C57F">
            <w:pPr>
              <w:adjustRightInd w:val="0"/>
              <w:spacing w:line="360" w:lineRule="auto"/>
              <w:ind w:firstLine="480" w:firstLineChars="200"/>
              <w:rPr>
                <w:color w:val="auto"/>
                <w:sz w:val="24"/>
              </w:rPr>
            </w:pPr>
            <w:r>
              <w:rPr>
                <w:rFonts w:hint="eastAsia"/>
                <w:color w:val="auto"/>
                <w:sz w:val="24"/>
              </w:rPr>
              <w:t>矿山建成后定员20人。按</w:t>
            </w:r>
            <w:r>
              <w:rPr>
                <w:color w:val="auto"/>
                <w:sz w:val="24"/>
              </w:rPr>
              <w:t>0.5kg/</w:t>
            </w:r>
            <w:r>
              <w:rPr>
                <w:rFonts w:hint="eastAsia"/>
                <w:color w:val="auto"/>
                <w:sz w:val="24"/>
                <w:lang w:eastAsia="zh-CN"/>
              </w:rPr>
              <w:t>（</w:t>
            </w:r>
            <w:r>
              <w:rPr>
                <w:rFonts w:hint="eastAsia"/>
                <w:color w:val="auto"/>
                <w:sz w:val="24"/>
              </w:rPr>
              <w:t>人·</w:t>
            </w:r>
            <w:r>
              <w:rPr>
                <w:color w:val="auto"/>
                <w:sz w:val="24"/>
              </w:rPr>
              <w:t>d</w:t>
            </w:r>
            <w:r>
              <w:rPr>
                <w:rFonts w:hint="eastAsia"/>
                <w:color w:val="auto"/>
                <w:sz w:val="24"/>
              </w:rPr>
              <w:t>）计算，生活垃圾产生量约2.5</w:t>
            </w:r>
            <w:r>
              <w:rPr>
                <w:color w:val="auto"/>
                <w:sz w:val="24"/>
              </w:rPr>
              <w:t>t/a</w:t>
            </w:r>
            <w:r>
              <w:rPr>
                <w:rFonts w:hint="eastAsia"/>
                <w:color w:val="auto"/>
                <w:sz w:val="24"/>
              </w:rPr>
              <w:t>。生活垃圾集中收集，定期清运至奇台县三个庄子镇垃圾收集点。</w:t>
            </w:r>
          </w:p>
          <w:p w14:paraId="456D7B5E">
            <w:pPr>
              <w:adjustRightInd w:val="0"/>
              <w:spacing w:line="360" w:lineRule="auto"/>
              <w:ind w:firstLine="480" w:firstLineChars="200"/>
              <w:rPr>
                <w:color w:val="auto"/>
                <w:sz w:val="24"/>
              </w:rPr>
            </w:pPr>
            <w:r>
              <w:rPr>
                <w:rFonts w:hint="eastAsia"/>
                <w:color w:val="auto"/>
                <w:sz w:val="24"/>
              </w:rPr>
              <w:t>运营期固体废物做好台账，按照上述要求贮存，妥善处理及处置，对周围环境基本无影响。</w:t>
            </w:r>
          </w:p>
          <w:p w14:paraId="1422A403">
            <w:pPr>
              <w:adjustRightInd w:val="0"/>
              <w:spacing w:before="120" w:beforeLines="50" w:line="360" w:lineRule="auto"/>
              <w:rPr>
                <w:b/>
                <w:bCs/>
                <w:color w:val="auto"/>
                <w:sz w:val="24"/>
                <w:szCs w:val="32"/>
              </w:rPr>
            </w:pPr>
            <w:r>
              <w:rPr>
                <w:rFonts w:hint="eastAsia"/>
                <w:b/>
                <w:bCs/>
                <w:color w:val="auto"/>
                <w:sz w:val="24"/>
                <w:szCs w:val="32"/>
              </w:rPr>
              <w:t>7、对地下水影响分析</w:t>
            </w:r>
          </w:p>
          <w:p w14:paraId="0FFAB8EC">
            <w:pPr>
              <w:spacing w:line="360" w:lineRule="auto"/>
              <w:ind w:firstLine="480" w:firstLineChars="200"/>
              <w:rPr>
                <w:color w:val="auto"/>
                <w:sz w:val="24"/>
              </w:rPr>
            </w:pPr>
            <w:r>
              <w:rPr>
                <w:rFonts w:hint="eastAsia"/>
                <w:color w:val="auto"/>
                <w:sz w:val="24"/>
              </w:rPr>
              <w:t>根据矿区水文地质条件，含水层地下水埋藏深度大于50m，本矿山最大开采深度23m，矿区现状最低开采标高892m，未揭露地下水，因此，矿区开采过程中对地下水水质的影响较小。</w:t>
            </w:r>
          </w:p>
          <w:p w14:paraId="45519543">
            <w:pPr>
              <w:pStyle w:val="16"/>
              <w:snapToGrid/>
              <w:spacing w:before="0" w:after="0" w:line="360" w:lineRule="auto"/>
              <w:ind w:right="0"/>
              <w:jc w:val="left"/>
              <w:rPr>
                <w:b/>
                <w:bCs/>
                <w:color w:val="auto"/>
                <w:sz w:val="24"/>
              </w:rPr>
            </w:pPr>
            <w:r>
              <w:rPr>
                <w:rFonts w:hint="eastAsia"/>
                <w:b/>
                <w:bCs/>
                <w:color w:val="auto"/>
                <w:sz w:val="24"/>
              </w:rPr>
              <w:t>8、运营期对周边退耕还林地的影响分析</w:t>
            </w:r>
          </w:p>
          <w:p w14:paraId="0FC47422">
            <w:pPr>
              <w:adjustRightInd w:val="0"/>
              <w:spacing w:line="360" w:lineRule="auto"/>
              <w:ind w:firstLine="480" w:firstLineChars="200"/>
              <w:rPr>
                <w:color w:val="auto"/>
                <w:sz w:val="24"/>
              </w:rPr>
            </w:pPr>
            <w:r>
              <w:rPr>
                <w:rFonts w:hint="eastAsia"/>
                <w:color w:val="auto"/>
                <w:sz w:val="24"/>
              </w:rPr>
              <w:t>本项目周边为退耕还林地（人工种植梭梭），本项目选址已避让退耕还林地（人工种植梭梭），矿区不占用其范围内。</w:t>
            </w:r>
          </w:p>
          <w:p w14:paraId="6FA61488">
            <w:pPr>
              <w:adjustRightInd w:val="0"/>
              <w:spacing w:line="360" w:lineRule="auto"/>
              <w:ind w:firstLine="480" w:firstLineChars="200"/>
              <w:rPr>
                <w:color w:val="auto"/>
                <w:sz w:val="24"/>
              </w:rPr>
            </w:pPr>
            <w:r>
              <w:rPr>
                <w:rFonts w:hint="eastAsia"/>
                <w:color w:val="auto"/>
                <w:sz w:val="24"/>
              </w:rPr>
              <w:t xml:space="preserve">本项目所在区域属于干旱区，水资源匮乏，年均降水量少，天然植被生长环境恶劣，一旦破坏，恢复难度较大。矿区周边为退耕还林地，主要为人工种植的梭梭，荒漠植物群落结构简单、种类少。总的来说该区域植物组成简单，生态环境脆弱，呈现出一片荒漠草原化景观。对于干旱荒漠区沙漠化侵蚀而言，植被的功能在于对其地上部分的防风固沙，以及植物根系对水土的保持作用，一旦破坏，很难恢复。项目所在区域由低生物量的荒漠植被组成，生态系统的完整性维持在本底水平。因此，其生产能力和系统阻抗内外干扰的能力较差，生产的基础条件一旦破坏，则需要很长的时间才能恢复。 </w:t>
            </w:r>
          </w:p>
          <w:p w14:paraId="63044790">
            <w:pPr>
              <w:adjustRightInd w:val="0"/>
              <w:spacing w:line="360" w:lineRule="auto"/>
              <w:ind w:firstLine="480" w:firstLineChars="200"/>
              <w:rPr>
                <w:color w:val="auto"/>
                <w:sz w:val="24"/>
              </w:rPr>
            </w:pPr>
            <w:r>
              <w:rPr>
                <w:rFonts w:hint="eastAsia"/>
                <w:color w:val="auto"/>
                <w:sz w:val="24"/>
              </w:rPr>
              <w:t xml:space="preserve">本项目对周边退耕还林地的影响主要表现在粉尘的沉积影响以及施工活动对周边退耕还林地生态环境的扰动影响。 </w:t>
            </w:r>
          </w:p>
          <w:p w14:paraId="6351066E">
            <w:pPr>
              <w:adjustRightInd w:val="0"/>
              <w:spacing w:line="360" w:lineRule="auto"/>
              <w:rPr>
                <w:b/>
                <w:bCs/>
                <w:color w:val="auto"/>
                <w:sz w:val="24"/>
              </w:rPr>
            </w:pPr>
            <w:r>
              <w:rPr>
                <w:rFonts w:hint="eastAsia"/>
                <w:b/>
                <w:bCs/>
                <w:color w:val="auto"/>
                <w:sz w:val="24"/>
              </w:rPr>
              <w:t xml:space="preserve">8.1粉尘的沉积影响 </w:t>
            </w:r>
          </w:p>
          <w:p w14:paraId="6C0ECA85">
            <w:pPr>
              <w:adjustRightInd w:val="0"/>
              <w:spacing w:line="360" w:lineRule="auto"/>
              <w:ind w:firstLine="480" w:firstLineChars="200"/>
              <w:rPr>
                <w:color w:val="auto"/>
                <w:sz w:val="24"/>
              </w:rPr>
            </w:pPr>
            <w:r>
              <w:rPr>
                <w:rFonts w:hint="eastAsia"/>
                <w:color w:val="auto"/>
                <w:sz w:val="24"/>
              </w:rPr>
              <w:t>因本项目距离周边退耕还林地较近，故项目在开采过程中难免会对周边退耕还林地造成影响。项目开采过程中，会产生一定量的粉尘，粉尘经大气沉降会沉积于周边退耕还林地土壤表层，将对土壤的透气性等理化性质造成轻微不利影响，同时，粉尘的沉降对周边退耕还林地内的植被也会造成一定程度的影响，诸如植物整体的</w:t>
            </w:r>
            <w:r>
              <w:rPr>
                <w:rFonts w:hint="eastAsia"/>
                <w:color w:val="auto"/>
                <w:sz w:val="24"/>
                <w:lang w:eastAsia="zh-CN"/>
              </w:rPr>
              <w:t>生长发育</w:t>
            </w:r>
            <w:r>
              <w:rPr>
                <w:rFonts w:hint="eastAsia"/>
                <w:color w:val="auto"/>
                <w:sz w:val="24"/>
              </w:rPr>
              <w:t xml:space="preserve">，及其叶片的光合作用、气孔的导气度、呼吸、生长和细胞变化等，会加速植物的失绿、坏死、老化、干枯。 </w:t>
            </w:r>
          </w:p>
          <w:p w14:paraId="69A0C0AC">
            <w:pPr>
              <w:adjustRightInd w:val="0"/>
              <w:spacing w:line="360" w:lineRule="auto"/>
              <w:ind w:firstLine="480" w:firstLineChars="200"/>
              <w:rPr>
                <w:color w:val="auto"/>
                <w:sz w:val="24"/>
              </w:rPr>
            </w:pPr>
            <w:r>
              <w:rPr>
                <w:rFonts w:hint="eastAsia"/>
                <w:color w:val="auto"/>
                <w:sz w:val="24"/>
              </w:rPr>
              <w:t xml:space="preserve">为减轻本项目对周边退耕还林地的粉尘沉积影响，项目采取了粉尘控制措施；项目开采过程采用雾炮机降尘、分区分片开采，避免同一时间段内的大面积的地表扰动；车辆运输时，运输车辆须采取苫布遮盖密闭运输，并严格控制运输车辆行驶速度及装载量，减少物料转运环节，缩短物料运输距离，且严禁在大风及暴雨天气进行物料采装、运输等措施，同时须定时对运输路面进行洒水降尘；堆场须定期洒水，同时堆场底部采用土袋围挡，上部采用防尘网遮盖；经采取上述措施后，能在源头有效减少粉尘的产生，从而能有效控制粉尘对周边退耕还林地的沉积影响。 </w:t>
            </w:r>
          </w:p>
          <w:p w14:paraId="43122E46">
            <w:pPr>
              <w:adjustRightInd w:val="0"/>
              <w:spacing w:line="360" w:lineRule="auto"/>
              <w:rPr>
                <w:b/>
                <w:bCs/>
                <w:color w:val="auto"/>
                <w:sz w:val="24"/>
              </w:rPr>
            </w:pPr>
            <w:r>
              <w:rPr>
                <w:rFonts w:hint="eastAsia"/>
                <w:b/>
                <w:bCs/>
                <w:color w:val="auto"/>
                <w:sz w:val="24"/>
              </w:rPr>
              <w:t xml:space="preserve">8.2对周边退耕还林地的扰动影响 </w:t>
            </w:r>
          </w:p>
          <w:p w14:paraId="29A725CB">
            <w:pPr>
              <w:adjustRightInd w:val="0"/>
              <w:spacing w:line="360" w:lineRule="auto"/>
              <w:ind w:firstLine="480" w:firstLineChars="200"/>
              <w:rPr>
                <w:color w:val="auto"/>
                <w:sz w:val="24"/>
              </w:rPr>
            </w:pPr>
            <w:r>
              <w:rPr>
                <w:rFonts w:hint="eastAsia"/>
                <w:color w:val="auto"/>
                <w:sz w:val="24"/>
              </w:rPr>
              <w:t xml:space="preserve">本项目在施工、运营期间，施工机械噪声、频繁的人员活动等均会对周边退耕还林地造成扰动，同时，项目施工、运营对地表的扰动，更容易产生风蚀，造成土地沙漠化的局部蔓延，使周边退耕还林地土地沙化程度有所加重。另外，人员的施工活动、生活活动对动物栖息地生境的干扰和破坏，施工机械噪声对动物的干扰，施工中将对两栖和爬行类，特别是对两栖类动物小生境的破坏。由于上述原因，将可能使得原来居住在周边退耕还林地内的大部分两栖类和爬行类迁移它处；一部分鸟类和爬行类动物会经过迁移和飞翔来避免项目施工所造成的扰动影响，从而导致周边退耕还林地内的动物数量有所减少。 </w:t>
            </w:r>
          </w:p>
          <w:p w14:paraId="3C83D5B3">
            <w:pPr>
              <w:adjustRightInd w:val="0"/>
              <w:spacing w:line="360" w:lineRule="auto"/>
              <w:ind w:firstLine="480" w:firstLineChars="200"/>
              <w:rPr>
                <w:color w:val="auto"/>
                <w:sz w:val="24"/>
              </w:rPr>
            </w:pPr>
            <w:r>
              <w:rPr>
                <w:rFonts w:hint="eastAsia"/>
                <w:color w:val="auto"/>
                <w:sz w:val="24"/>
              </w:rPr>
              <w:t xml:space="preserve">本次环评要求严禁在周边退耕还林地与矿区范围中间区域开展施工、建设等活动，运输车辆进出矿区时，禁止鸣笛，并控制车速，以减轻对周边退耕还林地内动物的扰动；建设单位定期须对员工开展野生动物教育培训，严禁捕杀矿区周边野生动物。除此之外，项目需采取防风固沙措施，运营期间，加强矿区绿化建设，扩大区域植被覆盖度，植被可以控制水土流失，防风沙。 </w:t>
            </w:r>
          </w:p>
          <w:p w14:paraId="70980A82">
            <w:pPr>
              <w:adjustRightInd w:val="0"/>
              <w:spacing w:line="360" w:lineRule="auto"/>
              <w:ind w:firstLine="480" w:firstLineChars="200"/>
              <w:rPr>
                <w:color w:val="auto"/>
              </w:rPr>
            </w:pPr>
            <w:r>
              <w:rPr>
                <w:rFonts w:hint="eastAsia"/>
                <w:color w:val="auto"/>
                <w:sz w:val="24"/>
              </w:rPr>
              <w:t>综上，在采取措施后，一定程度上可以减轻对周边退耕还林地的扰动影响，满足其生态功能需求。</w:t>
            </w:r>
          </w:p>
          <w:p w14:paraId="2094E132">
            <w:pPr>
              <w:spacing w:line="360" w:lineRule="auto"/>
              <w:jc w:val="left"/>
              <w:rPr>
                <w:b/>
                <w:bCs/>
                <w:color w:val="auto"/>
                <w:sz w:val="24"/>
              </w:rPr>
            </w:pPr>
            <w:r>
              <w:rPr>
                <w:rFonts w:hint="eastAsia"/>
                <w:b/>
                <w:bCs/>
                <w:color w:val="auto"/>
                <w:sz w:val="24"/>
              </w:rPr>
              <w:t>9、环境风险影响分析</w:t>
            </w:r>
          </w:p>
          <w:p w14:paraId="0A8FFC21">
            <w:pPr>
              <w:adjustRightInd w:val="0"/>
              <w:spacing w:line="360" w:lineRule="auto"/>
              <w:ind w:firstLine="480" w:firstLineChars="200"/>
              <w:rPr>
                <w:color w:val="auto"/>
                <w:sz w:val="24"/>
              </w:rPr>
            </w:pPr>
            <w:r>
              <w:rPr>
                <w:rFonts w:hint="eastAsia"/>
                <w:color w:val="auto"/>
                <w:sz w:val="24"/>
              </w:rPr>
              <w:t>本次风险评价以《建设项目环境风险评价技术导则》（HJ169-2018）为技术基准进行评价分析。</w:t>
            </w:r>
          </w:p>
          <w:p w14:paraId="50C843F8">
            <w:pPr>
              <w:adjustRightInd w:val="0"/>
              <w:spacing w:line="360" w:lineRule="auto"/>
              <w:rPr>
                <w:b/>
                <w:bCs/>
                <w:color w:val="auto"/>
                <w:sz w:val="24"/>
              </w:rPr>
            </w:pPr>
            <w:r>
              <w:rPr>
                <w:rFonts w:hint="eastAsia"/>
                <w:b/>
                <w:bCs/>
                <w:color w:val="auto"/>
                <w:sz w:val="24"/>
              </w:rPr>
              <w:t>9.1环境风险识别</w:t>
            </w:r>
          </w:p>
          <w:p w14:paraId="2DE473F6">
            <w:pPr>
              <w:adjustRightInd w:val="0"/>
              <w:spacing w:line="360" w:lineRule="auto"/>
              <w:ind w:firstLine="480" w:firstLineChars="200"/>
              <w:rPr>
                <w:color w:val="auto"/>
                <w:sz w:val="24"/>
              </w:rPr>
            </w:pPr>
            <w:r>
              <w:rPr>
                <w:rFonts w:hint="eastAsia"/>
                <w:color w:val="auto"/>
                <w:sz w:val="24"/>
              </w:rPr>
              <w:t>本项目为建筑用砂开采项目，设计采用露天开采。根据《建设项目环境风险评价技术导则》（HJ169-2018），风险识别的范围包括生产设施风险识别和生产过程所涉及的物质风险识别。物质风险识别对项目涉及的主要原材料及辅料、燃料、中间产品、最终产品以及生产过程排放的“三废”污染物等，按其危险性或毒性，进行危险性识别；生产设施风险识别对项目主要生产装置、贮运系统、公用工程系统、工程环保设施及辅助设施，逐一划分功能单元，分别进行重大危险源判定。</w:t>
            </w:r>
          </w:p>
          <w:p w14:paraId="3041694D">
            <w:pPr>
              <w:adjustRightInd w:val="0"/>
              <w:spacing w:line="360" w:lineRule="auto"/>
              <w:ind w:firstLine="480" w:firstLineChars="200"/>
              <w:rPr>
                <w:color w:val="auto"/>
                <w:sz w:val="24"/>
              </w:rPr>
            </w:pPr>
            <w:r>
              <w:rPr>
                <w:rFonts w:hint="eastAsia"/>
                <w:color w:val="auto"/>
                <w:sz w:val="24"/>
              </w:rPr>
              <w:t>（1）物质风险识别</w:t>
            </w:r>
          </w:p>
          <w:p w14:paraId="58718D02">
            <w:pPr>
              <w:adjustRightInd w:val="0"/>
              <w:spacing w:line="360" w:lineRule="auto"/>
              <w:ind w:firstLine="480" w:firstLineChars="200"/>
              <w:rPr>
                <w:color w:val="auto"/>
                <w:sz w:val="24"/>
              </w:rPr>
            </w:pPr>
            <w:r>
              <w:rPr>
                <w:rFonts w:hint="eastAsia"/>
                <w:color w:val="auto"/>
                <w:sz w:val="24"/>
              </w:rPr>
              <w:t>依据《建设项目环境风险评价技术导则》（HJ169-2018），本项目在生产过程中主要原辅材料及产品涉及的危险性的物质为柴油。但项目柴油在矿区不设储罐，不在厂内存储，设备用柴油均依托附近加油站加油车。因此，本项目无环境风险物质存在。</w:t>
            </w:r>
          </w:p>
          <w:p w14:paraId="173B5DFF">
            <w:pPr>
              <w:adjustRightInd w:val="0"/>
              <w:spacing w:line="360" w:lineRule="auto"/>
              <w:ind w:firstLine="480" w:firstLineChars="200"/>
              <w:rPr>
                <w:color w:val="auto"/>
                <w:sz w:val="24"/>
              </w:rPr>
            </w:pPr>
            <w:r>
              <w:rPr>
                <w:rFonts w:hint="eastAsia"/>
                <w:color w:val="auto"/>
                <w:sz w:val="24"/>
              </w:rPr>
              <w:t>（2）生产设施风险识别</w:t>
            </w:r>
          </w:p>
          <w:p w14:paraId="5B91B210">
            <w:pPr>
              <w:adjustRightInd w:val="0"/>
              <w:spacing w:line="360" w:lineRule="auto"/>
              <w:ind w:firstLine="480" w:firstLineChars="200"/>
              <w:rPr>
                <w:color w:val="auto"/>
                <w:sz w:val="24"/>
              </w:rPr>
            </w:pPr>
            <w:r>
              <w:rPr>
                <w:rFonts w:hint="eastAsia"/>
                <w:color w:val="auto"/>
                <w:sz w:val="24"/>
              </w:rPr>
              <w:t>本项目仅为建筑用砂开采，开采设备不具有环境风险。</w:t>
            </w:r>
          </w:p>
          <w:p w14:paraId="7F68F304">
            <w:pPr>
              <w:adjustRightInd w:val="0"/>
              <w:spacing w:line="360" w:lineRule="auto"/>
              <w:rPr>
                <w:b/>
                <w:bCs/>
                <w:color w:val="auto"/>
                <w:sz w:val="24"/>
              </w:rPr>
            </w:pPr>
            <w:r>
              <w:rPr>
                <w:rFonts w:hint="eastAsia"/>
                <w:b/>
                <w:bCs/>
                <w:color w:val="auto"/>
                <w:sz w:val="24"/>
              </w:rPr>
              <w:t>9.2风险评价等级</w:t>
            </w:r>
          </w:p>
          <w:p w14:paraId="783FCD2C">
            <w:pPr>
              <w:adjustRightInd w:val="0"/>
              <w:spacing w:line="360" w:lineRule="auto"/>
              <w:ind w:firstLine="480" w:firstLineChars="200"/>
              <w:rPr>
                <w:color w:val="auto"/>
                <w:sz w:val="24"/>
              </w:rPr>
            </w:pPr>
            <w:r>
              <w:rPr>
                <w:rFonts w:hint="eastAsia"/>
                <w:color w:val="auto"/>
                <w:sz w:val="24"/>
              </w:rPr>
              <w:t>（1）环境风险潜势划分</w:t>
            </w:r>
          </w:p>
          <w:p w14:paraId="42AF0067">
            <w:pPr>
              <w:adjustRightInd w:val="0"/>
              <w:spacing w:line="360" w:lineRule="auto"/>
              <w:ind w:firstLine="480" w:firstLineChars="200"/>
              <w:rPr>
                <w:color w:val="auto"/>
                <w:sz w:val="24"/>
              </w:rPr>
            </w:pPr>
            <w:r>
              <w:rPr>
                <w:rFonts w:hint="eastAsia"/>
                <w:color w:val="auto"/>
                <w:sz w:val="24"/>
              </w:rPr>
              <w:t>《建设项目环境风险评价技术导则》（HJ169-2018）中将建设项目环境风险潜势划分为Ⅰ、Ⅱ、Ⅲ、Ⅳ/Ⅳ+级。</w:t>
            </w:r>
          </w:p>
          <w:p w14:paraId="4EAF4D27">
            <w:pPr>
              <w:adjustRightInd w:val="0"/>
              <w:spacing w:line="360" w:lineRule="auto"/>
              <w:ind w:firstLine="480" w:firstLineChars="200"/>
              <w:rPr>
                <w:color w:val="auto"/>
                <w:sz w:val="24"/>
              </w:rPr>
            </w:pPr>
            <w:r>
              <w:rPr>
                <w:rFonts w:hint="eastAsia"/>
                <w:color w:val="auto"/>
                <w:sz w:val="24"/>
              </w:rPr>
              <w:t>对建设项目涉及的物质和工艺系统的危险性及其所在地的环境敏感程度进行分析，结合事故情形下环境影响途径，对建设项目潜在环境危害程度进行概化分析，按照表4-</w:t>
            </w:r>
            <w:r>
              <w:rPr>
                <w:rFonts w:hint="eastAsia"/>
                <w:color w:val="auto"/>
                <w:sz w:val="24"/>
                <w:lang w:val="en-US" w:eastAsia="zh-CN"/>
              </w:rPr>
              <w:t>15</w:t>
            </w:r>
            <w:r>
              <w:rPr>
                <w:rFonts w:hint="eastAsia"/>
                <w:color w:val="auto"/>
                <w:sz w:val="24"/>
              </w:rPr>
              <w:t>确定环境风险潜势。</w:t>
            </w:r>
          </w:p>
          <w:p w14:paraId="362FB3ED">
            <w:pPr>
              <w:pStyle w:val="16"/>
              <w:snapToGrid/>
              <w:spacing w:before="0" w:after="0" w:line="240" w:lineRule="auto"/>
              <w:ind w:right="0"/>
              <w:jc w:val="center"/>
              <w:rPr>
                <w:b/>
                <w:bCs/>
                <w:color w:val="auto"/>
                <w:sz w:val="21"/>
                <w:szCs w:val="21"/>
              </w:rPr>
            </w:pPr>
            <w:r>
              <w:rPr>
                <w:rFonts w:hint="eastAsia"/>
                <w:b/>
                <w:bCs/>
                <w:color w:val="auto"/>
                <w:sz w:val="21"/>
                <w:szCs w:val="21"/>
              </w:rPr>
              <w:t>表4-</w:t>
            </w:r>
            <w:r>
              <w:rPr>
                <w:rFonts w:hint="eastAsia"/>
                <w:b/>
                <w:bCs/>
                <w:color w:val="auto"/>
                <w:sz w:val="21"/>
                <w:szCs w:val="21"/>
                <w:lang w:val="en-US" w:eastAsia="zh-CN"/>
              </w:rPr>
              <w:t>15</w:t>
            </w:r>
            <w:r>
              <w:rPr>
                <w:rFonts w:hint="eastAsia"/>
                <w:b/>
                <w:bCs/>
                <w:color w:val="auto"/>
                <w:sz w:val="21"/>
                <w:szCs w:val="21"/>
              </w:rPr>
              <w:t xml:space="preserve">    建设项目环境风险潜势划分表</w:t>
            </w:r>
          </w:p>
          <w:tbl>
            <w:tblPr>
              <w:tblStyle w:val="29"/>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629"/>
              <w:gridCol w:w="1629"/>
              <w:gridCol w:w="1630"/>
              <w:gridCol w:w="1630"/>
            </w:tblGrid>
            <w:tr w14:paraId="35D4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restart"/>
                </w:tcPr>
                <w:p w14:paraId="5F164E02">
                  <w:pPr>
                    <w:wordWrap w:val="0"/>
                    <w:jc w:val="center"/>
                    <w:rPr>
                      <w:color w:val="auto"/>
                      <w:szCs w:val="21"/>
                    </w:rPr>
                  </w:pPr>
                  <w:r>
                    <w:rPr>
                      <w:color w:val="auto"/>
                      <w:szCs w:val="21"/>
                    </w:rPr>
                    <w:t>环境敏感程度（E）</w:t>
                  </w:r>
                </w:p>
              </w:tc>
              <w:tc>
                <w:tcPr>
                  <w:tcW w:w="6518" w:type="dxa"/>
                  <w:gridSpan w:val="4"/>
                </w:tcPr>
                <w:p w14:paraId="75BB846E">
                  <w:pPr>
                    <w:wordWrap w:val="0"/>
                    <w:jc w:val="center"/>
                    <w:rPr>
                      <w:color w:val="auto"/>
                      <w:szCs w:val="21"/>
                    </w:rPr>
                  </w:pPr>
                  <w:r>
                    <w:rPr>
                      <w:color w:val="auto"/>
                      <w:szCs w:val="21"/>
                    </w:rPr>
                    <w:t>危险物质和工艺系统的危险性（P）</w:t>
                  </w:r>
                </w:p>
              </w:tc>
            </w:tr>
            <w:tr w14:paraId="5F5C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tcPr>
                <w:p w14:paraId="3110D651">
                  <w:pPr>
                    <w:wordWrap w:val="0"/>
                    <w:jc w:val="center"/>
                    <w:rPr>
                      <w:color w:val="auto"/>
                      <w:szCs w:val="21"/>
                    </w:rPr>
                  </w:pPr>
                </w:p>
              </w:tc>
              <w:tc>
                <w:tcPr>
                  <w:tcW w:w="1629" w:type="dxa"/>
                </w:tcPr>
                <w:p w14:paraId="6DFAB797">
                  <w:pPr>
                    <w:wordWrap w:val="0"/>
                    <w:jc w:val="center"/>
                    <w:rPr>
                      <w:color w:val="auto"/>
                      <w:szCs w:val="21"/>
                    </w:rPr>
                  </w:pPr>
                  <w:r>
                    <w:rPr>
                      <w:rFonts w:hint="eastAsia"/>
                      <w:color w:val="auto"/>
                      <w:szCs w:val="21"/>
                    </w:rPr>
                    <w:t xml:space="preserve">极度危害 </w:t>
                  </w:r>
                  <w:r>
                    <w:rPr>
                      <w:color w:val="auto"/>
                      <w:szCs w:val="21"/>
                    </w:rPr>
                    <w:t>P1</w:t>
                  </w:r>
                </w:p>
              </w:tc>
              <w:tc>
                <w:tcPr>
                  <w:tcW w:w="1629" w:type="dxa"/>
                </w:tcPr>
                <w:p w14:paraId="466217B6">
                  <w:pPr>
                    <w:wordWrap w:val="0"/>
                    <w:jc w:val="center"/>
                    <w:rPr>
                      <w:color w:val="auto"/>
                      <w:szCs w:val="21"/>
                    </w:rPr>
                  </w:pPr>
                  <w:r>
                    <w:rPr>
                      <w:rFonts w:hint="eastAsia"/>
                      <w:color w:val="auto"/>
                      <w:szCs w:val="21"/>
                    </w:rPr>
                    <w:t xml:space="preserve">高度危害 </w:t>
                  </w:r>
                  <w:r>
                    <w:rPr>
                      <w:color w:val="auto"/>
                      <w:szCs w:val="21"/>
                    </w:rPr>
                    <w:t>P2</w:t>
                  </w:r>
                </w:p>
              </w:tc>
              <w:tc>
                <w:tcPr>
                  <w:tcW w:w="1630" w:type="dxa"/>
                </w:tcPr>
                <w:p w14:paraId="3C3484B3">
                  <w:pPr>
                    <w:wordWrap w:val="0"/>
                    <w:jc w:val="center"/>
                    <w:rPr>
                      <w:color w:val="auto"/>
                      <w:szCs w:val="21"/>
                    </w:rPr>
                  </w:pPr>
                  <w:r>
                    <w:rPr>
                      <w:rFonts w:hint="eastAsia"/>
                      <w:color w:val="auto"/>
                      <w:szCs w:val="21"/>
                    </w:rPr>
                    <w:t xml:space="preserve">中度危害 </w:t>
                  </w:r>
                  <w:r>
                    <w:rPr>
                      <w:color w:val="auto"/>
                      <w:szCs w:val="21"/>
                    </w:rPr>
                    <w:t>P3</w:t>
                  </w:r>
                </w:p>
              </w:tc>
              <w:tc>
                <w:tcPr>
                  <w:tcW w:w="1630" w:type="dxa"/>
                </w:tcPr>
                <w:p w14:paraId="45D389DD">
                  <w:pPr>
                    <w:wordWrap w:val="0"/>
                    <w:jc w:val="center"/>
                    <w:rPr>
                      <w:color w:val="auto"/>
                      <w:szCs w:val="21"/>
                    </w:rPr>
                  </w:pPr>
                  <w:r>
                    <w:rPr>
                      <w:rFonts w:hint="eastAsia"/>
                      <w:color w:val="auto"/>
                      <w:szCs w:val="21"/>
                    </w:rPr>
                    <w:t xml:space="preserve">轻度危害 </w:t>
                  </w:r>
                  <w:r>
                    <w:rPr>
                      <w:color w:val="auto"/>
                      <w:szCs w:val="21"/>
                    </w:rPr>
                    <w:t>P4</w:t>
                  </w:r>
                </w:p>
              </w:tc>
            </w:tr>
            <w:tr w14:paraId="6B6B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03F2C4C0">
                  <w:pPr>
                    <w:wordWrap w:val="0"/>
                    <w:jc w:val="center"/>
                    <w:rPr>
                      <w:color w:val="auto"/>
                      <w:szCs w:val="21"/>
                    </w:rPr>
                  </w:pPr>
                  <w:r>
                    <w:rPr>
                      <w:rFonts w:hint="eastAsia"/>
                      <w:color w:val="auto"/>
                      <w:szCs w:val="21"/>
                    </w:rPr>
                    <w:t>环境高度敏感区（</w:t>
                  </w:r>
                  <w:r>
                    <w:rPr>
                      <w:color w:val="auto"/>
                      <w:szCs w:val="21"/>
                    </w:rPr>
                    <w:t>E1</w:t>
                  </w:r>
                  <w:r>
                    <w:rPr>
                      <w:rFonts w:hint="eastAsia"/>
                      <w:color w:val="auto"/>
                      <w:szCs w:val="21"/>
                    </w:rPr>
                    <w:t>）</w:t>
                  </w:r>
                </w:p>
              </w:tc>
              <w:tc>
                <w:tcPr>
                  <w:tcW w:w="1629" w:type="dxa"/>
                </w:tcPr>
                <w:p w14:paraId="1372A1B1">
                  <w:pPr>
                    <w:wordWrap w:val="0"/>
                    <w:jc w:val="center"/>
                    <w:rPr>
                      <w:color w:val="auto"/>
                      <w:szCs w:val="21"/>
                    </w:rPr>
                  </w:pPr>
                  <w:r>
                    <w:rPr>
                      <w:color w:val="auto"/>
                      <w:szCs w:val="21"/>
                    </w:rPr>
                    <w:t>Ⅳ</w:t>
                  </w:r>
                  <w:r>
                    <w:rPr>
                      <w:color w:val="auto"/>
                      <w:szCs w:val="21"/>
                      <w:vertAlign w:val="superscript"/>
                    </w:rPr>
                    <w:t>+</w:t>
                  </w:r>
                </w:p>
                <w:p w14:paraId="2FB1AFA9">
                  <w:pPr>
                    <w:wordWrap w:val="0"/>
                    <w:jc w:val="center"/>
                    <w:rPr>
                      <w:color w:val="auto"/>
                      <w:szCs w:val="21"/>
                    </w:rPr>
                  </w:pPr>
                </w:p>
              </w:tc>
              <w:tc>
                <w:tcPr>
                  <w:tcW w:w="1629" w:type="dxa"/>
                </w:tcPr>
                <w:p w14:paraId="4EACAE40">
                  <w:pPr>
                    <w:wordWrap w:val="0"/>
                    <w:jc w:val="center"/>
                    <w:rPr>
                      <w:color w:val="auto"/>
                      <w:szCs w:val="21"/>
                    </w:rPr>
                  </w:pPr>
                  <w:r>
                    <w:rPr>
                      <w:color w:val="auto"/>
                      <w:szCs w:val="21"/>
                    </w:rPr>
                    <w:t>Ⅳ</w:t>
                  </w:r>
                </w:p>
                <w:p w14:paraId="51A5AE82">
                  <w:pPr>
                    <w:wordWrap w:val="0"/>
                    <w:jc w:val="center"/>
                    <w:rPr>
                      <w:color w:val="auto"/>
                      <w:szCs w:val="21"/>
                    </w:rPr>
                  </w:pPr>
                </w:p>
              </w:tc>
              <w:tc>
                <w:tcPr>
                  <w:tcW w:w="1630" w:type="dxa"/>
                </w:tcPr>
                <w:p w14:paraId="5C248239">
                  <w:pPr>
                    <w:wordWrap w:val="0"/>
                    <w:jc w:val="center"/>
                    <w:rPr>
                      <w:color w:val="auto"/>
                      <w:szCs w:val="21"/>
                    </w:rPr>
                  </w:pPr>
                  <w:r>
                    <w:rPr>
                      <w:rFonts w:hint="eastAsia"/>
                      <w:color w:val="auto"/>
                      <w:szCs w:val="21"/>
                    </w:rPr>
                    <w:t>III</w:t>
                  </w:r>
                </w:p>
              </w:tc>
              <w:tc>
                <w:tcPr>
                  <w:tcW w:w="1630" w:type="dxa"/>
                </w:tcPr>
                <w:p w14:paraId="7FA4AC1B">
                  <w:pPr>
                    <w:wordWrap w:val="0"/>
                    <w:jc w:val="center"/>
                    <w:rPr>
                      <w:color w:val="auto"/>
                      <w:szCs w:val="21"/>
                    </w:rPr>
                  </w:pPr>
                  <w:r>
                    <w:rPr>
                      <w:rFonts w:hint="eastAsia"/>
                      <w:color w:val="auto"/>
                      <w:szCs w:val="21"/>
                    </w:rPr>
                    <w:t>III</w:t>
                  </w:r>
                </w:p>
              </w:tc>
            </w:tr>
            <w:tr w14:paraId="35ED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155F4315">
                  <w:pPr>
                    <w:wordWrap w:val="0"/>
                    <w:jc w:val="center"/>
                    <w:rPr>
                      <w:color w:val="auto"/>
                      <w:szCs w:val="21"/>
                    </w:rPr>
                  </w:pPr>
                  <w:r>
                    <w:rPr>
                      <w:rFonts w:hint="eastAsia"/>
                      <w:color w:val="auto"/>
                      <w:szCs w:val="21"/>
                    </w:rPr>
                    <w:t>环境中度敏感区（</w:t>
                  </w:r>
                  <w:r>
                    <w:rPr>
                      <w:color w:val="auto"/>
                      <w:szCs w:val="21"/>
                    </w:rPr>
                    <w:t>E2</w:t>
                  </w:r>
                  <w:r>
                    <w:rPr>
                      <w:rFonts w:hint="eastAsia"/>
                      <w:color w:val="auto"/>
                      <w:szCs w:val="21"/>
                    </w:rPr>
                    <w:t>）</w:t>
                  </w:r>
                </w:p>
              </w:tc>
              <w:tc>
                <w:tcPr>
                  <w:tcW w:w="1629" w:type="dxa"/>
                </w:tcPr>
                <w:p w14:paraId="029D48FC">
                  <w:pPr>
                    <w:wordWrap w:val="0"/>
                    <w:jc w:val="center"/>
                    <w:rPr>
                      <w:color w:val="auto"/>
                      <w:szCs w:val="21"/>
                    </w:rPr>
                  </w:pPr>
                  <w:r>
                    <w:rPr>
                      <w:rFonts w:hint="eastAsia"/>
                      <w:color w:val="auto"/>
                      <w:szCs w:val="21"/>
                    </w:rPr>
                    <w:t>IV</w:t>
                  </w:r>
                </w:p>
              </w:tc>
              <w:tc>
                <w:tcPr>
                  <w:tcW w:w="1629" w:type="dxa"/>
                </w:tcPr>
                <w:p w14:paraId="6705A28B">
                  <w:pPr>
                    <w:wordWrap w:val="0"/>
                    <w:jc w:val="center"/>
                    <w:rPr>
                      <w:color w:val="auto"/>
                      <w:szCs w:val="21"/>
                    </w:rPr>
                  </w:pPr>
                  <w:r>
                    <w:rPr>
                      <w:rFonts w:hint="eastAsia"/>
                      <w:color w:val="auto"/>
                      <w:szCs w:val="21"/>
                    </w:rPr>
                    <w:t>III</w:t>
                  </w:r>
                </w:p>
              </w:tc>
              <w:tc>
                <w:tcPr>
                  <w:tcW w:w="1630" w:type="dxa"/>
                </w:tcPr>
                <w:p w14:paraId="5E3994C6">
                  <w:pPr>
                    <w:wordWrap w:val="0"/>
                    <w:jc w:val="center"/>
                    <w:rPr>
                      <w:color w:val="auto"/>
                      <w:szCs w:val="21"/>
                    </w:rPr>
                  </w:pPr>
                  <w:r>
                    <w:rPr>
                      <w:rFonts w:hint="eastAsia"/>
                      <w:color w:val="auto"/>
                      <w:szCs w:val="21"/>
                    </w:rPr>
                    <w:t>III</w:t>
                  </w:r>
                </w:p>
              </w:tc>
              <w:tc>
                <w:tcPr>
                  <w:tcW w:w="1630" w:type="dxa"/>
                </w:tcPr>
                <w:p w14:paraId="620D5E72">
                  <w:pPr>
                    <w:wordWrap w:val="0"/>
                    <w:jc w:val="center"/>
                    <w:rPr>
                      <w:color w:val="auto"/>
                      <w:szCs w:val="21"/>
                    </w:rPr>
                  </w:pPr>
                  <w:r>
                    <w:rPr>
                      <w:rFonts w:hint="eastAsia"/>
                      <w:color w:val="auto"/>
                      <w:szCs w:val="21"/>
                    </w:rPr>
                    <w:t>II</w:t>
                  </w:r>
                </w:p>
              </w:tc>
            </w:tr>
            <w:tr w14:paraId="5B31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689F135F">
                  <w:pPr>
                    <w:wordWrap w:val="0"/>
                    <w:jc w:val="center"/>
                    <w:rPr>
                      <w:color w:val="auto"/>
                      <w:szCs w:val="21"/>
                    </w:rPr>
                  </w:pPr>
                  <w:r>
                    <w:rPr>
                      <w:rFonts w:hint="eastAsia"/>
                      <w:color w:val="auto"/>
                      <w:szCs w:val="21"/>
                    </w:rPr>
                    <w:t>环境低度敏感区（</w:t>
                  </w:r>
                  <w:r>
                    <w:rPr>
                      <w:color w:val="auto"/>
                      <w:szCs w:val="21"/>
                    </w:rPr>
                    <w:t>E3</w:t>
                  </w:r>
                  <w:r>
                    <w:rPr>
                      <w:rFonts w:hint="eastAsia"/>
                      <w:color w:val="auto"/>
                      <w:szCs w:val="21"/>
                    </w:rPr>
                    <w:t>）</w:t>
                  </w:r>
                </w:p>
              </w:tc>
              <w:tc>
                <w:tcPr>
                  <w:tcW w:w="1629" w:type="dxa"/>
                </w:tcPr>
                <w:p w14:paraId="39B70C69">
                  <w:pPr>
                    <w:wordWrap w:val="0"/>
                    <w:jc w:val="center"/>
                    <w:rPr>
                      <w:color w:val="auto"/>
                      <w:szCs w:val="21"/>
                    </w:rPr>
                  </w:pPr>
                  <w:r>
                    <w:rPr>
                      <w:rFonts w:hint="eastAsia"/>
                      <w:color w:val="auto"/>
                      <w:szCs w:val="21"/>
                    </w:rPr>
                    <w:t>III</w:t>
                  </w:r>
                </w:p>
              </w:tc>
              <w:tc>
                <w:tcPr>
                  <w:tcW w:w="1629" w:type="dxa"/>
                </w:tcPr>
                <w:p w14:paraId="3E63FD60">
                  <w:pPr>
                    <w:wordWrap w:val="0"/>
                    <w:jc w:val="center"/>
                    <w:rPr>
                      <w:color w:val="auto"/>
                      <w:szCs w:val="21"/>
                    </w:rPr>
                  </w:pPr>
                  <w:r>
                    <w:rPr>
                      <w:rFonts w:hint="eastAsia"/>
                      <w:color w:val="auto"/>
                      <w:szCs w:val="21"/>
                    </w:rPr>
                    <w:t>III</w:t>
                  </w:r>
                </w:p>
              </w:tc>
              <w:tc>
                <w:tcPr>
                  <w:tcW w:w="1630" w:type="dxa"/>
                </w:tcPr>
                <w:p w14:paraId="1CFC0E90">
                  <w:pPr>
                    <w:wordWrap w:val="0"/>
                    <w:jc w:val="center"/>
                    <w:rPr>
                      <w:color w:val="auto"/>
                      <w:szCs w:val="21"/>
                    </w:rPr>
                  </w:pPr>
                  <w:r>
                    <w:rPr>
                      <w:rFonts w:hint="eastAsia"/>
                      <w:color w:val="auto"/>
                      <w:szCs w:val="21"/>
                    </w:rPr>
                    <w:t>II</w:t>
                  </w:r>
                </w:p>
              </w:tc>
              <w:tc>
                <w:tcPr>
                  <w:tcW w:w="1630" w:type="dxa"/>
                </w:tcPr>
                <w:p w14:paraId="0CC7771E">
                  <w:pPr>
                    <w:wordWrap w:val="0"/>
                    <w:jc w:val="center"/>
                    <w:rPr>
                      <w:color w:val="auto"/>
                      <w:szCs w:val="21"/>
                    </w:rPr>
                  </w:pPr>
                  <w:r>
                    <w:rPr>
                      <w:rFonts w:hint="eastAsia"/>
                      <w:color w:val="auto"/>
                      <w:szCs w:val="21"/>
                    </w:rPr>
                    <w:t>I</w:t>
                  </w:r>
                </w:p>
              </w:tc>
            </w:tr>
          </w:tbl>
          <w:p w14:paraId="13492186">
            <w:pPr>
              <w:adjustRightInd w:val="0"/>
              <w:spacing w:line="360" w:lineRule="auto"/>
              <w:rPr>
                <w:color w:val="auto"/>
                <w:sz w:val="24"/>
              </w:rPr>
            </w:pPr>
          </w:p>
          <w:p w14:paraId="7797C514">
            <w:pPr>
              <w:adjustRightInd w:val="0"/>
              <w:spacing w:line="360" w:lineRule="auto"/>
              <w:ind w:firstLine="480" w:firstLineChars="200"/>
              <w:rPr>
                <w:color w:val="auto"/>
                <w:sz w:val="24"/>
              </w:rPr>
            </w:pPr>
            <w:r>
              <w:rPr>
                <w:rFonts w:hint="eastAsia"/>
                <w:color w:val="auto"/>
                <w:sz w:val="24"/>
              </w:rPr>
              <w:t>（2）危险物质及工艺系统危险性 P 的分级</w:t>
            </w:r>
          </w:p>
          <w:p w14:paraId="14708156">
            <w:pPr>
              <w:adjustRightInd w:val="0"/>
              <w:spacing w:line="360" w:lineRule="auto"/>
              <w:ind w:firstLine="480" w:firstLineChars="200"/>
              <w:rPr>
                <w:color w:val="auto"/>
                <w:sz w:val="24"/>
              </w:rPr>
            </w:pPr>
            <w:r>
              <w:rPr>
                <w:rFonts w:hint="eastAsia"/>
                <w:color w:val="auto"/>
                <w:sz w:val="24"/>
              </w:rPr>
              <w:t>①危险物质数量与临界量比值（Q）</w:t>
            </w:r>
          </w:p>
          <w:p w14:paraId="3B1E7777">
            <w:pPr>
              <w:adjustRightInd w:val="0"/>
              <w:spacing w:line="360" w:lineRule="auto"/>
              <w:ind w:firstLine="480" w:firstLineChars="200"/>
              <w:rPr>
                <w:color w:val="auto"/>
                <w:sz w:val="24"/>
              </w:rPr>
            </w:pPr>
            <w:r>
              <w:rPr>
                <w:rFonts w:hint="eastAsia"/>
                <w:color w:val="auto"/>
                <w:sz w:val="24"/>
              </w:rPr>
              <w:t>根据本项目危险物质的储存量，对比《建设项目环境风险评价技术导则》（HJ169-2018）附录 B 所列风险物质临界量，计算其最大储存量与其在附录 B 中对应的临界量的比值 Q。</w:t>
            </w:r>
          </w:p>
          <w:p w14:paraId="1AD9E50D">
            <w:pPr>
              <w:adjustRightInd w:val="0"/>
              <w:spacing w:line="360" w:lineRule="auto"/>
              <w:ind w:firstLine="480" w:firstLineChars="200"/>
              <w:rPr>
                <w:color w:val="auto"/>
                <w:sz w:val="24"/>
              </w:rPr>
            </w:pPr>
            <w:r>
              <w:rPr>
                <w:rFonts w:hint="eastAsia"/>
                <w:color w:val="auto"/>
                <w:sz w:val="24"/>
              </w:rPr>
              <w:t>当只涉及一种危险物质时，该物质的数量与其临界量比值，即为 Q；</w:t>
            </w:r>
          </w:p>
          <w:p w14:paraId="3434EEE0">
            <w:pPr>
              <w:adjustRightInd w:val="0"/>
              <w:spacing w:line="360" w:lineRule="auto"/>
              <w:ind w:firstLine="480" w:firstLineChars="200"/>
              <w:rPr>
                <w:color w:val="auto"/>
                <w:sz w:val="24"/>
              </w:rPr>
            </w:pPr>
            <w:r>
              <w:rPr>
                <w:rFonts w:hint="eastAsia"/>
                <w:color w:val="auto"/>
                <w:sz w:val="24"/>
              </w:rPr>
              <w:t>当存在多种危险物质时，则按下式计算：</w:t>
            </w:r>
          </w:p>
          <w:p w14:paraId="6DBCE854">
            <w:pPr>
              <w:widowControl/>
              <w:jc w:val="center"/>
              <w:rPr>
                <w:color w:val="auto"/>
                <w:kern w:val="0"/>
              </w:rPr>
            </w:pPr>
            <w:r>
              <w:rPr>
                <w:color w:val="auto"/>
                <w:position w:val="-30"/>
              </w:rPr>
              <w:object>
                <v:shape id="_x0000_i1025" o:spt="75" type="#_x0000_t75" style="height:36.85pt;width:118.1pt;" o:ole="t" filled="f" coordsize="21600,21600">
                  <v:path/>
                  <v:fill on="f" focussize="0,0"/>
                  <v:stroke/>
                  <v:imagedata r:id="rId7" o:title=""/>
                  <o:lock v:ext="edit" aspectratio="t"/>
                  <w10:wrap type="none"/>
                  <w10:anchorlock/>
                </v:shape>
                <o:OLEObject Type="Embed" ProgID="Equation.KSEE3" ShapeID="_x0000_i1025" DrawAspect="Content" ObjectID="_1468075725" r:id="rId6">
                  <o:LockedField>false</o:LockedField>
                </o:OLEObject>
              </w:object>
            </w:r>
          </w:p>
          <w:p w14:paraId="0329E05F">
            <w:pPr>
              <w:spacing w:line="360" w:lineRule="auto"/>
              <w:ind w:firstLine="504"/>
              <w:contextualSpacing/>
              <w:rPr>
                <w:color w:val="auto"/>
                <w:spacing w:val="6"/>
                <w:sz w:val="24"/>
                <w:lang w:val="zh-CN"/>
              </w:rPr>
            </w:pPr>
            <w:r>
              <w:rPr>
                <w:color w:val="auto"/>
                <w:spacing w:val="6"/>
                <w:sz w:val="24"/>
                <w:lang w:val="zh-CN"/>
              </w:rPr>
              <w:t>式中：</w:t>
            </w:r>
            <w:r>
              <w:rPr>
                <w:color w:val="auto"/>
                <w:spacing w:val="6"/>
                <w:sz w:val="24"/>
              </w:rPr>
              <w:t>q</w:t>
            </w:r>
            <w:r>
              <w:rPr>
                <w:color w:val="auto"/>
                <w:spacing w:val="6"/>
                <w:sz w:val="24"/>
                <w:vertAlign w:val="subscript"/>
                <w:lang w:val="zh-CN"/>
              </w:rPr>
              <w:t>1</w:t>
            </w:r>
            <w:r>
              <w:rPr>
                <w:color w:val="auto"/>
                <w:spacing w:val="6"/>
                <w:sz w:val="24"/>
                <w:lang w:val="zh-CN"/>
              </w:rPr>
              <w:t>、</w:t>
            </w:r>
            <w:r>
              <w:rPr>
                <w:color w:val="auto"/>
                <w:spacing w:val="6"/>
                <w:sz w:val="24"/>
              </w:rPr>
              <w:t>q</w:t>
            </w:r>
            <w:r>
              <w:rPr>
                <w:color w:val="auto"/>
                <w:spacing w:val="6"/>
                <w:sz w:val="24"/>
                <w:vertAlign w:val="subscript"/>
                <w:lang w:val="zh-CN"/>
              </w:rPr>
              <w:t>2</w:t>
            </w:r>
            <w:r>
              <w:rPr>
                <w:color w:val="auto"/>
                <w:spacing w:val="6"/>
                <w:sz w:val="24"/>
                <w:lang w:val="zh-CN"/>
              </w:rPr>
              <w:t>、···</w:t>
            </w:r>
            <w:r>
              <w:rPr>
                <w:color w:val="auto"/>
                <w:spacing w:val="6"/>
                <w:sz w:val="24"/>
              </w:rPr>
              <w:t>q</w:t>
            </w:r>
            <w:r>
              <w:rPr>
                <w:color w:val="auto"/>
                <w:spacing w:val="6"/>
                <w:sz w:val="24"/>
                <w:vertAlign w:val="subscript"/>
                <w:lang w:val="zh-CN"/>
              </w:rPr>
              <w:t>n</w:t>
            </w:r>
            <w:r>
              <w:rPr>
                <w:color w:val="auto"/>
                <w:spacing w:val="6"/>
                <w:sz w:val="24"/>
                <w:lang w:val="zh-CN"/>
              </w:rPr>
              <w:t>——每种</w:t>
            </w:r>
            <w:r>
              <w:rPr>
                <w:color w:val="auto"/>
                <w:spacing w:val="6"/>
                <w:sz w:val="24"/>
              </w:rPr>
              <w:t>危</w:t>
            </w:r>
            <w:r>
              <w:rPr>
                <w:color w:val="auto"/>
                <w:spacing w:val="6"/>
                <w:sz w:val="24"/>
                <w:lang w:val="zh-CN"/>
              </w:rPr>
              <w:t>险物质的</w:t>
            </w:r>
            <w:r>
              <w:rPr>
                <w:color w:val="auto"/>
                <w:spacing w:val="6"/>
                <w:sz w:val="24"/>
              </w:rPr>
              <w:t>最大</w:t>
            </w:r>
            <w:r>
              <w:rPr>
                <w:color w:val="auto"/>
                <w:spacing w:val="6"/>
                <w:sz w:val="24"/>
                <w:lang w:val="zh-CN"/>
              </w:rPr>
              <w:t>存在</w:t>
            </w:r>
            <w:r>
              <w:rPr>
                <w:color w:val="auto"/>
                <w:spacing w:val="6"/>
                <w:sz w:val="24"/>
              </w:rPr>
              <w:t>总</w:t>
            </w:r>
            <w:r>
              <w:rPr>
                <w:color w:val="auto"/>
                <w:spacing w:val="6"/>
                <w:sz w:val="24"/>
                <w:lang w:val="zh-CN"/>
              </w:rPr>
              <w:t>量，t；</w:t>
            </w:r>
          </w:p>
          <w:p w14:paraId="789147BE">
            <w:pPr>
              <w:spacing w:line="360" w:lineRule="auto"/>
              <w:ind w:firstLine="1234" w:firstLineChars="490"/>
              <w:contextualSpacing/>
              <w:rPr>
                <w:color w:val="auto"/>
                <w:spacing w:val="6"/>
                <w:sz w:val="24"/>
                <w:lang w:val="zh-CN"/>
              </w:rPr>
            </w:pPr>
            <w:r>
              <w:rPr>
                <w:color w:val="auto"/>
                <w:spacing w:val="6"/>
                <w:sz w:val="24"/>
              </w:rPr>
              <w:t>Q</w:t>
            </w:r>
            <w:r>
              <w:rPr>
                <w:color w:val="auto"/>
                <w:spacing w:val="6"/>
                <w:sz w:val="24"/>
                <w:vertAlign w:val="subscript"/>
                <w:lang w:val="zh-CN"/>
              </w:rPr>
              <w:t>1</w:t>
            </w:r>
            <w:r>
              <w:rPr>
                <w:color w:val="auto"/>
                <w:spacing w:val="6"/>
                <w:sz w:val="24"/>
                <w:lang w:val="zh-CN"/>
              </w:rPr>
              <w:t>、</w:t>
            </w:r>
            <w:r>
              <w:rPr>
                <w:color w:val="auto"/>
                <w:spacing w:val="6"/>
                <w:sz w:val="24"/>
              </w:rPr>
              <w:t>Q</w:t>
            </w:r>
            <w:r>
              <w:rPr>
                <w:color w:val="auto"/>
                <w:spacing w:val="6"/>
                <w:sz w:val="24"/>
                <w:vertAlign w:val="subscript"/>
                <w:lang w:val="zh-CN"/>
              </w:rPr>
              <w:t>2</w:t>
            </w:r>
            <w:r>
              <w:rPr>
                <w:color w:val="auto"/>
                <w:spacing w:val="6"/>
                <w:sz w:val="24"/>
                <w:lang w:val="zh-CN"/>
              </w:rPr>
              <w:t>、···</w:t>
            </w:r>
            <w:r>
              <w:rPr>
                <w:color w:val="auto"/>
                <w:spacing w:val="6"/>
                <w:sz w:val="24"/>
              </w:rPr>
              <w:t>Q</w:t>
            </w:r>
            <w:r>
              <w:rPr>
                <w:color w:val="auto"/>
                <w:spacing w:val="6"/>
                <w:sz w:val="24"/>
                <w:vertAlign w:val="subscript"/>
                <w:lang w:val="zh-CN"/>
              </w:rPr>
              <w:t>n</w:t>
            </w:r>
            <w:r>
              <w:rPr>
                <w:color w:val="auto"/>
                <w:spacing w:val="6"/>
                <w:sz w:val="24"/>
                <w:lang w:val="zh-CN"/>
              </w:rPr>
              <w:t>——每种</w:t>
            </w:r>
            <w:r>
              <w:rPr>
                <w:color w:val="auto"/>
                <w:spacing w:val="6"/>
                <w:sz w:val="24"/>
              </w:rPr>
              <w:t>危</w:t>
            </w:r>
            <w:r>
              <w:rPr>
                <w:color w:val="auto"/>
                <w:spacing w:val="6"/>
                <w:sz w:val="24"/>
                <w:lang w:val="zh-CN"/>
              </w:rPr>
              <w:t>险物质的临界量，t。</w:t>
            </w:r>
          </w:p>
          <w:p w14:paraId="787A3CCF">
            <w:pPr>
              <w:spacing w:line="360" w:lineRule="auto"/>
              <w:ind w:firstLine="1260" w:firstLineChars="500"/>
              <w:contextualSpacing/>
              <w:rPr>
                <w:color w:val="auto"/>
                <w:spacing w:val="6"/>
                <w:sz w:val="24"/>
                <w:lang w:val="zh-CN"/>
              </w:rPr>
            </w:pPr>
            <w:r>
              <w:rPr>
                <w:color w:val="auto"/>
                <w:spacing w:val="6"/>
                <w:sz w:val="24"/>
                <w:lang w:val="zh-CN"/>
              </w:rPr>
              <w:t>当Q＜1时，</w:t>
            </w:r>
            <w:r>
              <w:rPr>
                <w:color w:val="auto"/>
                <w:spacing w:val="6"/>
                <w:sz w:val="24"/>
              </w:rPr>
              <w:t>该项目环境风险潜势为Ⅰ</w:t>
            </w:r>
            <w:r>
              <w:rPr>
                <w:color w:val="auto"/>
                <w:spacing w:val="6"/>
                <w:sz w:val="24"/>
                <w:lang w:val="zh-CN"/>
              </w:rPr>
              <w:t>；</w:t>
            </w:r>
          </w:p>
          <w:p w14:paraId="047BBAA1">
            <w:pPr>
              <w:spacing w:line="360" w:lineRule="auto"/>
              <w:ind w:firstLine="1260" w:firstLineChars="500"/>
              <w:contextualSpacing/>
              <w:rPr>
                <w:color w:val="auto"/>
                <w:spacing w:val="6"/>
                <w:sz w:val="24"/>
                <w:lang w:val="zh-CN"/>
              </w:rPr>
            </w:pPr>
            <w:r>
              <w:rPr>
                <w:color w:val="auto"/>
                <w:spacing w:val="6"/>
                <w:sz w:val="24"/>
                <w:lang w:val="zh-CN"/>
              </w:rPr>
              <w:t>当</w:t>
            </w:r>
            <w:r>
              <w:rPr>
                <w:color w:val="auto"/>
                <w:spacing w:val="6"/>
                <w:sz w:val="24"/>
              </w:rPr>
              <w:t>Q≥1时，将Q值划分为：（1）</w:t>
            </w:r>
            <w:r>
              <w:rPr>
                <w:color w:val="auto"/>
                <w:spacing w:val="6"/>
                <w:sz w:val="24"/>
                <w:lang w:val="zh-CN"/>
              </w:rPr>
              <w:t>1</w:t>
            </w:r>
            <w:r>
              <w:rPr>
                <w:rFonts w:hint="eastAsia"/>
                <w:color w:val="auto"/>
                <w:spacing w:val="6"/>
                <w:sz w:val="24"/>
              </w:rPr>
              <w:t>≤</w:t>
            </w:r>
            <w:r>
              <w:rPr>
                <w:color w:val="auto"/>
                <w:spacing w:val="6"/>
                <w:sz w:val="24"/>
                <w:lang w:val="zh-CN"/>
              </w:rPr>
              <w:t>Q＜10；（</w:t>
            </w:r>
            <w:r>
              <w:rPr>
                <w:color w:val="auto"/>
                <w:spacing w:val="6"/>
                <w:sz w:val="24"/>
              </w:rPr>
              <w:t>2</w:t>
            </w:r>
            <w:r>
              <w:rPr>
                <w:color w:val="auto"/>
                <w:spacing w:val="6"/>
                <w:sz w:val="24"/>
                <w:lang w:val="zh-CN"/>
              </w:rPr>
              <w:t>）10</w:t>
            </w:r>
            <w:r>
              <w:rPr>
                <w:rFonts w:hint="eastAsia"/>
                <w:color w:val="auto"/>
                <w:spacing w:val="6"/>
                <w:sz w:val="24"/>
              </w:rPr>
              <w:t>≤</w:t>
            </w:r>
            <w:r>
              <w:rPr>
                <w:color w:val="auto"/>
                <w:spacing w:val="6"/>
                <w:sz w:val="24"/>
                <w:lang w:val="zh-CN"/>
              </w:rPr>
              <w:t>Q＜100；（</w:t>
            </w:r>
            <w:r>
              <w:rPr>
                <w:color w:val="auto"/>
                <w:spacing w:val="6"/>
                <w:sz w:val="24"/>
              </w:rPr>
              <w:t>3</w:t>
            </w:r>
            <w:r>
              <w:rPr>
                <w:color w:val="auto"/>
                <w:spacing w:val="6"/>
                <w:sz w:val="24"/>
                <w:lang w:val="zh-CN"/>
              </w:rPr>
              <w:t>）Q</w:t>
            </w:r>
            <w:r>
              <w:rPr>
                <w:color w:val="auto"/>
                <w:spacing w:val="6"/>
                <w:sz w:val="24"/>
              </w:rPr>
              <w:t>≥</w:t>
            </w:r>
            <w:r>
              <w:rPr>
                <w:color w:val="auto"/>
                <w:spacing w:val="6"/>
                <w:sz w:val="24"/>
                <w:lang w:val="zh-CN"/>
              </w:rPr>
              <w:t>100。</w:t>
            </w:r>
          </w:p>
          <w:p w14:paraId="19B3557C">
            <w:pPr>
              <w:adjustRightInd w:val="0"/>
              <w:spacing w:line="360" w:lineRule="auto"/>
              <w:ind w:firstLine="480" w:firstLineChars="200"/>
              <w:rPr>
                <w:color w:val="auto"/>
                <w:sz w:val="24"/>
              </w:rPr>
            </w:pPr>
            <w:r>
              <w:rPr>
                <w:rFonts w:hint="eastAsia"/>
                <w:color w:val="auto"/>
                <w:sz w:val="24"/>
              </w:rPr>
              <w:t>本项目柴油储量为0，则Q=0&lt;1，因此，本项目环境风险潜势为 I。</w:t>
            </w:r>
          </w:p>
          <w:p w14:paraId="0FE322DB">
            <w:pPr>
              <w:adjustRightInd w:val="0"/>
              <w:spacing w:line="360" w:lineRule="auto"/>
              <w:ind w:firstLine="480" w:firstLineChars="200"/>
              <w:rPr>
                <w:color w:val="auto"/>
                <w:sz w:val="24"/>
              </w:rPr>
            </w:pPr>
            <w:r>
              <w:rPr>
                <w:rFonts w:hint="eastAsia"/>
                <w:color w:val="auto"/>
                <w:sz w:val="24"/>
              </w:rPr>
              <w:t>（3）评价工作等级划分</w:t>
            </w:r>
          </w:p>
          <w:p w14:paraId="17BCF6DD">
            <w:pPr>
              <w:adjustRightInd w:val="0"/>
              <w:spacing w:line="360" w:lineRule="auto"/>
              <w:ind w:firstLine="480" w:firstLineChars="200"/>
              <w:rPr>
                <w:color w:val="auto"/>
                <w:sz w:val="24"/>
              </w:rPr>
            </w:pPr>
            <w:r>
              <w:rPr>
                <w:rFonts w:hint="eastAsia"/>
                <w:color w:val="auto"/>
                <w:sz w:val="24"/>
              </w:rPr>
              <w:t>《建设项目环境风险评价技术导则》（HJ169-2018）将环境风险评价工作划分为一级、二级、三级。根据建设项目涉及的物质及工艺系统危险性和所在地的环境敏感性确定环境风险潜势，按照表4-1</w:t>
            </w:r>
            <w:r>
              <w:rPr>
                <w:rFonts w:hint="eastAsia"/>
                <w:color w:val="auto"/>
                <w:sz w:val="24"/>
                <w:lang w:val="en-US" w:eastAsia="zh-CN"/>
              </w:rPr>
              <w:t>6</w:t>
            </w:r>
            <w:r>
              <w:rPr>
                <w:rFonts w:hint="eastAsia"/>
                <w:color w:val="auto"/>
                <w:sz w:val="24"/>
              </w:rPr>
              <w:t>确定评价工作等级。风险潜势为Ⅳ及以上，进行一级评价；风险潜势为Ⅲ，进行二级评价；风险潜势为Ⅱ，进行三级评价；风险潜势为Ⅰ，可开展简单分析。</w:t>
            </w:r>
          </w:p>
          <w:p w14:paraId="475744D1">
            <w:pPr>
              <w:pStyle w:val="16"/>
              <w:snapToGrid/>
              <w:spacing w:before="0" w:after="0" w:line="240" w:lineRule="auto"/>
              <w:ind w:right="0"/>
              <w:jc w:val="center"/>
              <w:rPr>
                <w:b/>
                <w:bCs/>
                <w:color w:val="auto"/>
                <w:sz w:val="21"/>
                <w:szCs w:val="21"/>
              </w:rPr>
            </w:pPr>
            <w:r>
              <w:rPr>
                <w:rFonts w:hint="eastAsia"/>
                <w:b/>
                <w:bCs/>
                <w:color w:val="auto"/>
                <w:sz w:val="21"/>
                <w:szCs w:val="21"/>
              </w:rPr>
              <w:t>表4-1</w:t>
            </w:r>
            <w:r>
              <w:rPr>
                <w:rFonts w:hint="eastAsia"/>
                <w:b/>
                <w:bCs/>
                <w:color w:val="auto"/>
                <w:sz w:val="21"/>
                <w:szCs w:val="21"/>
                <w:lang w:val="en-US" w:eastAsia="zh-CN"/>
              </w:rPr>
              <w:t>6</w:t>
            </w:r>
            <w:r>
              <w:rPr>
                <w:rFonts w:hint="eastAsia"/>
                <w:b/>
                <w:bCs/>
                <w:color w:val="auto"/>
                <w:sz w:val="21"/>
                <w:szCs w:val="21"/>
              </w:rPr>
              <w:t xml:space="preserve">    评价工作等级划分</w:t>
            </w:r>
          </w:p>
          <w:tbl>
            <w:tblPr>
              <w:tblStyle w:val="29"/>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629"/>
              <w:gridCol w:w="1629"/>
              <w:gridCol w:w="1630"/>
              <w:gridCol w:w="1630"/>
            </w:tblGrid>
            <w:tr w14:paraId="4ED9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9" w:type="dxa"/>
                </w:tcPr>
                <w:p w14:paraId="79F7D92B">
                  <w:pPr>
                    <w:wordWrap w:val="0"/>
                    <w:jc w:val="center"/>
                    <w:rPr>
                      <w:color w:val="auto"/>
                      <w:szCs w:val="21"/>
                    </w:rPr>
                  </w:pPr>
                  <w:r>
                    <w:rPr>
                      <w:rFonts w:hint="eastAsia"/>
                      <w:color w:val="auto"/>
                      <w:szCs w:val="21"/>
                    </w:rPr>
                    <w:t>环境风险潜势</w:t>
                  </w:r>
                </w:p>
              </w:tc>
              <w:tc>
                <w:tcPr>
                  <w:tcW w:w="1629" w:type="dxa"/>
                </w:tcPr>
                <w:p w14:paraId="34533F42">
                  <w:pPr>
                    <w:wordWrap w:val="0"/>
                    <w:jc w:val="center"/>
                    <w:rPr>
                      <w:color w:val="auto"/>
                      <w:szCs w:val="21"/>
                    </w:rPr>
                  </w:pPr>
                  <w:r>
                    <w:rPr>
                      <w:color w:val="auto"/>
                      <w:szCs w:val="21"/>
                    </w:rPr>
                    <w:t>Ⅳ</w:t>
                  </w:r>
                  <w:r>
                    <w:rPr>
                      <w:rFonts w:hint="eastAsia"/>
                      <w:color w:val="auto"/>
                      <w:szCs w:val="21"/>
                    </w:rPr>
                    <w:t>、</w:t>
                  </w:r>
                  <w:r>
                    <w:rPr>
                      <w:color w:val="auto"/>
                      <w:szCs w:val="21"/>
                    </w:rPr>
                    <w:t>Ⅳ+</w:t>
                  </w:r>
                </w:p>
              </w:tc>
              <w:tc>
                <w:tcPr>
                  <w:tcW w:w="1629" w:type="dxa"/>
                </w:tcPr>
                <w:p w14:paraId="78AE8B88">
                  <w:pPr>
                    <w:wordWrap w:val="0"/>
                    <w:jc w:val="center"/>
                    <w:rPr>
                      <w:color w:val="auto"/>
                      <w:szCs w:val="21"/>
                    </w:rPr>
                  </w:pPr>
                  <w:r>
                    <w:rPr>
                      <w:rFonts w:hint="eastAsia"/>
                      <w:color w:val="auto"/>
                      <w:szCs w:val="21"/>
                    </w:rPr>
                    <w:t>III</w:t>
                  </w:r>
                </w:p>
              </w:tc>
              <w:tc>
                <w:tcPr>
                  <w:tcW w:w="1630" w:type="dxa"/>
                </w:tcPr>
                <w:p w14:paraId="5B2BE853">
                  <w:pPr>
                    <w:wordWrap w:val="0"/>
                    <w:jc w:val="center"/>
                    <w:rPr>
                      <w:color w:val="auto"/>
                      <w:szCs w:val="21"/>
                    </w:rPr>
                  </w:pPr>
                  <w:r>
                    <w:rPr>
                      <w:rFonts w:hint="eastAsia"/>
                      <w:color w:val="auto"/>
                      <w:szCs w:val="21"/>
                    </w:rPr>
                    <w:t>II</w:t>
                  </w:r>
                </w:p>
              </w:tc>
              <w:tc>
                <w:tcPr>
                  <w:tcW w:w="1630" w:type="dxa"/>
                </w:tcPr>
                <w:p w14:paraId="3E7CA52C">
                  <w:pPr>
                    <w:wordWrap w:val="0"/>
                    <w:jc w:val="center"/>
                    <w:rPr>
                      <w:color w:val="auto"/>
                      <w:szCs w:val="21"/>
                    </w:rPr>
                  </w:pPr>
                  <w:r>
                    <w:rPr>
                      <w:rFonts w:hint="eastAsia"/>
                      <w:color w:val="auto"/>
                      <w:szCs w:val="21"/>
                    </w:rPr>
                    <w:t>I</w:t>
                  </w:r>
                </w:p>
              </w:tc>
            </w:tr>
            <w:tr w14:paraId="27E8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tcPr>
                <w:p w14:paraId="06579751">
                  <w:pPr>
                    <w:wordWrap w:val="0"/>
                    <w:jc w:val="center"/>
                    <w:rPr>
                      <w:color w:val="auto"/>
                      <w:szCs w:val="21"/>
                    </w:rPr>
                  </w:pPr>
                  <w:r>
                    <w:rPr>
                      <w:rFonts w:hint="eastAsia"/>
                      <w:color w:val="auto"/>
                      <w:szCs w:val="21"/>
                    </w:rPr>
                    <w:t>评价工作等级</w:t>
                  </w:r>
                </w:p>
              </w:tc>
              <w:tc>
                <w:tcPr>
                  <w:tcW w:w="1629" w:type="dxa"/>
                </w:tcPr>
                <w:p w14:paraId="6954B978">
                  <w:pPr>
                    <w:wordWrap w:val="0"/>
                    <w:jc w:val="center"/>
                    <w:rPr>
                      <w:color w:val="auto"/>
                      <w:szCs w:val="21"/>
                    </w:rPr>
                  </w:pPr>
                  <w:r>
                    <w:rPr>
                      <w:rFonts w:hint="eastAsia"/>
                      <w:color w:val="auto"/>
                      <w:szCs w:val="21"/>
                    </w:rPr>
                    <w:t>一</w:t>
                  </w:r>
                </w:p>
              </w:tc>
              <w:tc>
                <w:tcPr>
                  <w:tcW w:w="1629" w:type="dxa"/>
                </w:tcPr>
                <w:p w14:paraId="725C0F86">
                  <w:pPr>
                    <w:wordWrap w:val="0"/>
                    <w:jc w:val="center"/>
                    <w:rPr>
                      <w:color w:val="auto"/>
                      <w:szCs w:val="21"/>
                    </w:rPr>
                  </w:pPr>
                  <w:r>
                    <w:rPr>
                      <w:rFonts w:hint="eastAsia"/>
                      <w:color w:val="auto"/>
                      <w:szCs w:val="21"/>
                    </w:rPr>
                    <w:t>二</w:t>
                  </w:r>
                </w:p>
              </w:tc>
              <w:tc>
                <w:tcPr>
                  <w:tcW w:w="1630" w:type="dxa"/>
                </w:tcPr>
                <w:p w14:paraId="50CC8D34">
                  <w:pPr>
                    <w:wordWrap w:val="0"/>
                    <w:jc w:val="center"/>
                    <w:rPr>
                      <w:color w:val="auto"/>
                      <w:szCs w:val="21"/>
                    </w:rPr>
                  </w:pPr>
                  <w:r>
                    <w:rPr>
                      <w:rFonts w:hint="eastAsia"/>
                      <w:color w:val="auto"/>
                      <w:szCs w:val="21"/>
                    </w:rPr>
                    <w:t>三</w:t>
                  </w:r>
                </w:p>
              </w:tc>
              <w:tc>
                <w:tcPr>
                  <w:tcW w:w="1630" w:type="dxa"/>
                </w:tcPr>
                <w:p w14:paraId="5251D1BE">
                  <w:pPr>
                    <w:wordWrap w:val="0"/>
                    <w:jc w:val="center"/>
                    <w:rPr>
                      <w:color w:val="auto"/>
                      <w:szCs w:val="21"/>
                    </w:rPr>
                  </w:pPr>
                  <w:r>
                    <w:rPr>
                      <w:rFonts w:hint="eastAsia"/>
                      <w:color w:val="auto"/>
                      <w:szCs w:val="21"/>
                    </w:rPr>
                    <w:t>简单分析</w:t>
                  </w:r>
                  <w:r>
                    <w:rPr>
                      <w:color w:val="auto"/>
                      <w:szCs w:val="21"/>
                      <w:vertAlign w:val="superscript"/>
                    </w:rPr>
                    <w:t>a</w:t>
                  </w:r>
                </w:p>
              </w:tc>
            </w:tr>
            <w:tr w14:paraId="5C6F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gridSpan w:val="5"/>
                </w:tcPr>
                <w:p w14:paraId="12518532">
                  <w:pPr>
                    <w:wordWrap w:val="0"/>
                    <w:jc w:val="center"/>
                    <w:rPr>
                      <w:color w:val="auto"/>
                      <w:szCs w:val="21"/>
                    </w:rPr>
                  </w:pPr>
                  <w:r>
                    <w:rPr>
                      <w:color w:val="auto"/>
                      <w:szCs w:val="21"/>
                    </w:rPr>
                    <w:t xml:space="preserve">a </w:t>
                  </w:r>
                  <w:r>
                    <w:rPr>
                      <w:rFonts w:hint="eastAsia"/>
                      <w:color w:val="auto"/>
                      <w:szCs w:val="21"/>
                    </w:rPr>
                    <w:t>是相对于详细评价工作内容而言，在描述危险物质、环境影响途径、环境危害后果、风险防范措施等方面给出定性的说明。</w:t>
                  </w:r>
                </w:p>
              </w:tc>
            </w:tr>
          </w:tbl>
          <w:p w14:paraId="3DB9F654">
            <w:pPr>
              <w:adjustRightInd w:val="0"/>
              <w:spacing w:line="360" w:lineRule="auto"/>
              <w:ind w:firstLine="480" w:firstLineChars="200"/>
              <w:rPr>
                <w:color w:val="auto"/>
                <w:sz w:val="24"/>
              </w:rPr>
            </w:pPr>
            <w:r>
              <w:rPr>
                <w:rFonts w:hint="eastAsia"/>
                <w:color w:val="auto"/>
                <w:sz w:val="24"/>
              </w:rPr>
              <w:t>根据上表，本项目环境风险潜势为Ⅰ级，确定本项目环境风险评价工作等级为简单分析</w:t>
            </w:r>
          </w:p>
          <w:p w14:paraId="222BBE19">
            <w:pPr>
              <w:adjustRightInd w:val="0"/>
              <w:spacing w:line="360" w:lineRule="auto"/>
              <w:rPr>
                <w:b/>
                <w:bCs/>
                <w:color w:val="auto"/>
                <w:sz w:val="24"/>
              </w:rPr>
            </w:pPr>
            <w:r>
              <w:rPr>
                <w:rFonts w:hint="eastAsia"/>
                <w:b/>
                <w:bCs/>
                <w:color w:val="auto"/>
                <w:sz w:val="24"/>
              </w:rPr>
              <w:t>9.3环境风险分析</w:t>
            </w:r>
          </w:p>
          <w:p w14:paraId="032886CC">
            <w:pPr>
              <w:adjustRightInd w:val="0"/>
              <w:spacing w:line="360" w:lineRule="auto"/>
              <w:ind w:firstLine="480" w:firstLineChars="200"/>
              <w:rPr>
                <w:color w:val="auto"/>
                <w:sz w:val="24"/>
              </w:rPr>
            </w:pPr>
            <w:r>
              <w:rPr>
                <w:rFonts w:hint="eastAsia"/>
                <w:color w:val="auto"/>
                <w:sz w:val="24"/>
              </w:rPr>
              <w:t xml:space="preserve">据矿山环境地质条件及项目特点，该矿山的主要环境风险主要表现在露天采矿垮塌风险。 </w:t>
            </w:r>
          </w:p>
          <w:p w14:paraId="44C7FF0D">
            <w:pPr>
              <w:adjustRightInd w:val="0"/>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 xml:space="preserve">）垮塌 </w:t>
            </w:r>
          </w:p>
          <w:p w14:paraId="47905F61">
            <w:pPr>
              <w:adjustRightInd w:val="0"/>
              <w:spacing w:line="360" w:lineRule="auto"/>
              <w:ind w:firstLine="480" w:firstLineChars="200"/>
              <w:rPr>
                <w:color w:val="auto"/>
                <w:sz w:val="24"/>
              </w:rPr>
            </w:pPr>
            <w:r>
              <w:rPr>
                <w:rFonts w:hint="eastAsia"/>
                <w:color w:val="auto"/>
                <w:sz w:val="24"/>
              </w:rPr>
              <w:t xml:space="preserve">露天采场围岩多为砂质黏土碎石层，碎石、碎块间为砂质黏土充填胶结，其结构不紧密，松散，在开采过程中可能诱发崩塌、滑坡地质灾害。诱发局部崩塌的可能性中等，危险性大，对采矿人员及设备危害大，危险性大。但产生大规模的崩塌的可能性小，危害性小。在雨水及其他地表水长期作用下土体极易软化，加上工程活动影响，土体向工作台阶坡面形成临空面，诱发滑坡的可能性大，对采矿人员及设备危害大，危险性大。 </w:t>
            </w:r>
          </w:p>
          <w:p w14:paraId="08A7EBED">
            <w:pPr>
              <w:adjustRightInd w:val="0"/>
              <w:spacing w:line="360" w:lineRule="auto"/>
              <w:ind w:firstLine="480" w:firstLineChars="200"/>
              <w:rPr>
                <w:color w:val="auto"/>
                <w:sz w:val="24"/>
              </w:rPr>
            </w:pPr>
            <w:r>
              <w:rPr>
                <w:rFonts w:hint="eastAsia"/>
                <w:color w:val="auto"/>
                <w:sz w:val="24"/>
              </w:rPr>
              <w:t>（</w:t>
            </w:r>
            <w:r>
              <w:rPr>
                <w:color w:val="auto"/>
                <w:sz w:val="24"/>
              </w:rPr>
              <w:t>2</w:t>
            </w:r>
            <w:r>
              <w:rPr>
                <w:rFonts w:hint="eastAsia"/>
                <w:color w:val="auto"/>
                <w:sz w:val="24"/>
              </w:rPr>
              <w:t xml:space="preserve">）泥石流 </w:t>
            </w:r>
          </w:p>
          <w:p w14:paraId="2D1294DA">
            <w:pPr>
              <w:adjustRightInd w:val="0"/>
              <w:spacing w:line="360" w:lineRule="auto"/>
              <w:ind w:firstLine="480" w:firstLineChars="200"/>
              <w:rPr>
                <w:color w:val="auto"/>
                <w:sz w:val="24"/>
              </w:rPr>
            </w:pPr>
            <w:r>
              <w:rPr>
                <w:rFonts w:hint="eastAsia"/>
                <w:color w:val="auto"/>
                <w:sz w:val="24"/>
              </w:rPr>
              <w:t xml:space="preserve">矿区无较大冲沟发育，矿区属温带大陆性荒漠气候，汇水面积小，不易发生泥石流地质灾害。根据现状调查，评估区内也从未发生过泥石流灾害。矿区生产中剥离表土及时回填采坑，稳定性较好，不易发生坡面型及沟谷型泥石流，预测评估矿业活动不易引发泥石流地质灾害，地质灾害危害程度较轻，危险性小。 </w:t>
            </w:r>
          </w:p>
          <w:p w14:paraId="3CE53A0D">
            <w:pPr>
              <w:adjustRightInd w:val="0"/>
              <w:spacing w:line="360" w:lineRule="auto"/>
              <w:ind w:firstLine="480" w:firstLineChars="200"/>
              <w:rPr>
                <w:color w:val="auto"/>
                <w:sz w:val="24"/>
              </w:rPr>
            </w:pPr>
            <w:r>
              <w:rPr>
                <w:rFonts w:hint="eastAsia"/>
                <w:color w:val="auto"/>
                <w:sz w:val="24"/>
              </w:rPr>
              <w:t>（</w:t>
            </w:r>
            <w:r>
              <w:rPr>
                <w:color w:val="auto"/>
                <w:sz w:val="24"/>
              </w:rPr>
              <w:t>3</w:t>
            </w:r>
            <w:r>
              <w:rPr>
                <w:rFonts w:hint="eastAsia"/>
                <w:color w:val="auto"/>
                <w:sz w:val="24"/>
              </w:rPr>
              <w:t xml:space="preserve">）其他地质灾害 </w:t>
            </w:r>
          </w:p>
          <w:p w14:paraId="40F0C9CF">
            <w:pPr>
              <w:adjustRightInd w:val="0"/>
              <w:spacing w:line="360" w:lineRule="auto"/>
              <w:ind w:firstLine="480" w:firstLineChars="200"/>
              <w:rPr>
                <w:color w:val="auto"/>
                <w:sz w:val="24"/>
              </w:rPr>
            </w:pPr>
            <w:r>
              <w:rPr>
                <w:rFonts w:hint="eastAsia"/>
                <w:color w:val="auto"/>
                <w:sz w:val="24"/>
              </w:rPr>
              <w:t xml:space="preserve">根据矿区地形、地貌、地区内年降雨量及露天开采情况，后期开采不会引发其他地质灾害。 </w:t>
            </w:r>
          </w:p>
          <w:p w14:paraId="707ACFCE">
            <w:pPr>
              <w:adjustRightInd w:val="0"/>
              <w:spacing w:line="360" w:lineRule="auto"/>
              <w:ind w:firstLine="480" w:firstLineChars="200"/>
              <w:rPr>
                <w:color w:val="auto"/>
                <w:sz w:val="24"/>
              </w:rPr>
            </w:pPr>
            <w:r>
              <w:rPr>
                <w:rFonts w:hint="eastAsia"/>
                <w:color w:val="auto"/>
                <w:sz w:val="24"/>
              </w:rPr>
              <w:t>（</w:t>
            </w:r>
            <w:r>
              <w:rPr>
                <w:color w:val="auto"/>
                <w:sz w:val="24"/>
              </w:rPr>
              <w:t>4</w:t>
            </w:r>
            <w:r>
              <w:rPr>
                <w:rFonts w:hint="eastAsia"/>
                <w:color w:val="auto"/>
                <w:sz w:val="24"/>
              </w:rPr>
              <w:t xml:space="preserve">）地质风险防范措施及应急管理措施 </w:t>
            </w:r>
          </w:p>
          <w:p w14:paraId="32830839">
            <w:pPr>
              <w:adjustRightInd w:val="0"/>
              <w:spacing w:line="360" w:lineRule="auto"/>
              <w:ind w:firstLine="480" w:firstLineChars="200"/>
              <w:rPr>
                <w:color w:val="auto"/>
                <w:sz w:val="24"/>
              </w:rPr>
            </w:pPr>
            <w:r>
              <w:rPr>
                <w:rFonts w:hint="eastAsia"/>
                <w:color w:val="auto"/>
                <w:sz w:val="24"/>
              </w:rPr>
              <w:t>严格按照矿山开发利用方案设计规范开采，施工人员在作业前应进行相关技术培训；矿区加强安全管理，杜绝违规作业。当出现暴雨天气，应提前预警，禁止作业。</w:t>
            </w:r>
          </w:p>
          <w:p w14:paraId="67DF4C3F">
            <w:pPr>
              <w:spacing w:line="360" w:lineRule="auto"/>
              <w:jc w:val="left"/>
              <w:rPr>
                <w:b/>
                <w:bCs/>
                <w:color w:val="auto"/>
                <w:sz w:val="24"/>
              </w:rPr>
            </w:pPr>
            <w:r>
              <w:rPr>
                <w:rFonts w:hint="eastAsia"/>
                <w:b/>
                <w:bCs/>
                <w:color w:val="auto"/>
                <w:sz w:val="24"/>
              </w:rPr>
              <w:t>10、项目服务期满后</w:t>
            </w:r>
            <w:r>
              <w:rPr>
                <w:b/>
                <w:bCs/>
                <w:color w:val="auto"/>
                <w:sz w:val="24"/>
              </w:rPr>
              <w:t>环境影响分析</w:t>
            </w:r>
          </w:p>
          <w:p w14:paraId="7C7CE90C">
            <w:pPr>
              <w:adjustRightInd w:val="0"/>
              <w:spacing w:line="360" w:lineRule="auto"/>
              <w:ind w:firstLine="480" w:firstLineChars="200"/>
              <w:rPr>
                <w:color w:val="auto"/>
                <w:sz w:val="24"/>
              </w:rPr>
            </w:pPr>
            <w:r>
              <w:rPr>
                <w:rFonts w:hint="eastAsia"/>
                <w:color w:val="auto"/>
                <w:sz w:val="24"/>
              </w:rPr>
              <w:t>按照边开采边恢复、终止采矿活动时必须恢复治理的原则，要做到预防为主，针对存在的问题，制定出预防措施，对生产中出现的问题要及时采取相应的措施予以解决，达到防灾、减灾的目的。应按照《矿山生态环境保护与恢复治理方案编制导则》，要求编制矿山生态环境保护与恢复治理方案。</w:t>
            </w:r>
          </w:p>
          <w:p w14:paraId="5F055B3B">
            <w:pPr>
              <w:adjustRightInd w:val="0"/>
              <w:spacing w:line="360" w:lineRule="auto"/>
              <w:ind w:firstLine="480" w:firstLineChars="200"/>
              <w:rPr>
                <w:color w:val="auto"/>
                <w:sz w:val="24"/>
              </w:rPr>
            </w:pPr>
            <w:r>
              <w:rPr>
                <w:rFonts w:hint="eastAsia"/>
                <w:color w:val="auto"/>
                <w:sz w:val="24"/>
              </w:rPr>
              <w:t>本项目建设及运行过程中，采矿场、堆场占用大量的土地，被占用土地上的地表植被不可避免受到破坏，对地貌也形成一定的破坏。此外，采矿后表土堆场占用的土地改变了土地使用功能，改变原有地表形态，使占地范围内的天然植物失去了生存空间，野生动物受人为活动的影响，种群变得十分单一。</w:t>
            </w:r>
          </w:p>
          <w:p w14:paraId="6B89D999">
            <w:pPr>
              <w:adjustRightInd w:val="0"/>
              <w:spacing w:line="360" w:lineRule="auto"/>
              <w:ind w:firstLine="480" w:firstLineChars="200"/>
              <w:rPr>
                <w:color w:val="auto"/>
              </w:rPr>
            </w:pPr>
            <w:r>
              <w:rPr>
                <w:rFonts w:hint="eastAsia"/>
                <w:color w:val="auto"/>
                <w:sz w:val="24"/>
              </w:rPr>
              <w:t>开采结束即闭矿后的主要影响为露天开采区和表土堆场，区域地形地貌发生较大变化，矿石开采、表土堆场堆放改变原有地表形态，同时也存在开采区、表土堆场泥石流等隐患。</w:t>
            </w:r>
          </w:p>
        </w:tc>
      </w:tr>
      <w:tr w14:paraId="2F011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9" w:hRule="atLeast"/>
          <w:jc w:val="center"/>
        </w:trPr>
        <w:tc>
          <w:tcPr>
            <w:tcW w:w="879" w:type="dxa"/>
            <w:vAlign w:val="center"/>
          </w:tcPr>
          <w:p w14:paraId="632200E1">
            <w:pPr>
              <w:pStyle w:val="25"/>
              <w:adjustRightInd w:val="0"/>
              <w:snapToGrid w:val="0"/>
              <w:spacing w:before="0" w:beforeAutospacing="0" w:after="0" w:afterAutospacing="0"/>
              <w:jc w:val="center"/>
              <w:rPr>
                <w:rFonts w:hint="eastAsia" w:cs="宋体"/>
                <w:bCs/>
                <w:color w:val="auto"/>
                <w:kern w:val="2"/>
                <w:sz w:val="21"/>
                <w:szCs w:val="21"/>
              </w:rPr>
            </w:pPr>
            <w:r>
              <w:rPr>
                <w:rFonts w:hint="eastAsia" w:cs="宋体"/>
                <w:bCs/>
                <w:color w:val="auto"/>
                <w:kern w:val="2"/>
              </w:rPr>
              <w:t>选址选线环境合理性分析</w:t>
            </w:r>
          </w:p>
        </w:tc>
        <w:tc>
          <w:tcPr>
            <w:tcW w:w="8397" w:type="dxa"/>
          </w:tcPr>
          <w:p w14:paraId="2A889181">
            <w:pPr>
              <w:spacing w:line="360" w:lineRule="auto"/>
              <w:ind w:firstLine="480" w:firstLineChars="200"/>
              <w:rPr>
                <w:color w:val="auto"/>
                <w:sz w:val="24"/>
              </w:rPr>
            </w:pPr>
            <w:r>
              <w:rPr>
                <w:color w:val="auto"/>
                <w:sz w:val="24"/>
              </w:rPr>
              <w:t>本项目位于</w:t>
            </w:r>
            <w:r>
              <w:rPr>
                <w:rFonts w:hint="eastAsia"/>
                <w:color w:val="auto"/>
                <w:sz w:val="24"/>
              </w:rPr>
              <w:t>昌吉回族自治州奇台县三个庄子镇青年村，行政区划属奇台县管辖。目前矿区尚未开采利用。项目所在区域属第四系全新统冲洪积层，地势比较平坦，坡度不大，远离山区。矿区有道路连接，交通便利。</w:t>
            </w:r>
          </w:p>
          <w:p w14:paraId="5442CC91">
            <w:pPr>
              <w:spacing w:line="360" w:lineRule="auto"/>
              <w:ind w:firstLine="480" w:firstLineChars="200"/>
              <w:rPr>
                <w:color w:val="auto"/>
                <w:sz w:val="24"/>
              </w:rPr>
            </w:pPr>
            <w:r>
              <w:rPr>
                <w:rFonts w:hint="eastAsia"/>
                <w:color w:val="auto"/>
                <w:sz w:val="24"/>
              </w:rPr>
              <w:t>《新疆维吾尔自治区重点行业生态环境准入条件（2024年）》指出：“禁止在重要工业区、大型水利工程设施、城镇市政工程设施所在区域，军事管理区、机场、国防工程设施圈定的区域，高速公路、国道、省道等重要交通干线两侧用地外缘200m范围内（确有必要可根据实际情况论证），铁路线路两侧路堤坡脚、路堑坡顶、铁路桥梁外侧起各1000m范围内及在铁路隧道上方中心线两侧各1000m范围内建设非金属矿采矿项目。居民聚集区1km以内禁止石灰石开采”</w:t>
            </w:r>
          </w:p>
          <w:p w14:paraId="21AEB430">
            <w:pPr>
              <w:spacing w:line="360" w:lineRule="auto"/>
              <w:ind w:firstLine="480" w:firstLineChars="200"/>
              <w:rPr>
                <w:color w:val="auto"/>
                <w:sz w:val="24"/>
              </w:rPr>
            </w:pPr>
            <w:r>
              <w:rPr>
                <w:rFonts w:hint="eastAsia"/>
                <w:color w:val="auto"/>
                <w:sz w:val="24"/>
              </w:rPr>
              <w:t>根据现场勘查，本项目所在区域及周边附近区域内无国家级及自治区级珍稀濒危保护植物分布。项目区及周边附近区域内动物以啮齿类、爬行类、昆虫类、鸟类等为主，无国家及自治区级珍稀濒危保护动物活动。项目区周边土地利用类型主要为其他草地，无自然保护区、风景名胜区、文化和自然遗产地、文物保护单位、大型集中办公居民区、军事基地等环境敏感区。项目区不在铁路、高速公路、国道、省道等重要交通干线两侧200m范围内，不在铁路、重要道路、航道两侧及重要生态敏感目标直观可视范围内，并且本项目服务期满闭矿后将采取地质环境保护与综合治理恢复措施、土地复垦措施、生态保护、减缓和恢复措施等恢复本项目所在区域景观；项目区不属于地质灾害危险区，项目区未占用基本农田、林地、办公居住用地、公共用地等，也未压覆矿藏、墓葬、文物古迹等。因此，本项目符合《矿山生态环境保护与恢复治理技术规范（试行）》（HJ651 2013）和《新疆维吾尔自治区重点行业生态环境准入条件（2024年）》 要求。</w:t>
            </w:r>
          </w:p>
          <w:p w14:paraId="0C5F8E3B">
            <w:pPr>
              <w:spacing w:line="360" w:lineRule="auto"/>
              <w:ind w:firstLine="480" w:firstLineChars="200"/>
              <w:rPr>
                <w:color w:val="auto"/>
                <w:sz w:val="24"/>
              </w:rPr>
            </w:pPr>
            <w:r>
              <w:rPr>
                <w:rFonts w:hint="eastAsia"/>
                <w:color w:val="auto"/>
                <w:sz w:val="24"/>
              </w:rPr>
              <w:t>本次在1号露天采场、2号露天采场分别设1处表土堆场，规划1号露天采场表土堆场占地面积为</w:t>
            </w:r>
            <w:r>
              <w:rPr>
                <w:rFonts w:hint="eastAsia"/>
                <w:color w:val="auto"/>
                <w:sz w:val="24"/>
                <w:lang w:val="en-US" w:eastAsia="zh-CN"/>
              </w:rPr>
              <w:t>15</w:t>
            </w:r>
            <w:r>
              <w:rPr>
                <w:rFonts w:hint="eastAsia"/>
                <w:color w:val="auto"/>
                <w:sz w:val="24"/>
              </w:rPr>
              <w:t>00m</w:t>
            </w:r>
            <w:r>
              <w:rPr>
                <w:rFonts w:hint="eastAsia"/>
                <w:color w:val="auto"/>
                <w:sz w:val="24"/>
                <w:vertAlign w:val="superscript"/>
              </w:rPr>
              <w:t>2</w:t>
            </w:r>
            <w:r>
              <w:rPr>
                <w:rFonts w:hint="eastAsia"/>
                <w:color w:val="auto"/>
                <w:sz w:val="24"/>
              </w:rPr>
              <w:t>，位于规划1号露天采场内北侧；规划2号露天采场表土堆场占地面积为</w:t>
            </w:r>
            <w:r>
              <w:rPr>
                <w:rFonts w:hint="eastAsia"/>
                <w:color w:val="auto"/>
                <w:sz w:val="24"/>
                <w:lang w:val="en-US" w:eastAsia="zh-CN"/>
              </w:rPr>
              <w:t>3</w:t>
            </w:r>
            <w:r>
              <w:rPr>
                <w:rFonts w:hint="eastAsia"/>
                <w:color w:val="auto"/>
                <w:sz w:val="24"/>
              </w:rPr>
              <w:t>000m</w:t>
            </w:r>
            <w:r>
              <w:rPr>
                <w:rFonts w:hint="eastAsia"/>
                <w:color w:val="auto"/>
                <w:sz w:val="24"/>
                <w:vertAlign w:val="superscript"/>
              </w:rPr>
              <w:t>2</w:t>
            </w:r>
            <w:r>
              <w:rPr>
                <w:rFonts w:hint="eastAsia"/>
                <w:color w:val="auto"/>
                <w:sz w:val="24"/>
              </w:rPr>
              <w:t>，位于规划2号露天采场内南侧。</w:t>
            </w:r>
          </w:p>
          <w:p w14:paraId="3800C769">
            <w:pPr>
              <w:spacing w:line="360" w:lineRule="auto"/>
              <w:ind w:firstLine="480" w:firstLineChars="200"/>
              <w:rPr>
                <w:rFonts w:hint="eastAsia"/>
                <w:color w:val="auto"/>
                <w:sz w:val="24"/>
                <w:lang w:eastAsia="zh-CN"/>
              </w:rPr>
            </w:pPr>
            <w:r>
              <w:rPr>
                <w:rFonts w:hint="eastAsia"/>
                <w:color w:val="auto"/>
                <w:sz w:val="24"/>
              </w:rPr>
              <w:t>两处表土堆场原始地形坡度约1-4°。表土堆放高度8m，分2层堆放，堆积坡度不大于35º，</w:t>
            </w:r>
            <w:r>
              <w:rPr>
                <w:rFonts w:hint="eastAsia"/>
                <w:color w:val="auto"/>
                <w:sz w:val="24"/>
                <w:lang w:val="en-US" w:eastAsia="zh-CN"/>
              </w:rPr>
              <w:t>1号表土堆场</w:t>
            </w:r>
            <w:r>
              <w:rPr>
                <w:rFonts w:hint="eastAsia"/>
                <w:color w:val="auto"/>
                <w:sz w:val="24"/>
              </w:rPr>
              <w:t>总容积约</w:t>
            </w:r>
            <w:r>
              <w:rPr>
                <w:rFonts w:hint="eastAsia"/>
                <w:color w:val="auto"/>
                <w:sz w:val="24"/>
                <w:lang w:val="en-US" w:eastAsia="zh-CN"/>
              </w:rPr>
              <w:t>4000</w:t>
            </w:r>
            <w:r>
              <w:rPr>
                <w:rFonts w:hint="eastAsia"/>
                <w:color w:val="auto"/>
                <w:sz w:val="24"/>
              </w:rPr>
              <w:t>m</w:t>
            </w:r>
            <w:r>
              <w:rPr>
                <w:rFonts w:hint="eastAsia"/>
                <w:color w:val="auto"/>
                <w:sz w:val="24"/>
                <w:vertAlign w:val="superscript"/>
              </w:rPr>
              <w:t>3</w:t>
            </w:r>
            <w:r>
              <w:rPr>
                <w:rFonts w:hint="eastAsia"/>
                <w:color w:val="auto"/>
                <w:sz w:val="24"/>
              </w:rPr>
              <w:t>，</w:t>
            </w:r>
            <w:r>
              <w:rPr>
                <w:rFonts w:hint="eastAsia"/>
                <w:color w:val="auto"/>
                <w:sz w:val="24"/>
                <w:lang w:val="en-US" w:eastAsia="zh-CN"/>
              </w:rPr>
              <w:t>2号表土堆场</w:t>
            </w:r>
            <w:r>
              <w:rPr>
                <w:rFonts w:hint="eastAsia"/>
                <w:color w:val="auto"/>
                <w:sz w:val="24"/>
              </w:rPr>
              <w:t>总容积约</w:t>
            </w:r>
            <w:r>
              <w:rPr>
                <w:rFonts w:hint="eastAsia"/>
                <w:color w:val="auto"/>
                <w:sz w:val="24"/>
                <w:lang w:val="en-US" w:eastAsia="zh-CN"/>
              </w:rPr>
              <w:t>8000</w:t>
            </w:r>
            <w:r>
              <w:rPr>
                <w:rFonts w:hint="eastAsia"/>
                <w:color w:val="auto"/>
                <w:sz w:val="24"/>
              </w:rPr>
              <w:t>m</w:t>
            </w:r>
            <w:r>
              <w:rPr>
                <w:rFonts w:hint="eastAsia"/>
                <w:color w:val="auto"/>
                <w:sz w:val="24"/>
                <w:vertAlign w:val="superscript"/>
              </w:rPr>
              <w:t>3</w:t>
            </w:r>
            <w:r>
              <w:rPr>
                <w:rFonts w:hint="eastAsia"/>
                <w:color w:val="auto"/>
                <w:sz w:val="24"/>
                <w:lang w:eastAsia="zh-CN"/>
              </w:rPr>
              <w:t>。</w:t>
            </w:r>
          </w:p>
          <w:p w14:paraId="4825D6D6">
            <w:pPr>
              <w:spacing w:line="360" w:lineRule="auto"/>
              <w:ind w:firstLine="480" w:firstLineChars="200"/>
              <w:rPr>
                <w:color w:val="auto"/>
                <w:sz w:val="24"/>
              </w:rPr>
            </w:pPr>
            <w:r>
              <w:rPr>
                <w:rFonts w:hint="eastAsia"/>
                <w:color w:val="auto"/>
                <w:sz w:val="24"/>
                <w:lang w:val="en-US" w:eastAsia="zh-CN"/>
              </w:rPr>
              <w:t>矿区剥离表土总量143300m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运营期先开采2号矿区，再开采1号矿区</w:t>
            </w:r>
            <w:r>
              <w:rPr>
                <w:rFonts w:hint="eastAsia"/>
                <w:color w:val="auto"/>
                <w:sz w:val="24"/>
                <w:lang w:eastAsia="zh-CN"/>
              </w:rPr>
              <w:t>，</w:t>
            </w:r>
            <w:r>
              <w:rPr>
                <w:rFonts w:hint="eastAsia"/>
                <w:color w:val="auto"/>
                <w:sz w:val="24"/>
                <w:lang w:val="en-US" w:eastAsia="zh-CN"/>
              </w:rPr>
              <w:t>矿山服务年限6.47年，其中2号矿区开采4.51年，每年剥离表土量15433m</w:t>
            </w:r>
            <w:r>
              <w:rPr>
                <w:rFonts w:hint="eastAsia"/>
                <w:color w:val="auto"/>
                <w:sz w:val="24"/>
                <w:vertAlign w:val="superscript"/>
                <w:lang w:val="en-US" w:eastAsia="zh-CN"/>
              </w:rPr>
              <w:t>3</w:t>
            </w:r>
            <w:r>
              <w:rPr>
                <w:rFonts w:hint="eastAsia"/>
                <w:color w:val="auto"/>
                <w:sz w:val="24"/>
                <w:lang w:val="en-US" w:eastAsia="zh-CN"/>
              </w:rPr>
              <w:t>；1号矿区开采1.96年，每年剥离表土量6715.6m</w:t>
            </w:r>
            <w:r>
              <w:rPr>
                <w:rFonts w:hint="eastAsia"/>
                <w:color w:val="auto"/>
                <w:sz w:val="24"/>
                <w:vertAlign w:val="superscript"/>
                <w:lang w:val="en-US" w:eastAsia="zh-CN"/>
              </w:rPr>
              <w:t>3</w:t>
            </w:r>
            <w:r>
              <w:rPr>
                <w:rFonts w:hint="eastAsia"/>
                <w:color w:val="auto"/>
                <w:sz w:val="24"/>
                <w:lang w:val="en-US" w:eastAsia="zh-CN"/>
              </w:rPr>
              <w:t>。1号、2号表土堆场可容纳半年表土量，项目采用</w:t>
            </w:r>
            <w:r>
              <w:rPr>
                <w:rFonts w:hint="eastAsia"/>
                <w:color w:val="auto"/>
                <w:sz w:val="24"/>
              </w:rPr>
              <w:t>边开采边回填</w:t>
            </w:r>
            <w:r>
              <w:rPr>
                <w:rFonts w:hint="eastAsia"/>
                <w:color w:val="auto"/>
                <w:sz w:val="24"/>
                <w:lang w:val="en-US" w:eastAsia="zh-CN"/>
              </w:rPr>
              <w:t>方式，剥离表土及时回填采坑，可确保表土堆场满足表土堆放要求</w:t>
            </w:r>
            <w:r>
              <w:rPr>
                <w:rFonts w:hint="eastAsia"/>
                <w:color w:val="auto"/>
                <w:sz w:val="24"/>
              </w:rPr>
              <w:t>。另外在表土堆场外修建截洪沟</w:t>
            </w:r>
            <w:r>
              <w:rPr>
                <w:rFonts w:hint="eastAsia"/>
                <w:color w:val="auto"/>
                <w:sz w:val="24"/>
                <w:lang w:eastAsia="zh-CN"/>
              </w:rPr>
              <w:t>、</w:t>
            </w:r>
            <w:r>
              <w:rPr>
                <w:rFonts w:hint="eastAsia"/>
                <w:color w:val="auto"/>
                <w:sz w:val="24"/>
              </w:rPr>
              <w:t>排水沟</w:t>
            </w:r>
            <w:r>
              <w:rPr>
                <w:rFonts w:hint="eastAsia"/>
                <w:color w:val="auto"/>
                <w:sz w:val="24"/>
                <w:lang w:eastAsia="zh-CN"/>
              </w:rPr>
              <w:t>，</w:t>
            </w:r>
            <w:r>
              <w:rPr>
                <w:rFonts w:hint="eastAsia"/>
                <w:color w:val="auto"/>
                <w:sz w:val="24"/>
              </w:rPr>
              <w:t>防止水土流失。</w:t>
            </w:r>
          </w:p>
          <w:p w14:paraId="53307851">
            <w:pPr>
              <w:spacing w:line="360" w:lineRule="auto"/>
              <w:ind w:firstLine="480" w:firstLineChars="200"/>
              <w:rPr>
                <w:color w:val="auto"/>
                <w:sz w:val="24"/>
              </w:rPr>
            </w:pPr>
            <w:r>
              <w:rPr>
                <w:rFonts w:hint="eastAsia"/>
                <w:color w:val="auto"/>
                <w:sz w:val="24"/>
              </w:rPr>
              <w:t>①表土堆场距采场距离近，运输距离适中，运输成本较低，投资相对也较少，从运距上满足要求。</w:t>
            </w:r>
          </w:p>
          <w:p w14:paraId="3A89F873">
            <w:pPr>
              <w:spacing w:line="360" w:lineRule="auto"/>
              <w:ind w:firstLine="480" w:firstLineChars="200"/>
              <w:rPr>
                <w:color w:val="auto"/>
                <w:sz w:val="24"/>
              </w:rPr>
            </w:pPr>
            <w:r>
              <w:rPr>
                <w:rFonts w:hint="eastAsia"/>
                <w:color w:val="auto"/>
                <w:sz w:val="24"/>
              </w:rPr>
              <w:t>②从大气环境及噪声影响预测结果表明，堆场对周边环境的影响均在国家相关标准限值范围内，且影响程度轻微。</w:t>
            </w:r>
          </w:p>
          <w:p w14:paraId="1D365F08">
            <w:pPr>
              <w:spacing w:line="360" w:lineRule="auto"/>
              <w:ind w:firstLine="480" w:firstLineChars="200"/>
              <w:rPr>
                <w:color w:val="auto"/>
                <w:sz w:val="24"/>
              </w:rPr>
            </w:pPr>
            <w:r>
              <w:rPr>
                <w:rFonts w:hint="eastAsia"/>
                <w:color w:val="auto"/>
                <w:sz w:val="24"/>
              </w:rPr>
              <w:t>③本项目堆场处于塌陷区、泥石流等潜在不良地质环境之外，且不存在压矿问题。</w:t>
            </w:r>
          </w:p>
          <w:p w14:paraId="4562B812">
            <w:pPr>
              <w:spacing w:line="360" w:lineRule="auto"/>
              <w:ind w:firstLine="480" w:firstLineChars="200"/>
              <w:rPr>
                <w:color w:val="auto"/>
                <w:sz w:val="24"/>
              </w:rPr>
            </w:pPr>
            <w:r>
              <w:rPr>
                <w:rFonts w:hint="eastAsia"/>
                <w:color w:val="auto"/>
                <w:sz w:val="24"/>
              </w:rPr>
              <w:t>④矿区内无地表水系和地下水露头，仅在夏季暴雨季节时会在地形低洼处形成暂时性积水。堆场外设置截水沟，防止地表径流汇入场内浸泡、冲刷边坡；堆场内平台保持2%~3%的内向坡度，防止平台汇水冲刷边坡。堆场运输道路内侧修排水沟，平台汇水经排水沟自流排往堆场外。</w:t>
            </w:r>
          </w:p>
          <w:p w14:paraId="6040BF8B">
            <w:pPr>
              <w:spacing w:line="360" w:lineRule="auto"/>
              <w:ind w:firstLine="480" w:firstLineChars="200"/>
              <w:rPr>
                <w:rFonts w:hint="eastAsia"/>
                <w:color w:val="auto"/>
                <w:sz w:val="24"/>
              </w:rPr>
            </w:pPr>
            <w:r>
              <w:rPr>
                <w:rFonts w:hint="eastAsia"/>
                <w:color w:val="auto"/>
                <w:sz w:val="24"/>
              </w:rPr>
              <w:t>综上所述，表土堆场从选址、容积、运距等方面均能满足表土的堆存要求。堆场占地对区域植被资源数量产生影响，生物量略有减少，但对区域生态完整性的破坏影响较小。堆场外修建截洪沟</w:t>
            </w:r>
            <w:r>
              <w:rPr>
                <w:rFonts w:hint="eastAsia"/>
                <w:color w:val="auto"/>
                <w:sz w:val="24"/>
                <w:lang w:eastAsia="zh-CN"/>
              </w:rPr>
              <w:t>、</w:t>
            </w:r>
            <w:r>
              <w:rPr>
                <w:rFonts w:hint="eastAsia"/>
                <w:color w:val="auto"/>
                <w:sz w:val="24"/>
              </w:rPr>
              <w:t>排水沟</w:t>
            </w:r>
            <w:r>
              <w:rPr>
                <w:rFonts w:hint="eastAsia"/>
                <w:color w:val="auto"/>
                <w:sz w:val="24"/>
                <w:lang w:eastAsia="zh-CN"/>
              </w:rPr>
              <w:t>，</w:t>
            </w:r>
            <w:r>
              <w:rPr>
                <w:rFonts w:hint="eastAsia"/>
                <w:color w:val="auto"/>
                <w:sz w:val="24"/>
              </w:rPr>
              <w:t>防止水土流失。故评价认为表土堆场选址是合理的。</w:t>
            </w:r>
          </w:p>
          <w:p w14:paraId="0EA49902">
            <w:pPr>
              <w:pStyle w:val="13"/>
              <w:rPr>
                <w:rFonts w:hint="eastAsia"/>
                <w:color w:val="auto"/>
                <w:sz w:val="24"/>
              </w:rPr>
            </w:pPr>
          </w:p>
          <w:p w14:paraId="46518265">
            <w:pPr>
              <w:pStyle w:val="13"/>
              <w:rPr>
                <w:rFonts w:hint="eastAsia"/>
                <w:color w:val="auto"/>
                <w:sz w:val="24"/>
              </w:rPr>
            </w:pPr>
          </w:p>
          <w:p w14:paraId="7A307F5B">
            <w:pPr>
              <w:pStyle w:val="13"/>
              <w:rPr>
                <w:rFonts w:hint="eastAsia"/>
                <w:color w:val="auto"/>
                <w:sz w:val="24"/>
              </w:rPr>
            </w:pPr>
          </w:p>
          <w:p w14:paraId="20C232FC">
            <w:pPr>
              <w:pStyle w:val="13"/>
              <w:rPr>
                <w:rFonts w:hint="eastAsia"/>
                <w:color w:val="auto"/>
                <w:sz w:val="24"/>
              </w:rPr>
            </w:pPr>
          </w:p>
          <w:p w14:paraId="6D17BB2A">
            <w:pPr>
              <w:pStyle w:val="13"/>
              <w:rPr>
                <w:rFonts w:hint="eastAsia"/>
                <w:color w:val="auto"/>
                <w:sz w:val="24"/>
              </w:rPr>
            </w:pPr>
          </w:p>
          <w:p w14:paraId="7795C0AE">
            <w:pPr>
              <w:pStyle w:val="13"/>
              <w:rPr>
                <w:rFonts w:hint="eastAsia"/>
                <w:color w:val="auto"/>
                <w:sz w:val="24"/>
              </w:rPr>
            </w:pPr>
          </w:p>
          <w:p w14:paraId="3AF9BB9A">
            <w:pPr>
              <w:pStyle w:val="13"/>
              <w:rPr>
                <w:rFonts w:hint="eastAsia"/>
                <w:color w:val="auto"/>
                <w:sz w:val="24"/>
              </w:rPr>
            </w:pPr>
          </w:p>
          <w:p w14:paraId="324201B7">
            <w:pPr>
              <w:pStyle w:val="13"/>
              <w:rPr>
                <w:rFonts w:hint="eastAsia"/>
                <w:color w:val="auto"/>
                <w:sz w:val="24"/>
              </w:rPr>
            </w:pPr>
          </w:p>
          <w:p w14:paraId="5B8FA90C">
            <w:pPr>
              <w:pStyle w:val="13"/>
              <w:rPr>
                <w:rFonts w:hint="eastAsia"/>
                <w:color w:val="auto"/>
                <w:sz w:val="24"/>
              </w:rPr>
            </w:pPr>
          </w:p>
          <w:p w14:paraId="5AA48B9D">
            <w:pPr>
              <w:pStyle w:val="13"/>
              <w:rPr>
                <w:rFonts w:hint="eastAsia"/>
                <w:color w:val="auto"/>
                <w:sz w:val="24"/>
              </w:rPr>
            </w:pPr>
          </w:p>
          <w:p w14:paraId="15C5CD9D">
            <w:pPr>
              <w:pStyle w:val="13"/>
              <w:rPr>
                <w:rFonts w:hint="eastAsia"/>
                <w:color w:val="auto"/>
                <w:sz w:val="24"/>
              </w:rPr>
            </w:pPr>
          </w:p>
          <w:p w14:paraId="5404E1AA">
            <w:pPr>
              <w:pStyle w:val="13"/>
              <w:rPr>
                <w:rFonts w:hint="eastAsia"/>
                <w:color w:val="auto"/>
                <w:sz w:val="24"/>
              </w:rPr>
            </w:pPr>
          </w:p>
          <w:p w14:paraId="530D26DC">
            <w:pPr>
              <w:pStyle w:val="13"/>
              <w:rPr>
                <w:rFonts w:hint="eastAsia"/>
                <w:color w:val="auto"/>
                <w:sz w:val="24"/>
              </w:rPr>
            </w:pPr>
          </w:p>
          <w:p w14:paraId="76439308">
            <w:pPr>
              <w:pStyle w:val="13"/>
              <w:rPr>
                <w:rFonts w:hint="eastAsia"/>
                <w:color w:val="auto"/>
                <w:sz w:val="24"/>
              </w:rPr>
            </w:pPr>
          </w:p>
          <w:p w14:paraId="48B1E833">
            <w:pPr>
              <w:pStyle w:val="13"/>
              <w:rPr>
                <w:rFonts w:hint="eastAsia"/>
                <w:color w:val="auto"/>
                <w:sz w:val="24"/>
                <w:lang w:eastAsia="zh-CN"/>
              </w:rPr>
            </w:pPr>
          </w:p>
        </w:tc>
      </w:tr>
    </w:tbl>
    <w:p w14:paraId="58DA4CB4">
      <w:pPr>
        <w:pStyle w:val="25"/>
        <w:adjustRightInd w:val="0"/>
        <w:snapToGrid w:val="0"/>
        <w:spacing w:before="0" w:beforeAutospacing="0" w:after="0" w:afterAutospacing="0" w:line="14" w:lineRule="auto"/>
        <w:jc w:val="both"/>
        <w:rPr>
          <w:rFonts w:hint="eastAsia" w:ascii="黑体" w:hAnsi="黑体" w:eastAsia="黑体"/>
          <w:snapToGrid w:val="0"/>
          <w:color w:val="auto"/>
          <w:sz w:val="30"/>
          <w:szCs w:val="30"/>
        </w:rPr>
      </w:pPr>
    </w:p>
    <w:p w14:paraId="49BD7D77">
      <w:pPr>
        <w:pStyle w:val="25"/>
        <w:jc w:val="center"/>
        <w:outlineLvl w:val="0"/>
        <w:rPr>
          <w:rFonts w:hint="eastAsia" w:ascii="黑体" w:hAnsi="黑体" w:eastAsia="黑体"/>
          <w:snapToGrid w:val="0"/>
          <w:color w:val="auto"/>
          <w:sz w:val="30"/>
          <w:szCs w:val="30"/>
        </w:rPr>
      </w:pPr>
      <w:bookmarkStart w:id="16" w:name="_Toc8248"/>
      <w:r>
        <w:rPr>
          <w:rFonts w:hint="eastAsia" w:ascii="黑体" w:hAnsi="黑体" w:eastAsia="黑体"/>
          <w:snapToGrid w:val="0"/>
          <w:color w:val="auto"/>
          <w:sz w:val="30"/>
          <w:szCs w:val="30"/>
        </w:rPr>
        <w:t>五、主要生态环境保护措施</w:t>
      </w:r>
      <w:bookmarkEnd w:id="16"/>
    </w:p>
    <w:tbl>
      <w:tblPr>
        <w:tblStyle w:val="28"/>
        <w:tblW w:w="92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457"/>
      </w:tblGrid>
      <w:tr w14:paraId="3945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777" w:type="dxa"/>
            <w:tcMar>
              <w:left w:w="28" w:type="dxa"/>
              <w:right w:w="28" w:type="dxa"/>
            </w:tcMar>
            <w:vAlign w:val="center"/>
          </w:tcPr>
          <w:p w14:paraId="0583238A">
            <w:pPr>
              <w:adjustRightInd w:val="0"/>
              <w:snapToGrid w:val="0"/>
              <w:jc w:val="center"/>
              <w:rPr>
                <w:rFonts w:hint="eastAsia" w:ascii="宋体" w:hAnsi="宋体"/>
                <w:bCs/>
                <w:color w:val="auto"/>
                <w:szCs w:val="21"/>
              </w:rPr>
            </w:pPr>
            <w:r>
              <w:rPr>
                <w:rFonts w:hint="eastAsia" w:ascii="宋体" w:hAnsi="宋体" w:cs="宋体"/>
                <w:bCs/>
                <w:color w:val="auto"/>
                <w:spacing w:val="10"/>
                <w:sz w:val="24"/>
              </w:rPr>
              <w:t>施工期生态环境保护措施</w:t>
            </w:r>
          </w:p>
        </w:tc>
        <w:tc>
          <w:tcPr>
            <w:tcW w:w="8457" w:type="dxa"/>
          </w:tcPr>
          <w:p w14:paraId="12F7086D">
            <w:pPr>
              <w:adjustRightInd w:val="0"/>
              <w:snapToGrid w:val="0"/>
              <w:spacing w:line="360" w:lineRule="auto"/>
              <w:rPr>
                <w:b/>
                <w:bCs/>
                <w:color w:val="auto"/>
                <w:sz w:val="24"/>
              </w:rPr>
            </w:pPr>
            <w:r>
              <w:rPr>
                <w:rFonts w:hint="eastAsia"/>
                <w:b/>
                <w:bCs/>
                <w:color w:val="auto"/>
                <w:sz w:val="24"/>
              </w:rPr>
              <w:t>1、施工期生态环境影响防治措施</w:t>
            </w:r>
          </w:p>
          <w:p w14:paraId="2A0B0648">
            <w:pPr>
              <w:adjustRightInd w:val="0"/>
              <w:snapToGrid w:val="0"/>
              <w:spacing w:line="360" w:lineRule="auto"/>
              <w:ind w:firstLine="480" w:firstLineChars="200"/>
              <w:rPr>
                <w:color w:val="auto"/>
                <w:sz w:val="24"/>
              </w:rPr>
            </w:pPr>
            <w:r>
              <w:rPr>
                <w:rFonts w:hint="eastAsia"/>
                <w:color w:val="auto"/>
                <w:sz w:val="24"/>
              </w:rPr>
              <w:t>（1）土地利用保护措施</w:t>
            </w:r>
          </w:p>
          <w:p w14:paraId="03FCB2FB">
            <w:pPr>
              <w:adjustRightInd w:val="0"/>
              <w:snapToGrid w:val="0"/>
              <w:spacing w:line="360" w:lineRule="auto"/>
              <w:ind w:firstLine="480" w:firstLineChars="200"/>
              <w:rPr>
                <w:color w:val="auto"/>
                <w:sz w:val="24"/>
              </w:rPr>
            </w:pPr>
            <w:r>
              <w:rPr>
                <w:rFonts w:hint="eastAsia"/>
                <w:color w:val="auto"/>
                <w:sz w:val="24"/>
              </w:rPr>
              <w:t>项目施工期间，应对占地区域进行合理规划及建设；划定施工区红线，严禁红线以外的施工行为；建设单位应事先做好施工组织规划，划定施工范围，包括材料堆存、人员活动范围等，尽量减少占地数量；设定车辆行驶路线，要求运输车辆在规定路线内行驶，防止四处乱碾，扰动地表，破坏植被，产生扬尘污染周围环境；加强施工管理，严禁不按操作规程施工。施工期间剥离表土妥善保存，后期回填矿坑和植被恢复。</w:t>
            </w:r>
          </w:p>
          <w:p w14:paraId="106AEADA">
            <w:pPr>
              <w:adjustRightInd w:val="0"/>
              <w:snapToGrid w:val="0"/>
              <w:spacing w:line="360" w:lineRule="auto"/>
              <w:ind w:firstLine="480" w:firstLineChars="200"/>
              <w:rPr>
                <w:color w:val="auto"/>
                <w:sz w:val="24"/>
              </w:rPr>
            </w:pPr>
            <w:r>
              <w:rPr>
                <w:rFonts w:hint="eastAsia"/>
                <w:color w:val="auto"/>
                <w:sz w:val="24"/>
              </w:rPr>
              <w:t>（2）动植物保护措施</w:t>
            </w:r>
          </w:p>
          <w:p w14:paraId="70C0725A">
            <w:pPr>
              <w:adjustRightInd w:val="0"/>
              <w:snapToGrid w:val="0"/>
              <w:spacing w:line="360" w:lineRule="auto"/>
              <w:ind w:firstLine="480" w:firstLineChars="200"/>
              <w:rPr>
                <w:color w:val="auto"/>
                <w:sz w:val="24"/>
              </w:rPr>
            </w:pPr>
            <w:r>
              <w:rPr>
                <w:rFonts w:hint="eastAsia"/>
                <w:color w:val="auto"/>
                <w:sz w:val="24"/>
              </w:rPr>
              <w:t>①对施工人员进行野生动物和植物保护等法律知识宣传教育，在矿区及周边设立爱护鸟类和自然植被的宣传牌；严禁捕猎各种野生动物。</w:t>
            </w:r>
          </w:p>
          <w:p w14:paraId="21EFD9A3">
            <w:pPr>
              <w:adjustRightInd w:val="0"/>
              <w:snapToGrid w:val="0"/>
              <w:spacing w:line="360" w:lineRule="auto"/>
              <w:ind w:firstLine="480" w:firstLineChars="200"/>
              <w:rPr>
                <w:color w:val="auto"/>
                <w:sz w:val="24"/>
              </w:rPr>
            </w:pPr>
            <w:r>
              <w:rPr>
                <w:rFonts w:hint="eastAsia"/>
                <w:color w:val="auto"/>
                <w:sz w:val="24"/>
              </w:rPr>
              <w:t>②临时占地应选择荒地或植被稀疏地，尽量避免占用天然植被较好区域。</w:t>
            </w:r>
          </w:p>
          <w:p w14:paraId="097D0E45">
            <w:pPr>
              <w:adjustRightInd w:val="0"/>
              <w:snapToGrid w:val="0"/>
              <w:spacing w:line="360" w:lineRule="auto"/>
              <w:ind w:firstLine="480" w:firstLineChars="200"/>
              <w:rPr>
                <w:color w:val="auto"/>
                <w:sz w:val="24"/>
              </w:rPr>
            </w:pPr>
            <w:r>
              <w:rPr>
                <w:rFonts w:hint="eastAsia"/>
                <w:color w:val="auto"/>
                <w:sz w:val="24"/>
              </w:rPr>
              <w:t>③路面施工用地中，一般有部分土地由于长期受到施工机械的碾压，土壤严重板结，难以直接恢复，建议在对地表进行清理后，进行土地平整和土翻松后播撒草籽，进行土壤改良。</w:t>
            </w:r>
          </w:p>
          <w:p w14:paraId="1D992E8E">
            <w:pPr>
              <w:adjustRightInd w:val="0"/>
              <w:snapToGrid w:val="0"/>
              <w:spacing w:line="360" w:lineRule="auto"/>
              <w:ind w:firstLine="480" w:firstLineChars="200"/>
              <w:rPr>
                <w:color w:val="auto"/>
                <w:sz w:val="24"/>
              </w:rPr>
            </w:pPr>
            <w:r>
              <w:rPr>
                <w:rFonts w:hint="eastAsia"/>
                <w:color w:val="auto"/>
                <w:sz w:val="24"/>
              </w:rPr>
              <w:t>④合理安排施工计划和作业时间，优化施工方案。工程尽量避开雨天施工，并采用边开挖、边回填、边碾压的施工方案，尽量减少疏松土壤的时间，有效减轻施工区水土流失。</w:t>
            </w:r>
          </w:p>
          <w:p w14:paraId="189BCDFD">
            <w:pPr>
              <w:adjustRightInd w:val="0"/>
              <w:snapToGrid w:val="0"/>
              <w:spacing w:line="360" w:lineRule="auto"/>
              <w:ind w:firstLine="480" w:firstLineChars="200"/>
              <w:rPr>
                <w:color w:val="auto"/>
                <w:sz w:val="24"/>
              </w:rPr>
            </w:pPr>
            <w:r>
              <w:rPr>
                <w:rFonts w:hint="eastAsia"/>
                <w:color w:val="auto"/>
                <w:sz w:val="24"/>
              </w:rPr>
              <w:t>⑤矿山开采过程中将项目永久占地的地表剥离土单独堆存，采用防尘网苫盖，施工结束后作为矿山生态修复用土综合利用。</w:t>
            </w:r>
          </w:p>
          <w:p w14:paraId="2C3A1291">
            <w:pPr>
              <w:adjustRightInd w:val="0"/>
              <w:snapToGrid w:val="0"/>
              <w:spacing w:line="360" w:lineRule="auto"/>
              <w:ind w:firstLine="480" w:firstLineChars="200"/>
              <w:rPr>
                <w:color w:val="auto"/>
                <w:sz w:val="24"/>
              </w:rPr>
            </w:pPr>
            <w:r>
              <w:rPr>
                <w:rFonts w:hint="eastAsia"/>
                <w:color w:val="auto"/>
                <w:sz w:val="24"/>
              </w:rPr>
              <w:t>⑥工程剥离表土临时集中堆放，并做好排水、拦挡设施，保证渣体稳定，对临时堆放场加以覆盖，减轻水土流失。施工结束后作为临时用地生态修复和矿山生态修复用土综合利用。</w:t>
            </w:r>
          </w:p>
          <w:p w14:paraId="4AE70C3B">
            <w:pPr>
              <w:adjustRightInd w:val="0"/>
              <w:snapToGrid w:val="0"/>
              <w:spacing w:line="360" w:lineRule="auto"/>
              <w:ind w:firstLine="480" w:firstLineChars="200"/>
              <w:rPr>
                <w:color w:val="auto"/>
                <w:sz w:val="24"/>
              </w:rPr>
            </w:pPr>
            <w:r>
              <w:rPr>
                <w:rFonts w:hint="eastAsia"/>
                <w:color w:val="auto"/>
                <w:sz w:val="24"/>
              </w:rPr>
              <w:t>（3）水土保持措施</w:t>
            </w:r>
          </w:p>
          <w:p w14:paraId="1CCD1F2F">
            <w:pPr>
              <w:adjustRightInd w:val="0"/>
              <w:snapToGrid w:val="0"/>
              <w:spacing w:line="360" w:lineRule="auto"/>
              <w:ind w:firstLine="480" w:firstLineChars="200"/>
              <w:rPr>
                <w:color w:val="auto"/>
                <w:sz w:val="24"/>
              </w:rPr>
            </w:pPr>
            <w:r>
              <w:rPr>
                <w:rFonts w:hint="eastAsia"/>
                <w:color w:val="auto"/>
                <w:sz w:val="24"/>
              </w:rPr>
              <w:t>水土保持措施主要由工程措施和植物措施构成。其中，工程措施包括边坡防护及排水设施等措施，用以控制大面积、高强度流失，为植物措施实施创造条件：植物措施包括植物护坡、临时占地植被恢复等措施，与工程措施配套，提高水土保持效果、减少工程投资、改善生态环境。根据不同防治区的水土流失特点，确定防治重点和措施配置。根据工程开挖的特点及新增水土流失的方式，采取工程和植物措施相结合的综合防治措施。施工期间临时堆置剥离的表土，对堆放点采取临时性防治措施，修筑排水沟，做好小型边坡的防护，覆盖防雨布，以防雨水冲刷。回填完成后将全部覆土整理、种草防止水土流失。</w:t>
            </w:r>
          </w:p>
          <w:p w14:paraId="04320932">
            <w:pPr>
              <w:adjustRightInd w:val="0"/>
              <w:snapToGrid w:val="0"/>
              <w:spacing w:line="360" w:lineRule="auto"/>
              <w:ind w:firstLine="480" w:firstLineChars="200"/>
              <w:rPr>
                <w:color w:val="auto"/>
                <w:sz w:val="24"/>
              </w:rPr>
            </w:pPr>
            <w:r>
              <w:rPr>
                <w:rFonts w:hint="eastAsia"/>
                <w:color w:val="auto"/>
                <w:sz w:val="24"/>
              </w:rPr>
              <w:t>（4）防沙治沙保护措施</w:t>
            </w:r>
          </w:p>
          <w:p w14:paraId="0E9782B5">
            <w:pPr>
              <w:adjustRightInd w:val="0"/>
              <w:snapToGrid w:val="0"/>
              <w:spacing w:line="360" w:lineRule="auto"/>
              <w:ind w:firstLine="480" w:firstLineChars="200"/>
              <w:rPr>
                <w:color w:val="auto"/>
                <w:sz w:val="24"/>
              </w:rPr>
            </w:pPr>
            <w:r>
              <w:rPr>
                <w:rFonts w:hint="eastAsia"/>
                <w:color w:val="auto"/>
                <w:sz w:val="24"/>
              </w:rPr>
              <w:t>①采矿初期需要产生大量采剥表土，必须将集中堆放于矿区表土堆场，设置截水沟，防止地表水流入场内浸泡、冲刷边坡，慎防水土流失，以备生态恢复</w:t>
            </w:r>
            <w:r>
              <w:rPr>
                <w:rFonts w:hint="eastAsia"/>
                <w:color w:val="auto"/>
                <w:sz w:val="24"/>
                <w:lang w:eastAsia="zh-CN"/>
              </w:rPr>
              <w:t>使用</w:t>
            </w:r>
            <w:r>
              <w:rPr>
                <w:rFonts w:hint="eastAsia"/>
                <w:color w:val="auto"/>
                <w:sz w:val="24"/>
              </w:rPr>
              <w:t>。</w:t>
            </w:r>
          </w:p>
          <w:p w14:paraId="657E0E6D">
            <w:pPr>
              <w:adjustRightInd w:val="0"/>
              <w:snapToGrid w:val="0"/>
              <w:spacing w:line="360" w:lineRule="auto"/>
              <w:ind w:firstLine="480" w:firstLineChars="200"/>
              <w:rPr>
                <w:color w:val="auto"/>
                <w:sz w:val="24"/>
              </w:rPr>
            </w:pPr>
            <w:r>
              <w:rPr>
                <w:rFonts w:hint="eastAsia"/>
                <w:color w:val="auto"/>
                <w:sz w:val="24"/>
              </w:rPr>
              <w:t>②要坚持“因地制宜、因害设防、保护优先、综合治理”的原则，坚持宜灌则灌、宜草则草，采取以林草植被建设为主的综合措施，加强地表覆盖，减少尘源，做好植被保护、生态修复和补偿以及防沙治沙工作。</w:t>
            </w:r>
          </w:p>
          <w:p w14:paraId="2FFC600A">
            <w:pPr>
              <w:adjustRightInd w:val="0"/>
              <w:snapToGrid w:val="0"/>
              <w:spacing w:line="360" w:lineRule="auto"/>
              <w:ind w:firstLine="480" w:firstLineChars="200"/>
              <w:rPr>
                <w:color w:val="auto"/>
                <w:sz w:val="24"/>
              </w:rPr>
            </w:pPr>
            <w:r>
              <w:rPr>
                <w:rFonts w:hint="eastAsia"/>
                <w:color w:val="auto"/>
                <w:sz w:val="24"/>
              </w:rPr>
              <w:t>③严格控制矿区范围，严禁随意破坏防风固沙设施，重点要保护荒漠植被。明确设定施工区域，严格划定施工作业带范围，限制施工人员的活动范围，尽可能减少对地表的扰动和植被的破坏。严格落实拟建项目水土保持方案中的水土流失、防沙治沙措施破坏行为，保护施工区植被。</w:t>
            </w:r>
          </w:p>
          <w:p w14:paraId="7FFD1D72">
            <w:pPr>
              <w:adjustRightInd w:val="0"/>
              <w:snapToGrid w:val="0"/>
              <w:spacing w:line="360" w:lineRule="auto"/>
              <w:ind w:firstLine="480" w:firstLineChars="200"/>
              <w:rPr>
                <w:color w:val="auto"/>
                <w:sz w:val="24"/>
              </w:rPr>
            </w:pPr>
            <w:r>
              <w:rPr>
                <w:rFonts w:hint="eastAsia"/>
                <w:color w:val="auto"/>
                <w:sz w:val="24"/>
              </w:rPr>
              <w:t>④施工期结束后，妥善收集和处置施工固废。对施工场地进行平整，对矿区道路进行铺垫碎石平整压实；对临时占地，则及时清除压占物料并对其进行平整硬化，减少矿区的水土流失。</w:t>
            </w:r>
          </w:p>
          <w:p w14:paraId="2C5F9900">
            <w:pPr>
              <w:adjustRightInd w:val="0"/>
              <w:snapToGrid w:val="0"/>
              <w:spacing w:line="360" w:lineRule="auto"/>
              <w:rPr>
                <w:b/>
                <w:bCs/>
                <w:color w:val="auto"/>
                <w:sz w:val="24"/>
              </w:rPr>
            </w:pPr>
            <w:r>
              <w:rPr>
                <w:rFonts w:hint="eastAsia"/>
                <w:b/>
                <w:bCs/>
                <w:color w:val="auto"/>
                <w:sz w:val="24"/>
              </w:rPr>
              <w:t>5.2施工期大气污染防治措施</w:t>
            </w:r>
          </w:p>
          <w:p w14:paraId="6A7D4EC4">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针对施工期间产生的扬尘、尾气等，应采取一定的治理或防治措施：</w:t>
            </w:r>
          </w:p>
          <w:p w14:paraId="6443B720">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（1）对施工废弃物及时清理分类，残土、废石及时清运，送至指定地点堆放，临时堆放时要做好覆盖或洒水降尘处理，避免在大风天气引起扬尘污染。</w:t>
            </w:r>
          </w:p>
          <w:p w14:paraId="14D5457B">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（2）对于运输沙土及其他施工材料、倒运土方的车辆应加盖篷布，以避免运输过程中产生的粉尘影响运输道路沿途的空气质量，保证施工车辆工况良好，以降低尾气CO、NO</w:t>
            </w:r>
            <w:r>
              <w:rPr>
                <w:rFonts w:hint="eastAsia"/>
                <w:color w:val="auto"/>
                <w:sz w:val="24"/>
                <w:szCs w:val="24"/>
                <w:vertAlign w:val="subscript"/>
              </w:rPr>
              <w:t>X</w:t>
            </w:r>
            <w:r>
              <w:rPr>
                <w:rFonts w:hint="eastAsia"/>
                <w:color w:val="auto"/>
                <w:sz w:val="24"/>
                <w:szCs w:val="24"/>
              </w:rPr>
              <w:t>、SO</w:t>
            </w:r>
            <w:r>
              <w:rPr>
                <w:rFonts w:hint="eastAsia"/>
                <w:color w:val="auto"/>
                <w:sz w:val="24"/>
                <w:szCs w:val="24"/>
                <w:vertAlign w:val="subscript"/>
              </w:rPr>
              <w:t>2</w:t>
            </w:r>
            <w:r>
              <w:rPr>
                <w:rFonts w:hint="eastAsia"/>
                <w:color w:val="auto"/>
                <w:sz w:val="24"/>
                <w:szCs w:val="24"/>
              </w:rPr>
              <w:t>等的排放。</w:t>
            </w:r>
          </w:p>
          <w:p w14:paraId="54D74704">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（3）工地配置专用洒水车，定期对施工场地、运输道路路面洒水，并在装料、卸料等必要场合使用。</w:t>
            </w:r>
          </w:p>
          <w:p w14:paraId="61CC3B4B">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（4）散装物料在装卸、运输过程中要用隔板阻挡以防止物料洒落，堆放物料的露天堆场要遮盖。</w:t>
            </w:r>
          </w:p>
          <w:p w14:paraId="730B9A17">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（5）开挖的土石方要妥善堆放防止起尘，施工场地和通往施工区的道路必须定期洒水，防止起尘。</w:t>
            </w:r>
          </w:p>
          <w:p w14:paraId="1F234923">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（6）参与施工的各种车辆和作业机械，应该具有尾气年检合格证。</w:t>
            </w:r>
          </w:p>
          <w:p w14:paraId="27B98308">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（7）所有设备在使用期间要保证其正常运行，经常检修保养，防止非正常运行造成的尾气超标排放。</w:t>
            </w:r>
          </w:p>
          <w:p w14:paraId="12E4900B">
            <w:pPr>
              <w:pStyle w:val="16"/>
              <w:widowControl w:val="0"/>
              <w:snapToGrid/>
              <w:spacing w:before="0" w:after="0" w:line="360" w:lineRule="auto"/>
              <w:ind w:right="0"/>
              <w:rPr>
                <w:b/>
                <w:bCs/>
                <w:color w:val="auto"/>
                <w:sz w:val="24"/>
                <w:szCs w:val="24"/>
              </w:rPr>
            </w:pPr>
            <w:r>
              <w:rPr>
                <w:rFonts w:hint="eastAsia"/>
                <w:b/>
                <w:bCs/>
                <w:color w:val="auto"/>
                <w:sz w:val="24"/>
                <w:szCs w:val="24"/>
              </w:rPr>
              <w:t>5.3施工期废水污染防治措施</w:t>
            </w:r>
          </w:p>
          <w:p w14:paraId="514007D7">
            <w:pPr>
              <w:topLinePunct/>
              <w:spacing w:line="360" w:lineRule="auto"/>
              <w:ind w:firstLine="480" w:firstLineChars="200"/>
              <w:rPr>
                <w:color w:val="auto"/>
                <w:sz w:val="24"/>
              </w:rPr>
            </w:pPr>
            <w:r>
              <w:rPr>
                <w:rFonts w:hint="eastAsia"/>
                <w:color w:val="auto"/>
                <w:sz w:val="24"/>
              </w:rPr>
              <w:t>施工期间无施工废水产生。施工期设1处环保厕所</w:t>
            </w:r>
            <w:r>
              <w:rPr>
                <w:rFonts w:hint="eastAsia"/>
                <w:color w:val="auto"/>
                <w:sz w:val="24"/>
                <w:lang w:val="en-US" w:eastAsia="zh-CN"/>
              </w:rPr>
              <w:t>和防渗化粪池</w:t>
            </w:r>
            <w:r>
              <w:rPr>
                <w:rFonts w:hint="eastAsia"/>
                <w:color w:val="auto"/>
                <w:sz w:val="24"/>
              </w:rPr>
              <w:t>，人员如厕废水定期由吸污车拉运至奇台县污水处理厂进一步处理。</w:t>
            </w:r>
          </w:p>
          <w:p w14:paraId="7B029495">
            <w:pPr>
              <w:pStyle w:val="16"/>
              <w:widowControl w:val="0"/>
              <w:snapToGrid/>
              <w:spacing w:before="0" w:after="0" w:line="360" w:lineRule="auto"/>
              <w:ind w:right="0"/>
              <w:rPr>
                <w:b/>
                <w:bCs/>
                <w:color w:val="auto"/>
                <w:sz w:val="24"/>
                <w:szCs w:val="24"/>
              </w:rPr>
            </w:pPr>
            <w:r>
              <w:rPr>
                <w:rFonts w:hint="eastAsia"/>
                <w:b/>
                <w:bCs/>
                <w:color w:val="auto"/>
                <w:sz w:val="24"/>
                <w:szCs w:val="24"/>
              </w:rPr>
              <w:t>5.4施工期噪声防治措施</w:t>
            </w:r>
          </w:p>
          <w:p w14:paraId="12ED2F4E">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本项目施工过程中主要采取如下噪声防治措施：</w:t>
            </w:r>
          </w:p>
          <w:p w14:paraId="2D0B1470">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（1）采用低噪声机械设备和运输车辆，使用过程中经常检修和养护，保证其正常运行。</w:t>
            </w:r>
          </w:p>
          <w:p w14:paraId="4EAA7E06">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（2）科学合理安排施工工序和施工时间，将强噪声作业安排在白天施工。</w:t>
            </w:r>
          </w:p>
          <w:p w14:paraId="1D1BCD5A">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（3）在矿区南侧设置围挡（运营期沿用），可有效阻挡项目施工噪声传播。</w:t>
            </w:r>
          </w:p>
          <w:p w14:paraId="4B6D383C">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（4）施工期运输车辆采取匀速慢行；施工场地的施工车辆出入现场时应低速、减少鸣笛，以减小载重汽车噪声对周围环境的影响。</w:t>
            </w:r>
          </w:p>
          <w:p w14:paraId="5BD50B71">
            <w:pPr>
              <w:pStyle w:val="16"/>
              <w:widowControl w:val="0"/>
              <w:snapToGrid/>
              <w:spacing w:before="0" w:after="0" w:line="360" w:lineRule="auto"/>
              <w:ind w:right="0" w:firstLine="480" w:firstLineChars="200"/>
              <w:rPr>
                <w:color w:val="auto"/>
                <w:sz w:val="24"/>
                <w:szCs w:val="24"/>
              </w:rPr>
            </w:pPr>
            <w:r>
              <w:rPr>
                <w:rFonts w:hint="eastAsia"/>
                <w:color w:val="auto"/>
                <w:sz w:val="24"/>
                <w:szCs w:val="24"/>
              </w:rPr>
              <w:t>通过采取相应的环保措施后，项目施工对周边声环境影响可以得到有效控制，措施可行。</w:t>
            </w:r>
          </w:p>
          <w:p w14:paraId="272127EF">
            <w:pPr>
              <w:adjustRightInd w:val="0"/>
              <w:snapToGrid w:val="0"/>
              <w:spacing w:line="360" w:lineRule="auto"/>
              <w:rPr>
                <w:b/>
                <w:bCs/>
                <w:color w:val="auto"/>
                <w:sz w:val="24"/>
              </w:rPr>
            </w:pPr>
            <w:r>
              <w:rPr>
                <w:rFonts w:hint="eastAsia"/>
                <w:b/>
                <w:bCs/>
                <w:color w:val="auto"/>
                <w:sz w:val="24"/>
              </w:rPr>
              <w:t>5.5施工期固体废物污染防治措施</w:t>
            </w:r>
          </w:p>
          <w:p w14:paraId="3E05B36C">
            <w:pPr>
              <w:adjustRightInd w:val="0"/>
              <w:snapToGrid w:val="0"/>
              <w:spacing w:line="360" w:lineRule="auto"/>
              <w:ind w:firstLine="480" w:firstLineChars="200"/>
              <w:rPr>
                <w:color w:val="auto"/>
              </w:rPr>
            </w:pPr>
            <w:r>
              <w:rPr>
                <w:color w:val="auto"/>
                <w:sz w:val="24"/>
              </w:rPr>
              <w:t>（</w:t>
            </w:r>
            <w:r>
              <w:rPr>
                <w:rFonts w:hint="eastAsia"/>
                <w:color w:val="auto"/>
                <w:sz w:val="24"/>
              </w:rPr>
              <w:t>1</w:t>
            </w:r>
            <w:r>
              <w:rPr>
                <w:color w:val="auto"/>
                <w:sz w:val="24"/>
              </w:rPr>
              <w:t>）剥离的表土用于复垦。</w:t>
            </w:r>
          </w:p>
          <w:p w14:paraId="36AA2B25">
            <w:pPr>
              <w:adjustRightInd w:val="0"/>
              <w:snapToGrid w:val="0"/>
              <w:spacing w:line="360" w:lineRule="auto"/>
              <w:ind w:firstLine="480" w:firstLineChars="200"/>
              <w:rPr>
                <w:color w:val="auto"/>
                <w:kern w:val="0"/>
                <w:sz w:val="24"/>
              </w:rPr>
            </w:pPr>
            <w:r>
              <w:rPr>
                <w:rFonts w:hint="eastAsia"/>
                <w:color w:val="auto"/>
                <w:sz w:val="24"/>
              </w:rPr>
              <w:t>（2）加强施工期固废处置的管理，不准任意抛弃土石料。</w:t>
            </w:r>
          </w:p>
        </w:tc>
      </w:tr>
      <w:tr w14:paraId="38992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tcMar>
              <w:left w:w="28" w:type="dxa"/>
              <w:right w:w="28" w:type="dxa"/>
            </w:tcMar>
            <w:vAlign w:val="center"/>
          </w:tcPr>
          <w:p w14:paraId="4D5E787E">
            <w:pPr>
              <w:adjustRightInd w:val="0"/>
              <w:snapToGrid w:val="0"/>
              <w:jc w:val="center"/>
              <w:rPr>
                <w:rFonts w:hint="eastAsia" w:ascii="宋体" w:hAnsi="宋体" w:cs="宋体"/>
                <w:bCs/>
                <w:color w:val="auto"/>
                <w:spacing w:val="10"/>
                <w:szCs w:val="21"/>
              </w:rPr>
            </w:pPr>
            <w:r>
              <w:rPr>
                <w:rFonts w:hint="eastAsia" w:ascii="宋体" w:hAnsi="宋体" w:cs="宋体"/>
                <w:bCs/>
                <w:color w:val="auto"/>
                <w:spacing w:val="10"/>
                <w:sz w:val="24"/>
              </w:rPr>
              <w:t>运营期生态环境保护措施</w:t>
            </w:r>
          </w:p>
        </w:tc>
        <w:tc>
          <w:tcPr>
            <w:tcW w:w="8457" w:type="dxa"/>
          </w:tcPr>
          <w:p w14:paraId="3C415ABB">
            <w:pPr>
              <w:adjustRightInd w:val="0"/>
              <w:snapToGrid w:val="0"/>
              <w:spacing w:line="360" w:lineRule="auto"/>
              <w:rPr>
                <w:b/>
                <w:color w:val="auto"/>
                <w:spacing w:val="10"/>
                <w:sz w:val="24"/>
              </w:rPr>
            </w:pPr>
            <w:r>
              <w:rPr>
                <w:rFonts w:hint="eastAsia"/>
                <w:b/>
                <w:color w:val="auto"/>
                <w:spacing w:val="10"/>
                <w:sz w:val="24"/>
              </w:rPr>
              <w:t>1、</w:t>
            </w:r>
            <w:r>
              <w:rPr>
                <w:b/>
                <w:color w:val="auto"/>
                <w:spacing w:val="10"/>
                <w:sz w:val="24"/>
              </w:rPr>
              <w:t>运营期生态</w:t>
            </w:r>
            <w:r>
              <w:rPr>
                <w:rFonts w:hint="eastAsia"/>
                <w:b/>
                <w:color w:val="auto"/>
                <w:spacing w:val="10"/>
                <w:sz w:val="24"/>
              </w:rPr>
              <w:t>环境</w:t>
            </w:r>
            <w:r>
              <w:rPr>
                <w:b/>
                <w:color w:val="auto"/>
                <w:spacing w:val="10"/>
                <w:sz w:val="24"/>
              </w:rPr>
              <w:t>保护措施</w:t>
            </w:r>
          </w:p>
          <w:p w14:paraId="54B570A1">
            <w:pPr>
              <w:adjustRightInd w:val="0"/>
              <w:snapToGrid w:val="0"/>
              <w:spacing w:line="360" w:lineRule="auto"/>
              <w:ind w:firstLine="480" w:firstLineChars="200"/>
              <w:rPr>
                <w:rFonts w:hint="eastAsia"/>
                <w:color w:val="auto"/>
                <w:sz w:val="24"/>
              </w:rPr>
            </w:pPr>
            <w:r>
              <w:rPr>
                <w:rFonts w:hint="eastAsia"/>
                <w:color w:val="auto"/>
                <w:sz w:val="24"/>
              </w:rPr>
              <w:t>根据《非金属矿绿色矿山建设规范》要求，结合项目情况，本次评价针对运营期间提出以下生态环境恢复措施：</w:t>
            </w:r>
          </w:p>
          <w:p w14:paraId="3A5434A4">
            <w:pPr>
              <w:adjustRightInd w:val="0"/>
              <w:snapToGrid w:val="0"/>
              <w:spacing w:line="360" w:lineRule="auto"/>
              <w:ind w:firstLine="480" w:firstLineChars="200"/>
              <w:rPr>
                <w:rFonts w:hint="eastAsia"/>
                <w:color w:val="auto"/>
                <w:sz w:val="24"/>
              </w:rPr>
            </w:pPr>
            <w:r>
              <w:rPr>
                <w:rFonts w:hint="eastAsia"/>
                <w:color w:val="auto"/>
                <w:sz w:val="24"/>
              </w:rPr>
              <w:t>（1）坚持“预防为主、防治结合、过程控制”的原则，将项目区生态环境保护与恢复治理贯穿矿产资源开采的全过程。必须做到生产期间尽可能不断地恢复被破坏的土地，消除各种污染源的危害，在服务期满后对被遗弃的土地进行全面的恢复工作，恢复工作应在服务期满后两年内完成。</w:t>
            </w:r>
          </w:p>
          <w:p w14:paraId="3349414D">
            <w:pPr>
              <w:adjustRightInd w:val="0"/>
              <w:snapToGrid w:val="0"/>
              <w:spacing w:line="360" w:lineRule="auto"/>
              <w:ind w:firstLine="480" w:firstLineChars="200"/>
              <w:rPr>
                <w:rFonts w:hint="eastAsia"/>
                <w:color w:val="auto"/>
                <w:sz w:val="24"/>
              </w:rPr>
            </w:pPr>
            <w:r>
              <w:rPr>
                <w:rFonts w:hint="eastAsia"/>
                <w:color w:val="auto"/>
                <w:sz w:val="24"/>
              </w:rPr>
              <w:t>（2）</w:t>
            </w:r>
            <w:r>
              <w:rPr>
                <w:rFonts w:hint="eastAsia"/>
                <w:color w:val="auto"/>
                <w:sz w:val="24"/>
                <w:lang w:val="en-US" w:eastAsia="zh-CN"/>
              </w:rPr>
              <w:t>建筑用砂</w:t>
            </w:r>
            <w:r>
              <w:rPr>
                <w:rFonts w:hint="eastAsia"/>
                <w:color w:val="auto"/>
                <w:sz w:val="24"/>
              </w:rPr>
              <w:t>开采时应严格按照本项目建筑用</w:t>
            </w:r>
            <w:r>
              <w:rPr>
                <w:rFonts w:hint="eastAsia"/>
                <w:color w:val="auto"/>
                <w:sz w:val="24"/>
                <w:lang w:val="en-US" w:eastAsia="zh-CN"/>
              </w:rPr>
              <w:t>砂</w:t>
            </w:r>
            <w:r>
              <w:rPr>
                <w:rFonts w:hint="eastAsia"/>
                <w:color w:val="auto"/>
                <w:sz w:val="24"/>
              </w:rPr>
              <w:t>矿产资源开发利用方案进行开采，做好各项排水、截水、防止水土流失的设计。</w:t>
            </w:r>
          </w:p>
          <w:p w14:paraId="430CB5A7">
            <w:pPr>
              <w:adjustRightInd w:val="0"/>
              <w:snapToGrid w:val="0"/>
              <w:spacing w:line="360" w:lineRule="auto"/>
              <w:ind w:firstLine="480" w:firstLineChars="200"/>
              <w:rPr>
                <w:rFonts w:hint="eastAsia"/>
                <w:color w:val="auto"/>
                <w:sz w:val="24"/>
              </w:rPr>
            </w:pPr>
            <w:r>
              <w:rPr>
                <w:rFonts w:hint="eastAsia"/>
                <w:color w:val="auto"/>
                <w:sz w:val="24"/>
              </w:rPr>
              <w:t>（3）</w:t>
            </w:r>
            <w:r>
              <w:rPr>
                <w:rFonts w:hint="eastAsia"/>
                <w:color w:val="auto"/>
                <w:sz w:val="24"/>
                <w:lang w:val="en-US" w:eastAsia="zh-CN"/>
              </w:rPr>
              <w:t>建筑用砂</w:t>
            </w:r>
            <w:r>
              <w:rPr>
                <w:rFonts w:hint="eastAsia"/>
                <w:color w:val="auto"/>
                <w:sz w:val="24"/>
              </w:rPr>
              <w:t>开采时，协调开采步骤，最大限度控制开采扰动范围；</w:t>
            </w:r>
            <w:r>
              <w:rPr>
                <w:rFonts w:hint="eastAsia"/>
                <w:color w:val="auto"/>
                <w:sz w:val="24"/>
                <w:lang w:val="en-US" w:eastAsia="zh-CN"/>
              </w:rPr>
              <w:t>雨天</w:t>
            </w:r>
            <w:r>
              <w:rPr>
                <w:rFonts w:hint="eastAsia"/>
                <w:color w:val="auto"/>
                <w:sz w:val="24"/>
              </w:rPr>
              <w:t>中尽量减少开采等作业面，以避免受降雨的直接冲刷，在暴雨期，还应采取应急措施，尽量用覆盖物覆盖新开挖的土面，防止冲刷。</w:t>
            </w:r>
          </w:p>
          <w:p w14:paraId="24BD5FFE">
            <w:pPr>
              <w:adjustRightInd w:val="0"/>
              <w:snapToGrid w:val="0"/>
              <w:spacing w:line="360" w:lineRule="auto"/>
              <w:ind w:firstLine="480" w:firstLineChars="200"/>
              <w:rPr>
                <w:rFonts w:hint="eastAsia"/>
                <w:color w:val="auto"/>
                <w:sz w:val="24"/>
              </w:rPr>
            </w:pPr>
            <w:r>
              <w:rPr>
                <w:rFonts w:hint="eastAsia"/>
                <w:color w:val="auto"/>
                <w:sz w:val="24"/>
              </w:rPr>
              <w:t>（4）合理安排开采计划，避免在多风季节运营。风速过大（四级大风以上）时应停止开挖作业。</w:t>
            </w:r>
          </w:p>
          <w:p w14:paraId="4994D48B">
            <w:pPr>
              <w:adjustRightInd w:val="0"/>
              <w:snapToGrid w:val="0"/>
              <w:spacing w:line="360" w:lineRule="auto"/>
              <w:ind w:firstLine="480" w:firstLineChars="200"/>
              <w:rPr>
                <w:rFonts w:hint="eastAsia"/>
                <w:color w:val="auto"/>
                <w:sz w:val="24"/>
              </w:rPr>
            </w:pPr>
            <w:r>
              <w:rPr>
                <w:rFonts w:hint="eastAsia"/>
                <w:color w:val="auto"/>
                <w:sz w:val="24"/>
              </w:rPr>
              <w:t>（5）配备专职人员负责对砂场复垦、回填等工作进行管理和监督，并制定详细可行的复垦、回填、生态恢复规划。根据采矿场地质条件、发展远景及当地具体情况，制定采矿场土地复垦计划。</w:t>
            </w:r>
          </w:p>
          <w:p w14:paraId="5B2571AC">
            <w:pPr>
              <w:adjustRightInd w:val="0"/>
              <w:snapToGrid w:val="0"/>
              <w:spacing w:line="360" w:lineRule="auto"/>
              <w:ind w:firstLine="480" w:firstLineChars="200"/>
              <w:rPr>
                <w:rFonts w:hint="eastAsia"/>
                <w:color w:val="auto"/>
                <w:sz w:val="24"/>
              </w:rPr>
            </w:pPr>
            <w:r>
              <w:rPr>
                <w:rFonts w:hint="eastAsia"/>
                <w:color w:val="auto"/>
                <w:sz w:val="24"/>
              </w:rPr>
              <w:t>（6）矿山开采必须做到“边开采边治理”，整个开采区域考虑整体降高，每年度区块开采结束后，进行削坡、平整覆土。制定出生态补偿方案、实施计划和进度安排，并给予资金上的保证。其次是建立相应的监督管理制度，负责生态恢复计划的落实，对生态恢复的效果及时进行检查和总结。</w:t>
            </w:r>
          </w:p>
          <w:p w14:paraId="259FF9FF">
            <w:pPr>
              <w:adjustRightInd w:val="0"/>
              <w:snapToGrid w:val="0"/>
              <w:spacing w:line="360" w:lineRule="auto"/>
              <w:ind w:firstLine="480" w:firstLineChars="200"/>
              <w:rPr>
                <w:rFonts w:hint="eastAsia"/>
                <w:color w:val="auto"/>
                <w:sz w:val="24"/>
              </w:rPr>
            </w:pPr>
            <w:r>
              <w:rPr>
                <w:rFonts w:hint="eastAsia"/>
                <w:color w:val="auto"/>
                <w:sz w:val="24"/>
              </w:rPr>
              <w:t>（7）本项目每年度规划开采区块开采完成后闭场，让项目区自然恢复原有生态景观。建设单位必须留有足够的资金用于本项目服务期满后的生态恢复工程的建设工作，使采矿场开发对区域生态的影响控制在一定的范围内，保持区域生态环境的平衡。</w:t>
            </w:r>
          </w:p>
          <w:p w14:paraId="304FB4AD">
            <w:pPr>
              <w:adjustRightInd w:val="0"/>
              <w:snapToGrid w:val="0"/>
              <w:spacing w:line="360" w:lineRule="auto"/>
              <w:ind w:firstLine="480" w:firstLineChars="200"/>
              <w:rPr>
                <w:rFonts w:hint="eastAsia"/>
                <w:color w:val="auto"/>
                <w:sz w:val="24"/>
              </w:rPr>
            </w:pPr>
            <w:r>
              <w:rPr>
                <w:rFonts w:hint="eastAsia"/>
                <w:color w:val="auto"/>
                <w:sz w:val="24"/>
              </w:rPr>
              <w:t>（8）生产结束后，采用推土机推平建构筑物，清理后闭矿封育，主要以自然恢复为主，人工建设为辅的方式。闭矿区配备专职人员负责对砂场复垦、回填，基本恢复原有地貌。</w:t>
            </w:r>
          </w:p>
          <w:p w14:paraId="27A8D395">
            <w:pPr>
              <w:adjustRightInd w:val="0"/>
              <w:snapToGrid w:val="0"/>
              <w:spacing w:line="360" w:lineRule="auto"/>
              <w:ind w:firstLine="480" w:firstLineChars="200"/>
              <w:rPr>
                <w:rFonts w:hint="eastAsia"/>
                <w:color w:val="auto"/>
                <w:sz w:val="24"/>
              </w:rPr>
            </w:pPr>
            <w:r>
              <w:rPr>
                <w:rFonts w:hint="eastAsia"/>
                <w:color w:val="auto"/>
                <w:sz w:val="24"/>
              </w:rPr>
              <w:t>（9）通过制定严格的管理措施，加强防火监测和警报工作，明确专人，建立和健全消防体系，配备齐全的消防设施，防止发生火灾污染水源地环境。要做到预防为主，针对存在的问题，制定出预防措施，对生产中出现的问题要及时采取相应的措施予以解决，达到防灾、减灾的目的。</w:t>
            </w:r>
          </w:p>
          <w:p w14:paraId="5C963435">
            <w:pPr>
              <w:adjustRightInd w:val="0"/>
              <w:snapToGrid w:val="0"/>
              <w:spacing w:line="360" w:lineRule="auto"/>
              <w:ind w:firstLine="480" w:firstLineChars="200"/>
              <w:rPr>
                <w:rFonts w:hint="eastAsia"/>
                <w:color w:val="auto"/>
                <w:sz w:val="24"/>
              </w:rPr>
            </w:pPr>
            <w:r>
              <w:rPr>
                <w:rFonts w:hint="eastAsia"/>
                <w:color w:val="auto"/>
                <w:sz w:val="24"/>
              </w:rPr>
              <w:t>（10）项目在开采结束后，制定相关闭矿恢复计划以及相关要求，进行生态恢复，并与周边地表景观相协调。在采场边坡布置排水沟，闭矿后，及时清运弃渣，使全场趋于平缓，为植被的自然恢复提供条件，减轻水土流失影响。</w:t>
            </w:r>
          </w:p>
          <w:p w14:paraId="2EE67D77">
            <w:pPr>
              <w:adjustRightInd w:val="0"/>
              <w:snapToGrid w:val="0"/>
              <w:spacing w:line="360" w:lineRule="auto"/>
              <w:rPr>
                <w:rFonts w:hint="eastAsia" w:ascii="Times New Roman" w:hAnsi="Times New Roman" w:eastAsia="宋体" w:cs="Times New Roman"/>
                <w:b/>
                <w:bCs/>
                <w:color w:val="auto"/>
                <w:sz w:val="24"/>
              </w:rPr>
            </w:pPr>
            <w:r>
              <w:rPr>
                <w:rFonts w:hint="eastAsia"/>
                <w:b/>
                <w:bCs/>
                <w:color w:val="auto"/>
                <w:sz w:val="24"/>
              </w:rPr>
              <w:t>1.1</w:t>
            </w:r>
            <w:r>
              <w:rPr>
                <w:rFonts w:hint="eastAsia" w:ascii="Times New Roman" w:hAnsi="Times New Roman" w:eastAsia="宋体" w:cs="Times New Roman"/>
                <w:b/>
                <w:bCs/>
                <w:color w:val="auto"/>
                <w:sz w:val="24"/>
              </w:rPr>
              <w:t>表层土壤</w:t>
            </w:r>
            <w:r>
              <w:rPr>
                <w:rFonts w:hint="eastAsia" w:ascii="Times New Roman" w:hAnsi="Times New Roman" w:eastAsia="宋体" w:cs="Times New Roman"/>
                <w:b/>
                <w:bCs/>
                <w:color w:val="auto"/>
                <w:sz w:val="24"/>
                <w:lang w:eastAsia="zh-CN"/>
              </w:rPr>
              <w:t>（</w:t>
            </w:r>
            <w:r>
              <w:rPr>
                <w:rFonts w:hint="eastAsia" w:ascii="Times New Roman" w:hAnsi="Times New Roman" w:eastAsia="宋体" w:cs="Times New Roman"/>
                <w:b/>
                <w:bCs/>
                <w:color w:val="auto"/>
                <w:sz w:val="24"/>
                <w:lang w:val="en-US" w:eastAsia="zh-CN"/>
              </w:rPr>
              <w:t>表土</w:t>
            </w:r>
            <w:r>
              <w:rPr>
                <w:rFonts w:hint="eastAsia" w:ascii="Times New Roman" w:hAnsi="Times New Roman" w:eastAsia="宋体" w:cs="Times New Roman"/>
                <w:b/>
                <w:bCs/>
                <w:color w:val="auto"/>
                <w:sz w:val="24"/>
                <w:lang w:eastAsia="zh-CN"/>
              </w:rPr>
              <w:t>）</w:t>
            </w:r>
            <w:r>
              <w:rPr>
                <w:rFonts w:hint="eastAsia" w:ascii="Times New Roman" w:hAnsi="Times New Roman" w:eastAsia="宋体" w:cs="Times New Roman"/>
                <w:b/>
                <w:bCs/>
                <w:color w:val="auto"/>
                <w:sz w:val="24"/>
              </w:rPr>
              <w:t>保护措施</w:t>
            </w:r>
          </w:p>
          <w:p w14:paraId="5B681140">
            <w:pPr>
              <w:adjustRightInd w:val="0"/>
              <w:snapToGrid w:val="0"/>
              <w:spacing w:line="360" w:lineRule="auto"/>
              <w:ind w:firstLine="480" w:firstLineChars="200"/>
              <w:rPr>
                <w:color w:val="auto"/>
                <w:sz w:val="24"/>
              </w:rPr>
            </w:pPr>
            <w:r>
              <w:rPr>
                <w:rFonts w:hint="eastAsia"/>
                <w:color w:val="auto"/>
                <w:sz w:val="24"/>
              </w:rPr>
              <w:t>根据《矿山生态环境保护与污染防治技术政策》要求，对矿山基建可能影响的具有保护价值的动、植物资源，应优先采取就地、就近保护措施；对矿山基建产生的表土、底土和岩石等应分类堆放、分类管理和充分利用；对表土、底土和适于植物生长的地层物质均应进行保护性堆存和利用，可优先用作废弃地复垦时的土壤重构用土；矿山基建应尽量少占用农田和耕地，矿山基建临时性占地应及时恢复。</w:t>
            </w:r>
          </w:p>
          <w:p w14:paraId="426AA7FB">
            <w:pPr>
              <w:adjustRightInd w:val="0"/>
              <w:snapToGrid w:val="0"/>
              <w:spacing w:line="360" w:lineRule="auto"/>
              <w:ind w:firstLine="480" w:firstLineChars="200"/>
              <w:rPr>
                <w:color w:val="auto"/>
                <w:sz w:val="24"/>
              </w:rPr>
            </w:pPr>
            <w:r>
              <w:rPr>
                <w:rFonts w:hint="eastAsia"/>
                <w:color w:val="auto"/>
                <w:sz w:val="24"/>
              </w:rPr>
              <w:t>根据矿山矿产资源开发利用与生态保护修复方案报告，本项目服务期内剥离土量约143300m</w:t>
            </w:r>
            <w:r>
              <w:rPr>
                <w:rFonts w:hint="eastAsia"/>
                <w:color w:val="auto"/>
                <w:sz w:val="24"/>
                <w:vertAlign w:val="superscript"/>
              </w:rPr>
              <w:t>3</w:t>
            </w:r>
            <w:r>
              <w:rPr>
                <w:rFonts w:hint="eastAsia"/>
                <w:color w:val="auto"/>
                <w:sz w:val="24"/>
              </w:rPr>
              <w:t>（235012t），本项目矿山开采采用分区开采，每年最大剥离表土22148m</w:t>
            </w:r>
            <w:r>
              <w:rPr>
                <w:rFonts w:hint="eastAsia"/>
                <w:color w:val="auto"/>
                <w:sz w:val="24"/>
                <w:vertAlign w:val="superscript"/>
              </w:rPr>
              <w:t>3</w:t>
            </w:r>
            <w:r>
              <w:rPr>
                <w:rFonts w:hint="eastAsia"/>
                <w:color w:val="auto"/>
                <w:sz w:val="24"/>
              </w:rPr>
              <w:t>（36323t/a），剥离表土堆放至表土堆场内，堆体呈梯形，表土堆放高度8m，分2层堆放，堆积坡度不大于35º，</w:t>
            </w:r>
            <w:r>
              <w:rPr>
                <w:rFonts w:hint="eastAsia"/>
                <w:color w:val="auto"/>
                <w:sz w:val="24"/>
                <w:lang w:val="en-US" w:eastAsia="zh-CN"/>
              </w:rPr>
              <w:t>项目采用</w:t>
            </w:r>
            <w:r>
              <w:rPr>
                <w:rFonts w:hint="eastAsia"/>
                <w:color w:val="auto"/>
                <w:sz w:val="24"/>
              </w:rPr>
              <w:t>边开采边回填</w:t>
            </w:r>
            <w:r>
              <w:rPr>
                <w:rFonts w:hint="eastAsia"/>
                <w:color w:val="auto"/>
                <w:sz w:val="24"/>
                <w:lang w:val="en-US" w:eastAsia="zh-CN"/>
              </w:rPr>
              <w:t>方式，剥离表土及时回填采坑，可确保表土堆场满足表土临时堆放要求</w:t>
            </w:r>
            <w:r>
              <w:rPr>
                <w:rFonts w:hint="eastAsia"/>
                <w:color w:val="auto"/>
                <w:sz w:val="24"/>
              </w:rPr>
              <w:t>。表土堆放期间，为防止水土流失及扬尘，开采期间表土剥离土壤应分层有序堆放，并控制合理的堆放边坡；土壤堆置表层采取人工洒水措施促进结皮并由防风抑尘网苫盖，避免因起风造成扬尘，以达到减少水土流失的目的。为使土壤有机质尽快恢复，对表层腐殖质采取防护措施，避免和砾石、下层黄土混合堆放，造成腐殖质永久性损失。</w:t>
            </w:r>
          </w:p>
          <w:p w14:paraId="10BB18F6">
            <w:pPr>
              <w:adjustRightInd w:val="0"/>
              <w:snapToGrid w:val="0"/>
              <w:spacing w:line="360" w:lineRule="auto"/>
              <w:ind w:firstLine="480" w:firstLineChars="200"/>
              <w:rPr>
                <w:color w:val="auto"/>
                <w:sz w:val="24"/>
              </w:rPr>
            </w:pPr>
            <w:r>
              <w:rPr>
                <w:rFonts w:hint="eastAsia"/>
                <w:color w:val="auto"/>
                <w:sz w:val="24"/>
              </w:rPr>
              <w:t>平整土地回填土方时，应分层回填，将具有腐殖质的土层回填至表面，以利于后期植物措施的有效实施，尽早恢复植被，促进土壤有机质的形成。</w:t>
            </w:r>
          </w:p>
          <w:p w14:paraId="74B9417F">
            <w:pPr>
              <w:adjustRightInd w:val="0"/>
              <w:snapToGrid w:val="0"/>
              <w:spacing w:line="360" w:lineRule="auto"/>
              <w:ind w:firstLine="480" w:firstLineChars="200"/>
              <w:rPr>
                <w:color w:val="auto"/>
                <w:sz w:val="24"/>
              </w:rPr>
            </w:pPr>
            <w:r>
              <w:rPr>
                <w:rFonts w:hint="eastAsia"/>
                <w:color w:val="auto"/>
                <w:sz w:val="24"/>
              </w:rPr>
              <w:t>根据《矿山生态环境保护与恢复治理技术规范（试行）》要求：剥离的表层土壤不能及时铺覆到已整治场地的，应选择适宜的场地进行堆存，并采取围挡等措施防止水土流失。本矿区采用分区开采，表土宜分区剥离，每区开采完毕后，将剥离表土及时回填采坑，不在场内长期堆存，表土堆放期间采用洒水降尘、苫盖等措施，能够满足环境保护要求。</w:t>
            </w:r>
          </w:p>
          <w:p w14:paraId="0212A4D2">
            <w:pPr>
              <w:adjustRightInd w:val="0"/>
              <w:snapToGrid w:val="0"/>
              <w:spacing w:line="360" w:lineRule="auto"/>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1.2</w:t>
            </w:r>
            <w:r>
              <w:rPr>
                <w:rFonts w:hint="eastAsia" w:ascii="Times New Roman" w:hAnsi="Times New Roman" w:eastAsia="宋体" w:cs="Times New Roman"/>
                <w:b/>
                <w:bCs/>
                <w:color w:val="auto"/>
                <w:sz w:val="24"/>
              </w:rPr>
              <w:t>植被保护措施</w:t>
            </w:r>
          </w:p>
          <w:p w14:paraId="2049AD2F">
            <w:pPr>
              <w:adjustRightInd w:val="0"/>
              <w:snapToGri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加强宣传教育，增强职工的环保意识，严禁乱采乱挖，减少对土壤植被的破坏。</w:t>
            </w:r>
          </w:p>
          <w:p w14:paraId="4585B3F3">
            <w:pPr>
              <w:adjustRightInd w:val="0"/>
              <w:snapToGri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根据批准的开采范围控制开采活动地表扰动面积。</w:t>
            </w:r>
          </w:p>
          <w:p w14:paraId="1E4BBEE5">
            <w:pPr>
              <w:adjustRightInd w:val="0"/>
              <w:snapToGrid w:val="0"/>
              <w:spacing w:line="360" w:lineRule="auto"/>
              <w:ind w:firstLine="480" w:firstLineChars="200"/>
              <w:rPr>
                <w:rFonts w:ascii="Times New Roman" w:hAnsi="Times New Roman" w:eastAsia="宋体"/>
                <w:bCs/>
                <w:color w:val="auto"/>
                <w:kern w:val="0"/>
                <w:sz w:val="24"/>
                <w:szCs w:val="20"/>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ascii="Times New Roman" w:hAnsi="Times New Roman" w:eastAsia="宋体"/>
                <w:bCs/>
                <w:color w:val="auto"/>
                <w:kern w:val="0"/>
                <w:sz w:val="24"/>
                <w:szCs w:val="20"/>
              </w:rPr>
              <w:t>车辆尽可能利用既有道路，并严格按设计施工便道走行，避免碾压道路以外的地表植被。</w:t>
            </w:r>
          </w:p>
          <w:p w14:paraId="7581EA30">
            <w:pPr>
              <w:adjustRightInd w:val="0"/>
              <w:snapToGrid w:val="0"/>
              <w:spacing w:line="360"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3</w:t>
            </w:r>
            <w:r>
              <w:rPr>
                <w:rFonts w:hint="eastAsia"/>
                <w:color w:val="auto"/>
                <w:sz w:val="24"/>
              </w:rPr>
              <w:t>）运营中应加强管理，保护好施工场地周围的植被，临时设施应进行整体部署，不得随意修建。运营结束后应及时拆除建筑物，清理平整场地，并复垦。</w:t>
            </w:r>
          </w:p>
          <w:p w14:paraId="0E26F8FA">
            <w:pPr>
              <w:adjustRightInd w:val="0"/>
              <w:snapToGrid w:val="0"/>
              <w:spacing w:line="360"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4</w:t>
            </w:r>
            <w:r>
              <w:rPr>
                <w:rFonts w:hint="eastAsia"/>
                <w:color w:val="auto"/>
                <w:sz w:val="24"/>
              </w:rPr>
              <w:t>）在运输产品的过程中，运输车辆应采取加盖篷布等措施，防止扬尘的产生；道路应加强管理养护，保持路面平整，经常洒水，防止运输扬尘对植被产生不利影响。</w:t>
            </w:r>
          </w:p>
          <w:p w14:paraId="5D41903F">
            <w:pPr>
              <w:adjustRightInd w:val="0"/>
              <w:snapToGrid w:val="0"/>
              <w:spacing w:line="360" w:lineRule="auto"/>
              <w:rPr>
                <w:b/>
                <w:bCs/>
                <w:color w:val="auto"/>
                <w:sz w:val="24"/>
              </w:rPr>
            </w:pPr>
            <w:r>
              <w:rPr>
                <w:rFonts w:hint="eastAsia"/>
                <w:b/>
                <w:bCs/>
                <w:color w:val="auto"/>
                <w:sz w:val="24"/>
                <w:lang w:val="en-US" w:eastAsia="zh-CN"/>
              </w:rPr>
              <w:t>1.3</w:t>
            </w:r>
            <w:r>
              <w:rPr>
                <w:rFonts w:hint="eastAsia"/>
                <w:b/>
                <w:bCs/>
                <w:color w:val="auto"/>
                <w:sz w:val="24"/>
              </w:rPr>
              <w:t>野生动物的保护措施</w:t>
            </w:r>
          </w:p>
          <w:p w14:paraId="3747A0DF">
            <w:pPr>
              <w:adjustRightInd w:val="0"/>
              <w:snapToGrid w:val="0"/>
              <w:spacing w:line="360" w:lineRule="auto"/>
              <w:ind w:firstLine="480" w:firstLineChars="200"/>
              <w:rPr>
                <w:color w:val="auto"/>
                <w:sz w:val="24"/>
              </w:rPr>
            </w:pPr>
            <w:r>
              <w:rPr>
                <w:rFonts w:hint="eastAsia"/>
                <w:color w:val="auto"/>
                <w:sz w:val="24"/>
              </w:rPr>
              <w:t>采矿过程应采取切实有效措施减轻或减缓对矿区内野生动物生存环境的破坏，拟采取以下措施保护动物资源：</w:t>
            </w:r>
          </w:p>
          <w:p w14:paraId="51F358A3">
            <w:pPr>
              <w:adjustRightInd w:val="0"/>
              <w:snapToGri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建立严格保护的规章制度，建设单位必须在相关部门划定的占地范围内进行生产活动，不得在临时占用的土地上修建永久性建筑物。</w:t>
            </w:r>
          </w:p>
          <w:p w14:paraId="7F9C45F2">
            <w:pPr>
              <w:adjustRightInd w:val="0"/>
              <w:snapToGri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科学规划作业时间，矿区夜间不生产。高噪声源设备不允许作业，以减轻对矿区动物的生活、觅食、繁衍生息造成影响。</w:t>
            </w:r>
          </w:p>
          <w:p w14:paraId="774A21D5">
            <w:pPr>
              <w:adjustRightInd w:val="0"/>
              <w:snapToGri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矿区服务期满后，进行场地平整，其矿区占地区域依靠生态系统功能自然恢复。</w:t>
            </w:r>
          </w:p>
          <w:p w14:paraId="2F0BD62D">
            <w:pPr>
              <w:adjustRightInd w:val="0"/>
              <w:snapToGrid w:val="0"/>
              <w:spacing w:line="360" w:lineRule="auto"/>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1.4</w:t>
            </w:r>
            <w:r>
              <w:rPr>
                <w:rFonts w:hint="eastAsia" w:ascii="Times New Roman" w:hAnsi="Times New Roman" w:eastAsia="宋体" w:cs="Times New Roman"/>
                <w:b/>
                <w:bCs/>
                <w:color w:val="auto"/>
                <w:sz w:val="24"/>
              </w:rPr>
              <w:t>生物多样性的保护措施</w:t>
            </w:r>
          </w:p>
          <w:p w14:paraId="29FE50D3">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控制开采活动地表扰动面积，减小对植被的破坏。在开采过程中，应加强开采人员的管理，尽量减少开采人员及开采机械对开采区外植被的破坏；严格要求运输车辆利用现有道路，防止车辆在有植被的地段任意行驶，保护区域的生态环境。</w:t>
            </w:r>
          </w:p>
          <w:p w14:paraId="50F0D790">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对矿区范围内未利用区域草地加强管理、提高产草率。</w:t>
            </w:r>
          </w:p>
          <w:p w14:paraId="660D5CC4">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制定严格的规章制度，限定工作人员活动范围，严禁工作人员远离开采区活动，严禁破坏野生动物的栖息环境，坚决禁止偷猎和捕杀野生动物等各种非法活动，杜绝人为因素对动物生活的干扰破坏。</w:t>
            </w:r>
          </w:p>
          <w:p w14:paraId="4320EF2A">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加强环境管理，建立完善的管理体系。同时要加大宣传的力度，并采取各种方式，如宣传栏、挂牌等。</w:t>
            </w:r>
          </w:p>
          <w:p w14:paraId="25B618AA">
            <w:pPr>
              <w:adjustRightInd w:val="0"/>
              <w:snapToGrid w:val="0"/>
              <w:spacing w:line="360" w:lineRule="auto"/>
              <w:rPr>
                <w:rFonts w:hint="default" w:eastAsia="宋体"/>
                <w:b/>
                <w:bCs/>
                <w:color w:val="auto"/>
                <w:sz w:val="24"/>
                <w:lang w:val="en-US" w:eastAsia="zh-CN"/>
              </w:rPr>
            </w:pPr>
            <w:r>
              <w:rPr>
                <w:rFonts w:hint="eastAsia" w:ascii="Times New Roman" w:hAnsi="Times New Roman" w:eastAsia="宋体" w:cs="Times New Roman"/>
                <w:b/>
                <w:bCs/>
                <w:color w:val="auto"/>
                <w:sz w:val="24"/>
                <w:lang w:val="en-US" w:eastAsia="zh-CN"/>
              </w:rPr>
              <w:t>1.5对自然景观</w:t>
            </w:r>
            <w:r>
              <w:rPr>
                <w:rFonts w:hint="eastAsia"/>
                <w:b/>
                <w:bCs/>
                <w:color w:val="auto"/>
                <w:sz w:val="24"/>
                <w:lang w:val="en-US" w:eastAsia="zh-CN"/>
              </w:rPr>
              <w:t>影响的防治措施</w:t>
            </w:r>
          </w:p>
          <w:p w14:paraId="40D2758F">
            <w:pPr>
              <w:adjustRightInd w:val="0"/>
              <w:snapToGrid w:val="0"/>
              <w:spacing w:line="360" w:lineRule="auto"/>
              <w:ind w:firstLine="480" w:firstLineChars="200"/>
              <w:rPr>
                <w:rFonts w:hint="eastAsia"/>
                <w:color w:val="auto"/>
                <w:sz w:val="24"/>
              </w:rPr>
            </w:pPr>
            <w:r>
              <w:rPr>
                <w:rFonts w:hint="eastAsia"/>
                <w:color w:val="auto"/>
                <w:sz w:val="24"/>
              </w:rPr>
              <w:t>为减小景观影响，须采取以下景观保护措施：</w:t>
            </w:r>
          </w:p>
          <w:p w14:paraId="532CEEB4">
            <w:pPr>
              <w:adjustRightInd w:val="0"/>
              <w:snapToGrid w:val="0"/>
              <w:spacing w:line="360" w:lineRule="auto"/>
              <w:ind w:firstLine="480" w:firstLineChars="200"/>
              <w:rPr>
                <w:rFonts w:hint="eastAsia"/>
                <w:color w:val="auto"/>
                <w:sz w:val="24"/>
              </w:rPr>
            </w:pPr>
            <w:r>
              <w:rPr>
                <w:rFonts w:hint="eastAsia"/>
                <w:color w:val="auto"/>
                <w:sz w:val="24"/>
                <w:lang w:val="en-US" w:eastAsia="zh-CN"/>
              </w:rPr>
              <w:t>（1）</w:t>
            </w:r>
            <w:r>
              <w:rPr>
                <w:rFonts w:hint="eastAsia"/>
                <w:color w:val="auto"/>
                <w:sz w:val="24"/>
              </w:rPr>
              <w:t>矿山开采严格按照国家有关规定进行设计，做到科学、合理开采，提高资源利用率；</w:t>
            </w:r>
          </w:p>
          <w:p w14:paraId="4AD3F1C5">
            <w:pPr>
              <w:adjustRightInd w:val="0"/>
              <w:snapToGrid w:val="0"/>
              <w:spacing w:line="360" w:lineRule="auto"/>
              <w:ind w:firstLine="480" w:firstLineChars="200"/>
              <w:rPr>
                <w:rFonts w:hint="eastAsia"/>
                <w:color w:val="auto"/>
                <w:sz w:val="24"/>
              </w:rPr>
            </w:pPr>
            <w:r>
              <w:rPr>
                <w:rFonts w:hint="eastAsia"/>
                <w:color w:val="auto"/>
                <w:sz w:val="24"/>
                <w:lang w:val="en-US" w:eastAsia="zh-CN"/>
              </w:rPr>
              <w:t>（2）</w:t>
            </w:r>
            <w:r>
              <w:rPr>
                <w:rFonts w:hint="eastAsia"/>
                <w:color w:val="auto"/>
                <w:sz w:val="24"/>
              </w:rPr>
              <w:t>开采剥</w:t>
            </w:r>
            <w:r>
              <w:rPr>
                <w:rFonts w:hint="eastAsia"/>
                <w:color w:val="auto"/>
                <w:sz w:val="24"/>
                <w:highlight w:val="none"/>
              </w:rPr>
              <w:t>离的</w:t>
            </w:r>
            <w:r>
              <w:rPr>
                <w:rFonts w:hint="eastAsia"/>
                <w:color w:val="auto"/>
                <w:sz w:val="24"/>
                <w:highlight w:val="none"/>
                <w:lang w:val="en-US" w:eastAsia="zh-CN"/>
              </w:rPr>
              <w:t>表土</w:t>
            </w:r>
            <w:r>
              <w:rPr>
                <w:rFonts w:hint="eastAsia"/>
                <w:color w:val="auto"/>
                <w:sz w:val="24"/>
                <w:highlight w:val="none"/>
              </w:rPr>
              <w:t>应及时清理并统一堆放，表土</w:t>
            </w:r>
            <w:r>
              <w:rPr>
                <w:rFonts w:hint="eastAsia"/>
                <w:color w:val="auto"/>
                <w:sz w:val="24"/>
              </w:rPr>
              <w:t>堆场外修建截洪沟</w:t>
            </w:r>
            <w:r>
              <w:rPr>
                <w:rFonts w:hint="eastAsia"/>
                <w:color w:val="auto"/>
                <w:sz w:val="24"/>
                <w:lang w:eastAsia="zh-CN"/>
              </w:rPr>
              <w:t>、</w:t>
            </w:r>
            <w:r>
              <w:rPr>
                <w:rFonts w:hint="eastAsia"/>
                <w:color w:val="auto"/>
                <w:sz w:val="24"/>
              </w:rPr>
              <w:t>排水沟</w:t>
            </w:r>
            <w:r>
              <w:rPr>
                <w:rFonts w:hint="eastAsia"/>
                <w:color w:val="auto"/>
                <w:sz w:val="24"/>
                <w:highlight w:val="none"/>
              </w:rPr>
              <w:t>，防治水土流失；</w:t>
            </w:r>
          </w:p>
          <w:p w14:paraId="2E38BF92">
            <w:pPr>
              <w:adjustRightInd w:val="0"/>
              <w:snapToGrid w:val="0"/>
              <w:spacing w:line="360" w:lineRule="auto"/>
              <w:ind w:firstLine="480" w:firstLineChars="200"/>
              <w:rPr>
                <w:rFonts w:hint="eastAsia"/>
                <w:color w:val="auto"/>
                <w:sz w:val="24"/>
              </w:rPr>
            </w:pPr>
            <w:r>
              <w:rPr>
                <w:rFonts w:hint="eastAsia"/>
                <w:color w:val="auto"/>
                <w:sz w:val="24"/>
                <w:lang w:val="en-US" w:eastAsia="zh-CN"/>
              </w:rPr>
              <w:t>（3）</w:t>
            </w:r>
            <w:r>
              <w:rPr>
                <w:rFonts w:hint="eastAsia"/>
                <w:color w:val="auto"/>
                <w:sz w:val="24"/>
              </w:rPr>
              <w:t>做好矿山生态恢复工作，采空区及时回填、覆土复垦或绿化；</w:t>
            </w:r>
          </w:p>
          <w:p w14:paraId="31736303">
            <w:pPr>
              <w:adjustRightInd w:val="0"/>
              <w:snapToGrid w:val="0"/>
              <w:spacing w:line="360" w:lineRule="auto"/>
              <w:ind w:firstLine="480" w:firstLineChars="200"/>
              <w:rPr>
                <w:rFonts w:hint="eastAsia"/>
                <w:color w:val="auto"/>
                <w:sz w:val="24"/>
              </w:rPr>
            </w:pPr>
            <w:r>
              <w:rPr>
                <w:rFonts w:hint="eastAsia"/>
                <w:color w:val="auto"/>
                <w:sz w:val="24"/>
                <w:lang w:val="en-US" w:eastAsia="zh-CN"/>
              </w:rPr>
              <w:t>（4）</w:t>
            </w:r>
            <w:r>
              <w:rPr>
                <w:rFonts w:hint="eastAsia"/>
                <w:color w:val="auto"/>
                <w:sz w:val="24"/>
              </w:rPr>
              <w:t>采场边坡深切，岩石裸露，可种植速生植物等；</w:t>
            </w:r>
          </w:p>
          <w:p w14:paraId="18023A7C">
            <w:pPr>
              <w:adjustRightInd w:val="0"/>
              <w:snapToGrid w:val="0"/>
              <w:spacing w:line="360" w:lineRule="auto"/>
              <w:ind w:firstLine="480" w:firstLineChars="200"/>
              <w:rPr>
                <w:rFonts w:hint="eastAsia"/>
                <w:color w:val="auto"/>
                <w:sz w:val="24"/>
              </w:rPr>
            </w:pPr>
            <w:r>
              <w:rPr>
                <w:rFonts w:hint="eastAsia"/>
                <w:color w:val="auto"/>
                <w:sz w:val="24"/>
                <w:lang w:val="en-US" w:eastAsia="zh-CN"/>
              </w:rPr>
              <w:t>（5）</w:t>
            </w:r>
            <w:r>
              <w:rPr>
                <w:rFonts w:hint="eastAsia"/>
                <w:color w:val="auto"/>
                <w:sz w:val="24"/>
              </w:rPr>
              <w:t>在开采后期及矿山服务期满后，应采取相应的生态恢复措施和水土保持措施，对露天采场、堆场等因矿山开采活动造成的裸露地面，积极采取工程和生物措施相结合的方法予以恢复重建，根据区域生态环境特点，种植适宜当地环境的植被。</w:t>
            </w:r>
          </w:p>
          <w:p w14:paraId="5EC96592">
            <w:pPr>
              <w:adjustRightInd w:val="0"/>
              <w:snapToGrid w:val="0"/>
              <w:spacing w:line="360" w:lineRule="auto"/>
              <w:ind w:firstLine="480" w:firstLineChars="200"/>
              <w:rPr>
                <w:rFonts w:hint="eastAsia"/>
                <w:color w:val="auto"/>
                <w:sz w:val="24"/>
              </w:rPr>
            </w:pPr>
            <w:r>
              <w:rPr>
                <w:rFonts w:hint="eastAsia"/>
                <w:color w:val="auto"/>
                <w:sz w:val="24"/>
              </w:rPr>
              <w:t>综上所述，上述措施可有效控制和减缓工程建设和运行对景观环境的影响。</w:t>
            </w:r>
          </w:p>
          <w:p w14:paraId="5F1D6F10">
            <w:pPr>
              <w:adjustRightInd w:val="0"/>
              <w:snapToGrid w:val="0"/>
              <w:spacing w:line="360" w:lineRule="auto"/>
              <w:rPr>
                <w:b/>
                <w:bCs/>
                <w:color w:val="auto"/>
                <w:sz w:val="24"/>
              </w:rPr>
            </w:pPr>
            <w:r>
              <w:rPr>
                <w:rFonts w:hint="eastAsia"/>
                <w:b/>
                <w:bCs/>
                <w:color w:val="auto"/>
                <w:sz w:val="24"/>
                <w:lang w:val="en-US" w:eastAsia="zh-CN"/>
              </w:rPr>
              <w:t>1.6</w:t>
            </w:r>
            <w:r>
              <w:rPr>
                <w:rFonts w:hint="eastAsia"/>
                <w:b/>
                <w:bCs/>
                <w:color w:val="auto"/>
                <w:sz w:val="24"/>
              </w:rPr>
              <w:t>矿区道路的生态防护措施</w:t>
            </w:r>
          </w:p>
          <w:p w14:paraId="5F415CE5">
            <w:pPr>
              <w:adjustRightInd w:val="0"/>
              <w:snapToGrid w:val="0"/>
              <w:spacing w:line="360" w:lineRule="auto"/>
              <w:ind w:firstLine="480" w:firstLineChars="200"/>
              <w:rPr>
                <w:rFonts w:hint="eastAsia"/>
                <w:color w:val="auto"/>
                <w:sz w:val="24"/>
              </w:rPr>
            </w:pPr>
            <w:r>
              <w:rPr>
                <w:rFonts w:hint="eastAsia"/>
                <w:color w:val="auto"/>
                <w:sz w:val="24"/>
              </w:rPr>
              <w:t>运输道路沿线以荒滩和砂砾地为主，运输道路沿线不存在保护动物出没区和动物迁徙通道。道路沿线区域的土壤类型主要为风沙土；沿途植被覆盖度较低，道路沿线动物出没较少。</w:t>
            </w:r>
          </w:p>
          <w:p w14:paraId="7E980483">
            <w:pPr>
              <w:adjustRightInd w:val="0"/>
              <w:snapToGrid w:val="0"/>
              <w:spacing w:line="360" w:lineRule="auto"/>
              <w:ind w:firstLine="480" w:firstLineChars="200"/>
              <w:rPr>
                <w:rFonts w:hint="eastAsia"/>
                <w:color w:val="auto"/>
                <w:sz w:val="24"/>
              </w:rPr>
            </w:pPr>
            <w:r>
              <w:rPr>
                <w:rFonts w:hint="eastAsia"/>
                <w:color w:val="auto"/>
                <w:sz w:val="24"/>
              </w:rPr>
              <w:t>建设单位自行修筑的进场道路主要用于石料运输，每三个月对道路进行一次维护，使用矿石开采产生的废石料进行填补平整，并经压路机压实，以减少车辆通行产生扬尘。同时，项目运输车辆在矿区严格沿道路低速行驶，不会偏离道路造成其他地表破坏。</w:t>
            </w:r>
          </w:p>
          <w:p w14:paraId="181AB6DD">
            <w:pPr>
              <w:adjustRightInd w:val="0"/>
              <w:snapToGrid w:val="0"/>
              <w:spacing w:line="360" w:lineRule="auto"/>
              <w:rPr>
                <w:b/>
                <w:bCs/>
                <w:color w:val="auto"/>
                <w:sz w:val="24"/>
              </w:rPr>
            </w:pPr>
            <w:r>
              <w:rPr>
                <w:rFonts w:hint="eastAsia"/>
                <w:b/>
                <w:bCs/>
                <w:color w:val="auto"/>
                <w:sz w:val="24"/>
                <w:lang w:val="en-US" w:eastAsia="zh-CN"/>
              </w:rPr>
              <w:t>1.7</w:t>
            </w:r>
            <w:r>
              <w:rPr>
                <w:rFonts w:hint="eastAsia"/>
                <w:b/>
                <w:bCs/>
                <w:color w:val="auto"/>
                <w:sz w:val="24"/>
              </w:rPr>
              <w:t>水土保持措施</w:t>
            </w:r>
          </w:p>
          <w:p w14:paraId="24BA010B">
            <w:pPr>
              <w:adjustRightInd w:val="0"/>
              <w:snapToGrid w:val="0"/>
              <w:spacing w:line="360" w:lineRule="auto"/>
              <w:ind w:firstLine="480" w:firstLineChars="200"/>
              <w:rPr>
                <w:rFonts w:hint="eastAsia"/>
                <w:color w:val="auto"/>
                <w:sz w:val="24"/>
              </w:rPr>
            </w:pPr>
            <w:r>
              <w:rPr>
                <w:rFonts w:hint="eastAsia"/>
                <w:color w:val="auto"/>
                <w:sz w:val="24"/>
              </w:rPr>
              <w:t>从本项目性质来看，项目及其配套设施建设将扰动原地貌，改变地形地貌，破坏植被，对土地产生扰动，项目采取边开采边治理的方式进行资源开发，因此影响范围也有限，在采取以下措施后对项目区周边水土流失的影响不大；</w:t>
            </w:r>
          </w:p>
          <w:p w14:paraId="1F815C90">
            <w:pPr>
              <w:adjustRightInd w:val="0"/>
              <w:snapToGrid w:val="0"/>
              <w:spacing w:line="360" w:lineRule="auto"/>
              <w:ind w:firstLine="480" w:firstLineChars="200"/>
              <w:rPr>
                <w:rFonts w:hint="eastAsia"/>
                <w:color w:val="auto"/>
                <w:sz w:val="24"/>
              </w:rPr>
            </w:pPr>
            <w:r>
              <w:rPr>
                <w:rFonts w:hint="eastAsia"/>
                <w:color w:val="auto"/>
                <w:sz w:val="24"/>
              </w:rPr>
              <w:t>（1）对矿区开采，必须做好水土流失的预防工作，认真贯彻“谁造成水土流失，谁投资治理，谁造成危害，谁负责赔偿”和“治理与生产建设相结合”的原则。</w:t>
            </w:r>
          </w:p>
          <w:p w14:paraId="55942082">
            <w:pPr>
              <w:adjustRightInd w:val="0"/>
              <w:snapToGrid w:val="0"/>
              <w:spacing w:line="360" w:lineRule="auto"/>
              <w:ind w:firstLine="480" w:firstLineChars="200"/>
              <w:rPr>
                <w:rFonts w:hint="eastAsia"/>
                <w:color w:val="auto"/>
                <w:sz w:val="24"/>
              </w:rPr>
            </w:pPr>
            <w:r>
              <w:rPr>
                <w:rFonts w:hint="eastAsia"/>
                <w:color w:val="auto"/>
                <w:sz w:val="24"/>
              </w:rPr>
              <w:t>（2）合理安排矿区开采，开挖裸露面要有防治措施，尽量减少水土流失。在日常生产过程中必须采取措施保护水土资源，并尽量减少对植被的破坏。</w:t>
            </w:r>
          </w:p>
          <w:p w14:paraId="59DC9447">
            <w:pPr>
              <w:adjustRightInd w:val="0"/>
              <w:snapToGrid w:val="0"/>
              <w:spacing w:line="360" w:lineRule="auto"/>
              <w:ind w:firstLine="480" w:firstLineChars="200"/>
              <w:rPr>
                <w:rFonts w:hint="eastAsia"/>
                <w:color w:val="auto"/>
                <w:sz w:val="24"/>
              </w:rPr>
            </w:pPr>
            <w:r>
              <w:rPr>
                <w:rFonts w:hint="eastAsia"/>
                <w:color w:val="auto"/>
                <w:sz w:val="24"/>
              </w:rPr>
              <w:t>（3）加强施工管理，加强水土保持执法管理，对施工人员进行教育和培训，宣传保护生态环境的思想。在中、大雨时不得施工，以减少水土流失量。采挖、排弃渣、填方等必须进行护坡和土地整治。</w:t>
            </w:r>
          </w:p>
          <w:p w14:paraId="4942E6C0">
            <w:pPr>
              <w:adjustRightInd w:val="0"/>
              <w:snapToGrid w:val="0"/>
              <w:spacing w:line="360" w:lineRule="auto"/>
              <w:ind w:firstLine="480" w:firstLineChars="200"/>
              <w:rPr>
                <w:rFonts w:hint="eastAsia"/>
                <w:color w:val="auto"/>
                <w:sz w:val="24"/>
              </w:rPr>
            </w:pPr>
            <w:r>
              <w:rPr>
                <w:rFonts w:hint="eastAsia"/>
                <w:color w:val="auto"/>
                <w:sz w:val="24"/>
              </w:rPr>
              <w:t>（4）减缓松散的土壤边坡坡度，及早将松土压实。</w:t>
            </w:r>
          </w:p>
          <w:p w14:paraId="5ECF0665">
            <w:pPr>
              <w:adjustRightInd w:val="0"/>
              <w:snapToGrid w:val="0"/>
              <w:spacing w:line="360" w:lineRule="auto"/>
              <w:ind w:firstLine="480" w:firstLineChars="200"/>
              <w:rPr>
                <w:rFonts w:hint="eastAsia"/>
                <w:color w:val="auto"/>
                <w:sz w:val="24"/>
              </w:rPr>
            </w:pPr>
            <w:r>
              <w:rPr>
                <w:rFonts w:hint="eastAsia"/>
                <w:color w:val="auto"/>
                <w:sz w:val="24"/>
              </w:rPr>
              <w:t>（5）矿区所在区域植被覆盖度较低，区域自然生态环境脆弱，在矿区开采过程中要尽量减少土地占用面积，对作业场所、辅助场所、道路两侧可能扰动过的裸露地表进行平整。</w:t>
            </w:r>
          </w:p>
          <w:p w14:paraId="5CD64776">
            <w:pPr>
              <w:adjustRightInd w:val="0"/>
              <w:snapToGrid w:val="0"/>
              <w:spacing w:line="360" w:lineRule="auto"/>
              <w:ind w:firstLine="480" w:firstLineChars="200"/>
              <w:rPr>
                <w:rFonts w:hint="eastAsia"/>
                <w:color w:val="auto"/>
                <w:sz w:val="24"/>
              </w:rPr>
            </w:pPr>
            <w:r>
              <w:rPr>
                <w:rFonts w:hint="eastAsia"/>
                <w:color w:val="auto"/>
                <w:sz w:val="24"/>
              </w:rPr>
              <w:t>（6）水土流失预防措施</w:t>
            </w:r>
          </w:p>
          <w:p w14:paraId="7C1437A4">
            <w:pPr>
              <w:adjustRightInd w:val="0"/>
              <w:snapToGrid w:val="0"/>
              <w:spacing w:line="360" w:lineRule="auto"/>
              <w:ind w:firstLine="480" w:firstLineChars="200"/>
              <w:rPr>
                <w:rFonts w:hint="eastAsia"/>
                <w:color w:val="auto"/>
                <w:sz w:val="24"/>
              </w:rPr>
            </w:pPr>
            <w:r>
              <w:rPr>
                <w:rFonts w:hint="eastAsia"/>
                <w:color w:val="auto"/>
                <w:sz w:val="24"/>
              </w:rPr>
              <w:t>①风蚀预防措施：对采矿区采取洒水降尘措施，划定采矿活动范围，严格控制和管理运输车辆的运输路线，以防碾压土壤和植被。</w:t>
            </w:r>
          </w:p>
          <w:p w14:paraId="364FF695">
            <w:pPr>
              <w:adjustRightInd w:val="0"/>
              <w:snapToGrid w:val="0"/>
              <w:spacing w:line="360" w:lineRule="auto"/>
              <w:ind w:firstLine="480" w:firstLineChars="200"/>
              <w:rPr>
                <w:rFonts w:hint="eastAsia"/>
                <w:color w:val="auto"/>
                <w:sz w:val="24"/>
              </w:rPr>
            </w:pPr>
            <w:r>
              <w:rPr>
                <w:rFonts w:hint="eastAsia"/>
                <w:color w:val="auto"/>
                <w:sz w:val="24"/>
              </w:rPr>
              <w:t>②水蚀预防措施：修建排水沟，根据项目区地形特点，利用自然沟谷修建排水沟，用于防止暴雨季节短暂洪水侵害。在生产过程中应保持排水沟畅通，这样既可以防洪又可以在一定程度上减少水土流失。</w:t>
            </w:r>
          </w:p>
          <w:p w14:paraId="54CF72F5">
            <w:pPr>
              <w:adjustRightInd w:val="0"/>
              <w:snapToGrid w:val="0"/>
              <w:spacing w:line="360" w:lineRule="auto"/>
              <w:rPr>
                <w:b/>
                <w:bCs/>
                <w:color w:val="auto"/>
                <w:sz w:val="24"/>
              </w:rPr>
            </w:pPr>
            <w:r>
              <w:rPr>
                <w:rFonts w:hint="eastAsia"/>
                <w:b/>
                <w:bCs/>
                <w:color w:val="auto"/>
                <w:sz w:val="24"/>
              </w:rPr>
              <w:t>1.</w:t>
            </w:r>
            <w:r>
              <w:rPr>
                <w:rFonts w:hint="eastAsia"/>
                <w:b/>
                <w:bCs/>
                <w:color w:val="auto"/>
                <w:sz w:val="24"/>
                <w:lang w:val="en-US" w:eastAsia="zh-CN"/>
              </w:rPr>
              <w:t>8</w:t>
            </w:r>
            <w:r>
              <w:rPr>
                <w:rFonts w:hint="eastAsia"/>
                <w:b/>
                <w:bCs/>
                <w:color w:val="auto"/>
                <w:sz w:val="24"/>
              </w:rPr>
              <w:t>土地复垦及生态恢复措施</w:t>
            </w:r>
          </w:p>
          <w:p w14:paraId="3579F945">
            <w:pPr>
              <w:adjustRightInd w:val="0"/>
              <w:snapToGrid w:val="0"/>
              <w:spacing w:line="360" w:lineRule="auto"/>
              <w:ind w:firstLine="480" w:firstLineChars="200"/>
              <w:rPr>
                <w:color w:val="auto"/>
                <w:sz w:val="24"/>
              </w:rPr>
            </w:pPr>
            <w:r>
              <w:rPr>
                <w:rFonts w:hint="eastAsia"/>
                <w:color w:val="auto"/>
                <w:sz w:val="24"/>
              </w:rPr>
              <w:t>要求矿山实现矿产资源利用集约化、开采方式科学化、生产工艺环保化、企业管理规范化、闭矿区生态化思路进行绿色矿山建设，参照《非金属矿行业绿色矿山建设规范》（DZ/T0312-2018）规范进行绿色矿山建设。</w:t>
            </w:r>
          </w:p>
          <w:p w14:paraId="235CA4DC">
            <w:pPr>
              <w:adjustRightInd w:val="0"/>
              <w:snapToGrid w:val="0"/>
              <w:spacing w:line="360" w:lineRule="auto"/>
              <w:ind w:firstLine="480" w:firstLineChars="200"/>
              <w:rPr>
                <w:color w:val="auto"/>
                <w:sz w:val="24"/>
              </w:rPr>
            </w:pPr>
            <w:r>
              <w:rPr>
                <w:rFonts w:hint="eastAsia"/>
                <w:color w:val="auto"/>
                <w:sz w:val="24"/>
              </w:rPr>
              <w:t>（1）治理恢复原则</w:t>
            </w:r>
          </w:p>
          <w:p w14:paraId="342D48C4">
            <w:pPr>
              <w:adjustRightInd w:val="0"/>
              <w:snapToGrid w:val="0"/>
              <w:spacing w:line="360" w:lineRule="auto"/>
              <w:ind w:firstLine="480" w:firstLineChars="200"/>
              <w:rPr>
                <w:color w:val="auto"/>
                <w:sz w:val="24"/>
              </w:rPr>
            </w:pPr>
            <w:r>
              <w:rPr>
                <w:rFonts w:hint="eastAsia"/>
                <w:color w:val="auto"/>
                <w:sz w:val="24"/>
              </w:rPr>
              <w:t>按照“谁破坏、谁恢复治理”“预防为主，防治结合”“在保护中开发，在开发中保护”“依靠科技进步，发展循环经济，建设绿色矿山”的总原则，具体提出以下原则：</w:t>
            </w:r>
          </w:p>
          <w:p w14:paraId="484D4D90">
            <w:pPr>
              <w:adjustRightInd w:val="0"/>
              <w:snapToGrid w:val="0"/>
              <w:spacing w:line="360" w:lineRule="auto"/>
              <w:ind w:firstLine="480" w:firstLineChars="200"/>
              <w:rPr>
                <w:color w:val="auto"/>
                <w:sz w:val="24"/>
              </w:rPr>
            </w:pPr>
            <w:r>
              <w:rPr>
                <w:rFonts w:hint="eastAsia"/>
                <w:color w:val="auto"/>
                <w:sz w:val="24"/>
              </w:rPr>
              <w:t>①矿业开发应贯彻矿产资源开发与环境保护并举，综合治理与环境保护并举的原则。</w:t>
            </w:r>
          </w:p>
          <w:p w14:paraId="58A5564B">
            <w:pPr>
              <w:adjustRightInd w:val="0"/>
              <w:snapToGrid w:val="0"/>
              <w:spacing w:line="360" w:lineRule="auto"/>
              <w:ind w:firstLine="480" w:firstLineChars="200"/>
              <w:rPr>
                <w:color w:val="auto"/>
                <w:sz w:val="24"/>
              </w:rPr>
            </w:pPr>
            <w:r>
              <w:rPr>
                <w:rFonts w:hint="eastAsia"/>
                <w:color w:val="auto"/>
                <w:sz w:val="24"/>
              </w:rPr>
              <w:t>②“预防为主、避让与治理相结合和全面规划，突出重点”的原则：针对存在的地质环境问题及地质灾害，制定出预防方案，以达到保护地质环境和防灾、减灾的目的。</w:t>
            </w:r>
          </w:p>
          <w:p w14:paraId="59EC51F0">
            <w:pPr>
              <w:adjustRightInd w:val="0"/>
              <w:snapToGrid w:val="0"/>
              <w:spacing w:line="360" w:lineRule="auto"/>
              <w:ind w:firstLine="480" w:firstLineChars="200"/>
              <w:rPr>
                <w:color w:val="auto"/>
                <w:sz w:val="24"/>
              </w:rPr>
            </w:pPr>
            <w:r>
              <w:rPr>
                <w:rFonts w:hint="eastAsia"/>
                <w:color w:val="auto"/>
                <w:sz w:val="24"/>
              </w:rPr>
              <w:t>③“保护与治理相结合”原则：坚持“谁开发，谁保护、谁利用、谁补偿，谁破坏、谁治理，边开采边治理恢复”的原则，保证矿区生态环境的良性发展；根据《土地复垦条例》生产建设活动损毁的土地，按照“谁损毁，谁复垦”的原则，由建设单位负责复垦。</w:t>
            </w:r>
          </w:p>
          <w:p w14:paraId="5A104418">
            <w:pPr>
              <w:adjustRightInd w:val="0"/>
              <w:snapToGrid w:val="0"/>
              <w:spacing w:line="360" w:lineRule="auto"/>
              <w:ind w:firstLine="480" w:firstLineChars="200"/>
              <w:rPr>
                <w:color w:val="auto"/>
                <w:sz w:val="24"/>
              </w:rPr>
            </w:pPr>
            <w:r>
              <w:rPr>
                <w:rFonts w:hint="eastAsia"/>
                <w:color w:val="auto"/>
                <w:sz w:val="24"/>
              </w:rPr>
              <w:t>④“全面规划与重点防治相结合”的原则：针对可能发生的地质灾害分布规律，合理规划矿山生产、生活区布局。</w:t>
            </w:r>
          </w:p>
          <w:p w14:paraId="3D1139BD">
            <w:pPr>
              <w:adjustRightInd w:val="0"/>
              <w:snapToGrid w:val="0"/>
              <w:spacing w:line="360" w:lineRule="auto"/>
              <w:ind w:firstLine="480" w:firstLineChars="200"/>
              <w:rPr>
                <w:color w:val="auto"/>
                <w:sz w:val="24"/>
              </w:rPr>
            </w:pPr>
            <w:r>
              <w:rPr>
                <w:rFonts w:hint="eastAsia"/>
                <w:color w:val="auto"/>
                <w:sz w:val="24"/>
              </w:rPr>
              <w:t>⑤“保护与治理恢复的相对性、持续性”原则，针对生产过程中产生的地质环境问题及地质灾害，及时治理，有多少治理多少。</w:t>
            </w:r>
          </w:p>
          <w:p w14:paraId="58E0EC83">
            <w:pPr>
              <w:adjustRightInd w:val="0"/>
              <w:snapToGrid w:val="0"/>
              <w:spacing w:line="360" w:lineRule="auto"/>
              <w:ind w:firstLine="480" w:firstLineChars="200"/>
              <w:rPr>
                <w:color w:val="auto"/>
                <w:sz w:val="24"/>
              </w:rPr>
            </w:pPr>
            <w:r>
              <w:rPr>
                <w:rFonts w:hint="eastAsia"/>
                <w:color w:val="auto"/>
                <w:sz w:val="24"/>
              </w:rPr>
              <w:t>⑥突出重点、先急后缓、以人为本的治理原则。</w:t>
            </w:r>
          </w:p>
          <w:p w14:paraId="47DE4A29">
            <w:pPr>
              <w:adjustRightInd w:val="0"/>
              <w:snapToGrid w:val="0"/>
              <w:spacing w:line="360" w:lineRule="auto"/>
              <w:ind w:firstLine="480" w:firstLineChars="200"/>
              <w:rPr>
                <w:color w:val="auto"/>
                <w:sz w:val="24"/>
              </w:rPr>
            </w:pPr>
            <w:r>
              <w:rPr>
                <w:rFonts w:hint="eastAsia"/>
                <w:color w:val="auto"/>
                <w:sz w:val="24"/>
              </w:rPr>
              <w:t>⑦依靠科技进步，严格控制矿产资源开发对矿山环境的扰动和破坏，最大限度地减少或避免矿产开发引起的矿山环境问题。</w:t>
            </w:r>
          </w:p>
          <w:p w14:paraId="35CFE84D">
            <w:pPr>
              <w:adjustRightInd w:val="0"/>
              <w:snapToGrid w:val="0"/>
              <w:spacing w:line="360" w:lineRule="auto"/>
              <w:ind w:firstLine="480" w:firstLineChars="200"/>
              <w:rPr>
                <w:color w:val="auto"/>
                <w:sz w:val="24"/>
              </w:rPr>
            </w:pPr>
            <w:r>
              <w:rPr>
                <w:rFonts w:hint="eastAsia"/>
                <w:color w:val="auto"/>
                <w:sz w:val="24"/>
              </w:rPr>
              <w:t>（2）土地复垦及生态恢复分区</w:t>
            </w:r>
          </w:p>
          <w:p w14:paraId="040FB0E9">
            <w:pPr>
              <w:adjustRightInd w:val="0"/>
              <w:snapToGrid w:val="0"/>
              <w:spacing w:line="360" w:lineRule="auto"/>
              <w:ind w:firstLine="480" w:firstLineChars="200"/>
              <w:rPr>
                <w:color w:val="auto"/>
                <w:sz w:val="24"/>
              </w:rPr>
            </w:pPr>
            <w:r>
              <w:rPr>
                <w:rFonts w:hint="eastAsia"/>
                <w:color w:val="auto"/>
                <w:sz w:val="24"/>
              </w:rPr>
              <w:t>本项目生态恢复治理分区主要包括露天采矿坑、道路占地、表土堆场3部分。本项目闭矿后治理分区详见表5-1。</w:t>
            </w:r>
          </w:p>
          <w:p w14:paraId="69029370">
            <w:pPr>
              <w:pStyle w:val="16"/>
              <w:snapToGrid/>
              <w:spacing w:before="0" w:after="0" w:line="240" w:lineRule="auto"/>
              <w:ind w:right="0"/>
              <w:jc w:val="center"/>
              <w:rPr>
                <w:b/>
                <w:bCs/>
                <w:color w:val="auto"/>
                <w:sz w:val="21"/>
                <w:szCs w:val="21"/>
              </w:rPr>
            </w:pPr>
            <w:r>
              <w:rPr>
                <w:rFonts w:hint="eastAsia"/>
                <w:b/>
                <w:bCs/>
                <w:color w:val="auto"/>
                <w:sz w:val="21"/>
                <w:szCs w:val="21"/>
              </w:rPr>
              <w:t>表5-1   闭矿后治理分区一览表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59"/>
              <w:gridCol w:w="825"/>
              <w:gridCol w:w="1008"/>
              <w:gridCol w:w="3517"/>
              <w:gridCol w:w="1014"/>
            </w:tblGrid>
            <w:tr w14:paraId="4CCF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pct"/>
                  <w:vAlign w:val="center"/>
                </w:tcPr>
                <w:p w14:paraId="22DF23C1">
                  <w:pPr>
                    <w:pStyle w:val="92"/>
                    <w:jc w:val="center"/>
                    <w:rPr>
                      <w:color w:val="auto"/>
                      <w:szCs w:val="21"/>
                    </w:rPr>
                  </w:pPr>
                  <w:r>
                    <w:rPr>
                      <w:color w:val="auto"/>
                      <w:szCs w:val="21"/>
                    </w:rPr>
                    <w:t>项目</w:t>
                  </w:r>
                </w:p>
              </w:tc>
              <w:tc>
                <w:tcPr>
                  <w:tcW w:w="704" w:type="pct"/>
                  <w:vAlign w:val="center"/>
                </w:tcPr>
                <w:p w14:paraId="656B6473">
                  <w:pPr>
                    <w:pStyle w:val="92"/>
                    <w:jc w:val="center"/>
                    <w:rPr>
                      <w:color w:val="auto"/>
                      <w:szCs w:val="21"/>
                    </w:rPr>
                  </w:pPr>
                  <w:r>
                    <w:rPr>
                      <w:color w:val="auto"/>
                      <w:szCs w:val="21"/>
                    </w:rPr>
                    <w:t>面积（hm</w:t>
                  </w:r>
                  <w:r>
                    <w:rPr>
                      <w:color w:val="auto"/>
                      <w:szCs w:val="21"/>
                      <w:vertAlign w:val="superscript"/>
                    </w:rPr>
                    <w:t>2</w:t>
                  </w:r>
                  <w:r>
                    <w:rPr>
                      <w:color w:val="auto"/>
                      <w:szCs w:val="21"/>
                    </w:rPr>
                    <w:t>）</w:t>
                  </w:r>
                </w:p>
              </w:tc>
              <w:tc>
                <w:tcPr>
                  <w:tcW w:w="501" w:type="pct"/>
                  <w:vAlign w:val="center"/>
                </w:tcPr>
                <w:p w14:paraId="63F9789A">
                  <w:pPr>
                    <w:pStyle w:val="92"/>
                    <w:jc w:val="center"/>
                    <w:rPr>
                      <w:color w:val="auto"/>
                      <w:szCs w:val="21"/>
                    </w:rPr>
                  </w:pPr>
                  <w:r>
                    <w:rPr>
                      <w:color w:val="auto"/>
                      <w:szCs w:val="21"/>
                    </w:rPr>
                    <w:t>破坏方式</w:t>
                  </w:r>
                </w:p>
              </w:tc>
              <w:tc>
                <w:tcPr>
                  <w:tcW w:w="612" w:type="pct"/>
                  <w:vAlign w:val="center"/>
                </w:tcPr>
                <w:p w14:paraId="74948A34">
                  <w:pPr>
                    <w:pStyle w:val="92"/>
                    <w:jc w:val="center"/>
                    <w:rPr>
                      <w:color w:val="auto"/>
                      <w:szCs w:val="21"/>
                    </w:rPr>
                  </w:pPr>
                  <w:r>
                    <w:rPr>
                      <w:color w:val="auto"/>
                      <w:szCs w:val="21"/>
                    </w:rPr>
                    <w:t>占地类型</w:t>
                  </w:r>
                </w:p>
              </w:tc>
              <w:tc>
                <w:tcPr>
                  <w:tcW w:w="2136" w:type="pct"/>
                  <w:vAlign w:val="center"/>
                </w:tcPr>
                <w:p w14:paraId="0186DA11">
                  <w:pPr>
                    <w:pStyle w:val="92"/>
                    <w:jc w:val="center"/>
                    <w:rPr>
                      <w:color w:val="auto"/>
                      <w:szCs w:val="21"/>
                    </w:rPr>
                  </w:pPr>
                  <w:r>
                    <w:rPr>
                      <w:color w:val="auto"/>
                      <w:szCs w:val="21"/>
                    </w:rPr>
                    <w:t>土地复垦方式</w:t>
                  </w:r>
                </w:p>
              </w:tc>
              <w:tc>
                <w:tcPr>
                  <w:tcW w:w="615" w:type="pct"/>
                  <w:vAlign w:val="center"/>
                </w:tcPr>
                <w:p w14:paraId="3C14C29B">
                  <w:pPr>
                    <w:pStyle w:val="92"/>
                    <w:jc w:val="center"/>
                    <w:rPr>
                      <w:rFonts w:hint="default" w:eastAsia="宋体"/>
                      <w:color w:val="auto"/>
                      <w:szCs w:val="21"/>
                      <w:lang w:val="en-US" w:eastAsia="zh-CN"/>
                    </w:rPr>
                  </w:pPr>
                  <w:r>
                    <w:rPr>
                      <w:rFonts w:hint="eastAsia"/>
                      <w:color w:val="auto"/>
                      <w:szCs w:val="21"/>
                      <w:lang w:val="en-US" w:eastAsia="zh-CN"/>
                    </w:rPr>
                    <w:t>土地复垦类型</w:t>
                  </w:r>
                </w:p>
              </w:tc>
            </w:tr>
            <w:tr w14:paraId="0B09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pct"/>
                  <w:vAlign w:val="center"/>
                </w:tcPr>
                <w:p w14:paraId="5B2AD2C6">
                  <w:pPr>
                    <w:pStyle w:val="92"/>
                    <w:jc w:val="center"/>
                    <w:rPr>
                      <w:color w:val="auto"/>
                      <w:szCs w:val="21"/>
                    </w:rPr>
                  </w:pPr>
                  <w:r>
                    <w:rPr>
                      <w:color w:val="auto"/>
                      <w:szCs w:val="21"/>
                    </w:rPr>
                    <w:t>露天采场</w:t>
                  </w:r>
                </w:p>
              </w:tc>
              <w:tc>
                <w:tcPr>
                  <w:tcW w:w="704" w:type="pct"/>
                  <w:vAlign w:val="center"/>
                </w:tcPr>
                <w:p w14:paraId="14E4D59E">
                  <w:pPr>
                    <w:pStyle w:val="92"/>
                    <w:jc w:val="center"/>
                    <w:rPr>
                      <w:color w:val="auto"/>
                      <w:szCs w:val="21"/>
                    </w:rPr>
                  </w:pPr>
                  <w:r>
                    <w:rPr>
                      <w:rFonts w:hint="eastAsia"/>
                      <w:color w:val="auto"/>
                      <w:szCs w:val="21"/>
                    </w:rPr>
                    <w:t>30.18</w:t>
                  </w:r>
                </w:p>
              </w:tc>
              <w:tc>
                <w:tcPr>
                  <w:tcW w:w="501" w:type="pct"/>
                  <w:vAlign w:val="center"/>
                </w:tcPr>
                <w:p w14:paraId="29E3C027">
                  <w:pPr>
                    <w:pStyle w:val="92"/>
                    <w:jc w:val="center"/>
                    <w:rPr>
                      <w:color w:val="auto"/>
                      <w:szCs w:val="21"/>
                    </w:rPr>
                  </w:pPr>
                  <w:r>
                    <w:rPr>
                      <w:color w:val="auto"/>
                      <w:szCs w:val="21"/>
                    </w:rPr>
                    <w:t>挖损</w:t>
                  </w:r>
                </w:p>
              </w:tc>
              <w:tc>
                <w:tcPr>
                  <w:tcW w:w="612" w:type="pct"/>
                  <w:vMerge w:val="restart"/>
                  <w:vAlign w:val="center"/>
                </w:tcPr>
                <w:p w14:paraId="214F6306">
                  <w:pPr>
                    <w:pStyle w:val="92"/>
                    <w:jc w:val="center"/>
                    <w:rPr>
                      <w:color w:val="auto"/>
                      <w:szCs w:val="21"/>
                    </w:rPr>
                  </w:pPr>
                  <w:r>
                    <w:rPr>
                      <w:rFonts w:hint="eastAsia"/>
                      <w:color w:val="auto"/>
                      <w:szCs w:val="21"/>
                    </w:rPr>
                    <w:t>其他草地</w:t>
                  </w:r>
                </w:p>
              </w:tc>
              <w:tc>
                <w:tcPr>
                  <w:tcW w:w="2136" w:type="pct"/>
                  <w:vAlign w:val="center"/>
                </w:tcPr>
                <w:p w14:paraId="7D96A243">
                  <w:pPr>
                    <w:pStyle w:val="92"/>
                    <w:jc w:val="center"/>
                    <w:rPr>
                      <w:color w:val="auto"/>
                      <w:szCs w:val="21"/>
                    </w:rPr>
                  </w:pPr>
                  <w:r>
                    <w:rPr>
                      <w:color w:val="auto"/>
                      <w:szCs w:val="21"/>
                    </w:rPr>
                    <w:t>表土剥覆、废渣土回填，边坡稳定，闭矿期土地类型基本与当地地形、地貌及周边环境相协调</w:t>
                  </w:r>
                </w:p>
              </w:tc>
              <w:tc>
                <w:tcPr>
                  <w:tcW w:w="615" w:type="pct"/>
                  <w:vAlign w:val="center"/>
                </w:tcPr>
                <w:p w14:paraId="7FA76CDA">
                  <w:pPr>
                    <w:pStyle w:val="92"/>
                    <w:jc w:val="center"/>
                    <w:rPr>
                      <w:rFonts w:hint="eastAsia" w:eastAsia="宋体"/>
                      <w:color w:val="auto"/>
                      <w:szCs w:val="21"/>
                      <w:lang w:val="en-US" w:eastAsia="zh-CN"/>
                    </w:rPr>
                  </w:pPr>
                  <w:r>
                    <w:rPr>
                      <w:rFonts w:hint="eastAsia"/>
                      <w:color w:val="auto"/>
                      <w:szCs w:val="21"/>
                      <w:lang w:val="en-US" w:eastAsia="zh-CN"/>
                    </w:rPr>
                    <w:t>草地</w:t>
                  </w:r>
                </w:p>
              </w:tc>
            </w:tr>
            <w:tr w14:paraId="6EC7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pct"/>
                  <w:vAlign w:val="center"/>
                </w:tcPr>
                <w:p w14:paraId="09D35D2A">
                  <w:pPr>
                    <w:pStyle w:val="92"/>
                    <w:jc w:val="center"/>
                    <w:rPr>
                      <w:color w:val="auto"/>
                      <w:szCs w:val="21"/>
                    </w:rPr>
                  </w:pPr>
                  <w:r>
                    <w:rPr>
                      <w:color w:val="auto"/>
                      <w:szCs w:val="21"/>
                    </w:rPr>
                    <w:t>矿区道路</w:t>
                  </w:r>
                </w:p>
              </w:tc>
              <w:tc>
                <w:tcPr>
                  <w:tcW w:w="704" w:type="pct"/>
                  <w:vAlign w:val="center"/>
                </w:tcPr>
                <w:p w14:paraId="0CA9CE68">
                  <w:pPr>
                    <w:pStyle w:val="92"/>
                    <w:jc w:val="center"/>
                    <w:rPr>
                      <w:color w:val="auto"/>
                      <w:szCs w:val="21"/>
                    </w:rPr>
                  </w:pPr>
                  <w:r>
                    <w:rPr>
                      <w:color w:val="auto"/>
                      <w:szCs w:val="21"/>
                    </w:rPr>
                    <w:t>0.</w:t>
                  </w:r>
                  <w:r>
                    <w:rPr>
                      <w:rFonts w:hint="eastAsia"/>
                      <w:color w:val="auto"/>
                      <w:szCs w:val="21"/>
                    </w:rPr>
                    <w:t>6</w:t>
                  </w:r>
                </w:p>
              </w:tc>
              <w:tc>
                <w:tcPr>
                  <w:tcW w:w="501" w:type="pct"/>
                  <w:vAlign w:val="center"/>
                </w:tcPr>
                <w:p w14:paraId="69601D75">
                  <w:pPr>
                    <w:pStyle w:val="92"/>
                    <w:jc w:val="center"/>
                    <w:rPr>
                      <w:color w:val="auto"/>
                      <w:szCs w:val="21"/>
                    </w:rPr>
                  </w:pPr>
                  <w:r>
                    <w:rPr>
                      <w:color w:val="auto"/>
                      <w:szCs w:val="21"/>
                    </w:rPr>
                    <w:t>压占</w:t>
                  </w:r>
                </w:p>
              </w:tc>
              <w:tc>
                <w:tcPr>
                  <w:tcW w:w="612" w:type="pct"/>
                  <w:vMerge w:val="continue"/>
                  <w:vAlign w:val="center"/>
                </w:tcPr>
                <w:p w14:paraId="2756FBC1">
                  <w:pPr>
                    <w:pStyle w:val="92"/>
                    <w:jc w:val="center"/>
                    <w:rPr>
                      <w:color w:val="auto"/>
                      <w:szCs w:val="21"/>
                    </w:rPr>
                  </w:pPr>
                </w:p>
              </w:tc>
              <w:tc>
                <w:tcPr>
                  <w:tcW w:w="2136" w:type="pct"/>
                  <w:vAlign w:val="center"/>
                </w:tcPr>
                <w:p w14:paraId="4F04E451">
                  <w:pPr>
                    <w:pStyle w:val="92"/>
                    <w:jc w:val="center"/>
                    <w:rPr>
                      <w:color w:val="auto"/>
                      <w:szCs w:val="21"/>
                    </w:rPr>
                  </w:pPr>
                  <w:r>
                    <w:rPr>
                      <w:color w:val="auto"/>
                      <w:szCs w:val="21"/>
                    </w:rPr>
                    <w:t>对土地翻覆平整，恢复植被。</w:t>
                  </w:r>
                </w:p>
              </w:tc>
              <w:tc>
                <w:tcPr>
                  <w:tcW w:w="615" w:type="pct"/>
                  <w:vAlign w:val="center"/>
                </w:tcPr>
                <w:p w14:paraId="4411FE48">
                  <w:pPr>
                    <w:pStyle w:val="92"/>
                    <w:jc w:val="center"/>
                    <w:rPr>
                      <w:rFonts w:hint="eastAsia" w:eastAsia="宋体"/>
                      <w:color w:val="auto"/>
                      <w:szCs w:val="21"/>
                      <w:lang w:val="en-US" w:eastAsia="zh-CN"/>
                    </w:rPr>
                  </w:pPr>
                  <w:r>
                    <w:rPr>
                      <w:rFonts w:hint="eastAsia"/>
                      <w:color w:val="auto"/>
                      <w:szCs w:val="21"/>
                      <w:lang w:val="en-US" w:eastAsia="zh-CN"/>
                    </w:rPr>
                    <w:t>草地</w:t>
                  </w:r>
                </w:p>
              </w:tc>
            </w:tr>
            <w:tr w14:paraId="4130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pct"/>
                  <w:vAlign w:val="center"/>
                </w:tcPr>
                <w:p w14:paraId="6E8D30B9">
                  <w:pPr>
                    <w:pStyle w:val="92"/>
                    <w:jc w:val="center"/>
                    <w:rPr>
                      <w:color w:val="auto"/>
                      <w:szCs w:val="21"/>
                    </w:rPr>
                  </w:pPr>
                  <w:r>
                    <w:rPr>
                      <w:color w:val="auto"/>
                      <w:szCs w:val="21"/>
                    </w:rPr>
                    <w:t>表土堆场</w:t>
                  </w:r>
                </w:p>
              </w:tc>
              <w:tc>
                <w:tcPr>
                  <w:tcW w:w="704" w:type="pct"/>
                  <w:vAlign w:val="center"/>
                </w:tcPr>
                <w:p w14:paraId="3993175A">
                  <w:pPr>
                    <w:pStyle w:val="92"/>
                    <w:jc w:val="center"/>
                    <w:rPr>
                      <w:rFonts w:hint="default" w:eastAsia="宋体"/>
                      <w:color w:val="auto"/>
                      <w:szCs w:val="21"/>
                      <w:lang w:val="en-US" w:eastAsia="zh-CN"/>
                    </w:rPr>
                  </w:pPr>
                  <w:r>
                    <w:rPr>
                      <w:rFonts w:hint="eastAsia"/>
                      <w:color w:val="auto"/>
                      <w:szCs w:val="21"/>
                      <w:lang w:val="en-US" w:eastAsia="zh-CN"/>
                    </w:rPr>
                    <w:t>0.45</w:t>
                  </w:r>
                </w:p>
              </w:tc>
              <w:tc>
                <w:tcPr>
                  <w:tcW w:w="501" w:type="pct"/>
                  <w:vAlign w:val="center"/>
                </w:tcPr>
                <w:p w14:paraId="5AF3B222">
                  <w:pPr>
                    <w:pStyle w:val="92"/>
                    <w:jc w:val="center"/>
                    <w:rPr>
                      <w:color w:val="auto"/>
                      <w:szCs w:val="21"/>
                    </w:rPr>
                  </w:pPr>
                  <w:r>
                    <w:rPr>
                      <w:color w:val="auto"/>
                      <w:szCs w:val="21"/>
                    </w:rPr>
                    <w:t>压占</w:t>
                  </w:r>
                </w:p>
              </w:tc>
              <w:tc>
                <w:tcPr>
                  <w:tcW w:w="612" w:type="pct"/>
                  <w:vMerge w:val="continue"/>
                  <w:vAlign w:val="center"/>
                </w:tcPr>
                <w:p w14:paraId="5205A568">
                  <w:pPr>
                    <w:pStyle w:val="92"/>
                    <w:jc w:val="center"/>
                    <w:rPr>
                      <w:color w:val="auto"/>
                      <w:szCs w:val="21"/>
                    </w:rPr>
                  </w:pPr>
                </w:p>
              </w:tc>
              <w:tc>
                <w:tcPr>
                  <w:tcW w:w="2136" w:type="pct"/>
                  <w:vAlign w:val="center"/>
                </w:tcPr>
                <w:p w14:paraId="3DA76591">
                  <w:pPr>
                    <w:pStyle w:val="92"/>
                    <w:jc w:val="center"/>
                    <w:rPr>
                      <w:color w:val="auto"/>
                      <w:szCs w:val="21"/>
                    </w:rPr>
                  </w:pPr>
                  <w:r>
                    <w:rPr>
                      <w:color w:val="auto"/>
                      <w:szCs w:val="21"/>
                    </w:rPr>
                    <w:t>对土地翻覆平整，恢复植被</w:t>
                  </w:r>
                </w:p>
              </w:tc>
              <w:tc>
                <w:tcPr>
                  <w:tcW w:w="615" w:type="pct"/>
                  <w:vAlign w:val="center"/>
                </w:tcPr>
                <w:p w14:paraId="145A5EBB">
                  <w:pPr>
                    <w:pStyle w:val="92"/>
                    <w:jc w:val="center"/>
                    <w:rPr>
                      <w:rFonts w:hint="eastAsia" w:eastAsia="宋体"/>
                      <w:color w:val="auto"/>
                      <w:szCs w:val="21"/>
                      <w:lang w:val="en-US" w:eastAsia="zh-CN"/>
                    </w:rPr>
                  </w:pPr>
                  <w:r>
                    <w:rPr>
                      <w:rFonts w:hint="eastAsia"/>
                      <w:color w:val="auto"/>
                      <w:szCs w:val="21"/>
                      <w:lang w:val="en-US" w:eastAsia="zh-CN"/>
                    </w:rPr>
                    <w:t>草地</w:t>
                  </w:r>
                </w:p>
              </w:tc>
            </w:tr>
          </w:tbl>
          <w:p w14:paraId="705D197F">
            <w:pPr>
              <w:adjustRightInd w:val="0"/>
              <w:snapToGrid w:val="0"/>
              <w:spacing w:line="360" w:lineRule="auto"/>
              <w:ind w:firstLine="480" w:firstLineChars="200"/>
              <w:rPr>
                <w:color w:val="auto"/>
                <w:sz w:val="24"/>
              </w:rPr>
            </w:pPr>
            <w:r>
              <w:rPr>
                <w:rFonts w:hint="eastAsia"/>
                <w:color w:val="auto"/>
                <w:sz w:val="24"/>
              </w:rPr>
              <w:t>（</w:t>
            </w:r>
            <w:r>
              <w:rPr>
                <w:color w:val="auto"/>
                <w:sz w:val="24"/>
              </w:rPr>
              <w:t>3</w:t>
            </w:r>
            <w:r>
              <w:rPr>
                <w:rFonts w:hint="eastAsia"/>
                <w:color w:val="auto"/>
                <w:sz w:val="24"/>
              </w:rPr>
              <w:t xml:space="preserve">）土地复垦及生态恢复措施 </w:t>
            </w:r>
          </w:p>
          <w:p w14:paraId="517B7C06">
            <w:pPr>
              <w:adjustRightInd w:val="0"/>
              <w:snapToGrid w:val="0"/>
              <w:spacing w:line="360" w:lineRule="auto"/>
              <w:ind w:firstLine="480" w:firstLineChars="200"/>
              <w:rPr>
                <w:color w:val="auto"/>
                <w:sz w:val="24"/>
              </w:rPr>
            </w:pPr>
            <w:r>
              <w:rPr>
                <w:rFonts w:hint="eastAsia"/>
                <w:color w:val="auto"/>
                <w:sz w:val="24"/>
              </w:rPr>
              <w:t>工程技术措施是指工程复垦中，按照矿区自然环境条件和复垦土地利用方向要求，对受影响的土地采取各种工程手段，恢复受损土地的生态系统，工程技术措施主要是表土剥离、封场、松土、覆土和土地平整。本方案根据矿区自然生态环境特征和复垦目标，结合矿区场地设施的施工工艺，参照现行类似复垦项目生态重建技术的工作原理、复垦工艺、适用条件等，采取适用于本矿区的复垦工程技术措施，包括砌体拆除、封场、土地平整。闭矿期严格按照该矿《矿产资源开发利用与生态保护修复方案》，开展保护与治理工作，矿区绿化面积不应低于原有荒漠草场植被绿化率，对矿区地表建筑进行拆除，对地表进行平整和植被恢复，对陡坡进行削坡处理，防止水土流失，达到保护和恢复矿区自然生态环境，与周边生态环境相协调的最终目标。</w:t>
            </w:r>
          </w:p>
          <w:p w14:paraId="4EB1B002">
            <w:pPr>
              <w:adjustRightInd w:val="0"/>
              <w:snapToGrid w:val="0"/>
              <w:spacing w:line="360" w:lineRule="auto"/>
              <w:ind w:firstLine="480" w:firstLineChars="200"/>
              <w:rPr>
                <w:color w:val="auto"/>
                <w:sz w:val="24"/>
              </w:rPr>
            </w:pPr>
            <w:r>
              <w:rPr>
                <w:rFonts w:hint="eastAsia"/>
                <w:color w:val="auto"/>
                <w:sz w:val="24"/>
              </w:rPr>
              <w:t xml:space="preserve">①采矿区生态恢复措施 </w:t>
            </w:r>
          </w:p>
          <w:p w14:paraId="11BA2BC6">
            <w:pPr>
              <w:adjustRightInd w:val="0"/>
              <w:snapToGrid w:val="0"/>
              <w:spacing w:line="360" w:lineRule="auto"/>
              <w:ind w:firstLine="480" w:firstLineChars="200"/>
              <w:rPr>
                <w:color w:val="auto"/>
                <w:sz w:val="24"/>
              </w:rPr>
            </w:pPr>
            <w:r>
              <w:rPr>
                <w:rFonts w:hint="eastAsia"/>
                <w:color w:val="auto"/>
                <w:sz w:val="24"/>
              </w:rPr>
              <w:t>露天开采期间对露天采坑不稳定边坡进行削坡治理（此工作由矿山自行安排进行，本方案不再</w:t>
            </w:r>
            <w:r>
              <w:rPr>
                <w:rFonts w:hint="eastAsia"/>
                <w:color w:val="auto"/>
                <w:sz w:val="24"/>
                <w:lang w:eastAsia="zh-CN"/>
              </w:rPr>
              <w:t>赘述</w:t>
            </w:r>
            <w:r>
              <w:rPr>
                <w:rFonts w:hint="eastAsia"/>
                <w:color w:val="auto"/>
                <w:sz w:val="24"/>
              </w:rPr>
              <w:t xml:space="preserve">），将采坑坑壁边坡削至稳定角度。 </w:t>
            </w:r>
          </w:p>
          <w:p w14:paraId="2E2E05C0">
            <w:pPr>
              <w:adjustRightInd w:val="0"/>
              <w:snapToGrid w:val="0"/>
              <w:spacing w:line="360" w:lineRule="auto"/>
              <w:ind w:firstLine="480" w:firstLineChars="200"/>
              <w:rPr>
                <w:color w:val="auto"/>
                <w:sz w:val="24"/>
              </w:rPr>
            </w:pPr>
            <w:r>
              <w:rPr>
                <w:rFonts w:hint="eastAsia"/>
                <w:color w:val="auto"/>
                <w:sz w:val="24"/>
              </w:rPr>
              <w:t>采矿区平整后进行生态恢复，并与周边地表景观相协调。在采场开采境界外采用梯形断面布置排水沟，闭矿后应加强对矿坑的生态治理恢复，及时将剥离表土回填至采坑，使全场趋于平缓，为植被的自然恢复提供条件，减轻水土流失造成的影响。</w:t>
            </w:r>
          </w:p>
          <w:p w14:paraId="369F60C8">
            <w:pPr>
              <w:adjustRightInd w:val="0"/>
              <w:snapToGrid w:val="0"/>
              <w:spacing w:line="360" w:lineRule="auto"/>
              <w:ind w:firstLine="480" w:firstLineChars="200"/>
              <w:rPr>
                <w:color w:val="auto"/>
                <w:sz w:val="24"/>
              </w:rPr>
            </w:pPr>
            <w:r>
              <w:rPr>
                <w:rFonts w:hint="eastAsia"/>
                <w:color w:val="auto"/>
                <w:sz w:val="24"/>
              </w:rPr>
              <w:t xml:space="preserve">恢复后的露天采矿场进行土地资源再利用时，在坡度、土层厚度、稳定性、土壤环境安全性等方面应满足相关用地要求。 </w:t>
            </w:r>
          </w:p>
          <w:p w14:paraId="1B509DD1">
            <w:pPr>
              <w:adjustRightInd w:val="0"/>
              <w:snapToGrid w:val="0"/>
              <w:spacing w:line="360" w:lineRule="auto"/>
              <w:ind w:firstLine="480" w:firstLineChars="200"/>
              <w:rPr>
                <w:color w:val="auto"/>
                <w:sz w:val="24"/>
              </w:rPr>
            </w:pPr>
            <w:r>
              <w:rPr>
                <w:rFonts w:hint="eastAsia"/>
                <w:color w:val="auto"/>
                <w:sz w:val="24"/>
              </w:rPr>
              <w:t>开采区原地表类型主要为采矿区复垦后生态主要恢复为草地，采用人工修复补播。土地恢复选用草籽，采用新疆常见山地干旱草原适用物种，</w:t>
            </w:r>
            <w:r>
              <w:rPr>
                <w:rFonts w:hint="eastAsia"/>
                <w:color w:val="auto"/>
                <w:sz w:val="24"/>
                <w:lang w:val="en-US" w:eastAsia="zh-CN"/>
              </w:rPr>
              <w:t>可采用</w:t>
            </w:r>
            <w:r>
              <w:rPr>
                <w:rFonts w:hint="eastAsia"/>
                <w:color w:val="auto"/>
                <w:sz w:val="24"/>
              </w:rPr>
              <w:t>粗枝猪毛菜、叉毛蓬</w:t>
            </w:r>
            <w:r>
              <w:rPr>
                <w:rFonts w:hint="eastAsia"/>
                <w:color w:val="auto"/>
                <w:sz w:val="24"/>
                <w:lang w:eastAsia="zh-CN"/>
              </w:rPr>
              <w:t>、</w:t>
            </w:r>
            <w:r>
              <w:rPr>
                <w:rFonts w:hint="eastAsia"/>
                <w:color w:val="auto"/>
                <w:sz w:val="24"/>
                <w:lang w:val="en-US" w:eastAsia="zh-CN"/>
              </w:rPr>
              <w:t>芨芨草等乡土物种</w:t>
            </w:r>
            <w:r>
              <w:rPr>
                <w:rFonts w:hint="eastAsia"/>
                <w:color w:val="auto"/>
                <w:sz w:val="24"/>
              </w:rPr>
              <w:t>。草地，主要植物由粗枝猪毛菜、叉毛蓬等组成</w:t>
            </w:r>
            <w:r>
              <w:rPr>
                <w:rFonts w:hint="eastAsia"/>
                <w:color w:val="auto"/>
                <w:sz w:val="24"/>
                <w:lang w:eastAsia="zh-CN"/>
              </w:rPr>
              <w:t>。</w:t>
            </w:r>
            <w:r>
              <w:rPr>
                <w:rFonts w:hint="eastAsia"/>
                <w:color w:val="auto"/>
                <w:sz w:val="24"/>
              </w:rPr>
              <w:t>复垦工作计划在闭坑后</w:t>
            </w:r>
            <w:r>
              <w:rPr>
                <w:color w:val="auto"/>
                <w:sz w:val="24"/>
              </w:rPr>
              <w:t>6</w:t>
            </w:r>
            <w:r>
              <w:rPr>
                <w:rFonts w:hint="eastAsia"/>
                <w:color w:val="auto"/>
                <w:sz w:val="24"/>
              </w:rPr>
              <w:t>个月内完成。要求建设单位在闭矿后</w:t>
            </w:r>
            <w:r>
              <w:rPr>
                <w:color w:val="auto"/>
                <w:sz w:val="24"/>
              </w:rPr>
              <w:t>1</w:t>
            </w:r>
            <w:r>
              <w:rPr>
                <w:rFonts w:hint="eastAsia"/>
                <w:color w:val="auto"/>
                <w:sz w:val="24"/>
              </w:rPr>
              <w:t>～</w:t>
            </w:r>
            <w:r>
              <w:rPr>
                <w:color w:val="auto"/>
                <w:sz w:val="24"/>
              </w:rPr>
              <w:t>3</w:t>
            </w:r>
            <w:r>
              <w:rPr>
                <w:rFonts w:hint="eastAsia"/>
                <w:color w:val="auto"/>
                <w:sz w:val="24"/>
              </w:rPr>
              <w:t>年内持续关注草地长势情况，在长势欠佳区域补种。</w:t>
            </w:r>
          </w:p>
          <w:p w14:paraId="7EC32780">
            <w:pPr>
              <w:adjustRightInd w:val="0"/>
              <w:snapToGrid w:val="0"/>
              <w:spacing w:line="360" w:lineRule="auto"/>
              <w:ind w:firstLine="480" w:firstLineChars="200"/>
              <w:rPr>
                <w:color w:val="auto"/>
                <w:sz w:val="24"/>
              </w:rPr>
            </w:pPr>
            <w:r>
              <w:rPr>
                <w:rFonts w:hint="eastAsia"/>
                <w:color w:val="auto"/>
                <w:sz w:val="24"/>
              </w:rPr>
              <w:t>②矿区道路</w:t>
            </w:r>
            <w:r>
              <w:rPr>
                <w:rFonts w:hint="eastAsia"/>
                <w:color w:val="auto"/>
                <w:sz w:val="24"/>
                <w:lang w:val="en-US" w:eastAsia="zh-CN"/>
              </w:rPr>
              <w:t>生态恢复</w:t>
            </w:r>
            <w:r>
              <w:rPr>
                <w:rFonts w:hint="eastAsia"/>
                <w:color w:val="auto"/>
                <w:sz w:val="24"/>
              </w:rPr>
              <w:t xml:space="preserve"> </w:t>
            </w:r>
          </w:p>
          <w:p w14:paraId="401E2B80">
            <w:pPr>
              <w:adjustRightInd w:val="0"/>
              <w:snapToGrid w:val="0"/>
              <w:spacing w:line="360" w:lineRule="auto"/>
              <w:ind w:firstLine="480" w:firstLineChars="200"/>
              <w:rPr>
                <w:rFonts w:hint="eastAsia"/>
                <w:color w:val="auto"/>
                <w:sz w:val="24"/>
              </w:rPr>
            </w:pPr>
            <w:r>
              <w:rPr>
                <w:rFonts w:hint="eastAsia"/>
                <w:color w:val="auto"/>
                <w:sz w:val="24"/>
                <w:lang w:val="en-US" w:eastAsia="zh-CN"/>
              </w:rPr>
              <w:t>a.</w:t>
            </w:r>
            <w:r>
              <w:rPr>
                <w:rFonts w:hint="eastAsia"/>
                <w:color w:val="auto"/>
                <w:sz w:val="24"/>
              </w:rPr>
              <w:t>矿区运输道路用地应严格控制占地面积和范围。拆除简易砾石路，均应根据道路</w:t>
            </w:r>
            <w:r>
              <w:rPr>
                <w:rFonts w:hint="eastAsia"/>
                <w:color w:val="auto"/>
                <w:sz w:val="24"/>
                <w:lang w:eastAsia="zh-CN"/>
              </w:rPr>
              <w:t>施工</w:t>
            </w:r>
            <w:r>
              <w:rPr>
                <w:rFonts w:hint="eastAsia"/>
                <w:color w:val="auto"/>
                <w:sz w:val="24"/>
              </w:rPr>
              <w:t>进度有计划地进行施工，必要时应设置截排水沟、拦渣坝等相应保护措施。</w:t>
            </w:r>
          </w:p>
          <w:p w14:paraId="636F110E">
            <w:pPr>
              <w:adjustRightInd w:val="0"/>
              <w:snapToGrid w:val="0"/>
              <w:spacing w:line="360" w:lineRule="auto"/>
              <w:ind w:firstLine="480" w:firstLineChars="200"/>
              <w:rPr>
                <w:rFonts w:hint="eastAsia"/>
                <w:color w:val="auto"/>
                <w:sz w:val="24"/>
              </w:rPr>
            </w:pPr>
            <w:r>
              <w:rPr>
                <w:rFonts w:hint="eastAsia"/>
                <w:color w:val="auto"/>
                <w:sz w:val="24"/>
                <w:lang w:val="en-US" w:eastAsia="zh-CN"/>
              </w:rPr>
              <w:t>b.</w:t>
            </w:r>
            <w:r>
              <w:rPr>
                <w:rFonts w:hint="eastAsia"/>
                <w:color w:val="auto"/>
                <w:sz w:val="24"/>
              </w:rPr>
              <w:t>矿区运输道路采矿工程结束后，简易砾石路应及时整平、压实，并尽可能恢复原地貌。</w:t>
            </w:r>
          </w:p>
          <w:p w14:paraId="11E70231">
            <w:pPr>
              <w:adjustRightInd w:val="0"/>
              <w:snapToGrid w:val="0"/>
              <w:spacing w:line="360" w:lineRule="auto"/>
              <w:ind w:firstLine="480" w:firstLineChars="200"/>
              <w:rPr>
                <w:rFonts w:hint="eastAsia"/>
                <w:color w:val="auto"/>
                <w:sz w:val="24"/>
              </w:rPr>
            </w:pPr>
            <w:r>
              <w:rPr>
                <w:rFonts w:hint="eastAsia"/>
                <w:color w:val="auto"/>
                <w:sz w:val="24"/>
                <w:lang w:val="en-US" w:eastAsia="zh-CN"/>
              </w:rPr>
              <w:t>c.</w:t>
            </w:r>
            <w:r>
              <w:rPr>
                <w:rFonts w:hint="eastAsia"/>
                <w:color w:val="auto"/>
                <w:sz w:val="24"/>
              </w:rPr>
              <w:t>对矿区道路采取边坡防护工程，降低水土流失和引发地质灾害的隐患。</w:t>
            </w:r>
          </w:p>
          <w:p w14:paraId="3ADBB565">
            <w:pPr>
              <w:adjustRightInd w:val="0"/>
              <w:snapToGrid w:val="0"/>
              <w:spacing w:line="360" w:lineRule="auto"/>
              <w:ind w:firstLine="480" w:firstLineChars="200"/>
              <w:rPr>
                <w:rFonts w:hint="eastAsia"/>
                <w:color w:val="auto"/>
                <w:sz w:val="24"/>
              </w:rPr>
            </w:pPr>
            <w:r>
              <w:rPr>
                <w:rFonts w:hint="eastAsia"/>
                <w:color w:val="auto"/>
                <w:sz w:val="24"/>
                <w:lang w:val="en-US" w:eastAsia="zh-CN"/>
              </w:rPr>
              <w:t>d.</w:t>
            </w:r>
            <w:r>
              <w:rPr>
                <w:rFonts w:hint="eastAsia"/>
                <w:color w:val="auto"/>
                <w:sz w:val="24"/>
              </w:rPr>
              <w:t>矿区运输道路使用期间，有条件的区域应对道路两侧进行绿化。道路绿化应以当地树（草）种为主，选择适应性强、护坡功能强的植物种。</w:t>
            </w:r>
          </w:p>
          <w:p w14:paraId="3AC6B4AC">
            <w:pPr>
              <w:numPr>
                <w:ilvl w:val="0"/>
                <w:numId w:val="0"/>
              </w:numPr>
              <w:adjustRightInd w:val="0"/>
              <w:snapToGrid w:val="0"/>
              <w:spacing w:line="360" w:lineRule="auto"/>
              <w:ind w:firstLine="480" w:firstLineChars="200"/>
              <w:rPr>
                <w:rFonts w:hint="eastAsia"/>
                <w:color w:val="auto"/>
                <w:sz w:val="24"/>
              </w:rPr>
            </w:pPr>
            <w:r>
              <w:rPr>
                <w:rFonts w:hint="eastAsia"/>
                <w:color w:val="auto"/>
                <w:sz w:val="24"/>
                <w:lang w:val="en-US" w:eastAsia="zh-CN"/>
              </w:rPr>
              <w:t>e.</w:t>
            </w:r>
            <w:r>
              <w:rPr>
                <w:rFonts w:hint="eastAsia"/>
                <w:color w:val="auto"/>
                <w:sz w:val="24"/>
              </w:rPr>
              <w:t>道路建设施工结束后，临时占地应及时恢复，与原有地貌和景观协调。</w:t>
            </w:r>
          </w:p>
          <w:p w14:paraId="6E9A7831">
            <w:pPr>
              <w:adjustRightInd w:val="0"/>
              <w:snapToGrid w:val="0"/>
              <w:spacing w:line="360" w:lineRule="auto"/>
              <w:ind w:firstLine="480" w:firstLineChars="200"/>
              <w:rPr>
                <w:color w:val="auto"/>
                <w:sz w:val="24"/>
              </w:rPr>
            </w:pPr>
            <w:r>
              <w:rPr>
                <w:rFonts w:hint="eastAsia"/>
                <w:color w:val="auto"/>
                <w:sz w:val="24"/>
              </w:rPr>
              <w:t>③表土堆场</w:t>
            </w:r>
          </w:p>
          <w:p w14:paraId="3701CF69">
            <w:pPr>
              <w:adjustRightInd w:val="0"/>
              <w:snapToGrid w:val="0"/>
              <w:spacing w:line="360" w:lineRule="auto"/>
              <w:ind w:firstLine="480" w:firstLineChars="200"/>
              <w:rPr>
                <w:color w:val="auto"/>
                <w:sz w:val="24"/>
              </w:rPr>
            </w:pPr>
            <w:r>
              <w:rPr>
                <w:rFonts w:hint="eastAsia"/>
                <w:color w:val="auto"/>
                <w:sz w:val="24"/>
              </w:rPr>
              <w:t>矿山闭坑后将表土堆场的表土用于回填采坑区，对表土堆场地面进行平整，播撒草籽进行生态恢复，尽量恢复与周边地形地貌相协调及土地使用功能。</w:t>
            </w:r>
          </w:p>
          <w:p w14:paraId="5B7EC04A">
            <w:pPr>
              <w:adjustRightInd w:val="0"/>
              <w:snapToGrid w:val="0"/>
              <w:spacing w:line="360" w:lineRule="auto"/>
              <w:ind w:firstLine="480" w:firstLineChars="200"/>
              <w:rPr>
                <w:color w:val="auto"/>
                <w:sz w:val="24"/>
              </w:rPr>
            </w:pPr>
            <w:r>
              <w:rPr>
                <w:rFonts w:hint="eastAsia"/>
                <w:color w:val="auto"/>
                <w:sz w:val="24"/>
              </w:rPr>
              <w:t xml:space="preserve">④监测措施 </w:t>
            </w:r>
          </w:p>
          <w:p w14:paraId="28A3CC39">
            <w:pPr>
              <w:adjustRightInd w:val="0"/>
              <w:snapToGrid w:val="0"/>
              <w:spacing w:line="360" w:lineRule="auto"/>
              <w:ind w:firstLine="480" w:firstLineChars="200"/>
              <w:rPr>
                <w:color w:val="auto"/>
                <w:sz w:val="24"/>
              </w:rPr>
            </w:pPr>
            <w:r>
              <w:rPr>
                <w:rFonts w:hint="eastAsia"/>
                <w:color w:val="auto"/>
                <w:sz w:val="24"/>
              </w:rPr>
              <w:t xml:space="preserve">土地复垦监测工作是及时掌握土地损毁情况、保证复垦效果的重要手段。本方案复垦区的监测内容既包括各项复垦工作的实施范围、质量进度等，还包括土地损毁、生态环境恢复和污染等方面的监测。复垦监测应设置监测点和监测频率，监测点和监测频率应采取科学的技术方法进行合理优化设置。监测工作由矿山组织完成，对获取的监测数据要进行整理和汇总入库。 </w:t>
            </w:r>
          </w:p>
          <w:p w14:paraId="2EDE6B6B">
            <w:pPr>
              <w:adjustRightInd w:val="0"/>
              <w:snapToGrid w:val="0"/>
              <w:spacing w:line="360" w:lineRule="auto"/>
              <w:ind w:firstLine="480" w:firstLineChars="200"/>
              <w:rPr>
                <w:color w:val="auto"/>
                <w:sz w:val="24"/>
              </w:rPr>
            </w:pPr>
            <w:r>
              <w:rPr>
                <w:rFonts w:hint="eastAsia"/>
                <w:color w:val="auto"/>
                <w:sz w:val="24"/>
              </w:rPr>
              <w:t xml:space="preserve">⑤管护措施 </w:t>
            </w:r>
          </w:p>
          <w:p w14:paraId="25CBB101">
            <w:pPr>
              <w:adjustRightInd w:val="0"/>
              <w:snapToGrid w:val="0"/>
              <w:spacing w:line="360" w:lineRule="auto"/>
              <w:ind w:firstLine="480" w:firstLineChars="200"/>
              <w:rPr>
                <w:color w:val="auto"/>
                <w:sz w:val="24"/>
              </w:rPr>
            </w:pPr>
            <w:r>
              <w:rPr>
                <w:rFonts w:hint="eastAsia"/>
                <w:color w:val="auto"/>
                <w:sz w:val="24"/>
              </w:rPr>
              <w:t xml:space="preserve">复垦土地的管护主要针对重建植被的管护，主要措施有灌溉施肥、植被补种、病虫害防治和加强宣传等措施，该矿区土地复垦为自然恢复草地。 </w:t>
            </w:r>
          </w:p>
          <w:p w14:paraId="125231A2">
            <w:pPr>
              <w:adjustRightInd w:val="0"/>
              <w:snapToGrid w:val="0"/>
              <w:spacing w:line="360" w:lineRule="auto"/>
              <w:ind w:firstLine="480" w:firstLineChars="200"/>
              <w:rPr>
                <w:color w:val="auto"/>
                <w:sz w:val="24"/>
              </w:rPr>
            </w:pPr>
            <w:r>
              <w:rPr>
                <w:rFonts w:hint="eastAsia"/>
                <w:color w:val="auto"/>
                <w:sz w:val="24"/>
              </w:rPr>
              <w:t xml:space="preserve">矿山闭矿后，将矿区有建筑用砂清运外售，对场地进行平整处理，基本恢复原地形地貌景观，对地表进行覆土和种植植被，恢复原土地使用功能。 </w:t>
            </w:r>
          </w:p>
          <w:p w14:paraId="7646C527">
            <w:pPr>
              <w:adjustRightInd w:val="0"/>
              <w:snapToGrid w:val="0"/>
              <w:spacing w:line="360" w:lineRule="auto"/>
              <w:ind w:firstLine="480" w:firstLineChars="200"/>
              <w:rPr>
                <w:color w:val="auto"/>
                <w:sz w:val="24"/>
              </w:rPr>
            </w:pPr>
            <w:r>
              <w:rPr>
                <w:rFonts w:hint="eastAsia"/>
                <w:color w:val="auto"/>
                <w:sz w:val="24"/>
              </w:rPr>
              <w:t>（</w:t>
            </w:r>
            <w:r>
              <w:rPr>
                <w:color w:val="auto"/>
                <w:sz w:val="24"/>
              </w:rPr>
              <w:t>4</w:t>
            </w:r>
            <w:r>
              <w:rPr>
                <w:rFonts w:hint="eastAsia"/>
                <w:color w:val="auto"/>
                <w:sz w:val="24"/>
              </w:rPr>
              <w:t xml:space="preserve">）崩塌、滑坡地质灾害防治工程及措施 </w:t>
            </w:r>
          </w:p>
          <w:p w14:paraId="140656F1">
            <w:pPr>
              <w:adjustRightInd w:val="0"/>
              <w:snapToGrid w:val="0"/>
              <w:spacing w:line="360" w:lineRule="auto"/>
              <w:ind w:firstLine="480" w:firstLineChars="200"/>
              <w:rPr>
                <w:color w:val="auto"/>
                <w:sz w:val="24"/>
              </w:rPr>
            </w:pPr>
            <w:r>
              <w:rPr>
                <w:rFonts w:hint="eastAsia"/>
                <w:color w:val="auto"/>
                <w:sz w:val="24"/>
              </w:rPr>
              <w:t xml:space="preserve">露天采场工作台面高陡边坡易引发崩塌地质灾害，主要防治工程如下： </w:t>
            </w:r>
          </w:p>
          <w:p w14:paraId="52421312">
            <w:pPr>
              <w:adjustRightInd w:val="0"/>
              <w:snapToGrid w:val="0"/>
              <w:spacing w:line="360" w:lineRule="auto"/>
              <w:ind w:firstLine="480" w:firstLineChars="200"/>
              <w:rPr>
                <w:color w:val="auto"/>
                <w:sz w:val="24"/>
              </w:rPr>
            </w:pPr>
            <w:r>
              <w:rPr>
                <w:rFonts w:hint="eastAsia"/>
                <w:color w:val="auto"/>
                <w:sz w:val="24"/>
              </w:rPr>
              <w:t>基建期沿露天采矿场外围3米设置围栏、警示牌，警示牌内容为</w:t>
            </w:r>
            <w:r>
              <w:rPr>
                <w:color w:val="auto"/>
                <w:sz w:val="24"/>
              </w:rPr>
              <w:t>“</w:t>
            </w:r>
            <w:r>
              <w:rPr>
                <w:rFonts w:hint="eastAsia"/>
                <w:color w:val="auto"/>
                <w:sz w:val="24"/>
              </w:rPr>
              <w:t>规范施工，预防崩塌、滑坡地质灾害发生</w:t>
            </w:r>
            <w:r>
              <w:rPr>
                <w:color w:val="auto"/>
                <w:sz w:val="24"/>
              </w:rPr>
              <w:t>”</w:t>
            </w:r>
            <w:r>
              <w:rPr>
                <w:rFonts w:hint="eastAsia"/>
                <w:color w:val="auto"/>
                <w:sz w:val="24"/>
              </w:rPr>
              <w:t>和</w:t>
            </w:r>
            <w:r>
              <w:rPr>
                <w:color w:val="auto"/>
                <w:sz w:val="24"/>
              </w:rPr>
              <w:t>“</w:t>
            </w:r>
            <w:r>
              <w:rPr>
                <w:rFonts w:hint="eastAsia"/>
                <w:color w:val="auto"/>
                <w:sz w:val="24"/>
              </w:rPr>
              <w:t>进入采场，注意滚石伤人</w:t>
            </w:r>
            <w:r>
              <w:rPr>
                <w:color w:val="auto"/>
                <w:sz w:val="24"/>
              </w:rPr>
              <w:t>”</w:t>
            </w:r>
            <w:r>
              <w:rPr>
                <w:rFonts w:hint="eastAsia"/>
                <w:color w:val="auto"/>
                <w:sz w:val="24"/>
              </w:rPr>
              <w:t xml:space="preserve">。 </w:t>
            </w:r>
          </w:p>
          <w:p w14:paraId="4BE28A3B">
            <w:pPr>
              <w:adjustRightInd w:val="0"/>
              <w:snapToGrid w:val="0"/>
              <w:spacing w:line="360" w:lineRule="auto"/>
              <w:ind w:firstLine="480" w:firstLineChars="200"/>
              <w:rPr>
                <w:color w:val="auto"/>
                <w:sz w:val="24"/>
              </w:rPr>
            </w:pPr>
            <w:r>
              <w:rPr>
                <w:rFonts w:hint="eastAsia"/>
                <w:color w:val="auto"/>
                <w:sz w:val="24"/>
              </w:rPr>
              <w:t xml:space="preserve">根据开发利用方案，露天采场开采境界外修建截水沟，各开采水平安全兼清扫平台设置排水沟。此工作由矿山自行安排进行，工作费用计入矿山开采成本。 </w:t>
            </w:r>
          </w:p>
          <w:p w14:paraId="4CDDDA77">
            <w:pPr>
              <w:adjustRightInd w:val="0"/>
              <w:snapToGrid w:val="0"/>
              <w:spacing w:line="360" w:lineRule="auto"/>
              <w:ind w:firstLine="480" w:firstLineChars="200"/>
              <w:rPr>
                <w:color w:val="auto"/>
                <w:sz w:val="24"/>
              </w:rPr>
            </w:pPr>
            <w:r>
              <w:rPr>
                <w:rFonts w:hint="eastAsia"/>
                <w:color w:val="auto"/>
                <w:sz w:val="24"/>
              </w:rPr>
              <w:t xml:space="preserve">采矿过程中按设计要求开挖采矿场边坡，禁止超过设计边坡稳定角；随时监测各帮边坡稳定性，采矿场出现小规模崩塌、滑坡隐患时，及时清理边坡。若出现大规模的崩滑灾害时，应及时疏散采矿场内施工人员和设备，对产生崩塌、滑坡处进行工程勘察，在地质灾害专项勘察、设计的基础上进行治理工程。 </w:t>
            </w:r>
          </w:p>
          <w:p w14:paraId="7612E9AF">
            <w:pPr>
              <w:adjustRightInd w:val="0"/>
              <w:snapToGrid w:val="0"/>
              <w:spacing w:line="360" w:lineRule="auto"/>
              <w:ind w:firstLine="480" w:firstLineChars="200"/>
              <w:rPr>
                <w:color w:val="auto"/>
                <w:sz w:val="24"/>
              </w:rPr>
            </w:pPr>
            <w:r>
              <w:rPr>
                <w:rFonts w:hint="eastAsia"/>
                <w:color w:val="auto"/>
                <w:sz w:val="24"/>
              </w:rPr>
              <w:t>露天开采结束后，对不稳定边坡地段进行削坡治理，避免采坑坑壁出现崩塌、滑坡等地质灾害，保留露天采坑外围的围栏和警示牌。</w:t>
            </w:r>
          </w:p>
          <w:p w14:paraId="4E9BD256">
            <w:pPr>
              <w:adjustRightInd w:val="0"/>
              <w:snapToGrid w:val="0"/>
              <w:spacing w:line="360" w:lineRule="auto"/>
              <w:ind w:firstLine="480" w:firstLineChars="200"/>
              <w:rPr>
                <w:color w:val="auto"/>
                <w:sz w:val="24"/>
              </w:rPr>
            </w:pPr>
            <w:r>
              <w:rPr>
                <w:color w:val="auto"/>
                <w:sz w:val="24"/>
              </w:rPr>
              <w:t>本项目主要生态环境保护措施设计图</w:t>
            </w:r>
            <w:r>
              <w:rPr>
                <w:rFonts w:hint="eastAsia"/>
                <w:color w:val="auto"/>
                <w:sz w:val="24"/>
              </w:rPr>
              <w:t>见图5-1。</w:t>
            </w:r>
          </w:p>
          <w:p w14:paraId="4AE11F82">
            <w:pPr>
              <w:numPr>
                <w:ilvl w:val="0"/>
                <w:numId w:val="8"/>
              </w:numPr>
              <w:adjustRightInd w:val="0"/>
              <w:snapToGrid w:val="0"/>
              <w:spacing w:line="360" w:lineRule="auto"/>
              <w:rPr>
                <w:b/>
                <w:bCs/>
                <w:color w:val="auto"/>
                <w:sz w:val="24"/>
              </w:rPr>
            </w:pPr>
            <w:r>
              <w:rPr>
                <w:rFonts w:hint="eastAsia"/>
                <w:b/>
                <w:bCs/>
                <w:color w:val="auto"/>
                <w:sz w:val="24"/>
              </w:rPr>
              <w:t>运营期大气污染防治措施</w:t>
            </w:r>
          </w:p>
          <w:p w14:paraId="39829824">
            <w:pPr>
              <w:adjustRightInd w:val="0"/>
              <w:snapToGrid w:val="0"/>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 xml:space="preserve">）露天开采粉尘 </w:t>
            </w:r>
          </w:p>
          <w:p w14:paraId="621375B7">
            <w:pPr>
              <w:pStyle w:val="16"/>
              <w:snapToGrid/>
              <w:spacing w:before="0" w:after="0" w:line="360" w:lineRule="auto"/>
              <w:ind w:right="0" w:firstLine="480" w:firstLineChars="200"/>
              <w:rPr>
                <w:color w:val="auto"/>
                <w:sz w:val="24"/>
              </w:rPr>
            </w:pPr>
            <w:r>
              <w:rPr>
                <w:rFonts w:hint="eastAsia"/>
                <w:color w:val="auto"/>
                <w:sz w:val="24"/>
              </w:rPr>
              <w:t>本项目建筑用砂露天开采项目，挖掘过程中会产生无组织粉尘，开采作业面及建筑用砂装卸过程中采用雾炮机水雾增湿除尘方式降尘、规定开采方式、大风天气不得生产、分区分片开采等措施处理，以减少工作面及装卸过程中的粉尘产生量。另外开采至矿区边界时，在靠近</w:t>
            </w:r>
            <w:r>
              <w:rPr>
                <w:rFonts w:hint="eastAsia"/>
                <w:color w:val="auto"/>
                <w:sz w:val="24"/>
                <w:lang w:val="en-US" w:eastAsia="zh-CN"/>
              </w:rPr>
              <w:t>南侧</w:t>
            </w:r>
            <w:r>
              <w:rPr>
                <w:rFonts w:hint="eastAsia"/>
                <w:color w:val="auto"/>
                <w:sz w:val="24"/>
              </w:rPr>
              <w:t>养殖区</w:t>
            </w:r>
            <w:r>
              <w:rPr>
                <w:rFonts w:hint="eastAsia"/>
                <w:color w:val="auto"/>
                <w:sz w:val="24"/>
                <w:lang w:val="en-US" w:eastAsia="zh-CN"/>
              </w:rPr>
              <w:t>和西北方向零星住户</w:t>
            </w:r>
            <w:r>
              <w:rPr>
                <w:rFonts w:hint="eastAsia"/>
                <w:color w:val="auto"/>
                <w:sz w:val="24"/>
              </w:rPr>
              <w:t>一侧</w:t>
            </w:r>
            <w:r>
              <w:rPr>
                <w:rFonts w:hint="eastAsia"/>
                <w:color w:val="auto"/>
                <w:sz w:val="24"/>
                <w:lang w:val="en-US" w:eastAsia="zh-CN"/>
              </w:rPr>
              <w:t>开采作业时</w:t>
            </w:r>
            <w:r>
              <w:rPr>
                <w:rFonts w:hint="eastAsia"/>
                <w:color w:val="auto"/>
                <w:sz w:val="24"/>
              </w:rPr>
              <w:t>设置围挡</w:t>
            </w:r>
            <w:r>
              <w:rPr>
                <w:rFonts w:hint="eastAsia"/>
                <w:color w:val="auto"/>
                <w:sz w:val="24"/>
                <w:lang w:eastAsia="zh-CN"/>
              </w:rPr>
              <w:t>，</w:t>
            </w:r>
            <w:r>
              <w:rPr>
                <w:rFonts w:hint="eastAsia"/>
                <w:color w:val="auto"/>
                <w:sz w:val="24"/>
                <w:lang w:val="en-US" w:eastAsia="zh-CN"/>
              </w:rPr>
              <w:t>可有效降低开采扬尘对保护目标的影响</w:t>
            </w:r>
            <w:r>
              <w:rPr>
                <w:rFonts w:hint="eastAsia"/>
                <w:color w:val="auto"/>
                <w:sz w:val="24"/>
              </w:rPr>
              <w:t>。</w:t>
            </w:r>
          </w:p>
          <w:p w14:paraId="1F97E91D">
            <w:pPr>
              <w:pStyle w:val="16"/>
              <w:snapToGrid/>
              <w:spacing w:before="0" w:after="0" w:line="360" w:lineRule="auto"/>
              <w:ind w:right="0" w:firstLine="480" w:firstLineChars="200"/>
              <w:rPr>
                <w:color w:val="auto"/>
                <w:sz w:val="24"/>
              </w:rPr>
            </w:pPr>
            <w:r>
              <w:rPr>
                <w:rFonts w:hint="eastAsia"/>
                <w:color w:val="auto"/>
                <w:sz w:val="24"/>
              </w:rPr>
              <w:t xml:space="preserve">（2）堆场粉尘治理 </w:t>
            </w:r>
          </w:p>
          <w:p w14:paraId="21D6CC23">
            <w:pPr>
              <w:pStyle w:val="16"/>
              <w:snapToGrid/>
              <w:spacing w:before="0" w:after="0" w:line="360" w:lineRule="auto"/>
              <w:ind w:right="0" w:firstLine="480" w:firstLineChars="200"/>
              <w:rPr>
                <w:color w:val="auto"/>
                <w:sz w:val="24"/>
              </w:rPr>
            </w:pPr>
            <w:r>
              <w:rPr>
                <w:rFonts w:hint="eastAsia"/>
                <w:color w:val="auto"/>
                <w:sz w:val="24"/>
              </w:rPr>
              <w:t>评价要求对表土堆场设计远离养殖区及零星住户等环境敏感点，堆场采用防尘网苫盖及洒水措施，减少风力扬尘；装卸作业时降低装卸高度，也要尽可能选择无风或微风的天气条件下进行装卸，并规范作业；因此装卸过程中产生的粉尘量以及堆场风力起尘量较少，不会对周围环境造成明显的粉尘影响。</w:t>
            </w:r>
          </w:p>
          <w:p w14:paraId="486222F2">
            <w:pPr>
              <w:pStyle w:val="16"/>
              <w:snapToGrid/>
              <w:spacing w:before="0" w:after="0" w:line="360" w:lineRule="auto"/>
              <w:ind w:right="0" w:firstLine="480" w:firstLineChars="200"/>
              <w:rPr>
                <w:color w:val="auto"/>
                <w:sz w:val="24"/>
              </w:rPr>
            </w:pPr>
            <w:r>
              <w:rPr>
                <w:rFonts w:hint="eastAsia"/>
                <w:color w:val="auto"/>
                <w:sz w:val="24"/>
              </w:rPr>
              <w:t>（</w:t>
            </w:r>
            <w:r>
              <w:rPr>
                <w:color w:val="auto"/>
                <w:sz w:val="24"/>
              </w:rPr>
              <w:t>3</w:t>
            </w:r>
            <w:r>
              <w:rPr>
                <w:rFonts w:hint="eastAsia"/>
                <w:color w:val="auto"/>
                <w:sz w:val="24"/>
              </w:rPr>
              <w:t xml:space="preserve">）运输粉尘治理 </w:t>
            </w:r>
          </w:p>
          <w:p w14:paraId="77E37BA5">
            <w:pPr>
              <w:pStyle w:val="16"/>
              <w:snapToGrid/>
              <w:spacing w:before="0" w:after="0" w:line="360" w:lineRule="auto"/>
              <w:ind w:right="0" w:firstLine="480" w:firstLineChars="200"/>
              <w:rPr>
                <w:color w:val="auto"/>
                <w:sz w:val="24"/>
              </w:rPr>
            </w:pPr>
            <w:r>
              <w:rPr>
                <w:rFonts w:hint="eastAsia"/>
                <w:color w:val="auto"/>
                <w:sz w:val="24"/>
              </w:rPr>
              <w:t xml:space="preserve">针对运输过程中产生的无组织扬尘，本项目采取苫布遮盖密闭运输；控制运输车辆行驶速度及装载量，减少物料转运环节，缩短物料运输距离，严禁在大风及暴雨天气进行物料采装、运输等措施，可有效控制运输扬尘。 </w:t>
            </w:r>
          </w:p>
          <w:p w14:paraId="6D0B720F">
            <w:pPr>
              <w:pStyle w:val="16"/>
              <w:snapToGrid/>
              <w:spacing w:before="0" w:after="0" w:line="360" w:lineRule="auto"/>
              <w:ind w:right="0" w:firstLine="480" w:firstLineChars="200"/>
              <w:rPr>
                <w:color w:val="auto"/>
                <w:sz w:val="24"/>
              </w:rPr>
            </w:pPr>
            <w:r>
              <w:rPr>
                <w:rFonts w:hint="eastAsia"/>
                <w:color w:val="auto"/>
                <w:sz w:val="24"/>
              </w:rPr>
              <w:t xml:space="preserve">矿区道路为砂石路面，运输产尘量较大，评价要求： </w:t>
            </w:r>
          </w:p>
          <w:p w14:paraId="6B2392DF">
            <w:pPr>
              <w:pStyle w:val="16"/>
              <w:snapToGrid/>
              <w:spacing w:before="0" w:after="0" w:line="360" w:lineRule="auto"/>
              <w:ind w:right="0" w:firstLine="480" w:firstLineChars="200"/>
              <w:rPr>
                <w:color w:val="auto"/>
                <w:sz w:val="24"/>
              </w:rPr>
            </w:pPr>
            <w:r>
              <w:rPr>
                <w:rFonts w:hint="eastAsia"/>
                <w:color w:val="auto"/>
                <w:sz w:val="24"/>
              </w:rPr>
              <w:t xml:space="preserve">①对现状道路进行路面整理，路面进行硬化处理。 </w:t>
            </w:r>
          </w:p>
          <w:p w14:paraId="4EC664BB">
            <w:pPr>
              <w:pStyle w:val="16"/>
              <w:snapToGrid/>
              <w:spacing w:before="0" w:after="0" w:line="360" w:lineRule="auto"/>
              <w:ind w:right="0" w:firstLine="480" w:firstLineChars="200"/>
              <w:rPr>
                <w:color w:val="auto"/>
                <w:sz w:val="24"/>
              </w:rPr>
            </w:pPr>
            <w:r>
              <w:rPr>
                <w:rFonts w:hint="eastAsia"/>
                <w:color w:val="auto"/>
                <w:sz w:val="24"/>
              </w:rPr>
              <w:t>②</w:t>
            </w:r>
            <w:r>
              <w:rPr>
                <w:rFonts w:hint="eastAsia"/>
                <w:color w:val="auto"/>
                <w:sz w:val="24"/>
                <w:lang w:val="en-US" w:eastAsia="zh-CN"/>
              </w:rPr>
              <w:t>对车辆进行清洗，降低扬尘产生。</w:t>
            </w:r>
            <w:r>
              <w:rPr>
                <w:rFonts w:hint="eastAsia"/>
                <w:color w:val="auto"/>
                <w:sz w:val="24"/>
              </w:rPr>
              <w:t>定时在路面洒水，干旱、多风季节应增加洒水次数（一般天气状况应不少于</w:t>
            </w:r>
            <w:r>
              <w:rPr>
                <w:color w:val="auto"/>
                <w:sz w:val="24"/>
              </w:rPr>
              <w:t>3</w:t>
            </w:r>
            <w:r>
              <w:rPr>
                <w:rFonts w:hint="eastAsia"/>
                <w:color w:val="auto"/>
                <w:sz w:val="24"/>
              </w:rPr>
              <w:t>次</w:t>
            </w:r>
            <w:r>
              <w:rPr>
                <w:color w:val="auto"/>
                <w:sz w:val="24"/>
              </w:rPr>
              <w:t>/</w:t>
            </w:r>
            <w:r>
              <w:rPr>
                <w:rFonts w:hint="eastAsia"/>
                <w:color w:val="auto"/>
                <w:sz w:val="24"/>
              </w:rPr>
              <w:t xml:space="preserve">日），以保持下垫面和空气湿润，减少起尘量。 </w:t>
            </w:r>
          </w:p>
          <w:p w14:paraId="2C132D2E">
            <w:pPr>
              <w:pStyle w:val="16"/>
              <w:snapToGrid/>
              <w:spacing w:before="0" w:after="0" w:line="360" w:lineRule="auto"/>
              <w:ind w:right="0" w:firstLine="480" w:firstLineChars="200"/>
              <w:rPr>
                <w:color w:val="auto"/>
                <w:sz w:val="24"/>
              </w:rPr>
            </w:pPr>
            <w:r>
              <w:rPr>
                <w:rFonts w:hint="eastAsia"/>
                <w:color w:val="auto"/>
                <w:sz w:val="24"/>
              </w:rPr>
              <w:t>③对进出矿区的运输车辆严禁超载，降低装卸高度，禁止大风天作业，运输车辆遮盖篷布，减少车辆扬尘对道路沿线养殖区的影响。</w:t>
            </w:r>
          </w:p>
          <w:p w14:paraId="76B90FFB">
            <w:pPr>
              <w:pStyle w:val="16"/>
              <w:snapToGrid/>
              <w:spacing w:before="0" w:after="0" w:line="360" w:lineRule="auto"/>
              <w:ind w:right="0" w:firstLine="480" w:firstLineChars="200"/>
              <w:rPr>
                <w:color w:val="auto"/>
                <w:sz w:val="24"/>
              </w:rPr>
            </w:pPr>
            <w:r>
              <w:rPr>
                <w:rFonts w:hint="eastAsia"/>
                <w:color w:val="auto"/>
                <w:sz w:val="24"/>
              </w:rPr>
              <w:t>采取上述措施后厂区无组织颗粒物能够满足《大气污染物综合排放标准》（</w:t>
            </w:r>
            <w:r>
              <w:rPr>
                <w:color w:val="auto"/>
                <w:sz w:val="24"/>
              </w:rPr>
              <w:t>GB16297-1996</w:t>
            </w:r>
            <w:r>
              <w:rPr>
                <w:rFonts w:hint="eastAsia"/>
                <w:color w:val="auto"/>
                <w:sz w:val="24"/>
              </w:rPr>
              <w:t>）中表</w:t>
            </w:r>
            <w:r>
              <w:rPr>
                <w:color w:val="auto"/>
                <w:sz w:val="24"/>
              </w:rPr>
              <w:t>2</w:t>
            </w:r>
            <w:r>
              <w:rPr>
                <w:rFonts w:hint="eastAsia"/>
                <w:color w:val="auto"/>
                <w:sz w:val="24"/>
              </w:rPr>
              <w:t>无组织颗粒物排放监控浓度限值（</w:t>
            </w:r>
            <w:r>
              <w:rPr>
                <w:color w:val="auto"/>
                <w:sz w:val="24"/>
              </w:rPr>
              <w:t>1.0mg/m</w:t>
            </w:r>
            <w:r>
              <w:rPr>
                <w:color w:val="auto"/>
                <w:sz w:val="24"/>
                <w:vertAlign w:val="superscript"/>
              </w:rPr>
              <w:t>3</w:t>
            </w:r>
            <w:r>
              <w:rPr>
                <w:rFonts w:hint="eastAsia"/>
                <w:color w:val="auto"/>
                <w:sz w:val="24"/>
              </w:rPr>
              <w:t>）要求。</w:t>
            </w:r>
          </w:p>
          <w:p w14:paraId="34A6FAF5">
            <w:pPr>
              <w:pStyle w:val="16"/>
              <w:snapToGrid/>
              <w:spacing w:before="0" w:after="0" w:line="360" w:lineRule="auto"/>
              <w:ind w:right="0"/>
              <w:jc w:val="left"/>
              <w:rPr>
                <w:b/>
                <w:bCs/>
                <w:color w:val="auto"/>
                <w:sz w:val="24"/>
              </w:rPr>
            </w:pPr>
            <w:r>
              <w:rPr>
                <w:rFonts w:hint="eastAsia"/>
                <w:b/>
                <w:bCs/>
                <w:color w:val="auto"/>
                <w:sz w:val="24"/>
              </w:rPr>
              <w:t>3、废水污染防治措施</w:t>
            </w:r>
          </w:p>
          <w:p w14:paraId="0BE4D80E">
            <w:pPr>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本项目用水主要为露天采场、表土堆场、矿区道路等洒水降尘用水</w:t>
            </w:r>
            <w:r>
              <w:rPr>
                <w:rFonts w:hint="eastAsia" w:cs="Times New Roman"/>
                <w:color w:val="auto"/>
                <w:sz w:val="24"/>
                <w:lang w:val="en-US" w:eastAsia="zh-CN"/>
              </w:rPr>
              <w:t>和车辆清洗用水</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其中</w:t>
            </w:r>
            <w:r>
              <w:rPr>
                <w:rFonts w:hint="eastAsia" w:ascii="Times New Roman" w:hAnsi="Times New Roman" w:eastAsia="宋体" w:cs="Times New Roman"/>
                <w:color w:val="auto"/>
                <w:sz w:val="24"/>
                <w:lang w:val="en-US" w:eastAsia="zh-CN"/>
              </w:rPr>
              <w:t>降尘用水全部自然蒸发。项目车辆清洗对水质要求不高，车辆清洗废水经沉淀后完全可以回用于车辆清洗，不外排，项目损耗部分定期补充自来水。因此，本项目车辆清洗废水回用于车辆清洗切实可行，对周围环境不会产生显著影响。</w:t>
            </w:r>
          </w:p>
          <w:p w14:paraId="2845F704">
            <w:pPr>
              <w:adjustRightInd w:val="0"/>
              <w:snapToGrid w:val="0"/>
              <w:spacing w:line="360" w:lineRule="auto"/>
              <w:ind w:firstLine="480" w:firstLineChars="200"/>
              <w:rPr>
                <w:rFonts w:hint="eastAsia"/>
                <w:color w:val="auto"/>
                <w:sz w:val="24"/>
              </w:rPr>
            </w:pPr>
            <w:r>
              <w:rPr>
                <w:rFonts w:hint="eastAsia"/>
                <w:color w:val="auto"/>
                <w:sz w:val="24"/>
              </w:rPr>
              <w:t>运营期劳动定员20人，正常情况下每天排尿量约为1000—2000mL，每日排放量</w:t>
            </w:r>
            <w:r>
              <w:rPr>
                <w:rFonts w:hint="eastAsia"/>
                <w:color w:val="auto"/>
                <w:sz w:val="24"/>
                <w:lang w:val="en-US" w:eastAsia="zh-CN"/>
              </w:rPr>
              <w:t>4</w:t>
            </w:r>
            <w:r>
              <w:rPr>
                <w:rFonts w:hint="eastAsia"/>
                <w:color w:val="auto"/>
                <w:sz w:val="24"/>
              </w:rPr>
              <w:t>0L，</w:t>
            </w:r>
            <w:r>
              <w:rPr>
                <w:rFonts w:hint="eastAsia"/>
                <w:color w:val="auto"/>
                <w:sz w:val="24"/>
                <w:lang w:val="en-US" w:eastAsia="zh-CN"/>
              </w:rPr>
              <w:t>年排放量10m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矿区设1处环保厕所</w:t>
            </w:r>
            <w:r>
              <w:rPr>
                <w:rFonts w:hint="eastAsia"/>
                <w:color w:val="auto"/>
                <w:sz w:val="24"/>
                <w:lang w:val="en-US" w:eastAsia="zh-CN"/>
              </w:rPr>
              <w:t>和1座防渗化粪池（15m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，人员如厕废水</w:t>
            </w:r>
            <w:r>
              <w:rPr>
                <w:rFonts w:hint="eastAsia"/>
                <w:color w:val="auto"/>
                <w:sz w:val="24"/>
                <w:lang w:val="en-US" w:eastAsia="zh-CN"/>
              </w:rPr>
              <w:t>暂存于防渗化粪池，每年至少清理1次，采用</w:t>
            </w:r>
            <w:r>
              <w:rPr>
                <w:rFonts w:hint="eastAsia"/>
                <w:color w:val="auto"/>
                <w:sz w:val="24"/>
              </w:rPr>
              <w:t>吸污车拉运至奇台县污水处理厂进一步处理。</w:t>
            </w:r>
          </w:p>
          <w:p w14:paraId="5788A7B0">
            <w:pPr>
              <w:topLinePunct/>
              <w:spacing w:line="360" w:lineRule="auto"/>
              <w:ind w:firstLine="480" w:firstLineChars="200"/>
              <w:rPr>
                <w:color w:val="auto"/>
                <w:sz w:val="24"/>
              </w:rPr>
            </w:pPr>
            <w:r>
              <w:rPr>
                <w:rFonts w:hint="eastAsia"/>
                <w:color w:val="auto"/>
                <w:sz w:val="24"/>
              </w:rPr>
              <w:t>奇台县污水处理厂位于奇台县西北13.8km，地理位置坐标东经89°27′55.08"，北纬44°07′44.10"。工艺为“氧化沟生化段+MBR膜生物反应器”，污水处理能力2.5万m</w:t>
            </w:r>
            <w:r>
              <w:rPr>
                <w:rFonts w:hint="eastAsia"/>
                <w:color w:val="auto"/>
                <w:sz w:val="24"/>
                <w:vertAlign w:val="superscript"/>
              </w:rPr>
              <w:t>3</w:t>
            </w:r>
            <w:r>
              <w:rPr>
                <w:rFonts w:hint="eastAsia"/>
                <w:color w:val="auto"/>
                <w:sz w:val="24"/>
              </w:rPr>
              <w:t>/d，目前，该污水处理厂全年处理污水量近2万m</w:t>
            </w:r>
            <w:r>
              <w:rPr>
                <w:rFonts w:hint="eastAsia"/>
                <w:color w:val="auto"/>
                <w:sz w:val="24"/>
                <w:vertAlign w:val="superscript"/>
              </w:rPr>
              <w:t>3</w:t>
            </w:r>
            <w:r>
              <w:rPr>
                <w:rFonts w:hint="eastAsia"/>
                <w:color w:val="auto"/>
                <w:sz w:val="24"/>
              </w:rPr>
              <w:t>，污水处理采用生物滤池法进行处理，排放标准，出水水质为《城镇污水处理厂污染物排放标准》（GB18918-2002）中的一级A标准，污水处理厂的废水经处理后，通过管道排入北部沙漠用于生态林建设，冬季贮存于沙漠地带的中水库，批复文号为昌州环评〔2016〕61号。</w:t>
            </w:r>
          </w:p>
          <w:p w14:paraId="714FF614">
            <w:pPr>
              <w:topLinePunct/>
              <w:spacing w:line="360" w:lineRule="auto"/>
              <w:ind w:firstLine="480" w:firstLineChars="200"/>
              <w:rPr>
                <w:color w:val="auto"/>
                <w:sz w:val="24"/>
              </w:rPr>
            </w:pPr>
            <w:r>
              <w:rPr>
                <w:rFonts w:hint="eastAsia"/>
                <w:color w:val="auto"/>
                <w:sz w:val="24"/>
              </w:rPr>
              <w:t>项目于2018年4月进行环保验收，污水处理厂进水水质要求：COD：500-1267mg/L、BOD</w:t>
            </w:r>
            <w:r>
              <w:rPr>
                <w:rFonts w:hint="eastAsia"/>
                <w:color w:val="auto"/>
                <w:sz w:val="24"/>
                <w:vertAlign w:val="subscript"/>
              </w:rPr>
              <w:t>5</w:t>
            </w:r>
            <w:r>
              <w:rPr>
                <w:rFonts w:hint="eastAsia"/>
                <w:color w:val="auto"/>
                <w:sz w:val="24"/>
              </w:rPr>
              <w:t>：300-457mg/L、SS：206-400mg/L、NH</w:t>
            </w:r>
            <w:r>
              <w:rPr>
                <w:rFonts w:hint="eastAsia"/>
                <w:color w:val="auto"/>
                <w:sz w:val="24"/>
                <w:vertAlign w:val="subscript"/>
              </w:rPr>
              <w:t>3</w:t>
            </w:r>
            <w:r>
              <w:rPr>
                <w:rFonts w:hint="eastAsia"/>
                <w:color w:val="auto"/>
                <w:sz w:val="24"/>
              </w:rPr>
              <w:t>-N：35-58mg/L。</w:t>
            </w:r>
          </w:p>
          <w:p w14:paraId="6F5A5BA3">
            <w:pPr>
              <w:topLinePunct/>
              <w:spacing w:line="360" w:lineRule="auto"/>
              <w:ind w:firstLine="480" w:firstLineChars="200"/>
              <w:rPr>
                <w:color w:val="auto"/>
                <w:sz w:val="24"/>
              </w:rPr>
            </w:pPr>
            <w:r>
              <w:rPr>
                <w:rFonts w:hint="eastAsia"/>
                <w:color w:val="auto"/>
                <w:sz w:val="24"/>
              </w:rPr>
              <w:t>本项目如厕废水年排放量</w:t>
            </w:r>
            <w:r>
              <w:rPr>
                <w:rFonts w:hint="eastAsia"/>
                <w:color w:val="auto"/>
                <w:sz w:val="24"/>
                <w:lang w:val="en-US" w:eastAsia="zh-CN"/>
              </w:rPr>
              <w:t>10</w:t>
            </w:r>
            <w:r>
              <w:rPr>
                <w:rFonts w:hint="eastAsia"/>
                <w:color w:val="auto"/>
                <w:sz w:val="24"/>
              </w:rPr>
              <w:t>m</w:t>
            </w:r>
            <w:r>
              <w:rPr>
                <w:rFonts w:hint="eastAsia"/>
                <w:color w:val="auto"/>
                <w:sz w:val="24"/>
                <w:vertAlign w:val="superscript"/>
              </w:rPr>
              <w:t>3</w:t>
            </w:r>
            <w:r>
              <w:rPr>
                <w:rFonts w:hint="eastAsia"/>
                <w:color w:val="auto"/>
                <w:sz w:val="24"/>
              </w:rPr>
              <w:t>，环保厕所</w:t>
            </w:r>
            <w:r>
              <w:rPr>
                <w:rFonts w:hint="eastAsia"/>
                <w:color w:val="auto"/>
                <w:sz w:val="24"/>
                <w:lang w:val="en-US" w:eastAsia="zh-CN"/>
              </w:rPr>
              <w:t>配套建设1座15m</w:t>
            </w:r>
            <w:r>
              <w:rPr>
                <w:rFonts w:hint="eastAsia"/>
                <w:color w:val="auto"/>
                <w:sz w:val="24"/>
                <w:vertAlign w:val="superscript"/>
                <w:lang w:val="en-US" w:eastAsia="zh-CN"/>
              </w:rPr>
              <w:t>3</w:t>
            </w:r>
            <w:r>
              <w:rPr>
                <w:rFonts w:hint="eastAsia"/>
                <w:color w:val="auto"/>
                <w:sz w:val="24"/>
                <w:lang w:val="en-US" w:eastAsia="zh-CN"/>
              </w:rPr>
              <w:t>防渗化粪池</w:t>
            </w:r>
            <w:r>
              <w:rPr>
                <w:rFonts w:hint="eastAsia"/>
                <w:color w:val="auto"/>
                <w:sz w:val="24"/>
              </w:rPr>
              <w:t>，将如厕废水</w:t>
            </w:r>
            <w:r>
              <w:rPr>
                <w:rFonts w:hint="eastAsia"/>
                <w:color w:val="auto"/>
                <w:sz w:val="24"/>
                <w:lang w:val="en-US" w:eastAsia="zh-CN"/>
              </w:rPr>
              <w:t>排入防渗化粪池，定期由吸污车</w:t>
            </w:r>
            <w:r>
              <w:rPr>
                <w:rFonts w:hint="eastAsia"/>
                <w:color w:val="auto"/>
                <w:sz w:val="24"/>
              </w:rPr>
              <w:t>清运至奇台县污水处理厂处置是合理可行的。</w:t>
            </w:r>
          </w:p>
          <w:p w14:paraId="7A4F14BE">
            <w:pPr>
              <w:adjustRightInd w:val="0"/>
              <w:snapToGrid w:val="0"/>
              <w:spacing w:line="360" w:lineRule="auto"/>
              <w:rPr>
                <w:b/>
                <w:bCs/>
                <w:color w:val="auto"/>
                <w:sz w:val="24"/>
              </w:rPr>
            </w:pPr>
            <w:r>
              <w:rPr>
                <w:rFonts w:hint="eastAsia"/>
                <w:b/>
                <w:bCs/>
                <w:color w:val="auto"/>
                <w:sz w:val="24"/>
              </w:rPr>
              <w:t>4、噪声防治措施</w:t>
            </w:r>
          </w:p>
          <w:p w14:paraId="46DBB56F">
            <w:pPr>
              <w:pStyle w:val="16"/>
              <w:snapToGrid/>
              <w:spacing w:before="0" w:after="0" w:line="360" w:lineRule="auto"/>
              <w:ind w:right="0" w:firstLine="480" w:firstLineChars="200"/>
              <w:rPr>
                <w:color w:val="auto"/>
                <w:sz w:val="24"/>
              </w:rPr>
            </w:pPr>
            <w:r>
              <w:rPr>
                <w:rFonts w:hint="eastAsia"/>
                <w:color w:val="auto"/>
                <w:sz w:val="24"/>
              </w:rPr>
              <w:t>本项目噪声源主要为挖掘机、装载机等。针对建筑用砂开采及运输过程产生的噪声，本项目拟采取以下噪声治理措施：</w:t>
            </w:r>
          </w:p>
          <w:p w14:paraId="75CC3944">
            <w:pPr>
              <w:pStyle w:val="16"/>
              <w:snapToGrid/>
              <w:spacing w:before="0" w:after="0" w:line="360" w:lineRule="auto"/>
              <w:ind w:right="0" w:firstLine="480" w:firstLineChars="200"/>
              <w:rPr>
                <w:color w:val="auto"/>
                <w:sz w:val="24"/>
              </w:rPr>
            </w:pPr>
            <w:r>
              <w:rPr>
                <w:rFonts w:hint="eastAsia"/>
                <w:color w:val="auto"/>
                <w:sz w:val="24"/>
              </w:rPr>
              <w:t>（1）选用低噪声设备</w:t>
            </w:r>
          </w:p>
          <w:p w14:paraId="36BDCCA8">
            <w:pPr>
              <w:pStyle w:val="16"/>
              <w:snapToGrid/>
              <w:spacing w:before="0" w:after="0" w:line="360" w:lineRule="auto"/>
              <w:ind w:right="0" w:firstLine="480" w:firstLineChars="200"/>
              <w:rPr>
                <w:color w:val="auto"/>
                <w:sz w:val="24"/>
              </w:rPr>
            </w:pPr>
            <w:r>
              <w:rPr>
                <w:rFonts w:hint="eastAsia"/>
                <w:color w:val="auto"/>
                <w:sz w:val="24"/>
              </w:rPr>
              <w:t>目前各设备生产厂家已把低噪声作为衡量设备质量的重要标志。在满足工艺生产的前提下，设计中考虑选用设备精度高、装配质量好、低噪声的设备是必要且可行的，特别是噪声较大的设备如运输车辆等，更应尽可能选用低噪声设备。</w:t>
            </w:r>
          </w:p>
          <w:p w14:paraId="2A6112B0">
            <w:pPr>
              <w:pStyle w:val="16"/>
              <w:snapToGrid/>
              <w:spacing w:before="0" w:after="0" w:line="360" w:lineRule="auto"/>
              <w:ind w:right="0" w:firstLine="480" w:firstLineChars="200"/>
              <w:rPr>
                <w:color w:val="auto"/>
                <w:sz w:val="24"/>
              </w:rPr>
            </w:pPr>
            <w:r>
              <w:rPr>
                <w:rFonts w:hint="eastAsia"/>
                <w:color w:val="auto"/>
                <w:sz w:val="24"/>
              </w:rPr>
              <w:t>（2）加强生产管理，降低噪声</w:t>
            </w:r>
          </w:p>
          <w:p w14:paraId="6916B29E">
            <w:pPr>
              <w:pStyle w:val="16"/>
              <w:snapToGrid/>
              <w:spacing w:before="0" w:after="0" w:line="360" w:lineRule="auto"/>
              <w:ind w:right="0" w:firstLine="480" w:firstLineChars="200"/>
              <w:rPr>
                <w:color w:val="auto"/>
                <w:sz w:val="24"/>
              </w:rPr>
            </w:pPr>
            <w:r>
              <w:rPr>
                <w:rFonts w:hint="eastAsia"/>
                <w:color w:val="auto"/>
                <w:sz w:val="24"/>
              </w:rPr>
              <w:t>建筑用砂装卸避免较高落差和直接撞击，注意轻放轻移，减弱撞击声。运输车辆，限速行驶，禁止场内鸣笛，制定合理的作业时间表和实行严格的环境管理，削减噪声对外环境的干扰。对设备进行日常维护，保障设备的正常运行，并且要求操作人员严格规范操作，防止因设备故障或者操作不当带来的额外噪声。</w:t>
            </w:r>
          </w:p>
          <w:p w14:paraId="2304D644">
            <w:pPr>
              <w:pStyle w:val="16"/>
              <w:snapToGrid/>
              <w:spacing w:before="0" w:after="0" w:line="360" w:lineRule="auto"/>
              <w:ind w:right="0"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运营期间应加强</w:t>
            </w:r>
            <w:r>
              <w:rPr>
                <w:rFonts w:hint="eastAsia"/>
                <w:color w:val="auto"/>
                <w:sz w:val="24"/>
                <w:lang w:val="en-US" w:eastAsia="zh-CN"/>
              </w:rPr>
              <w:t>采矿及运输过程</w:t>
            </w:r>
            <w:r>
              <w:rPr>
                <w:rFonts w:hint="eastAsia"/>
                <w:color w:val="auto"/>
                <w:sz w:val="24"/>
              </w:rPr>
              <w:t>管理，</w:t>
            </w:r>
            <w:r>
              <w:rPr>
                <w:rFonts w:hint="eastAsia"/>
                <w:color w:val="auto"/>
                <w:sz w:val="24"/>
                <w:lang w:val="en-US" w:eastAsia="zh-CN"/>
              </w:rPr>
              <w:t>合理规划运输路线，在途径矿区南侧养殖区</w:t>
            </w:r>
            <w:r>
              <w:rPr>
                <w:rFonts w:hint="eastAsia"/>
                <w:color w:val="auto"/>
                <w:sz w:val="24"/>
              </w:rPr>
              <w:t>路段行驶时禁止鸣喇叭，并限速行驶。项目产品的运输车辆应避开夜间行驶</w:t>
            </w:r>
            <w:r>
              <w:rPr>
                <w:rFonts w:hint="eastAsia"/>
                <w:color w:val="auto"/>
                <w:sz w:val="24"/>
                <w:lang w:eastAsia="zh-CN"/>
              </w:rPr>
              <w:t>，</w:t>
            </w:r>
            <w:r>
              <w:rPr>
                <w:rFonts w:hint="eastAsia"/>
                <w:color w:val="auto"/>
                <w:sz w:val="24"/>
              </w:rPr>
              <w:t>以免对沿途</w:t>
            </w:r>
            <w:r>
              <w:rPr>
                <w:rFonts w:hint="eastAsia"/>
                <w:color w:val="auto"/>
                <w:sz w:val="24"/>
                <w:lang w:val="en-US" w:eastAsia="zh-CN"/>
              </w:rPr>
              <w:t>养殖区</w:t>
            </w:r>
            <w:r>
              <w:rPr>
                <w:rFonts w:hint="eastAsia"/>
                <w:color w:val="auto"/>
                <w:sz w:val="24"/>
              </w:rPr>
              <w:t>产生影响</w:t>
            </w:r>
            <w:r>
              <w:rPr>
                <w:rFonts w:hint="eastAsia"/>
                <w:color w:val="auto"/>
                <w:sz w:val="24"/>
                <w:lang w:eastAsia="zh-CN"/>
              </w:rPr>
              <w:t>。</w:t>
            </w:r>
          </w:p>
          <w:p w14:paraId="3CDD148D">
            <w:pPr>
              <w:pStyle w:val="16"/>
              <w:snapToGrid/>
              <w:spacing w:before="0" w:after="0" w:line="360" w:lineRule="auto"/>
              <w:ind w:right="0" w:firstLine="480" w:firstLineChars="200"/>
              <w:rPr>
                <w:color w:val="auto"/>
                <w:sz w:val="24"/>
              </w:rPr>
            </w:pPr>
            <w:r>
              <w:rPr>
                <w:rFonts w:hint="eastAsia"/>
                <w:color w:val="auto"/>
                <w:sz w:val="24"/>
              </w:rPr>
              <w:t>（</w:t>
            </w:r>
            <w:r>
              <w:rPr>
                <w:rFonts w:hint="eastAsia"/>
                <w:color w:val="auto"/>
                <w:sz w:val="24"/>
                <w:lang w:val="en-US" w:eastAsia="zh-CN"/>
              </w:rPr>
              <w:t>4</w:t>
            </w:r>
            <w:r>
              <w:rPr>
                <w:rFonts w:hint="eastAsia"/>
                <w:color w:val="auto"/>
                <w:sz w:val="24"/>
              </w:rPr>
              <w:t>）开采至矿区边界时，在靠近养殖区一侧设置围挡措施。</w:t>
            </w:r>
          </w:p>
          <w:p w14:paraId="7094E5F5">
            <w:pPr>
              <w:pStyle w:val="16"/>
              <w:snapToGrid/>
              <w:spacing w:before="0" w:after="0" w:line="360" w:lineRule="auto"/>
              <w:ind w:right="0" w:firstLine="480" w:firstLineChars="200"/>
              <w:rPr>
                <w:color w:val="auto"/>
                <w:sz w:val="24"/>
              </w:rPr>
            </w:pPr>
            <w:r>
              <w:rPr>
                <w:rFonts w:hint="eastAsia"/>
                <w:color w:val="auto"/>
                <w:sz w:val="24"/>
              </w:rPr>
              <w:t>在采取相应措施后，可有效降低项目营运期的设备噪声，由于本项目属于矿山开采项目，大多数设备均是露天作业，噪声控制较困难。通过分析预测，设备噪声对周边声环境敏感点影响不大。</w:t>
            </w:r>
          </w:p>
          <w:p w14:paraId="6A53C80D">
            <w:pPr>
              <w:pStyle w:val="16"/>
              <w:snapToGrid/>
              <w:spacing w:before="0" w:after="0" w:line="360" w:lineRule="auto"/>
              <w:ind w:right="0"/>
              <w:jc w:val="left"/>
              <w:rPr>
                <w:b/>
                <w:bCs/>
                <w:color w:val="auto"/>
                <w:sz w:val="24"/>
              </w:rPr>
            </w:pPr>
            <w:r>
              <w:rPr>
                <w:rFonts w:hint="eastAsia"/>
                <w:b/>
                <w:bCs/>
                <w:color w:val="auto"/>
                <w:sz w:val="24"/>
              </w:rPr>
              <w:t>5、固体废物处置措施</w:t>
            </w:r>
          </w:p>
          <w:p w14:paraId="2B2E8DBD">
            <w:pPr>
              <w:adjustRightInd w:val="0"/>
              <w:spacing w:line="360" w:lineRule="auto"/>
              <w:rPr>
                <w:b/>
                <w:bCs/>
                <w:color w:val="auto"/>
                <w:sz w:val="24"/>
              </w:rPr>
            </w:pPr>
            <w:r>
              <w:rPr>
                <w:rFonts w:hint="eastAsia"/>
                <w:b/>
                <w:bCs/>
                <w:color w:val="auto"/>
                <w:sz w:val="24"/>
              </w:rPr>
              <w:t>5.1固体废物污染防治措施</w:t>
            </w:r>
          </w:p>
          <w:p w14:paraId="34005E88">
            <w:pPr>
              <w:pStyle w:val="16"/>
              <w:snapToGrid/>
              <w:spacing w:before="0" w:after="0" w:line="360" w:lineRule="auto"/>
              <w:ind w:right="0" w:firstLine="480" w:firstLineChars="200"/>
              <w:rPr>
                <w:color w:val="auto"/>
                <w:sz w:val="24"/>
              </w:rPr>
            </w:pPr>
            <w:r>
              <w:rPr>
                <w:rFonts w:hint="eastAsia"/>
                <w:color w:val="auto"/>
                <w:sz w:val="24"/>
              </w:rPr>
              <w:t>矿山根据开采计划，采场按采区划分情况分阶段进行表土剥离。根据开发利用方案，表土剥离面积约28.66hm</w:t>
            </w:r>
            <w:r>
              <w:rPr>
                <w:rFonts w:hint="eastAsia"/>
                <w:color w:val="auto"/>
                <w:sz w:val="24"/>
                <w:vertAlign w:val="superscript"/>
              </w:rPr>
              <w:t>2</w:t>
            </w:r>
            <w:r>
              <w:rPr>
                <w:rFonts w:hint="eastAsia"/>
                <w:color w:val="auto"/>
                <w:sz w:val="24"/>
              </w:rPr>
              <w:t>，平均厚度按0.5m计算，剥离总量为143300m</w:t>
            </w:r>
            <w:r>
              <w:rPr>
                <w:rFonts w:hint="eastAsia"/>
                <w:color w:val="auto"/>
                <w:sz w:val="24"/>
                <w:vertAlign w:val="superscript"/>
              </w:rPr>
              <w:t>3</w:t>
            </w:r>
            <w:r>
              <w:rPr>
                <w:rFonts w:hint="eastAsia"/>
                <w:color w:val="auto"/>
                <w:sz w:val="24"/>
              </w:rPr>
              <w:t>，表土集中堆放在矿区表土堆场；边坡角不大于35°，最大堆置高度8m，底部采用土袋围挡，播撒草籽绿化，用于后期复垦用土。</w:t>
            </w:r>
          </w:p>
          <w:p w14:paraId="0D375D34">
            <w:pPr>
              <w:pStyle w:val="16"/>
              <w:snapToGrid/>
              <w:spacing w:before="0" w:after="0" w:line="360" w:lineRule="auto"/>
              <w:ind w:right="0" w:firstLine="480" w:firstLineChars="200"/>
              <w:rPr>
                <w:color w:val="auto"/>
                <w:sz w:val="24"/>
              </w:rPr>
            </w:pPr>
            <w:r>
              <w:rPr>
                <w:rFonts w:hint="eastAsia"/>
                <w:color w:val="auto"/>
                <w:sz w:val="24"/>
              </w:rPr>
              <w:t>矿区产生的生活垃圾集中收集，定期清运至奇台县三个庄子镇垃圾收集点。</w:t>
            </w:r>
          </w:p>
          <w:p w14:paraId="1FFF468B">
            <w:pPr>
              <w:pStyle w:val="16"/>
              <w:snapToGrid/>
              <w:spacing w:before="0" w:after="0" w:line="360" w:lineRule="auto"/>
              <w:ind w:right="0"/>
              <w:jc w:val="left"/>
              <w:rPr>
                <w:b/>
                <w:bCs/>
                <w:color w:val="auto"/>
                <w:sz w:val="24"/>
              </w:rPr>
            </w:pPr>
            <w:r>
              <w:rPr>
                <w:rFonts w:hint="eastAsia"/>
                <w:b/>
                <w:bCs/>
                <w:color w:val="auto"/>
                <w:sz w:val="24"/>
              </w:rPr>
              <w:t xml:space="preserve">5.2表土堆场选址及容量合理性分析 </w:t>
            </w:r>
          </w:p>
          <w:p w14:paraId="2DF96623">
            <w:pPr>
              <w:spacing w:line="360" w:lineRule="auto"/>
              <w:ind w:firstLine="480" w:firstLineChars="200"/>
              <w:rPr>
                <w:color w:val="auto"/>
                <w:sz w:val="24"/>
              </w:rPr>
            </w:pPr>
            <w:r>
              <w:rPr>
                <w:rFonts w:hint="eastAsia"/>
                <w:color w:val="auto"/>
                <w:sz w:val="24"/>
              </w:rPr>
              <w:t>本次在1号露天采场、2号露天采场分别设1处表土堆场，规划1号露天采场表土堆场占地面积为</w:t>
            </w:r>
            <w:r>
              <w:rPr>
                <w:rFonts w:hint="eastAsia"/>
                <w:color w:val="auto"/>
                <w:sz w:val="24"/>
                <w:lang w:val="en-US" w:eastAsia="zh-CN"/>
              </w:rPr>
              <w:t>15</w:t>
            </w:r>
            <w:r>
              <w:rPr>
                <w:rFonts w:hint="eastAsia"/>
                <w:color w:val="auto"/>
                <w:sz w:val="24"/>
              </w:rPr>
              <w:t>00m</w:t>
            </w:r>
            <w:r>
              <w:rPr>
                <w:rFonts w:hint="eastAsia"/>
                <w:color w:val="auto"/>
                <w:sz w:val="24"/>
                <w:vertAlign w:val="superscript"/>
              </w:rPr>
              <w:t>2</w:t>
            </w:r>
            <w:r>
              <w:rPr>
                <w:rFonts w:hint="eastAsia"/>
                <w:color w:val="auto"/>
                <w:sz w:val="24"/>
              </w:rPr>
              <w:t>，位于规划1号露天采场内北侧；规划2号露天采场表土堆场占地面积为</w:t>
            </w:r>
            <w:r>
              <w:rPr>
                <w:rFonts w:hint="eastAsia"/>
                <w:color w:val="auto"/>
                <w:sz w:val="24"/>
                <w:lang w:val="en-US" w:eastAsia="zh-CN"/>
              </w:rPr>
              <w:t>3</w:t>
            </w:r>
            <w:r>
              <w:rPr>
                <w:rFonts w:hint="eastAsia"/>
                <w:color w:val="auto"/>
                <w:sz w:val="24"/>
              </w:rPr>
              <w:t>000m</w:t>
            </w:r>
            <w:r>
              <w:rPr>
                <w:rFonts w:hint="eastAsia"/>
                <w:color w:val="auto"/>
                <w:sz w:val="24"/>
                <w:vertAlign w:val="superscript"/>
              </w:rPr>
              <w:t>2</w:t>
            </w:r>
            <w:r>
              <w:rPr>
                <w:rFonts w:hint="eastAsia"/>
                <w:color w:val="auto"/>
                <w:sz w:val="24"/>
              </w:rPr>
              <w:t>，位于规划2号露天采场内南侧。</w:t>
            </w:r>
          </w:p>
          <w:p w14:paraId="31A9DB45">
            <w:pPr>
              <w:spacing w:line="360" w:lineRule="auto"/>
              <w:ind w:firstLine="480" w:firstLineChars="200"/>
              <w:rPr>
                <w:rFonts w:hint="eastAsia"/>
                <w:color w:val="auto"/>
                <w:sz w:val="24"/>
                <w:lang w:eastAsia="zh-CN"/>
              </w:rPr>
            </w:pPr>
            <w:r>
              <w:rPr>
                <w:rFonts w:hint="eastAsia"/>
                <w:color w:val="auto"/>
                <w:sz w:val="24"/>
              </w:rPr>
              <w:t>两处表土堆场原始地形坡度约1-4°。表土堆放高度8m，分2层堆放，堆积坡度不大于35º，</w:t>
            </w:r>
            <w:r>
              <w:rPr>
                <w:rFonts w:hint="eastAsia"/>
                <w:color w:val="auto"/>
                <w:sz w:val="24"/>
                <w:lang w:val="en-US" w:eastAsia="zh-CN"/>
              </w:rPr>
              <w:t>1号表土堆场</w:t>
            </w:r>
            <w:r>
              <w:rPr>
                <w:rFonts w:hint="eastAsia"/>
                <w:color w:val="auto"/>
                <w:sz w:val="24"/>
              </w:rPr>
              <w:t>总容积约</w:t>
            </w:r>
            <w:r>
              <w:rPr>
                <w:rFonts w:hint="eastAsia"/>
                <w:color w:val="auto"/>
                <w:sz w:val="24"/>
                <w:lang w:val="en-US" w:eastAsia="zh-CN"/>
              </w:rPr>
              <w:t>4000</w:t>
            </w:r>
            <w:r>
              <w:rPr>
                <w:rFonts w:hint="eastAsia"/>
                <w:color w:val="auto"/>
                <w:sz w:val="24"/>
              </w:rPr>
              <w:t>m</w:t>
            </w:r>
            <w:r>
              <w:rPr>
                <w:rFonts w:hint="eastAsia"/>
                <w:color w:val="auto"/>
                <w:sz w:val="24"/>
                <w:vertAlign w:val="superscript"/>
              </w:rPr>
              <w:t>3</w:t>
            </w:r>
            <w:r>
              <w:rPr>
                <w:rFonts w:hint="eastAsia"/>
                <w:color w:val="auto"/>
                <w:sz w:val="24"/>
              </w:rPr>
              <w:t>，</w:t>
            </w:r>
            <w:r>
              <w:rPr>
                <w:rFonts w:hint="eastAsia"/>
                <w:color w:val="auto"/>
                <w:sz w:val="24"/>
                <w:lang w:val="en-US" w:eastAsia="zh-CN"/>
              </w:rPr>
              <w:t>2号表土堆场</w:t>
            </w:r>
            <w:r>
              <w:rPr>
                <w:rFonts w:hint="eastAsia"/>
                <w:color w:val="auto"/>
                <w:sz w:val="24"/>
              </w:rPr>
              <w:t>总容积约</w:t>
            </w:r>
            <w:r>
              <w:rPr>
                <w:rFonts w:hint="eastAsia"/>
                <w:color w:val="auto"/>
                <w:sz w:val="24"/>
                <w:lang w:val="en-US" w:eastAsia="zh-CN"/>
              </w:rPr>
              <w:t>8000</w:t>
            </w:r>
            <w:r>
              <w:rPr>
                <w:rFonts w:hint="eastAsia"/>
                <w:color w:val="auto"/>
                <w:sz w:val="24"/>
              </w:rPr>
              <w:t>m</w:t>
            </w:r>
            <w:r>
              <w:rPr>
                <w:rFonts w:hint="eastAsia"/>
                <w:color w:val="auto"/>
                <w:sz w:val="24"/>
                <w:vertAlign w:val="superscript"/>
              </w:rPr>
              <w:t>3</w:t>
            </w:r>
            <w:r>
              <w:rPr>
                <w:rFonts w:hint="eastAsia"/>
                <w:color w:val="auto"/>
                <w:sz w:val="24"/>
                <w:lang w:eastAsia="zh-CN"/>
              </w:rPr>
              <w:t>。</w:t>
            </w:r>
          </w:p>
          <w:p w14:paraId="6A16AFB3">
            <w:pPr>
              <w:spacing w:line="360" w:lineRule="auto"/>
              <w:ind w:firstLine="480" w:firstLineChars="200"/>
              <w:rPr>
                <w:color w:val="auto"/>
                <w:sz w:val="24"/>
              </w:rPr>
            </w:pPr>
            <w:r>
              <w:rPr>
                <w:rFonts w:hint="eastAsia"/>
                <w:color w:val="auto"/>
                <w:sz w:val="24"/>
                <w:lang w:val="en-US" w:eastAsia="zh-CN"/>
              </w:rPr>
              <w:t>矿区剥离表土总量143300m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运营期先开采2号矿区，再开采1号矿区</w:t>
            </w:r>
            <w:r>
              <w:rPr>
                <w:rFonts w:hint="eastAsia"/>
                <w:color w:val="auto"/>
                <w:sz w:val="24"/>
                <w:lang w:eastAsia="zh-CN"/>
              </w:rPr>
              <w:t>，</w:t>
            </w:r>
            <w:r>
              <w:rPr>
                <w:rFonts w:hint="eastAsia"/>
                <w:color w:val="auto"/>
                <w:sz w:val="24"/>
                <w:lang w:val="en-US" w:eastAsia="zh-CN"/>
              </w:rPr>
              <w:t>矿山服务年限6.47年，其中2号矿区开采4.51年，每年剥离表土量15433m</w:t>
            </w:r>
            <w:r>
              <w:rPr>
                <w:rFonts w:hint="eastAsia"/>
                <w:color w:val="auto"/>
                <w:sz w:val="24"/>
                <w:vertAlign w:val="superscript"/>
                <w:lang w:val="en-US" w:eastAsia="zh-CN"/>
              </w:rPr>
              <w:t>3</w:t>
            </w:r>
            <w:r>
              <w:rPr>
                <w:rFonts w:hint="eastAsia"/>
                <w:color w:val="auto"/>
                <w:sz w:val="24"/>
                <w:lang w:val="en-US" w:eastAsia="zh-CN"/>
              </w:rPr>
              <w:t>；1号矿区开采1.96年，每年剥离表土量6715.6m</w:t>
            </w:r>
            <w:r>
              <w:rPr>
                <w:rFonts w:hint="eastAsia"/>
                <w:color w:val="auto"/>
                <w:sz w:val="24"/>
                <w:vertAlign w:val="superscript"/>
                <w:lang w:val="en-US" w:eastAsia="zh-CN"/>
              </w:rPr>
              <w:t>3</w:t>
            </w:r>
            <w:r>
              <w:rPr>
                <w:rFonts w:hint="eastAsia"/>
                <w:color w:val="auto"/>
                <w:sz w:val="24"/>
                <w:lang w:val="en-US" w:eastAsia="zh-CN"/>
              </w:rPr>
              <w:t>。1号、2号表土堆场可容纳半年表土量，项目采用</w:t>
            </w:r>
            <w:r>
              <w:rPr>
                <w:rFonts w:hint="eastAsia"/>
                <w:color w:val="auto"/>
                <w:sz w:val="24"/>
              </w:rPr>
              <w:t>边开采边回填</w:t>
            </w:r>
            <w:r>
              <w:rPr>
                <w:rFonts w:hint="eastAsia"/>
                <w:color w:val="auto"/>
                <w:sz w:val="24"/>
                <w:lang w:val="en-US" w:eastAsia="zh-CN"/>
              </w:rPr>
              <w:t>方式，剥离表土及时回填采坑，可确保表土堆场满足表土堆放要求</w:t>
            </w:r>
            <w:r>
              <w:rPr>
                <w:rFonts w:hint="eastAsia"/>
                <w:color w:val="auto"/>
                <w:sz w:val="24"/>
              </w:rPr>
              <w:t>。另外在表土堆场外修建截洪沟</w:t>
            </w:r>
            <w:r>
              <w:rPr>
                <w:rFonts w:hint="eastAsia"/>
                <w:color w:val="auto"/>
                <w:sz w:val="24"/>
                <w:lang w:eastAsia="zh-CN"/>
              </w:rPr>
              <w:t>、</w:t>
            </w:r>
            <w:r>
              <w:rPr>
                <w:rFonts w:hint="eastAsia"/>
                <w:color w:val="auto"/>
                <w:sz w:val="24"/>
              </w:rPr>
              <w:t>排水沟</w:t>
            </w:r>
            <w:r>
              <w:rPr>
                <w:rFonts w:hint="eastAsia"/>
                <w:color w:val="auto"/>
                <w:sz w:val="24"/>
                <w:lang w:eastAsia="zh-CN"/>
              </w:rPr>
              <w:t>，</w:t>
            </w:r>
            <w:r>
              <w:rPr>
                <w:rFonts w:hint="eastAsia"/>
                <w:color w:val="auto"/>
                <w:sz w:val="24"/>
              </w:rPr>
              <w:t>防止水土流失。</w:t>
            </w:r>
          </w:p>
          <w:p w14:paraId="450F6EE2">
            <w:pPr>
              <w:pStyle w:val="16"/>
              <w:snapToGrid/>
              <w:spacing w:before="0" w:after="0" w:line="360" w:lineRule="auto"/>
              <w:ind w:right="0" w:firstLine="480" w:firstLineChars="200"/>
              <w:rPr>
                <w:color w:val="auto"/>
                <w:sz w:val="24"/>
              </w:rPr>
            </w:pPr>
            <w:r>
              <w:rPr>
                <w:rFonts w:hint="eastAsia"/>
                <w:color w:val="auto"/>
                <w:sz w:val="24"/>
              </w:rPr>
              <w:t>根据项目分片区开采，采用“边开采、边剥离、边恢复”的原则，用堆存表土及时治理恢复矿山生态环境，</w:t>
            </w:r>
            <w:r>
              <w:rPr>
                <w:rFonts w:hint="eastAsia"/>
                <w:color w:val="auto"/>
                <w:sz w:val="24"/>
                <w:lang w:val="en-US" w:eastAsia="zh-CN"/>
              </w:rPr>
              <w:t>通过提高剥离表土回填频次，最大限度减少表土占地面积，确保</w:t>
            </w:r>
            <w:r>
              <w:rPr>
                <w:rFonts w:hint="eastAsia"/>
                <w:color w:val="auto"/>
                <w:sz w:val="24"/>
              </w:rPr>
              <w:t>表土堆场容量可以满足</w:t>
            </w:r>
            <w:r>
              <w:rPr>
                <w:rFonts w:hint="eastAsia"/>
                <w:color w:val="auto"/>
                <w:sz w:val="24"/>
                <w:lang w:val="en-US" w:eastAsia="zh-CN"/>
              </w:rPr>
              <w:t>表土临时</w:t>
            </w:r>
            <w:r>
              <w:rPr>
                <w:rFonts w:hint="eastAsia"/>
                <w:color w:val="auto"/>
                <w:sz w:val="24"/>
              </w:rPr>
              <w:t>堆放要求。表土堆场场址内地层稳定，基本可满足承载力要求，无断层、断层破碎带、溶洞区，未在天然滑坡或泥石流影响区，在表土堆场上游设置截排水沟，减少雨天洪水对表土堆场的威胁，产生泥石流的可能性小。</w:t>
            </w:r>
          </w:p>
          <w:p w14:paraId="7C1D9E34">
            <w:pPr>
              <w:pStyle w:val="16"/>
              <w:snapToGrid/>
              <w:spacing w:before="0" w:after="0" w:line="360" w:lineRule="auto"/>
              <w:ind w:right="0" w:firstLine="480" w:firstLineChars="200"/>
              <w:rPr>
                <w:color w:val="auto"/>
                <w:sz w:val="24"/>
              </w:rPr>
            </w:pPr>
            <w:r>
              <w:rPr>
                <w:rFonts w:hint="eastAsia"/>
                <w:color w:val="auto"/>
                <w:sz w:val="24"/>
              </w:rPr>
              <w:t>综上所述，本项目表土堆场选址合理。</w:t>
            </w:r>
          </w:p>
          <w:p w14:paraId="65FEAFE6">
            <w:pPr>
              <w:pStyle w:val="38"/>
              <w:jc w:val="both"/>
              <w:rPr>
                <w:rFonts w:ascii="Times New Roman" w:hAnsi="Times New Roman" w:eastAsia="宋体" w:cs="Times New Roman"/>
                <w:b/>
                <w:bCs/>
                <w:snapToGrid/>
                <w:color w:val="auto"/>
                <w:sz w:val="24"/>
                <w:szCs w:val="18"/>
                <w:lang w:eastAsia="zh-CN"/>
              </w:rPr>
            </w:pPr>
            <w:r>
              <w:rPr>
                <w:rFonts w:hint="eastAsia" w:ascii="Times New Roman" w:hAnsi="Times New Roman" w:eastAsia="宋体" w:cs="Times New Roman"/>
                <w:b/>
                <w:bCs/>
                <w:snapToGrid/>
                <w:color w:val="auto"/>
                <w:sz w:val="24"/>
                <w:szCs w:val="18"/>
                <w:lang w:eastAsia="zh-CN"/>
              </w:rPr>
              <w:t>6、运营期对周边退耕还林地的保护措施</w:t>
            </w:r>
          </w:p>
          <w:p w14:paraId="390AB114">
            <w:pPr>
              <w:spacing w:line="360" w:lineRule="auto"/>
              <w:ind w:firstLine="480" w:firstLineChars="200"/>
              <w:rPr>
                <w:color w:val="auto"/>
                <w:sz w:val="24"/>
                <w:highlight w:val="yellow"/>
              </w:rPr>
            </w:pPr>
            <w:r>
              <w:rPr>
                <w:rFonts w:hint="eastAsia"/>
                <w:color w:val="auto"/>
                <w:sz w:val="24"/>
              </w:rPr>
              <w:t>本项目周边为退耕还林地（人工种植梭梭），本项目选址已避让退耕还林地（人工种植梭梭），矿区不占用其范围内。</w:t>
            </w:r>
          </w:p>
          <w:p w14:paraId="2E8F7977">
            <w:pPr>
              <w:spacing w:line="360" w:lineRule="auto"/>
              <w:ind w:firstLine="480" w:firstLineChars="200"/>
              <w:rPr>
                <w:color w:val="auto"/>
                <w:sz w:val="24"/>
              </w:rPr>
            </w:pPr>
            <w:r>
              <w:rPr>
                <w:rFonts w:hint="eastAsia"/>
                <w:color w:val="auto"/>
                <w:sz w:val="24"/>
              </w:rPr>
              <w:t>本次环评要求严禁在退耕还林地与矿区范围中间区域开展施工、建设等活动，运输车辆进出矿区时，禁止鸣笛，并控制车速，以减轻对矿区周边动物的扰动；建设单位定期须对员工开展野生动物教育培训，严禁捕杀矿区周边野生动物。除此之外，项目需采取防风固沙措施，运营期间，加强矿区绿化建设，扩大区域植被覆盖度，植被可以控制水土流失，防风沙，同时，还可以完善沙漠的水分条件，进而保护沙漠植被。</w:t>
            </w:r>
          </w:p>
          <w:p w14:paraId="11BB0552">
            <w:pPr>
              <w:spacing w:line="360" w:lineRule="auto"/>
              <w:ind w:firstLine="480" w:firstLineChars="200"/>
              <w:rPr>
                <w:color w:val="auto"/>
              </w:rPr>
            </w:pPr>
            <w:r>
              <w:rPr>
                <w:rFonts w:hint="eastAsia"/>
                <w:color w:val="auto"/>
                <w:sz w:val="24"/>
              </w:rPr>
              <w:t>综上，在采取措施后，一定程度上可以减轻对退耕还林地的扰动影响，满足其生态功能需求。</w:t>
            </w:r>
          </w:p>
        </w:tc>
      </w:tr>
      <w:tr w14:paraId="5B3C3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77" w:type="dxa"/>
            <w:vAlign w:val="center"/>
          </w:tcPr>
          <w:p w14:paraId="67AF1EB9">
            <w:pPr>
              <w:adjustRightInd w:val="0"/>
              <w:snapToGrid w:val="0"/>
              <w:jc w:val="center"/>
              <w:rPr>
                <w:rFonts w:hint="eastAsia" w:ascii="宋体" w:hAnsi="宋体" w:cs="宋体"/>
                <w:bCs/>
                <w:color w:val="auto"/>
                <w:spacing w:val="10"/>
                <w:szCs w:val="21"/>
              </w:rPr>
            </w:pPr>
            <w:r>
              <w:rPr>
                <w:rFonts w:hint="eastAsia" w:ascii="宋体" w:hAnsi="宋体"/>
                <w:bCs/>
                <w:color w:val="auto"/>
                <w:sz w:val="24"/>
              </w:rPr>
              <w:t>其他</w:t>
            </w:r>
          </w:p>
        </w:tc>
        <w:tc>
          <w:tcPr>
            <w:tcW w:w="8457" w:type="dxa"/>
            <w:vAlign w:val="center"/>
          </w:tcPr>
          <w:p w14:paraId="443A9BF6">
            <w:pPr>
              <w:widowControl/>
              <w:jc w:val="left"/>
              <w:rPr>
                <w:color w:val="auto"/>
              </w:rPr>
            </w:pPr>
          </w:p>
          <w:p w14:paraId="177E16C5">
            <w:pPr>
              <w:adjustRightInd w:val="0"/>
              <w:snapToGrid w:val="0"/>
              <w:spacing w:line="360" w:lineRule="auto"/>
              <w:ind w:firstLine="480" w:firstLineChars="200"/>
              <w:rPr>
                <w:rFonts w:hint="eastAsia" w:ascii="宋体" w:hAnsi="宋体" w:cs="宋体"/>
                <w:bCs/>
                <w:color w:val="auto"/>
                <w:spacing w:val="10"/>
                <w:szCs w:val="21"/>
              </w:rPr>
            </w:pPr>
            <w:r>
              <w:rPr>
                <w:rFonts w:hint="eastAsia"/>
                <w:color w:val="auto"/>
                <w:kern w:val="0"/>
                <w:sz w:val="24"/>
              </w:rPr>
              <w:t>根据《固定污染源排污许可分类管理名录（2019 年版）》，本项目为建筑用砂开采项目，属登记管理，建设单位在发生实际排污之前填报排污许可登记表。</w:t>
            </w:r>
          </w:p>
        </w:tc>
      </w:tr>
      <w:tr w14:paraId="5CD54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77" w:type="dxa"/>
            <w:vAlign w:val="center"/>
          </w:tcPr>
          <w:p w14:paraId="2FB0F753">
            <w:pPr>
              <w:adjustRightInd w:val="0"/>
              <w:snapToGrid w:val="0"/>
              <w:jc w:val="center"/>
              <w:rPr>
                <w:rFonts w:hint="eastAsia" w:ascii="宋体" w:hAnsi="宋体" w:cs="宋体"/>
                <w:bCs/>
                <w:color w:val="auto"/>
                <w:spacing w:val="10"/>
                <w:szCs w:val="21"/>
              </w:rPr>
            </w:pPr>
            <w:r>
              <w:rPr>
                <w:rFonts w:hint="eastAsia" w:ascii="宋体" w:hAnsi="宋体"/>
                <w:bCs/>
                <w:color w:val="auto"/>
                <w:sz w:val="24"/>
              </w:rPr>
              <w:t>环保投资</w:t>
            </w:r>
          </w:p>
        </w:tc>
        <w:tc>
          <w:tcPr>
            <w:tcW w:w="8457" w:type="dxa"/>
          </w:tcPr>
          <w:p w14:paraId="330CFF73">
            <w:pPr>
              <w:pStyle w:val="17"/>
              <w:spacing w:line="360" w:lineRule="auto"/>
              <w:ind w:left="0" w:leftChars="0" w:firstLine="480" w:firstLineChars="200"/>
              <w:rPr>
                <w:color w:val="auto"/>
                <w:sz w:val="24"/>
              </w:rPr>
            </w:pPr>
            <w:r>
              <w:rPr>
                <w:color w:val="auto"/>
                <w:sz w:val="24"/>
              </w:rPr>
              <w:t>根据本项目建设内容及特点，环保投资估算见表</w:t>
            </w:r>
            <w:r>
              <w:rPr>
                <w:rFonts w:hint="eastAsia"/>
                <w:color w:val="auto"/>
                <w:sz w:val="24"/>
              </w:rPr>
              <w:t>5-2</w:t>
            </w:r>
            <w:r>
              <w:rPr>
                <w:color w:val="auto"/>
                <w:sz w:val="24"/>
              </w:rPr>
              <w:t>。本项目总投资</w:t>
            </w:r>
            <w:r>
              <w:rPr>
                <w:rFonts w:hint="eastAsia"/>
                <w:color w:val="auto"/>
                <w:sz w:val="24"/>
              </w:rPr>
              <w:t>2000万元</w:t>
            </w:r>
            <w:r>
              <w:rPr>
                <w:color w:val="auto"/>
                <w:sz w:val="24"/>
              </w:rPr>
              <w:t>，环保投资</w:t>
            </w:r>
            <w:r>
              <w:rPr>
                <w:rFonts w:hint="eastAsia"/>
                <w:color w:val="auto"/>
                <w:sz w:val="24"/>
                <w:lang w:val="en-US" w:eastAsia="zh-CN"/>
              </w:rPr>
              <w:t>161.6</w:t>
            </w:r>
            <w:r>
              <w:rPr>
                <w:color w:val="auto"/>
                <w:sz w:val="24"/>
              </w:rPr>
              <w:t>万元，占总投资的</w:t>
            </w:r>
            <w:r>
              <w:rPr>
                <w:rFonts w:hint="eastAsia"/>
                <w:color w:val="auto"/>
                <w:sz w:val="24"/>
                <w:lang w:val="en-US" w:eastAsia="zh-CN"/>
              </w:rPr>
              <w:t>8.08</w:t>
            </w:r>
            <w:r>
              <w:rPr>
                <w:color w:val="auto"/>
                <w:sz w:val="24"/>
              </w:rPr>
              <w:t>%</w:t>
            </w:r>
          </w:p>
          <w:p w14:paraId="14B09F85">
            <w:pPr>
              <w:pStyle w:val="16"/>
              <w:snapToGrid/>
              <w:spacing w:before="0" w:after="0" w:line="240" w:lineRule="auto"/>
              <w:ind w:right="0"/>
              <w:jc w:val="center"/>
              <w:rPr>
                <w:b/>
                <w:bCs/>
                <w:color w:val="auto"/>
                <w:sz w:val="21"/>
                <w:szCs w:val="21"/>
              </w:rPr>
            </w:pPr>
            <w:r>
              <w:rPr>
                <w:rFonts w:hint="eastAsia"/>
                <w:b/>
                <w:bCs/>
                <w:color w:val="auto"/>
                <w:sz w:val="21"/>
                <w:szCs w:val="21"/>
              </w:rPr>
              <w:t>表5-2    环保投资估算</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5384"/>
              <w:gridCol w:w="1765"/>
            </w:tblGrid>
            <w:tr w14:paraId="58308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00D0AAE3">
                  <w:pPr>
                    <w:jc w:val="center"/>
                    <w:rPr>
                      <w:color w:val="auto"/>
                      <w:kern w:val="0"/>
                      <w:szCs w:val="21"/>
                    </w:rPr>
                  </w:pPr>
                  <w:r>
                    <w:rPr>
                      <w:color w:val="auto"/>
                      <w:kern w:val="0"/>
                      <w:szCs w:val="21"/>
                    </w:rPr>
                    <w:t>治理项目</w:t>
                  </w:r>
                </w:p>
              </w:tc>
              <w:tc>
                <w:tcPr>
                  <w:tcW w:w="5384" w:type="dxa"/>
                  <w:vAlign w:val="center"/>
                </w:tcPr>
                <w:p w14:paraId="35187542">
                  <w:pPr>
                    <w:jc w:val="center"/>
                    <w:rPr>
                      <w:color w:val="auto"/>
                      <w:kern w:val="0"/>
                      <w:szCs w:val="21"/>
                    </w:rPr>
                  </w:pPr>
                  <w:r>
                    <w:rPr>
                      <w:color w:val="auto"/>
                      <w:kern w:val="0"/>
                      <w:szCs w:val="21"/>
                    </w:rPr>
                    <w:t>环保设施（措施）</w:t>
                  </w:r>
                </w:p>
              </w:tc>
              <w:tc>
                <w:tcPr>
                  <w:tcW w:w="1765" w:type="dxa"/>
                  <w:vAlign w:val="center"/>
                </w:tcPr>
                <w:p w14:paraId="34A6ABC7">
                  <w:pPr>
                    <w:jc w:val="center"/>
                    <w:rPr>
                      <w:color w:val="auto"/>
                      <w:kern w:val="0"/>
                      <w:szCs w:val="21"/>
                    </w:rPr>
                  </w:pPr>
                  <w:r>
                    <w:rPr>
                      <w:color w:val="auto"/>
                      <w:kern w:val="0"/>
                      <w:szCs w:val="21"/>
                    </w:rPr>
                    <w:t>投资额（万元）</w:t>
                  </w:r>
                </w:p>
              </w:tc>
            </w:tr>
            <w:tr w14:paraId="4700FF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31" w:type="dxa"/>
                  <w:gridSpan w:val="3"/>
                  <w:vAlign w:val="center"/>
                </w:tcPr>
                <w:p w14:paraId="5D36C284">
                  <w:pPr>
                    <w:jc w:val="center"/>
                    <w:rPr>
                      <w:color w:val="auto"/>
                      <w:kern w:val="0"/>
                      <w:szCs w:val="21"/>
                    </w:rPr>
                  </w:pPr>
                  <w:r>
                    <w:rPr>
                      <w:rFonts w:hint="eastAsia"/>
                      <w:color w:val="auto"/>
                      <w:kern w:val="0"/>
                      <w:szCs w:val="21"/>
                    </w:rPr>
                    <w:t>运营期</w:t>
                  </w:r>
                </w:p>
              </w:tc>
            </w:tr>
            <w:tr w14:paraId="25DC5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7BB16D59">
                  <w:pPr>
                    <w:jc w:val="center"/>
                    <w:rPr>
                      <w:color w:val="auto"/>
                      <w:kern w:val="0"/>
                      <w:szCs w:val="21"/>
                    </w:rPr>
                  </w:pPr>
                  <w:r>
                    <w:rPr>
                      <w:color w:val="auto"/>
                      <w:kern w:val="0"/>
                      <w:szCs w:val="21"/>
                    </w:rPr>
                    <w:t>废气</w:t>
                  </w:r>
                </w:p>
              </w:tc>
              <w:tc>
                <w:tcPr>
                  <w:tcW w:w="5384" w:type="dxa"/>
                  <w:vAlign w:val="center"/>
                </w:tcPr>
                <w:p w14:paraId="23B3C729">
                  <w:pPr>
                    <w:jc w:val="center"/>
                    <w:rPr>
                      <w:color w:val="auto"/>
                      <w:kern w:val="0"/>
                      <w:szCs w:val="21"/>
                    </w:rPr>
                  </w:pPr>
                  <w:r>
                    <w:rPr>
                      <w:rFonts w:hint="eastAsia" w:cstheme="minorBidi"/>
                      <w:bCs/>
                      <w:color w:val="auto"/>
                      <w:kern w:val="44"/>
                    </w:rPr>
                    <w:t>开采作业面及建筑用砂装卸过程中采用雾炮机水雾增湿除尘方式降尘；开采至矿区边界时，在靠近养殖区一侧设置围挡措施；表土堆场、运输道路洒水降尘，堆场采用防尘网苫盖；对车辆进行清洗，降低扬尘产生</w:t>
                  </w:r>
                  <w:r>
                    <w:rPr>
                      <w:rFonts w:hint="eastAsia" w:cstheme="minorBidi"/>
                      <w:bCs/>
                      <w:color w:val="auto"/>
                      <w:kern w:val="44"/>
                      <w:lang w:eastAsia="zh-CN"/>
                    </w:rPr>
                    <w:t>；</w:t>
                  </w:r>
                  <w:r>
                    <w:rPr>
                      <w:rFonts w:hint="eastAsia" w:cstheme="minorBidi"/>
                      <w:bCs/>
                      <w:color w:val="auto"/>
                      <w:kern w:val="44"/>
                      <w:szCs w:val="21"/>
                    </w:rPr>
                    <w:t>项目砂石矿运输车辆采用篷布遮盖，</w:t>
                  </w:r>
                  <w:r>
                    <w:rPr>
                      <w:color w:val="auto"/>
                      <w:szCs w:val="21"/>
                    </w:rPr>
                    <w:t>控制运输车辆行驶速度及装载量，减少物料转运环节，缩短物料运输距离，严禁在大风及暴雨天气进行物料采装、运输等。</w:t>
                  </w:r>
                </w:p>
              </w:tc>
              <w:tc>
                <w:tcPr>
                  <w:tcW w:w="1765" w:type="dxa"/>
                  <w:vAlign w:val="center"/>
                </w:tcPr>
                <w:p w14:paraId="6F87D76B">
                  <w:pPr>
                    <w:jc w:val="center"/>
                    <w:rPr>
                      <w:color w:val="auto"/>
                      <w:kern w:val="0"/>
                      <w:szCs w:val="21"/>
                    </w:rPr>
                  </w:pPr>
                  <w:r>
                    <w:rPr>
                      <w:rFonts w:hint="eastAsia"/>
                      <w:color w:val="auto"/>
                      <w:kern w:val="0"/>
                      <w:szCs w:val="21"/>
                    </w:rPr>
                    <w:t>15</w:t>
                  </w:r>
                </w:p>
              </w:tc>
            </w:tr>
            <w:tr w14:paraId="4FF4F4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6E286E2C">
                  <w:pPr>
                    <w:jc w:val="center"/>
                    <w:rPr>
                      <w:color w:val="auto"/>
                      <w:kern w:val="0"/>
                      <w:szCs w:val="21"/>
                    </w:rPr>
                  </w:pPr>
                  <w:r>
                    <w:rPr>
                      <w:rFonts w:hint="eastAsia"/>
                      <w:color w:val="auto"/>
                      <w:kern w:val="0"/>
                      <w:szCs w:val="21"/>
                    </w:rPr>
                    <w:t>废水</w:t>
                  </w:r>
                </w:p>
              </w:tc>
              <w:tc>
                <w:tcPr>
                  <w:tcW w:w="5384" w:type="dxa"/>
                  <w:vAlign w:val="center"/>
                </w:tcPr>
                <w:p w14:paraId="6230A6C7">
                  <w:pPr>
                    <w:jc w:val="center"/>
                    <w:rPr>
                      <w:rFonts w:hint="default" w:eastAsia="宋体" w:cstheme="minorBidi"/>
                      <w:bCs/>
                      <w:color w:val="auto"/>
                      <w:kern w:val="44"/>
                      <w:lang w:val="en-US" w:eastAsia="zh-CN"/>
                    </w:rPr>
                  </w:pPr>
                  <w:r>
                    <w:rPr>
                      <w:rFonts w:hint="eastAsia" w:cstheme="minorBidi"/>
                      <w:bCs/>
                      <w:color w:val="auto"/>
                      <w:kern w:val="44"/>
                    </w:rPr>
                    <w:t>环保厕所</w:t>
                  </w:r>
                  <w:r>
                    <w:rPr>
                      <w:rFonts w:hint="eastAsia" w:cstheme="minorBidi"/>
                      <w:bCs/>
                      <w:color w:val="auto"/>
                      <w:kern w:val="44"/>
                      <w:lang w:eastAsia="zh-CN"/>
                    </w:rPr>
                    <w:t>、</w:t>
                  </w:r>
                  <w:r>
                    <w:rPr>
                      <w:rFonts w:hint="eastAsia" w:cstheme="minorBidi"/>
                      <w:bCs/>
                      <w:color w:val="auto"/>
                      <w:kern w:val="44"/>
                      <w:lang w:val="en-US" w:eastAsia="zh-CN"/>
                    </w:rPr>
                    <w:t>防渗化粪池（15m</w:t>
                  </w:r>
                  <w:r>
                    <w:rPr>
                      <w:rFonts w:hint="eastAsia" w:cstheme="minorBidi"/>
                      <w:bCs/>
                      <w:color w:val="auto"/>
                      <w:kern w:val="44"/>
                      <w:vertAlign w:val="superscript"/>
                      <w:lang w:val="en-US" w:eastAsia="zh-CN"/>
                    </w:rPr>
                    <w:t>3</w:t>
                  </w:r>
                  <w:r>
                    <w:rPr>
                      <w:rFonts w:hint="eastAsia" w:cstheme="minorBidi"/>
                      <w:bCs/>
                      <w:color w:val="auto"/>
                      <w:kern w:val="44"/>
                      <w:lang w:val="en-US" w:eastAsia="zh-CN"/>
                    </w:rPr>
                    <w:t>）、沉淀池</w:t>
                  </w:r>
                </w:p>
              </w:tc>
              <w:tc>
                <w:tcPr>
                  <w:tcW w:w="1765" w:type="dxa"/>
                  <w:vAlign w:val="center"/>
                </w:tcPr>
                <w:p w14:paraId="7F78F723">
                  <w:pPr>
                    <w:jc w:val="center"/>
                    <w:rPr>
                      <w:color w:val="auto"/>
                      <w:kern w:val="0"/>
                      <w:szCs w:val="21"/>
                    </w:rPr>
                  </w:pPr>
                  <w:r>
                    <w:rPr>
                      <w:rFonts w:hint="eastAsia"/>
                      <w:color w:val="auto"/>
                      <w:kern w:val="0"/>
                      <w:szCs w:val="21"/>
                      <w:lang w:val="en-US" w:eastAsia="zh-CN"/>
                    </w:rPr>
                    <w:t>2</w:t>
                  </w:r>
                  <w:r>
                    <w:rPr>
                      <w:rFonts w:hint="eastAsia"/>
                      <w:color w:val="auto"/>
                      <w:kern w:val="0"/>
                      <w:szCs w:val="21"/>
                    </w:rPr>
                    <w:t>.5</w:t>
                  </w:r>
                </w:p>
              </w:tc>
            </w:tr>
            <w:tr w14:paraId="3404DC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1082" w:type="dxa"/>
                  <w:vAlign w:val="center"/>
                </w:tcPr>
                <w:p w14:paraId="124AF17A">
                  <w:pPr>
                    <w:jc w:val="center"/>
                    <w:rPr>
                      <w:color w:val="auto"/>
                      <w:kern w:val="0"/>
                      <w:szCs w:val="21"/>
                    </w:rPr>
                  </w:pPr>
                  <w:r>
                    <w:rPr>
                      <w:rFonts w:hint="eastAsia"/>
                      <w:color w:val="auto"/>
                      <w:kern w:val="0"/>
                      <w:szCs w:val="21"/>
                    </w:rPr>
                    <w:t>噪声</w:t>
                  </w:r>
                </w:p>
              </w:tc>
              <w:tc>
                <w:tcPr>
                  <w:tcW w:w="5384" w:type="dxa"/>
                  <w:vAlign w:val="center"/>
                </w:tcPr>
                <w:p w14:paraId="4452658E">
                  <w:pPr>
                    <w:jc w:val="center"/>
                    <w:rPr>
                      <w:color w:val="auto"/>
                      <w:kern w:val="0"/>
                      <w:szCs w:val="21"/>
                    </w:rPr>
                  </w:pPr>
                  <w:r>
                    <w:rPr>
                      <w:rFonts w:hint="eastAsia"/>
                      <w:color w:val="auto"/>
                      <w:kern w:val="0"/>
                      <w:szCs w:val="21"/>
                    </w:rPr>
                    <w:t>低噪声设备、加强设备保养，车辆</w:t>
                  </w:r>
                  <w:r>
                    <w:rPr>
                      <w:rFonts w:hint="eastAsia"/>
                      <w:color w:val="auto"/>
                      <w:szCs w:val="21"/>
                    </w:rPr>
                    <w:t>采取禁鸣限速措施；开采至矿区边界时，在靠近养殖区一侧设置围挡措施</w:t>
                  </w:r>
                </w:p>
              </w:tc>
              <w:tc>
                <w:tcPr>
                  <w:tcW w:w="1765" w:type="dxa"/>
                  <w:vAlign w:val="center"/>
                </w:tcPr>
                <w:p w14:paraId="7E305E92">
                  <w:pPr>
                    <w:jc w:val="center"/>
                    <w:rPr>
                      <w:color w:val="auto"/>
                      <w:kern w:val="0"/>
                      <w:szCs w:val="21"/>
                    </w:rPr>
                  </w:pPr>
                  <w:r>
                    <w:rPr>
                      <w:rFonts w:hint="eastAsia"/>
                      <w:color w:val="auto"/>
                      <w:kern w:val="0"/>
                      <w:szCs w:val="21"/>
                    </w:rPr>
                    <w:t>5</w:t>
                  </w:r>
                </w:p>
              </w:tc>
            </w:tr>
            <w:tr w14:paraId="74D7EC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restart"/>
                  <w:vAlign w:val="center"/>
                </w:tcPr>
                <w:p w14:paraId="5BA1C5AE">
                  <w:pPr>
                    <w:jc w:val="center"/>
                    <w:rPr>
                      <w:color w:val="auto"/>
                      <w:kern w:val="0"/>
                      <w:szCs w:val="21"/>
                    </w:rPr>
                  </w:pPr>
                  <w:r>
                    <w:rPr>
                      <w:rFonts w:hint="eastAsia"/>
                      <w:color w:val="auto"/>
                      <w:kern w:val="0"/>
                      <w:szCs w:val="21"/>
                    </w:rPr>
                    <w:t>固废</w:t>
                  </w:r>
                </w:p>
              </w:tc>
              <w:tc>
                <w:tcPr>
                  <w:tcW w:w="5384" w:type="dxa"/>
                  <w:vAlign w:val="center"/>
                </w:tcPr>
                <w:p w14:paraId="7516CA66">
                  <w:pPr>
                    <w:jc w:val="center"/>
                    <w:rPr>
                      <w:color w:val="auto"/>
                      <w:kern w:val="0"/>
                      <w:szCs w:val="21"/>
                    </w:rPr>
                  </w:pPr>
                  <w:r>
                    <w:rPr>
                      <w:rFonts w:hint="eastAsia"/>
                      <w:color w:val="auto"/>
                      <w:kern w:val="0"/>
                      <w:szCs w:val="21"/>
                      <w:lang w:val="en-US" w:eastAsia="zh-CN"/>
                    </w:rPr>
                    <w:t>采用边开采边回填方式，</w:t>
                  </w:r>
                  <w:r>
                    <w:rPr>
                      <w:rFonts w:hint="eastAsia"/>
                      <w:color w:val="auto"/>
                      <w:kern w:val="0"/>
                      <w:szCs w:val="21"/>
                    </w:rPr>
                    <w:t>剥离表土集中堆至表土堆场，</w:t>
                  </w:r>
                  <w:r>
                    <w:rPr>
                      <w:rFonts w:hint="eastAsia"/>
                      <w:color w:val="auto"/>
                      <w:kern w:val="0"/>
                      <w:szCs w:val="21"/>
                      <w:lang w:val="en-US" w:eastAsia="zh-CN"/>
                    </w:rPr>
                    <w:t>及时</w:t>
                  </w:r>
                  <w:r>
                    <w:rPr>
                      <w:rFonts w:hint="eastAsia"/>
                      <w:color w:val="auto"/>
                      <w:kern w:val="0"/>
                      <w:szCs w:val="21"/>
                    </w:rPr>
                    <w:t>用于土地复垦</w:t>
                  </w:r>
                </w:p>
              </w:tc>
              <w:tc>
                <w:tcPr>
                  <w:tcW w:w="1765" w:type="dxa"/>
                  <w:vAlign w:val="center"/>
                </w:tcPr>
                <w:p w14:paraId="49E1B5FA">
                  <w:pPr>
                    <w:jc w:val="center"/>
                    <w:rPr>
                      <w:color w:val="auto"/>
                      <w:kern w:val="0"/>
                      <w:szCs w:val="21"/>
                    </w:rPr>
                  </w:pPr>
                  <w:r>
                    <w:rPr>
                      <w:rFonts w:hint="eastAsia"/>
                      <w:color w:val="auto"/>
                      <w:kern w:val="0"/>
                      <w:szCs w:val="21"/>
                    </w:rPr>
                    <w:t>5</w:t>
                  </w:r>
                </w:p>
              </w:tc>
            </w:tr>
            <w:tr w14:paraId="375408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continue"/>
                  <w:vAlign w:val="center"/>
                </w:tcPr>
                <w:p w14:paraId="76483A26">
                  <w:pPr>
                    <w:jc w:val="center"/>
                    <w:rPr>
                      <w:color w:val="auto"/>
                      <w:kern w:val="0"/>
                      <w:szCs w:val="21"/>
                    </w:rPr>
                  </w:pPr>
                </w:p>
              </w:tc>
              <w:tc>
                <w:tcPr>
                  <w:tcW w:w="5384" w:type="dxa"/>
                  <w:vAlign w:val="center"/>
                </w:tcPr>
                <w:p w14:paraId="4E47745A">
                  <w:pPr>
                    <w:jc w:val="center"/>
                    <w:rPr>
                      <w:color w:val="auto"/>
                      <w:kern w:val="0"/>
                      <w:szCs w:val="21"/>
                    </w:rPr>
                  </w:pPr>
                  <w:r>
                    <w:rPr>
                      <w:rFonts w:hint="eastAsia"/>
                      <w:color w:val="auto"/>
                      <w:kern w:val="0"/>
                      <w:szCs w:val="21"/>
                    </w:rPr>
                    <w:t>垃圾箱</w:t>
                  </w:r>
                </w:p>
              </w:tc>
              <w:tc>
                <w:tcPr>
                  <w:tcW w:w="1765" w:type="dxa"/>
                  <w:vAlign w:val="center"/>
                </w:tcPr>
                <w:p w14:paraId="2AC3ACF9">
                  <w:pPr>
                    <w:jc w:val="center"/>
                    <w:rPr>
                      <w:color w:val="auto"/>
                      <w:kern w:val="0"/>
                      <w:szCs w:val="21"/>
                    </w:rPr>
                  </w:pPr>
                  <w:r>
                    <w:rPr>
                      <w:rFonts w:hint="eastAsia"/>
                      <w:color w:val="auto"/>
                      <w:kern w:val="0"/>
                      <w:szCs w:val="21"/>
                    </w:rPr>
                    <w:t>0.1</w:t>
                  </w:r>
                </w:p>
              </w:tc>
            </w:tr>
            <w:tr w14:paraId="3CFEFB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046D1A29">
                  <w:pPr>
                    <w:jc w:val="center"/>
                    <w:rPr>
                      <w:color w:val="auto"/>
                      <w:kern w:val="0"/>
                      <w:szCs w:val="21"/>
                    </w:rPr>
                  </w:pPr>
                  <w:r>
                    <w:rPr>
                      <w:color w:val="auto"/>
                      <w:kern w:val="0"/>
                      <w:szCs w:val="21"/>
                    </w:rPr>
                    <w:t>生态</w:t>
                  </w:r>
                </w:p>
              </w:tc>
              <w:tc>
                <w:tcPr>
                  <w:tcW w:w="5384" w:type="dxa"/>
                  <w:vAlign w:val="center"/>
                </w:tcPr>
                <w:p w14:paraId="799F086A">
                  <w:pPr>
                    <w:jc w:val="center"/>
                    <w:rPr>
                      <w:color w:val="auto"/>
                      <w:kern w:val="0"/>
                      <w:szCs w:val="21"/>
                    </w:rPr>
                  </w:pPr>
                  <w:r>
                    <w:rPr>
                      <w:rFonts w:hint="eastAsia"/>
                      <w:color w:val="auto"/>
                      <w:kern w:val="0"/>
                      <w:szCs w:val="21"/>
                    </w:rPr>
                    <w:t>剥离表土集中堆放在表土堆场。在阶段性开采结束后，将表土全部有序清运至露天采坑回填覆盖，以恢复当地生态环境。</w:t>
                  </w:r>
                </w:p>
              </w:tc>
              <w:tc>
                <w:tcPr>
                  <w:tcW w:w="1765" w:type="dxa"/>
                  <w:vAlign w:val="center"/>
                </w:tcPr>
                <w:p w14:paraId="4FFEB32D">
                  <w:pPr>
                    <w:jc w:val="center"/>
                    <w:rPr>
                      <w:color w:val="auto"/>
                      <w:kern w:val="0"/>
                      <w:szCs w:val="21"/>
                    </w:rPr>
                  </w:pPr>
                  <w:r>
                    <w:rPr>
                      <w:rFonts w:hint="eastAsia"/>
                      <w:color w:val="auto"/>
                      <w:kern w:val="0"/>
                      <w:szCs w:val="21"/>
                    </w:rPr>
                    <w:t>8</w:t>
                  </w:r>
                </w:p>
              </w:tc>
            </w:tr>
            <w:tr w14:paraId="0D139A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57C36760">
                  <w:pPr>
                    <w:jc w:val="center"/>
                    <w:rPr>
                      <w:color w:val="auto"/>
                    </w:rPr>
                  </w:pPr>
                  <w:r>
                    <w:rPr>
                      <w:rFonts w:hint="eastAsia"/>
                      <w:color w:val="auto"/>
                    </w:rPr>
                    <w:t>环境检测</w:t>
                  </w:r>
                </w:p>
              </w:tc>
              <w:tc>
                <w:tcPr>
                  <w:tcW w:w="5384" w:type="dxa"/>
                  <w:vAlign w:val="center"/>
                </w:tcPr>
                <w:p w14:paraId="3273AA60">
                  <w:pPr>
                    <w:jc w:val="center"/>
                    <w:rPr>
                      <w:color w:val="auto"/>
                      <w:kern w:val="0"/>
                      <w:szCs w:val="21"/>
                    </w:rPr>
                  </w:pPr>
                  <w:r>
                    <w:rPr>
                      <w:rFonts w:hint="eastAsia"/>
                      <w:color w:val="auto"/>
                      <w:kern w:val="0"/>
                      <w:szCs w:val="21"/>
                    </w:rPr>
                    <w:t>废气、噪声监测</w:t>
                  </w:r>
                </w:p>
              </w:tc>
              <w:tc>
                <w:tcPr>
                  <w:tcW w:w="1765" w:type="dxa"/>
                  <w:vAlign w:val="center"/>
                </w:tcPr>
                <w:p w14:paraId="1131F343">
                  <w:pPr>
                    <w:jc w:val="center"/>
                    <w:rPr>
                      <w:color w:val="auto"/>
                      <w:kern w:val="0"/>
                      <w:szCs w:val="21"/>
                    </w:rPr>
                  </w:pPr>
                  <w:r>
                    <w:rPr>
                      <w:rFonts w:hint="eastAsia"/>
                      <w:color w:val="auto"/>
                      <w:kern w:val="0"/>
                      <w:szCs w:val="21"/>
                    </w:rPr>
                    <w:t>6</w:t>
                  </w:r>
                </w:p>
              </w:tc>
            </w:tr>
            <w:tr w14:paraId="3553FC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31" w:type="dxa"/>
                  <w:gridSpan w:val="3"/>
                  <w:vAlign w:val="center"/>
                </w:tcPr>
                <w:p w14:paraId="6CC1520F">
                  <w:pPr>
                    <w:jc w:val="center"/>
                    <w:rPr>
                      <w:color w:val="auto"/>
                      <w:kern w:val="0"/>
                      <w:szCs w:val="21"/>
                    </w:rPr>
                  </w:pPr>
                  <w:r>
                    <w:rPr>
                      <w:rFonts w:hint="eastAsia"/>
                      <w:color w:val="auto"/>
                      <w:kern w:val="0"/>
                      <w:szCs w:val="21"/>
                    </w:rPr>
                    <w:t>闭矿期</w:t>
                  </w:r>
                </w:p>
              </w:tc>
            </w:tr>
            <w:tr w14:paraId="384272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5030DCE1">
                  <w:pPr>
                    <w:jc w:val="center"/>
                    <w:rPr>
                      <w:color w:val="auto"/>
                      <w:kern w:val="0"/>
                      <w:szCs w:val="21"/>
                    </w:rPr>
                  </w:pPr>
                  <w:r>
                    <w:rPr>
                      <w:rFonts w:hint="eastAsia"/>
                      <w:color w:val="auto"/>
                      <w:kern w:val="0"/>
                      <w:szCs w:val="21"/>
                    </w:rPr>
                    <w:t>生态</w:t>
                  </w:r>
                </w:p>
              </w:tc>
              <w:tc>
                <w:tcPr>
                  <w:tcW w:w="5384" w:type="dxa"/>
                  <w:vAlign w:val="center"/>
                </w:tcPr>
                <w:p w14:paraId="7AE4F461">
                  <w:pPr>
                    <w:jc w:val="center"/>
                    <w:rPr>
                      <w:color w:val="auto"/>
                      <w:kern w:val="0"/>
                      <w:szCs w:val="21"/>
                    </w:rPr>
                  </w:pPr>
                  <w:r>
                    <w:rPr>
                      <w:rFonts w:hint="eastAsia"/>
                      <w:color w:val="auto"/>
                      <w:kern w:val="0"/>
                      <w:szCs w:val="21"/>
                    </w:rPr>
                    <w:t>（1）针对露天采场地进行回填，对露天采场回填区域和上部台阶，采取机械平整，进行覆土植被恢复，沿露天采场边界设置围栏，并安装相应的警示牌。</w:t>
                  </w:r>
                </w:p>
                <w:p w14:paraId="539D7BF2">
                  <w:pPr>
                    <w:jc w:val="center"/>
                    <w:rPr>
                      <w:color w:val="auto"/>
                      <w:kern w:val="0"/>
                      <w:szCs w:val="21"/>
                    </w:rPr>
                  </w:pPr>
                  <w:r>
                    <w:rPr>
                      <w:rFonts w:hint="eastAsia"/>
                      <w:color w:val="auto"/>
                      <w:kern w:val="0"/>
                      <w:szCs w:val="21"/>
                    </w:rPr>
                    <w:t>（2）对堆场进行平整、覆土、植被恢复（种植当地乡土物种）、使其基本恢复原土地利用功能，达到与周边环境一致。</w:t>
                  </w:r>
                </w:p>
              </w:tc>
              <w:tc>
                <w:tcPr>
                  <w:tcW w:w="1765" w:type="dxa"/>
                  <w:vAlign w:val="center"/>
                </w:tcPr>
                <w:p w14:paraId="3FCAB1D2">
                  <w:pPr>
                    <w:jc w:val="center"/>
                    <w:rPr>
                      <w:color w:val="auto"/>
                      <w:kern w:val="0"/>
                      <w:szCs w:val="21"/>
                    </w:rPr>
                  </w:pPr>
                  <w:r>
                    <w:rPr>
                      <w:rFonts w:hint="eastAsia"/>
                      <w:color w:val="auto"/>
                      <w:kern w:val="0"/>
                      <w:szCs w:val="21"/>
                    </w:rPr>
                    <w:t>120</w:t>
                  </w:r>
                </w:p>
              </w:tc>
            </w:tr>
            <w:tr w14:paraId="1D5493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466" w:type="dxa"/>
                  <w:gridSpan w:val="2"/>
                  <w:shd w:val="clear" w:color="auto" w:fill="auto"/>
                  <w:vAlign w:val="center"/>
                </w:tcPr>
                <w:p w14:paraId="23554E98">
                  <w:pPr>
                    <w:jc w:val="center"/>
                    <w:rPr>
                      <w:color w:val="auto"/>
                      <w:kern w:val="0"/>
                      <w:szCs w:val="21"/>
                    </w:rPr>
                  </w:pPr>
                  <w:r>
                    <w:rPr>
                      <w:color w:val="auto"/>
                      <w:kern w:val="0"/>
                      <w:szCs w:val="21"/>
                    </w:rPr>
                    <w:t>合计</w:t>
                  </w:r>
                </w:p>
              </w:tc>
              <w:tc>
                <w:tcPr>
                  <w:tcW w:w="1765" w:type="dxa"/>
                  <w:shd w:val="clear" w:color="auto" w:fill="auto"/>
                  <w:vAlign w:val="center"/>
                </w:tcPr>
                <w:p w14:paraId="37112656">
                  <w:pPr>
                    <w:jc w:val="center"/>
                    <w:rPr>
                      <w:rFonts w:hint="default" w:eastAsia="宋体"/>
                      <w:color w:val="auto"/>
                      <w:kern w:val="0"/>
                      <w:szCs w:val="21"/>
                      <w:lang w:val="en-US" w:eastAsia="zh-CN"/>
                    </w:rPr>
                  </w:pPr>
                  <w:r>
                    <w:rPr>
                      <w:rFonts w:hint="eastAsia"/>
                      <w:color w:val="auto"/>
                      <w:kern w:val="0"/>
                      <w:szCs w:val="21"/>
                      <w:lang w:val="en-US" w:eastAsia="zh-CN"/>
                    </w:rPr>
                    <w:t>161.6</w:t>
                  </w:r>
                </w:p>
              </w:tc>
            </w:tr>
          </w:tbl>
          <w:p w14:paraId="2639C9FE">
            <w:pPr>
              <w:adjustRightInd w:val="0"/>
              <w:snapToGrid w:val="0"/>
              <w:rPr>
                <w:rFonts w:hint="eastAsia" w:ascii="宋体" w:hAnsi="宋体" w:cs="宋体"/>
                <w:bCs/>
                <w:color w:val="auto"/>
                <w:spacing w:val="10"/>
                <w:szCs w:val="21"/>
              </w:rPr>
            </w:pPr>
          </w:p>
          <w:p w14:paraId="46FC2CE9">
            <w:pPr>
              <w:pStyle w:val="2"/>
              <w:rPr>
                <w:rFonts w:hint="eastAsia" w:ascii="宋体" w:hAnsi="宋体" w:cs="宋体"/>
                <w:bCs/>
                <w:color w:val="auto"/>
                <w:spacing w:val="10"/>
                <w:szCs w:val="21"/>
              </w:rPr>
            </w:pPr>
          </w:p>
          <w:p w14:paraId="1E2CE23F">
            <w:pPr>
              <w:pStyle w:val="4"/>
              <w:rPr>
                <w:rFonts w:hint="eastAsia" w:ascii="宋体" w:hAnsi="宋体" w:cs="宋体"/>
                <w:bCs/>
                <w:color w:val="auto"/>
                <w:spacing w:val="10"/>
                <w:szCs w:val="21"/>
              </w:rPr>
            </w:pPr>
          </w:p>
          <w:p w14:paraId="4517DF3F">
            <w:pPr>
              <w:pStyle w:val="5"/>
              <w:widowControl w:val="0"/>
              <w:numPr>
                <w:ilvl w:val="0"/>
                <w:numId w:val="0"/>
              </w:numPr>
              <w:jc w:val="both"/>
              <w:rPr>
                <w:rFonts w:hint="eastAsia" w:ascii="宋体" w:hAnsi="宋体" w:cs="宋体"/>
                <w:bCs/>
                <w:color w:val="auto"/>
                <w:spacing w:val="10"/>
                <w:szCs w:val="21"/>
              </w:rPr>
            </w:pPr>
          </w:p>
          <w:p w14:paraId="63E6C277">
            <w:pPr>
              <w:pStyle w:val="5"/>
              <w:widowControl w:val="0"/>
              <w:numPr>
                <w:ilvl w:val="0"/>
                <w:numId w:val="0"/>
              </w:numPr>
              <w:jc w:val="both"/>
              <w:rPr>
                <w:rFonts w:hint="eastAsia" w:ascii="宋体" w:hAnsi="宋体" w:cs="宋体"/>
                <w:bCs/>
                <w:color w:val="auto"/>
                <w:spacing w:val="10"/>
                <w:szCs w:val="21"/>
              </w:rPr>
            </w:pPr>
          </w:p>
          <w:p w14:paraId="3ED308B0">
            <w:pPr>
              <w:pStyle w:val="2"/>
              <w:rPr>
                <w:rFonts w:hint="eastAsia" w:ascii="宋体" w:hAnsi="宋体" w:cs="宋体"/>
                <w:bCs/>
                <w:color w:val="auto"/>
                <w:spacing w:val="10"/>
                <w:szCs w:val="21"/>
              </w:rPr>
            </w:pPr>
          </w:p>
          <w:p w14:paraId="3416B7E9">
            <w:pPr>
              <w:pStyle w:val="4"/>
              <w:rPr>
                <w:rFonts w:hint="eastAsia" w:ascii="宋体" w:hAnsi="宋体" w:cs="宋体"/>
                <w:bCs/>
                <w:color w:val="auto"/>
                <w:spacing w:val="10"/>
                <w:szCs w:val="21"/>
              </w:rPr>
            </w:pPr>
          </w:p>
          <w:p w14:paraId="6B6F5ED5">
            <w:pPr>
              <w:pStyle w:val="5"/>
              <w:widowControl w:val="0"/>
              <w:numPr>
                <w:ilvl w:val="0"/>
                <w:numId w:val="0"/>
              </w:numPr>
              <w:jc w:val="both"/>
              <w:rPr>
                <w:rFonts w:hint="eastAsia" w:ascii="宋体" w:hAnsi="宋体" w:cs="宋体"/>
                <w:bCs/>
                <w:color w:val="auto"/>
                <w:spacing w:val="10"/>
                <w:szCs w:val="21"/>
              </w:rPr>
            </w:pPr>
          </w:p>
          <w:p w14:paraId="74654507">
            <w:pPr>
              <w:pStyle w:val="5"/>
              <w:widowControl w:val="0"/>
              <w:numPr>
                <w:ilvl w:val="0"/>
                <w:numId w:val="0"/>
              </w:numPr>
              <w:jc w:val="both"/>
              <w:rPr>
                <w:rFonts w:hint="eastAsia" w:ascii="宋体" w:hAnsi="宋体" w:cs="宋体"/>
                <w:bCs/>
                <w:color w:val="auto"/>
                <w:spacing w:val="10"/>
                <w:szCs w:val="21"/>
              </w:rPr>
            </w:pPr>
          </w:p>
          <w:p w14:paraId="2164B46D">
            <w:pPr>
              <w:pStyle w:val="5"/>
              <w:widowControl w:val="0"/>
              <w:numPr>
                <w:ilvl w:val="0"/>
                <w:numId w:val="0"/>
              </w:numPr>
              <w:jc w:val="both"/>
              <w:rPr>
                <w:rFonts w:hint="eastAsia" w:ascii="宋体" w:hAnsi="宋体" w:cs="宋体"/>
                <w:bCs/>
                <w:color w:val="auto"/>
                <w:spacing w:val="10"/>
                <w:szCs w:val="21"/>
              </w:rPr>
            </w:pPr>
          </w:p>
          <w:p w14:paraId="77105EB0">
            <w:pPr>
              <w:pStyle w:val="5"/>
              <w:widowControl w:val="0"/>
              <w:numPr>
                <w:ilvl w:val="0"/>
                <w:numId w:val="0"/>
              </w:numPr>
              <w:jc w:val="both"/>
              <w:rPr>
                <w:rFonts w:hint="eastAsia" w:ascii="宋体" w:hAnsi="宋体" w:cs="宋体"/>
                <w:bCs/>
                <w:color w:val="auto"/>
                <w:spacing w:val="10"/>
                <w:szCs w:val="21"/>
              </w:rPr>
            </w:pPr>
          </w:p>
          <w:p w14:paraId="3744F85E">
            <w:pPr>
              <w:pStyle w:val="5"/>
              <w:widowControl w:val="0"/>
              <w:numPr>
                <w:ilvl w:val="0"/>
                <w:numId w:val="0"/>
              </w:numPr>
              <w:jc w:val="both"/>
              <w:rPr>
                <w:rFonts w:hint="eastAsia" w:ascii="宋体" w:hAnsi="宋体" w:cs="宋体"/>
                <w:bCs/>
                <w:color w:val="auto"/>
                <w:spacing w:val="10"/>
                <w:szCs w:val="21"/>
              </w:rPr>
            </w:pPr>
          </w:p>
          <w:p w14:paraId="05025966">
            <w:pPr>
              <w:pStyle w:val="5"/>
              <w:widowControl w:val="0"/>
              <w:numPr>
                <w:ilvl w:val="0"/>
                <w:numId w:val="0"/>
              </w:numPr>
              <w:jc w:val="both"/>
              <w:rPr>
                <w:rFonts w:hint="eastAsia" w:ascii="宋体" w:hAnsi="宋体" w:cs="宋体"/>
                <w:bCs/>
                <w:color w:val="auto"/>
                <w:spacing w:val="10"/>
                <w:szCs w:val="21"/>
              </w:rPr>
            </w:pPr>
          </w:p>
          <w:p w14:paraId="20EDA09F">
            <w:pPr>
              <w:pStyle w:val="5"/>
              <w:widowControl w:val="0"/>
              <w:numPr>
                <w:ilvl w:val="0"/>
                <w:numId w:val="0"/>
              </w:numPr>
              <w:jc w:val="both"/>
              <w:rPr>
                <w:rFonts w:hint="eastAsia" w:ascii="宋体" w:hAnsi="宋体" w:cs="宋体"/>
                <w:bCs/>
                <w:color w:val="auto"/>
                <w:spacing w:val="10"/>
                <w:szCs w:val="21"/>
              </w:rPr>
            </w:pPr>
          </w:p>
          <w:p w14:paraId="5143ABE6">
            <w:pPr>
              <w:pStyle w:val="5"/>
              <w:widowControl w:val="0"/>
              <w:numPr>
                <w:ilvl w:val="0"/>
                <w:numId w:val="0"/>
              </w:numPr>
              <w:jc w:val="both"/>
              <w:rPr>
                <w:rFonts w:hint="eastAsia" w:ascii="宋体" w:hAnsi="宋体" w:cs="宋体"/>
                <w:bCs/>
                <w:color w:val="auto"/>
                <w:spacing w:val="10"/>
                <w:szCs w:val="21"/>
              </w:rPr>
            </w:pPr>
          </w:p>
          <w:p w14:paraId="60E94443">
            <w:pPr>
              <w:pStyle w:val="5"/>
              <w:widowControl w:val="0"/>
              <w:numPr>
                <w:ilvl w:val="0"/>
                <w:numId w:val="0"/>
              </w:numPr>
              <w:jc w:val="both"/>
              <w:rPr>
                <w:rFonts w:hint="eastAsia" w:ascii="宋体" w:hAnsi="宋体" w:cs="宋体"/>
                <w:bCs/>
                <w:color w:val="auto"/>
                <w:spacing w:val="10"/>
                <w:szCs w:val="21"/>
              </w:rPr>
            </w:pPr>
          </w:p>
          <w:p w14:paraId="781373F1">
            <w:pPr>
              <w:pStyle w:val="5"/>
              <w:widowControl w:val="0"/>
              <w:numPr>
                <w:ilvl w:val="0"/>
                <w:numId w:val="0"/>
              </w:numPr>
              <w:jc w:val="both"/>
              <w:rPr>
                <w:rFonts w:hint="eastAsia" w:ascii="宋体" w:hAnsi="宋体" w:cs="宋体"/>
                <w:bCs/>
                <w:color w:val="auto"/>
                <w:spacing w:val="10"/>
                <w:szCs w:val="21"/>
              </w:rPr>
            </w:pPr>
          </w:p>
          <w:p w14:paraId="192E0803">
            <w:pPr>
              <w:pStyle w:val="5"/>
              <w:widowControl w:val="0"/>
              <w:numPr>
                <w:ilvl w:val="0"/>
                <w:numId w:val="0"/>
              </w:numPr>
              <w:jc w:val="both"/>
              <w:rPr>
                <w:rFonts w:hint="eastAsia" w:ascii="宋体" w:hAnsi="宋体" w:cs="宋体"/>
                <w:bCs/>
                <w:color w:val="auto"/>
                <w:spacing w:val="10"/>
                <w:szCs w:val="21"/>
              </w:rPr>
            </w:pPr>
          </w:p>
          <w:p w14:paraId="4440F2E8">
            <w:pPr>
              <w:pStyle w:val="5"/>
              <w:widowControl w:val="0"/>
              <w:numPr>
                <w:ilvl w:val="0"/>
                <w:numId w:val="0"/>
              </w:numPr>
              <w:jc w:val="both"/>
              <w:rPr>
                <w:rFonts w:hint="eastAsia" w:ascii="宋体" w:hAnsi="宋体" w:cs="宋体"/>
                <w:bCs/>
                <w:color w:val="auto"/>
                <w:spacing w:val="10"/>
                <w:szCs w:val="21"/>
              </w:rPr>
            </w:pPr>
          </w:p>
          <w:p w14:paraId="36358159">
            <w:pPr>
              <w:pStyle w:val="5"/>
              <w:widowControl w:val="0"/>
              <w:numPr>
                <w:ilvl w:val="0"/>
                <w:numId w:val="0"/>
              </w:numPr>
              <w:jc w:val="both"/>
              <w:rPr>
                <w:rFonts w:hint="eastAsia" w:ascii="宋体" w:hAnsi="宋体" w:cs="宋体"/>
                <w:bCs/>
                <w:color w:val="auto"/>
                <w:spacing w:val="10"/>
                <w:szCs w:val="21"/>
              </w:rPr>
            </w:pPr>
          </w:p>
          <w:p w14:paraId="795F795D">
            <w:pPr>
              <w:pStyle w:val="5"/>
              <w:widowControl w:val="0"/>
              <w:numPr>
                <w:ilvl w:val="0"/>
                <w:numId w:val="0"/>
              </w:numPr>
              <w:jc w:val="both"/>
              <w:rPr>
                <w:rFonts w:hint="eastAsia" w:ascii="宋体" w:hAnsi="宋体" w:cs="宋体"/>
                <w:bCs/>
                <w:color w:val="auto"/>
                <w:spacing w:val="10"/>
                <w:szCs w:val="21"/>
              </w:rPr>
            </w:pPr>
          </w:p>
          <w:p w14:paraId="09C2CC3D">
            <w:pPr>
              <w:pStyle w:val="5"/>
              <w:widowControl w:val="0"/>
              <w:numPr>
                <w:ilvl w:val="0"/>
                <w:numId w:val="0"/>
              </w:numPr>
              <w:jc w:val="both"/>
              <w:rPr>
                <w:rFonts w:hint="eastAsia" w:ascii="宋体" w:hAnsi="宋体" w:cs="宋体"/>
                <w:bCs/>
                <w:color w:val="auto"/>
                <w:spacing w:val="10"/>
                <w:szCs w:val="21"/>
              </w:rPr>
            </w:pPr>
          </w:p>
          <w:p w14:paraId="3E39C4FF">
            <w:pPr>
              <w:pStyle w:val="5"/>
              <w:widowControl w:val="0"/>
              <w:numPr>
                <w:ilvl w:val="0"/>
                <w:numId w:val="0"/>
              </w:numPr>
              <w:jc w:val="both"/>
              <w:rPr>
                <w:rFonts w:hint="eastAsia" w:ascii="宋体" w:hAnsi="宋体" w:cs="宋体"/>
                <w:bCs/>
                <w:color w:val="auto"/>
                <w:spacing w:val="10"/>
                <w:szCs w:val="21"/>
              </w:rPr>
            </w:pPr>
          </w:p>
          <w:p w14:paraId="0EE50906">
            <w:pPr>
              <w:pStyle w:val="5"/>
              <w:widowControl w:val="0"/>
              <w:numPr>
                <w:ilvl w:val="0"/>
                <w:numId w:val="0"/>
              </w:numPr>
              <w:jc w:val="both"/>
              <w:rPr>
                <w:rFonts w:hint="eastAsia" w:ascii="宋体" w:hAnsi="宋体" w:cs="宋体"/>
                <w:bCs/>
                <w:color w:val="auto"/>
                <w:spacing w:val="10"/>
                <w:szCs w:val="21"/>
              </w:rPr>
            </w:pPr>
          </w:p>
          <w:p w14:paraId="65F0E4BD">
            <w:pPr>
              <w:pStyle w:val="5"/>
              <w:widowControl w:val="0"/>
              <w:numPr>
                <w:ilvl w:val="0"/>
                <w:numId w:val="0"/>
              </w:numPr>
              <w:jc w:val="both"/>
              <w:rPr>
                <w:rFonts w:hint="eastAsia" w:ascii="宋体" w:hAnsi="宋体" w:cs="宋体"/>
                <w:bCs/>
                <w:color w:val="auto"/>
                <w:spacing w:val="10"/>
                <w:szCs w:val="21"/>
              </w:rPr>
            </w:pPr>
          </w:p>
          <w:p w14:paraId="6597BB38">
            <w:pPr>
              <w:pStyle w:val="5"/>
              <w:widowControl w:val="0"/>
              <w:numPr>
                <w:ilvl w:val="0"/>
                <w:numId w:val="0"/>
              </w:numPr>
              <w:jc w:val="both"/>
              <w:rPr>
                <w:rFonts w:hint="eastAsia" w:ascii="宋体" w:hAnsi="宋体" w:cs="宋体"/>
                <w:bCs/>
                <w:color w:val="auto"/>
                <w:spacing w:val="10"/>
                <w:szCs w:val="21"/>
              </w:rPr>
            </w:pPr>
          </w:p>
          <w:p w14:paraId="6A431B8D">
            <w:pPr>
              <w:pStyle w:val="5"/>
              <w:widowControl w:val="0"/>
              <w:numPr>
                <w:ilvl w:val="0"/>
                <w:numId w:val="0"/>
              </w:numPr>
              <w:jc w:val="both"/>
              <w:rPr>
                <w:rFonts w:hint="eastAsia" w:ascii="宋体" w:hAnsi="宋体" w:cs="宋体"/>
                <w:bCs/>
                <w:color w:val="auto"/>
                <w:spacing w:val="10"/>
                <w:szCs w:val="21"/>
              </w:rPr>
            </w:pPr>
          </w:p>
          <w:p w14:paraId="6AC9964C">
            <w:pPr>
              <w:pStyle w:val="5"/>
              <w:widowControl w:val="0"/>
              <w:numPr>
                <w:ilvl w:val="0"/>
                <w:numId w:val="0"/>
              </w:numPr>
              <w:jc w:val="both"/>
              <w:rPr>
                <w:rFonts w:hint="eastAsia" w:ascii="宋体" w:hAnsi="宋体" w:cs="宋体"/>
                <w:bCs/>
                <w:color w:val="auto"/>
                <w:spacing w:val="10"/>
                <w:szCs w:val="21"/>
              </w:rPr>
            </w:pPr>
          </w:p>
          <w:p w14:paraId="2B10A0F4">
            <w:pPr>
              <w:pStyle w:val="5"/>
              <w:widowControl w:val="0"/>
              <w:numPr>
                <w:ilvl w:val="0"/>
                <w:numId w:val="0"/>
              </w:numPr>
              <w:jc w:val="both"/>
              <w:rPr>
                <w:rFonts w:hint="eastAsia" w:ascii="宋体" w:hAnsi="宋体" w:cs="宋体"/>
                <w:bCs/>
                <w:color w:val="auto"/>
                <w:spacing w:val="10"/>
                <w:szCs w:val="21"/>
              </w:rPr>
            </w:pPr>
          </w:p>
          <w:p w14:paraId="0AA146EE">
            <w:pPr>
              <w:pStyle w:val="5"/>
              <w:widowControl w:val="0"/>
              <w:numPr>
                <w:ilvl w:val="0"/>
                <w:numId w:val="0"/>
              </w:numPr>
              <w:jc w:val="both"/>
              <w:rPr>
                <w:rFonts w:hint="eastAsia" w:ascii="宋体" w:hAnsi="宋体" w:cs="宋体"/>
                <w:bCs/>
                <w:color w:val="auto"/>
                <w:spacing w:val="10"/>
                <w:szCs w:val="21"/>
              </w:rPr>
            </w:pPr>
          </w:p>
          <w:p w14:paraId="5B92A987">
            <w:pPr>
              <w:pStyle w:val="5"/>
              <w:widowControl w:val="0"/>
              <w:numPr>
                <w:ilvl w:val="0"/>
                <w:numId w:val="0"/>
              </w:numPr>
              <w:jc w:val="both"/>
              <w:rPr>
                <w:rFonts w:hint="eastAsia" w:ascii="宋体" w:hAnsi="宋体" w:cs="宋体"/>
                <w:bCs/>
                <w:color w:val="auto"/>
                <w:spacing w:val="10"/>
                <w:szCs w:val="21"/>
              </w:rPr>
            </w:pPr>
          </w:p>
          <w:p w14:paraId="55BA696D">
            <w:pPr>
              <w:pStyle w:val="5"/>
              <w:widowControl w:val="0"/>
              <w:numPr>
                <w:ilvl w:val="0"/>
                <w:numId w:val="0"/>
              </w:numPr>
              <w:jc w:val="both"/>
              <w:rPr>
                <w:rFonts w:hint="eastAsia" w:ascii="宋体" w:hAnsi="宋体" w:cs="宋体"/>
                <w:bCs/>
                <w:color w:val="auto"/>
                <w:spacing w:val="10"/>
                <w:szCs w:val="21"/>
              </w:rPr>
            </w:pPr>
          </w:p>
          <w:p w14:paraId="6AD9E010">
            <w:pPr>
              <w:pStyle w:val="5"/>
              <w:widowControl w:val="0"/>
              <w:numPr>
                <w:ilvl w:val="0"/>
                <w:numId w:val="0"/>
              </w:numPr>
              <w:jc w:val="both"/>
              <w:rPr>
                <w:rFonts w:hint="eastAsia" w:ascii="宋体" w:hAnsi="宋体" w:cs="宋体"/>
                <w:bCs/>
                <w:color w:val="auto"/>
                <w:spacing w:val="10"/>
                <w:szCs w:val="21"/>
              </w:rPr>
            </w:pPr>
          </w:p>
          <w:p w14:paraId="6FF5C981">
            <w:pPr>
              <w:pStyle w:val="5"/>
              <w:widowControl w:val="0"/>
              <w:numPr>
                <w:ilvl w:val="0"/>
                <w:numId w:val="0"/>
              </w:numPr>
              <w:jc w:val="both"/>
              <w:rPr>
                <w:rFonts w:hint="eastAsia" w:ascii="宋体" w:hAnsi="宋体" w:cs="宋体"/>
                <w:bCs/>
                <w:color w:val="auto"/>
                <w:spacing w:val="10"/>
                <w:szCs w:val="21"/>
              </w:rPr>
            </w:pPr>
          </w:p>
          <w:p w14:paraId="50E3A764">
            <w:pPr>
              <w:pStyle w:val="5"/>
              <w:widowControl w:val="0"/>
              <w:numPr>
                <w:ilvl w:val="0"/>
                <w:numId w:val="0"/>
              </w:numPr>
              <w:jc w:val="both"/>
              <w:rPr>
                <w:rFonts w:hint="eastAsia" w:ascii="宋体" w:hAnsi="宋体" w:cs="宋体"/>
                <w:bCs/>
                <w:color w:val="auto"/>
                <w:spacing w:val="10"/>
                <w:szCs w:val="21"/>
              </w:rPr>
            </w:pPr>
          </w:p>
          <w:p w14:paraId="67FAACAE">
            <w:pPr>
              <w:pStyle w:val="5"/>
              <w:widowControl w:val="0"/>
              <w:numPr>
                <w:ilvl w:val="0"/>
                <w:numId w:val="0"/>
              </w:numPr>
              <w:jc w:val="both"/>
              <w:rPr>
                <w:rFonts w:hint="eastAsia" w:ascii="宋体" w:hAnsi="宋体" w:cs="宋体"/>
                <w:bCs/>
                <w:color w:val="auto"/>
                <w:spacing w:val="10"/>
                <w:szCs w:val="21"/>
              </w:rPr>
            </w:pPr>
          </w:p>
          <w:p w14:paraId="0B6EB8E0">
            <w:pPr>
              <w:pStyle w:val="5"/>
              <w:widowControl w:val="0"/>
              <w:numPr>
                <w:ilvl w:val="0"/>
                <w:numId w:val="0"/>
              </w:numPr>
              <w:jc w:val="both"/>
              <w:rPr>
                <w:rFonts w:hint="eastAsia" w:ascii="宋体" w:hAnsi="宋体" w:cs="宋体"/>
                <w:bCs/>
                <w:color w:val="auto"/>
                <w:spacing w:val="10"/>
                <w:szCs w:val="21"/>
              </w:rPr>
            </w:pPr>
          </w:p>
          <w:p w14:paraId="2F4C338A">
            <w:pPr>
              <w:pStyle w:val="5"/>
              <w:widowControl w:val="0"/>
              <w:numPr>
                <w:ilvl w:val="0"/>
                <w:numId w:val="0"/>
              </w:numPr>
              <w:jc w:val="both"/>
              <w:rPr>
                <w:rFonts w:hint="eastAsia" w:ascii="宋体" w:hAnsi="宋体" w:cs="宋体"/>
                <w:bCs/>
                <w:color w:val="auto"/>
                <w:spacing w:val="10"/>
                <w:szCs w:val="21"/>
              </w:rPr>
            </w:pPr>
          </w:p>
          <w:p w14:paraId="11C5FADA">
            <w:pPr>
              <w:pStyle w:val="5"/>
              <w:widowControl w:val="0"/>
              <w:numPr>
                <w:ilvl w:val="0"/>
                <w:numId w:val="0"/>
              </w:numPr>
              <w:jc w:val="both"/>
              <w:rPr>
                <w:rFonts w:hint="eastAsia" w:ascii="宋体" w:hAnsi="宋体" w:cs="宋体"/>
                <w:bCs/>
                <w:color w:val="auto"/>
                <w:spacing w:val="10"/>
                <w:szCs w:val="21"/>
              </w:rPr>
            </w:pPr>
          </w:p>
          <w:p w14:paraId="3A9A850C">
            <w:pPr>
              <w:pStyle w:val="5"/>
              <w:widowControl w:val="0"/>
              <w:numPr>
                <w:ilvl w:val="0"/>
                <w:numId w:val="0"/>
              </w:numPr>
              <w:jc w:val="both"/>
              <w:rPr>
                <w:rFonts w:hint="eastAsia" w:ascii="宋体" w:hAnsi="宋体" w:cs="宋体"/>
                <w:bCs/>
                <w:color w:val="auto"/>
                <w:spacing w:val="10"/>
                <w:szCs w:val="21"/>
              </w:rPr>
            </w:pPr>
          </w:p>
          <w:p w14:paraId="2651E42A">
            <w:pPr>
              <w:pStyle w:val="5"/>
              <w:widowControl w:val="0"/>
              <w:numPr>
                <w:ilvl w:val="0"/>
                <w:numId w:val="0"/>
              </w:numPr>
              <w:jc w:val="both"/>
              <w:rPr>
                <w:rFonts w:hint="eastAsia" w:ascii="宋体" w:hAnsi="宋体" w:cs="宋体"/>
                <w:bCs/>
                <w:color w:val="auto"/>
                <w:spacing w:val="10"/>
                <w:szCs w:val="21"/>
              </w:rPr>
            </w:pPr>
          </w:p>
          <w:p w14:paraId="2EFA541C">
            <w:pPr>
              <w:pStyle w:val="5"/>
              <w:widowControl w:val="0"/>
              <w:numPr>
                <w:ilvl w:val="0"/>
                <w:numId w:val="0"/>
              </w:numPr>
              <w:jc w:val="both"/>
              <w:rPr>
                <w:rFonts w:hint="eastAsia" w:ascii="宋体" w:hAnsi="宋体" w:cs="宋体"/>
                <w:bCs/>
                <w:color w:val="auto"/>
                <w:spacing w:val="10"/>
                <w:szCs w:val="21"/>
              </w:rPr>
            </w:pPr>
          </w:p>
          <w:p w14:paraId="59A94268">
            <w:pPr>
              <w:pStyle w:val="5"/>
              <w:widowControl w:val="0"/>
              <w:numPr>
                <w:ilvl w:val="0"/>
                <w:numId w:val="0"/>
              </w:numPr>
              <w:jc w:val="both"/>
              <w:rPr>
                <w:rFonts w:hint="eastAsia" w:ascii="宋体" w:hAnsi="宋体" w:cs="宋体"/>
                <w:bCs/>
                <w:color w:val="auto"/>
                <w:spacing w:val="10"/>
                <w:szCs w:val="21"/>
              </w:rPr>
            </w:pPr>
          </w:p>
          <w:p w14:paraId="7CF0121F">
            <w:pPr>
              <w:pStyle w:val="5"/>
              <w:widowControl w:val="0"/>
              <w:numPr>
                <w:ilvl w:val="0"/>
                <w:numId w:val="0"/>
              </w:numPr>
              <w:jc w:val="both"/>
              <w:rPr>
                <w:rFonts w:hint="eastAsia" w:ascii="宋体" w:hAnsi="宋体" w:cs="宋体"/>
                <w:bCs/>
                <w:color w:val="auto"/>
                <w:spacing w:val="10"/>
                <w:szCs w:val="21"/>
              </w:rPr>
            </w:pPr>
          </w:p>
          <w:p w14:paraId="34A2DA24">
            <w:pPr>
              <w:pStyle w:val="5"/>
              <w:widowControl w:val="0"/>
              <w:numPr>
                <w:ilvl w:val="0"/>
                <w:numId w:val="0"/>
              </w:numPr>
              <w:jc w:val="both"/>
              <w:rPr>
                <w:rFonts w:hint="eastAsia" w:ascii="宋体" w:hAnsi="宋体" w:cs="宋体"/>
                <w:bCs/>
                <w:color w:val="auto"/>
                <w:spacing w:val="10"/>
                <w:szCs w:val="21"/>
              </w:rPr>
            </w:pPr>
          </w:p>
        </w:tc>
      </w:tr>
    </w:tbl>
    <w:p w14:paraId="7D8FF3B0">
      <w:pPr>
        <w:pStyle w:val="25"/>
        <w:jc w:val="center"/>
        <w:outlineLvl w:val="0"/>
        <w:rPr>
          <w:rFonts w:hint="eastAsia" w:ascii="黑体" w:hAnsi="黑体" w:eastAsia="黑体"/>
          <w:snapToGrid w:val="0"/>
          <w:color w:val="auto"/>
          <w:sz w:val="30"/>
          <w:szCs w:val="30"/>
        </w:rPr>
      </w:pPr>
      <w:bookmarkStart w:id="17" w:name="_Toc15473"/>
      <w:r>
        <w:rPr>
          <w:rFonts w:hint="eastAsia" w:ascii="黑体" w:hAnsi="黑体" w:eastAsia="黑体"/>
          <w:snapToGrid w:val="0"/>
          <w:color w:val="auto"/>
          <w:sz w:val="30"/>
          <w:szCs w:val="30"/>
        </w:rPr>
        <w:t>六、生态环境保护措施监督检查清单</w:t>
      </w:r>
      <w:bookmarkEnd w:id="17"/>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855"/>
        <w:gridCol w:w="1365"/>
        <w:gridCol w:w="1911"/>
        <w:gridCol w:w="1536"/>
      </w:tblGrid>
      <w:tr w14:paraId="2099E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Merge w:val="restart"/>
            <w:tcBorders>
              <w:tl2br w:val="single" w:color="auto" w:sz="4" w:space="0"/>
            </w:tcBorders>
          </w:tcPr>
          <w:p w14:paraId="16849BFA">
            <w:pPr>
              <w:pStyle w:val="25"/>
              <w:adjustRightInd w:val="0"/>
              <w:snapToGrid w:val="0"/>
              <w:spacing w:before="72" w:beforeLines="30" w:beforeAutospacing="0" w:after="0" w:afterAutospacing="0"/>
              <w:jc w:val="center"/>
              <w:rPr>
                <w:rFonts w:ascii="Times New Roman" w:hAnsi="Times New Roman" w:eastAsia="黑体"/>
                <w:color w:val="auto"/>
                <w:kern w:val="2"/>
                <w:sz w:val="21"/>
                <w:szCs w:val="21"/>
              </w:rPr>
            </w:pPr>
            <w:r>
              <w:rPr>
                <w:rFonts w:ascii="Times New Roman" w:hAnsi="Times New Roman" w:eastAsia="黑体"/>
                <w:color w:val="auto"/>
                <w:kern w:val="2"/>
                <w:sz w:val="21"/>
                <w:szCs w:val="21"/>
              </w:rPr>
              <w:t xml:space="preserve">       </w:t>
            </w:r>
          </w:p>
          <w:p w14:paraId="7860952B">
            <w:pPr>
              <w:pStyle w:val="25"/>
              <w:adjustRightInd w:val="0"/>
              <w:snapToGrid w:val="0"/>
              <w:spacing w:before="72" w:beforeLines="30" w:beforeAutospacing="0" w:after="0" w:afterAutospacing="0"/>
              <w:jc w:val="center"/>
              <w:rPr>
                <w:rFonts w:ascii="Times New Roman" w:hAnsi="Times New Roman" w:eastAsia="黑体"/>
                <w:color w:val="auto"/>
                <w:kern w:val="2"/>
                <w:sz w:val="21"/>
                <w:szCs w:val="21"/>
              </w:rPr>
            </w:pPr>
            <w:r>
              <w:rPr>
                <w:rFonts w:ascii="Times New Roman" w:hAnsi="Times New Roman" w:eastAsia="黑体"/>
                <w:color w:val="auto"/>
                <w:kern w:val="2"/>
                <w:sz w:val="21"/>
                <w:szCs w:val="21"/>
              </w:rPr>
              <w:t xml:space="preserve">         </w:t>
            </w:r>
            <w:r>
              <w:rPr>
                <w:rFonts w:ascii="Times New Roman" w:hAnsi="Times New Roman"/>
                <w:color w:val="auto"/>
                <w:kern w:val="2"/>
                <w:sz w:val="21"/>
                <w:szCs w:val="21"/>
              </w:rPr>
              <w:t>内容</w:t>
            </w:r>
          </w:p>
          <w:p w14:paraId="2C477A2C">
            <w:pPr>
              <w:pStyle w:val="25"/>
              <w:adjustRightInd w:val="0"/>
              <w:snapToGrid w:val="0"/>
              <w:spacing w:before="0" w:beforeAutospacing="0" w:after="0" w:afterAutospacing="0" w:line="14" w:lineRule="auto"/>
              <w:rPr>
                <w:rFonts w:ascii="Times New Roman" w:hAnsi="Times New Roman" w:eastAsia="黑体"/>
                <w:color w:val="auto"/>
                <w:kern w:val="2"/>
                <w:sz w:val="21"/>
                <w:szCs w:val="21"/>
              </w:rPr>
            </w:pPr>
            <w:r>
              <w:rPr>
                <w:rFonts w:ascii="Times New Roman" w:hAnsi="Times New Roman" w:eastAsia="黑体"/>
                <w:color w:val="auto"/>
                <w:kern w:val="2"/>
                <w:sz w:val="21"/>
                <w:szCs w:val="21"/>
              </w:rPr>
              <w:t xml:space="preserve">  </w:t>
            </w:r>
          </w:p>
          <w:p w14:paraId="4D26C506">
            <w:pPr>
              <w:pStyle w:val="25"/>
              <w:adjustRightInd w:val="0"/>
              <w:snapToGrid w:val="0"/>
              <w:spacing w:before="0" w:beforeAutospacing="0" w:after="0" w:afterAutospacing="0"/>
              <w:rPr>
                <w:rFonts w:ascii="Times New Roman" w:hAnsi="Times New Roman" w:eastAsia="黑体"/>
                <w:color w:val="auto"/>
                <w:kern w:val="2"/>
                <w:sz w:val="21"/>
                <w:szCs w:val="21"/>
              </w:rPr>
            </w:pPr>
            <w:r>
              <w:rPr>
                <w:rFonts w:ascii="Times New Roman" w:hAnsi="Times New Roman"/>
                <w:color w:val="auto"/>
                <w:kern w:val="2"/>
                <w:sz w:val="21"/>
                <w:szCs w:val="21"/>
              </w:rPr>
              <w:t>要素</w:t>
            </w:r>
          </w:p>
        </w:tc>
        <w:tc>
          <w:tcPr>
            <w:tcW w:w="1889" w:type="pct"/>
            <w:gridSpan w:val="2"/>
            <w:vAlign w:val="center"/>
          </w:tcPr>
          <w:p w14:paraId="63614541">
            <w:pPr>
              <w:pStyle w:val="25"/>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施工期</w:t>
            </w:r>
          </w:p>
        </w:tc>
        <w:tc>
          <w:tcPr>
            <w:tcW w:w="2022" w:type="pct"/>
            <w:gridSpan w:val="2"/>
            <w:vAlign w:val="center"/>
          </w:tcPr>
          <w:p w14:paraId="25AAB2CB">
            <w:pPr>
              <w:pStyle w:val="25"/>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运营期</w:t>
            </w:r>
          </w:p>
        </w:tc>
      </w:tr>
      <w:tr w14:paraId="4DA56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Merge w:val="continue"/>
          </w:tcPr>
          <w:p w14:paraId="4BB188DD">
            <w:pPr>
              <w:pStyle w:val="25"/>
              <w:adjustRightInd w:val="0"/>
              <w:snapToGrid w:val="0"/>
              <w:spacing w:before="0" w:beforeAutospacing="0" w:after="0" w:afterAutospacing="0"/>
              <w:ind w:firstLine="840"/>
              <w:jc w:val="center"/>
              <w:rPr>
                <w:rFonts w:ascii="Times New Roman" w:hAnsi="Times New Roman" w:eastAsia="黑体"/>
                <w:color w:val="auto"/>
                <w:kern w:val="2"/>
                <w:sz w:val="21"/>
                <w:szCs w:val="21"/>
              </w:rPr>
            </w:pPr>
          </w:p>
        </w:tc>
        <w:tc>
          <w:tcPr>
            <w:tcW w:w="1088" w:type="pct"/>
            <w:vAlign w:val="center"/>
          </w:tcPr>
          <w:p w14:paraId="74DC61D8">
            <w:pPr>
              <w:pStyle w:val="25"/>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环境保护措施</w:t>
            </w:r>
          </w:p>
        </w:tc>
        <w:tc>
          <w:tcPr>
            <w:tcW w:w="800" w:type="pct"/>
            <w:vAlign w:val="center"/>
          </w:tcPr>
          <w:p w14:paraId="45A29A53">
            <w:pPr>
              <w:pStyle w:val="25"/>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验收要求</w:t>
            </w:r>
          </w:p>
        </w:tc>
        <w:tc>
          <w:tcPr>
            <w:tcW w:w="1121" w:type="pct"/>
            <w:vAlign w:val="center"/>
          </w:tcPr>
          <w:p w14:paraId="0A072990">
            <w:pPr>
              <w:pStyle w:val="25"/>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环境保护措施</w:t>
            </w:r>
          </w:p>
        </w:tc>
        <w:tc>
          <w:tcPr>
            <w:tcW w:w="901" w:type="pct"/>
            <w:vAlign w:val="center"/>
          </w:tcPr>
          <w:p w14:paraId="4FD230C2">
            <w:pPr>
              <w:pStyle w:val="25"/>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验收要求</w:t>
            </w:r>
          </w:p>
        </w:tc>
      </w:tr>
      <w:tr w14:paraId="0A78F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5E34C5AE">
            <w:pPr>
              <w:adjustRightInd w:val="0"/>
              <w:snapToGrid w:val="0"/>
              <w:jc w:val="center"/>
              <w:rPr>
                <w:color w:val="auto"/>
                <w:szCs w:val="21"/>
              </w:rPr>
            </w:pPr>
            <w:r>
              <w:rPr>
                <w:color w:val="auto"/>
                <w:szCs w:val="21"/>
              </w:rPr>
              <w:t>陆生生态</w:t>
            </w:r>
          </w:p>
        </w:tc>
        <w:tc>
          <w:tcPr>
            <w:tcW w:w="1088" w:type="pct"/>
            <w:vAlign w:val="center"/>
          </w:tcPr>
          <w:p w14:paraId="2990864B">
            <w:pPr>
              <w:adjustRightInd w:val="0"/>
              <w:snapToGrid w:val="0"/>
              <w:jc w:val="center"/>
              <w:rPr>
                <w:color w:val="auto"/>
                <w:szCs w:val="21"/>
              </w:rPr>
            </w:pPr>
            <w:r>
              <w:rPr>
                <w:rFonts w:hint="eastAsia"/>
                <w:color w:val="auto"/>
                <w:szCs w:val="21"/>
              </w:rPr>
              <w:t>严格控制临时施工场地与施工道路面积和范围，减少对地表植被的破坏；剥离表土集中堆放后，采用防尘网苫盖、洒水降尘；禁止施工人员捕食鸟类、兽类；施工结束后对扰动地面采取场地平整措施。</w:t>
            </w:r>
          </w:p>
        </w:tc>
        <w:tc>
          <w:tcPr>
            <w:tcW w:w="800" w:type="pct"/>
            <w:vAlign w:val="center"/>
          </w:tcPr>
          <w:p w14:paraId="287CBC2C">
            <w:pPr>
              <w:adjustRightInd w:val="0"/>
              <w:snapToGrid w:val="0"/>
              <w:jc w:val="center"/>
              <w:rPr>
                <w:color w:val="auto"/>
                <w:szCs w:val="21"/>
              </w:rPr>
            </w:pPr>
            <w:r>
              <w:rPr>
                <w:color w:val="auto"/>
                <w:szCs w:val="21"/>
              </w:rPr>
              <w:t>落实相关环保要求</w:t>
            </w:r>
          </w:p>
        </w:tc>
        <w:tc>
          <w:tcPr>
            <w:tcW w:w="1121" w:type="pct"/>
            <w:vAlign w:val="center"/>
          </w:tcPr>
          <w:p w14:paraId="73FB5028">
            <w:pPr>
              <w:adjustRightInd w:val="0"/>
              <w:snapToGrid w:val="0"/>
              <w:jc w:val="center"/>
              <w:rPr>
                <w:color w:val="auto"/>
                <w:szCs w:val="21"/>
              </w:rPr>
            </w:pPr>
            <w:r>
              <w:rPr>
                <w:rFonts w:hint="eastAsia"/>
                <w:color w:val="auto"/>
                <w:szCs w:val="21"/>
              </w:rPr>
              <w:t>运营期先开采2号矿区，再开采1号矿区，矿区采取边开采边恢复，终止采矿活动时必须完成恢复治理；矿区内撒播区域常见耐旱的草籽，防止土地沙化；科学设置堆场，并采取防洪、排水、边坡防护、工程拦挡等水土保持措施；闭矿后进行土地复垦，对矿区周边进行表土回填和迹地覆土恢复等措施。</w:t>
            </w:r>
          </w:p>
        </w:tc>
        <w:tc>
          <w:tcPr>
            <w:tcW w:w="901" w:type="pct"/>
            <w:vAlign w:val="center"/>
          </w:tcPr>
          <w:p w14:paraId="0B3EFCE7">
            <w:pPr>
              <w:adjustRightInd w:val="0"/>
              <w:snapToGrid w:val="0"/>
              <w:jc w:val="center"/>
              <w:rPr>
                <w:color w:val="auto"/>
                <w:szCs w:val="21"/>
              </w:rPr>
            </w:pPr>
            <w:r>
              <w:rPr>
                <w:color w:val="auto"/>
                <w:szCs w:val="21"/>
              </w:rPr>
              <w:t>落实相关环保要求</w:t>
            </w:r>
          </w:p>
        </w:tc>
      </w:tr>
      <w:tr w14:paraId="682A6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5D085860">
            <w:pPr>
              <w:adjustRightInd w:val="0"/>
              <w:snapToGrid w:val="0"/>
              <w:jc w:val="center"/>
              <w:rPr>
                <w:color w:val="auto"/>
                <w:szCs w:val="21"/>
              </w:rPr>
            </w:pPr>
            <w:r>
              <w:rPr>
                <w:color w:val="auto"/>
                <w:szCs w:val="21"/>
              </w:rPr>
              <w:t>水生生态</w:t>
            </w:r>
          </w:p>
        </w:tc>
        <w:tc>
          <w:tcPr>
            <w:tcW w:w="1088" w:type="pct"/>
            <w:vAlign w:val="center"/>
          </w:tcPr>
          <w:p w14:paraId="24333EE8">
            <w:pPr>
              <w:adjustRightInd w:val="0"/>
              <w:snapToGrid w:val="0"/>
              <w:jc w:val="center"/>
              <w:rPr>
                <w:color w:val="auto"/>
                <w:szCs w:val="21"/>
              </w:rPr>
            </w:pPr>
            <w:r>
              <w:rPr>
                <w:color w:val="auto"/>
                <w:szCs w:val="21"/>
              </w:rPr>
              <w:t>/</w:t>
            </w:r>
          </w:p>
        </w:tc>
        <w:tc>
          <w:tcPr>
            <w:tcW w:w="800" w:type="pct"/>
            <w:vAlign w:val="center"/>
          </w:tcPr>
          <w:p w14:paraId="5D011090">
            <w:pPr>
              <w:adjustRightInd w:val="0"/>
              <w:snapToGrid w:val="0"/>
              <w:jc w:val="center"/>
              <w:rPr>
                <w:color w:val="auto"/>
                <w:szCs w:val="21"/>
              </w:rPr>
            </w:pPr>
            <w:r>
              <w:rPr>
                <w:color w:val="auto"/>
                <w:szCs w:val="21"/>
              </w:rPr>
              <w:t>/</w:t>
            </w:r>
          </w:p>
        </w:tc>
        <w:tc>
          <w:tcPr>
            <w:tcW w:w="1121" w:type="pct"/>
            <w:vAlign w:val="center"/>
          </w:tcPr>
          <w:p w14:paraId="0CE54CB1">
            <w:pPr>
              <w:adjustRightInd w:val="0"/>
              <w:snapToGrid w:val="0"/>
              <w:jc w:val="center"/>
              <w:rPr>
                <w:color w:val="auto"/>
                <w:szCs w:val="21"/>
              </w:rPr>
            </w:pPr>
            <w:r>
              <w:rPr>
                <w:color w:val="auto"/>
                <w:szCs w:val="21"/>
              </w:rPr>
              <w:t>/</w:t>
            </w:r>
          </w:p>
        </w:tc>
        <w:tc>
          <w:tcPr>
            <w:tcW w:w="901" w:type="pct"/>
            <w:vAlign w:val="center"/>
          </w:tcPr>
          <w:p w14:paraId="53BBD6C0">
            <w:pPr>
              <w:adjustRightInd w:val="0"/>
              <w:snapToGrid w:val="0"/>
              <w:jc w:val="center"/>
              <w:rPr>
                <w:color w:val="auto"/>
                <w:szCs w:val="21"/>
              </w:rPr>
            </w:pPr>
            <w:r>
              <w:rPr>
                <w:color w:val="auto"/>
                <w:szCs w:val="21"/>
              </w:rPr>
              <w:t>/</w:t>
            </w:r>
          </w:p>
        </w:tc>
      </w:tr>
      <w:tr w14:paraId="419CE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3D2FB1B3">
            <w:pPr>
              <w:adjustRightInd w:val="0"/>
              <w:snapToGrid w:val="0"/>
              <w:jc w:val="center"/>
              <w:rPr>
                <w:color w:val="auto"/>
                <w:szCs w:val="21"/>
              </w:rPr>
            </w:pPr>
            <w:r>
              <w:rPr>
                <w:color w:val="auto"/>
                <w:szCs w:val="21"/>
              </w:rPr>
              <w:t>地表水环境</w:t>
            </w:r>
          </w:p>
        </w:tc>
        <w:tc>
          <w:tcPr>
            <w:tcW w:w="1855" w:type="dxa"/>
            <w:vAlign w:val="center"/>
          </w:tcPr>
          <w:p w14:paraId="69C0F31F">
            <w:pPr>
              <w:adjustRightInd w:val="0"/>
              <w:snapToGrid w:val="0"/>
              <w:jc w:val="center"/>
              <w:rPr>
                <w:rFonts w:hint="default" w:eastAsia="宋体"/>
                <w:color w:val="auto"/>
                <w:szCs w:val="21"/>
                <w:lang w:val="en-US" w:eastAsia="zh-CN"/>
              </w:rPr>
            </w:pPr>
            <w:r>
              <w:rPr>
                <w:rFonts w:hint="eastAsia"/>
                <w:color w:val="auto"/>
                <w:szCs w:val="21"/>
              </w:rPr>
              <w:t>环保厕所</w:t>
            </w:r>
            <w:r>
              <w:rPr>
                <w:rFonts w:hint="eastAsia"/>
                <w:color w:val="auto"/>
                <w:szCs w:val="21"/>
                <w:lang w:eastAsia="zh-CN"/>
              </w:rPr>
              <w:t>、</w:t>
            </w:r>
            <w:r>
              <w:rPr>
                <w:rFonts w:hint="eastAsia"/>
                <w:color w:val="auto"/>
                <w:szCs w:val="21"/>
                <w:lang w:val="en-US" w:eastAsia="zh-CN"/>
              </w:rPr>
              <w:t>防渗化粪池</w:t>
            </w:r>
          </w:p>
        </w:tc>
        <w:tc>
          <w:tcPr>
            <w:tcW w:w="1365" w:type="dxa"/>
            <w:vAlign w:val="center"/>
          </w:tcPr>
          <w:p w14:paraId="2A3BD6F6">
            <w:pPr>
              <w:adjustRightInd w:val="0"/>
              <w:snapToGrid w:val="0"/>
              <w:jc w:val="center"/>
              <w:rPr>
                <w:color w:val="auto"/>
                <w:szCs w:val="21"/>
              </w:rPr>
            </w:pPr>
            <w:r>
              <w:rPr>
                <w:rFonts w:hint="eastAsia"/>
                <w:color w:val="auto"/>
                <w:szCs w:val="21"/>
              </w:rPr>
              <w:t>/</w:t>
            </w:r>
          </w:p>
        </w:tc>
        <w:tc>
          <w:tcPr>
            <w:tcW w:w="1911" w:type="dxa"/>
            <w:vAlign w:val="center"/>
          </w:tcPr>
          <w:p w14:paraId="54B26805">
            <w:pPr>
              <w:adjustRightInd w:val="0"/>
              <w:snapToGrid w:val="0"/>
              <w:jc w:val="center"/>
              <w:rPr>
                <w:rFonts w:hint="eastAsia" w:eastAsia="宋体"/>
                <w:color w:val="auto"/>
                <w:szCs w:val="21"/>
                <w:lang w:eastAsia="zh-CN"/>
              </w:rPr>
            </w:pPr>
            <w:r>
              <w:rPr>
                <w:rFonts w:hint="eastAsia"/>
                <w:color w:val="auto"/>
                <w:szCs w:val="21"/>
              </w:rPr>
              <w:t>环保厕所</w:t>
            </w:r>
            <w:r>
              <w:rPr>
                <w:rFonts w:hint="eastAsia"/>
                <w:color w:val="auto"/>
                <w:szCs w:val="21"/>
                <w:lang w:eastAsia="zh-CN"/>
              </w:rPr>
              <w:t>、</w:t>
            </w:r>
            <w:r>
              <w:rPr>
                <w:rFonts w:hint="eastAsia"/>
                <w:color w:val="auto"/>
                <w:szCs w:val="21"/>
                <w:lang w:val="en-US" w:eastAsia="zh-CN"/>
              </w:rPr>
              <w:t>防渗化粪池（15m</w:t>
            </w:r>
            <w:r>
              <w:rPr>
                <w:rFonts w:hint="eastAsia"/>
                <w:color w:val="auto"/>
                <w:szCs w:val="21"/>
                <w:vertAlign w:val="superscript"/>
                <w:lang w:val="en-US" w:eastAsia="zh-CN"/>
              </w:rPr>
              <w:t>3</w:t>
            </w:r>
            <w:r>
              <w:rPr>
                <w:rFonts w:hint="eastAsia"/>
                <w:color w:val="auto"/>
                <w:szCs w:val="21"/>
                <w:lang w:val="en-US" w:eastAsia="zh-CN"/>
              </w:rPr>
              <w:t>）、</w:t>
            </w:r>
            <w:r>
              <w:rPr>
                <w:rFonts w:hint="eastAsia"/>
                <w:color w:val="auto"/>
                <w:sz w:val="21"/>
                <w:szCs w:val="21"/>
                <w:lang w:val="en-US" w:eastAsia="zh-CN"/>
              </w:rPr>
              <w:t>沉淀池（车辆清洗废水经沉淀池处理后，用于车辆清洗）</w:t>
            </w:r>
          </w:p>
        </w:tc>
        <w:tc>
          <w:tcPr>
            <w:tcW w:w="1536" w:type="dxa"/>
            <w:vAlign w:val="center"/>
          </w:tcPr>
          <w:p w14:paraId="5B4D5AB0">
            <w:pPr>
              <w:adjustRightInd w:val="0"/>
              <w:snapToGrid w:val="0"/>
              <w:jc w:val="center"/>
              <w:rPr>
                <w:color w:val="auto"/>
                <w:szCs w:val="21"/>
              </w:rPr>
            </w:pPr>
            <w:r>
              <w:rPr>
                <w:color w:val="auto"/>
                <w:szCs w:val="21"/>
              </w:rPr>
              <w:t>落实相关环保要求</w:t>
            </w:r>
          </w:p>
        </w:tc>
      </w:tr>
      <w:tr w14:paraId="2FBA3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3B72C9F3">
            <w:pPr>
              <w:adjustRightInd w:val="0"/>
              <w:snapToGrid w:val="0"/>
              <w:jc w:val="center"/>
              <w:rPr>
                <w:color w:val="auto"/>
                <w:szCs w:val="21"/>
              </w:rPr>
            </w:pPr>
            <w:r>
              <w:rPr>
                <w:color w:val="auto"/>
                <w:szCs w:val="21"/>
              </w:rPr>
              <w:t>地下水及土壤环境</w:t>
            </w:r>
          </w:p>
        </w:tc>
        <w:tc>
          <w:tcPr>
            <w:tcW w:w="1088" w:type="pct"/>
            <w:vAlign w:val="center"/>
          </w:tcPr>
          <w:p w14:paraId="3DBA4106">
            <w:pPr>
              <w:adjustRightInd w:val="0"/>
              <w:snapToGrid w:val="0"/>
              <w:jc w:val="center"/>
              <w:rPr>
                <w:color w:val="auto"/>
                <w:szCs w:val="21"/>
              </w:rPr>
            </w:pPr>
            <w:r>
              <w:rPr>
                <w:color w:val="auto"/>
                <w:szCs w:val="21"/>
              </w:rPr>
              <w:t>/</w:t>
            </w:r>
          </w:p>
        </w:tc>
        <w:tc>
          <w:tcPr>
            <w:tcW w:w="800" w:type="pct"/>
            <w:vAlign w:val="center"/>
          </w:tcPr>
          <w:p w14:paraId="2D5D638A">
            <w:pPr>
              <w:adjustRightInd w:val="0"/>
              <w:snapToGrid w:val="0"/>
              <w:jc w:val="center"/>
              <w:rPr>
                <w:color w:val="auto"/>
                <w:szCs w:val="21"/>
              </w:rPr>
            </w:pPr>
            <w:r>
              <w:rPr>
                <w:color w:val="auto"/>
                <w:szCs w:val="21"/>
              </w:rPr>
              <w:t>/</w:t>
            </w:r>
          </w:p>
        </w:tc>
        <w:tc>
          <w:tcPr>
            <w:tcW w:w="1121" w:type="pct"/>
            <w:vAlign w:val="center"/>
          </w:tcPr>
          <w:p w14:paraId="72C06F3C">
            <w:pPr>
              <w:adjustRightInd w:val="0"/>
              <w:snapToGrid w:val="0"/>
              <w:jc w:val="center"/>
              <w:rPr>
                <w:color w:val="auto"/>
                <w:szCs w:val="21"/>
              </w:rPr>
            </w:pPr>
            <w:r>
              <w:rPr>
                <w:rFonts w:hint="eastAsia"/>
                <w:color w:val="auto"/>
                <w:szCs w:val="21"/>
              </w:rPr>
              <w:t>/</w:t>
            </w:r>
          </w:p>
        </w:tc>
        <w:tc>
          <w:tcPr>
            <w:tcW w:w="901" w:type="pct"/>
            <w:vAlign w:val="center"/>
          </w:tcPr>
          <w:p w14:paraId="5B784349">
            <w:pPr>
              <w:adjustRightInd w:val="0"/>
              <w:snapToGrid w:val="0"/>
              <w:jc w:val="center"/>
              <w:rPr>
                <w:color w:val="auto"/>
                <w:szCs w:val="21"/>
              </w:rPr>
            </w:pPr>
            <w:r>
              <w:rPr>
                <w:color w:val="auto"/>
                <w:szCs w:val="21"/>
              </w:rPr>
              <w:t>/</w:t>
            </w:r>
          </w:p>
        </w:tc>
      </w:tr>
      <w:tr w14:paraId="06B58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5C373E3">
            <w:pPr>
              <w:adjustRightInd w:val="0"/>
              <w:snapToGrid w:val="0"/>
              <w:jc w:val="center"/>
              <w:rPr>
                <w:color w:val="auto"/>
                <w:szCs w:val="21"/>
              </w:rPr>
            </w:pPr>
            <w:r>
              <w:rPr>
                <w:color w:val="auto"/>
                <w:szCs w:val="21"/>
              </w:rPr>
              <w:t>声环境</w:t>
            </w:r>
          </w:p>
        </w:tc>
        <w:tc>
          <w:tcPr>
            <w:tcW w:w="1088" w:type="pct"/>
            <w:vAlign w:val="center"/>
          </w:tcPr>
          <w:p w14:paraId="06417B7F">
            <w:pPr>
              <w:adjustRightInd w:val="0"/>
              <w:snapToGrid w:val="0"/>
              <w:jc w:val="center"/>
              <w:rPr>
                <w:color w:val="auto"/>
                <w:szCs w:val="21"/>
              </w:rPr>
            </w:pPr>
            <w:r>
              <w:rPr>
                <w:color w:val="auto"/>
                <w:szCs w:val="21"/>
              </w:rPr>
              <w:t>采用低噪声设备，合理安排施工时间，合理安排施工场地机械设置，对施工机械采取降噪措施；运输沿线尽量减少鸣笛</w:t>
            </w:r>
          </w:p>
        </w:tc>
        <w:tc>
          <w:tcPr>
            <w:tcW w:w="800" w:type="pct"/>
            <w:vAlign w:val="center"/>
          </w:tcPr>
          <w:p w14:paraId="192B7B2D">
            <w:pPr>
              <w:adjustRightInd w:val="0"/>
              <w:snapToGrid w:val="0"/>
              <w:jc w:val="center"/>
              <w:rPr>
                <w:color w:val="auto"/>
                <w:szCs w:val="21"/>
              </w:rPr>
            </w:pPr>
            <w:r>
              <w:rPr>
                <w:color w:val="auto"/>
                <w:szCs w:val="21"/>
              </w:rPr>
              <w:t>《建筑施</w:t>
            </w:r>
          </w:p>
          <w:p w14:paraId="34211E21">
            <w:pPr>
              <w:adjustRightInd w:val="0"/>
              <w:snapToGrid w:val="0"/>
              <w:jc w:val="center"/>
              <w:rPr>
                <w:color w:val="auto"/>
                <w:szCs w:val="21"/>
              </w:rPr>
            </w:pPr>
            <w:r>
              <w:rPr>
                <w:color w:val="auto"/>
                <w:szCs w:val="21"/>
              </w:rPr>
              <w:t>工场界环</w:t>
            </w:r>
          </w:p>
          <w:p w14:paraId="758D94FA">
            <w:pPr>
              <w:adjustRightInd w:val="0"/>
              <w:snapToGrid w:val="0"/>
              <w:jc w:val="center"/>
              <w:rPr>
                <w:color w:val="auto"/>
                <w:szCs w:val="21"/>
              </w:rPr>
            </w:pPr>
            <w:r>
              <w:rPr>
                <w:color w:val="auto"/>
                <w:szCs w:val="21"/>
              </w:rPr>
              <w:t>境噪声排</w:t>
            </w:r>
          </w:p>
          <w:p w14:paraId="5399357A">
            <w:pPr>
              <w:adjustRightInd w:val="0"/>
              <w:snapToGrid w:val="0"/>
              <w:jc w:val="center"/>
              <w:rPr>
                <w:color w:val="auto"/>
                <w:szCs w:val="21"/>
              </w:rPr>
            </w:pPr>
            <w:r>
              <w:rPr>
                <w:color w:val="auto"/>
                <w:szCs w:val="21"/>
              </w:rPr>
              <w:t>放标准》</w:t>
            </w:r>
          </w:p>
          <w:p w14:paraId="37A5707F">
            <w:pPr>
              <w:adjustRightInd w:val="0"/>
              <w:snapToGrid w:val="0"/>
              <w:jc w:val="center"/>
              <w:rPr>
                <w:color w:val="auto"/>
                <w:szCs w:val="21"/>
              </w:rPr>
            </w:pPr>
            <w:r>
              <w:rPr>
                <w:rFonts w:hint="eastAsia"/>
                <w:color w:val="auto"/>
                <w:szCs w:val="21"/>
              </w:rPr>
              <w:t>(</w:t>
            </w:r>
            <w:r>
              <w:rPr>
                <w:color w:val="auto"/>
                <w:szCs w:val="21"/>
              </w:rPr>
              <w:t>GB1252</w:t>
            </w:r>
          </w:p>
          <w:p w14:paraId="60D9968B">
            <w:pPr>
              <w:adjustRightInd w:val="0"/>
              <w:snapToGrid w:val="0"/>
              <w:jc w:val="center"/>
              <w:rPr>
                <w:color w:val="auto"/>
                <w:szCs w:val="21"/>
              </w:rPr>
            </w:pPr>
            <w:r>
              <w:rPr>
                <w:color w:val="auto"/>
                <w:szCs w:val="21"/>
              </w:rPr>
              <w:t>3-2 011</w:t>
            </w:r>
            <w:r>
              <w:rPr>
                <w:rFonts w:hint="eastAsia"/>
                <w:color w:val="auto"/>
                <w:szCs w:val="21"/>
              </w:rPr>
              <w:t>)</w:t>
            </w:r>
          </w:p>
        </w:tc>
        <w:tc>
          <w:tcPr>
            <w:tcW w:w="1121" w:type="pct"/>
            <w:vAlign w:val="center"/>
          </w:tcPr>
          <w:p w14:paraId="16714D9B">
            <w:pPr>
              <w:adjustRightInd w:val="0"/>
              <w:snapToGrid w:val="0"/>
              <w:jc w:val="center"/>
              <w:rPr>
                <w:color w:val="auto"/>
                <w:szCs w:val="21"/>
              </w:rPr>
            </w:pPr>
            <w:r>
              <w:rPr>
                <w:rFonts w:hint="eastAsia"/>
                <w:color w:val="auto"/>
                <w:kern w:val="0"/>
                <w:szCs w:val="21"/>
              </w:rPr>
              <w:t>低噪声设备、加强设备保养，车辆</w:t>
            </w:r>
            <w:r>
              <w:rPr>
                <w:rFonts w:hint="eastAsia"/>
                <w:color w:val="auto"/>
                <w:szCs w:val="21"/>
              </w:rPr>
              <w:t>采取禁鸣限速措施；开采至矿区边界时，在靠近养殖区一侧设置围挡措施</w:t>
            </w:r>
          </w:p>
        </w:tc>
        <w:tc>
          <w:tcPr>
            <w:tcW w:w="901" w:type="pct"/>
            <w:vAlign w:val="center"/>
          </w:tcPr>
          <w:p w14:paraId="13BAF77F">
            <w:pPr>
              <w:adjustRightInd w:val="0"/>
              <w:snapToGrid w:val="0"/>
              <w:jc w:val="center"/>
              <w:rPr>
                <w:color w:val="auto"/>
                <w:szCs w:val="21"/>
              </w:rPr>
            </w:pPr>
            <w:r>
              <w:rPr>
                <w:color w:val="auto"/>
                <w:szCs w:val="21"/>
              </w:rPr>
              <w:t>《工业企业厂界环境噪声排放标准》（GB12348-2008）中2类标准</w:t>
            </w:r>
          </w:p>
        </w:tc>
      </w:tr>
      <w:tr w14:paraId="20F11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7C43634E">
            <w:pPr>
              <w:adjustRightInd w:val="0"/>
              <w:snapToGrid w:val="0"/>
              <w:jc w:val="center"/>
              <w:rPr>
                <w:color w:val="auto"/>
                <w:szCs w:val="21"/>
              </w:rPr>
            </w:pPr>
            <w:r>
              <w:rPr>
                <w:color w:val="auto"/>
                <w:szCs w:val="21"/>
              </w:rPr>
              <w:t>振动</w:t>
            </w:r>
          </w:p>
        </w:tc>
        <w:tc>
          <w:tcPr>
            <w:tcW w:w="1088" w:type="pct"/>
            <w:vAlign w:val="center"/>
          </w:tcPr>
          <w:p w14:paraId="4045A2BE">
            <w:pPr>
              <w:adjustRightInd w:val="0"/>
              <w:snapToGrid w:val="0"/>
              <w:jc w:val="center"/>
              <w:rPr>
                <w:color w:val="auto"/>
                <w:szCs w:val="21"/>
              </w:rPr>
            </w:pPr>
            <w:r>
              <w:rPr>
                <w:color w:val="auto"/>
                <w:szCs w:val="21"/>
              </w:rPr>
              <w:t>/</w:t>
            </w:r>
          </w:p>
        </w:tc>
        <w:tc>
          <w:tcPr>
            <w:tcW w:w="800" w:type="pct"/>
            <w:vAlign w:val="center"/>
          </w:tcPr>
          <w:p w14:paraId="4A813328">
            <w:pPr>
              <w:adjustRightInd w:val="0"/>
              <w:snapToGrid w:val="0"/>
              <w:jc w:val="center"/>
              <w:rPr>
                <w:color w:val="auto"/>
                <w:szCs w:val="21"/>
              </w:rPr>
            </w:pPr>
            <w:r>
              <w:rPr>
                <w:color w:val="auto"/>
                <w:szCs w:val="21"/>
              </w:rPr>
              <w:t>/</w:t>
            </w:r>
          </w:p>
        </w:tc>
        <w:tc>
          <w:tcPr>
            <w:tcW w:w="1121" w:type="pct"/>
            <w:vAlign w:val="center"/>
          </w:tcPr>
          <w:p w14:paraId="59946118">
            <w:pPr>
              <w:adjustRightInd w:val="0"/>
              <w:snapToGrid w:val="0"/>
              <w:jc w:val="center"/>
              <w:rPr>
                <w:color w:val="auto"/>
                <w:szCs w:val="21"/>
              </w:rPr>
            </w:pPr>
            <w:r>
              <w:rPr>
                <w:color w:val="auto"/>
                <w:szCs w:val="21"/>
              </w:rPr>
              <w:t>/</w:t>
            </w:r>
          </w:p>
        </w:tc>
        <w:tc>
          <w:tcPr>
            <w:tcW w:w="901" w:type="pct"/>
            <w:vAlign w:val="center"/>
          </w:tcPr>
          <w:p w14:paraId="2C5DAE36">
            <w:pPr>
              <w:adjustRightInd w:val="0"/>
              <w:snapToGrid w:val="0"/>
              <w:jc w:val="center"/>
              <w:rPr>
                <w:color w:val="auto"/>
                <w:szCs w:val="21"/>
              </w:rPr>
            </w:pPr>
            <w:r>
              <w:rPr>
                <w:color w:val="auto"/>
                <w:szCs w:val="21"/>
              </w:rPr>
              <w:t>/</w:t>
            </w:r>
          </w:p>
        </w:tc>
      </w:tr>
      <w:tr w14:paraId="4E328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5BBD851E">
            <w:pPr>
              <w:adjustRightInd w:val="0"/>
              <w:snapToGrid w:val="0"/>
              <w:jc w:val="center"/>
              <w:rPr>
                <w:color w:val="auto"/>
                <w:szCs w:val="21"/>
              </w:rPr>
            </w:pPr>
            <w:r>
              <w:rPr>
                <w:color w:val="auto"/>
                <w:szCs w:val="21"/>
              </w:rPr>
              <w:t>大气环境</w:t>
            </w:r>
          </w:p>
        </w:tc>
        <w:tc>
          <w:tcPr>
            <w:tcW w:w="1088" w:type="pct"/>
            <w:vAlign w:val="center"/>
          </w:tcPr>
          <w:p w14:paraId="10A8BDBF">
            <w:pPr>
              <w:adjustRightInd w:val="0"/>
              <w:snapToGrid w:val="0"/>
              <w:jc w:val="center"/>
              <w:rPr>
                <w:color w:val="auto"/>
                <w:szCs w:val="21"/>
              </w:rPr>
            </w:pPr>
            <w:r>
              <w:rPr>
                <w:rFonts w:hint="eastAsia" w:cstheme="minorBidi"/>
                <w:bCs/>
                <w:color w:val="auto"/>
                <w:kern w:val="44"/>
              </w:rPr>
              <w:t>堆场洒水降尘，防尘网苫盖</w:t>
            </w:r>
            <w:r>
              <w:rPr>
                <w:color w:val="auto"/>
                <w:szCs w:val="21"/>
              </w:rPr>
              <w:t>剥离的表土集中堆放</w:t>
            </w:r>
            <w:r>
              <w:rPr>
                <w:rFonts w:hint="eastAsia"/>
                <w:color w:val="auto"/>
                <w:szCs w:val="21"/>
              </w:rPr>
              <w:t>于表土堆场</w:t>
            </w:r>
            <w:r>
              <w:rPr>
                <w:color w:val="auto"/>
                <w:szCs w:val="21"/>
              </w:rPr>
              <w:t>，采取</w:t>
            </w:r>
            <w:r>
              <w:rPr>
                <w:rFonts w:hint="eastAsia"/>
                <w:color w:val="auto"/>
                <w:szCs w:val="21"/>
              </w:rPr>
              <w:t>防尘网苫盖</w:t>
            </w:r>
            <w:r>
              <w:rPr>
                <w:color w:val="auto"/>
                <w:szCs w:val="21"/>
              </w:rPr>
              <w:t>、洒水降尘的措施；严禁大风天气开工</w:t>
            </w:r>
          </w:p>
        </w:tc>
        <w:tc>
          <w:tcPr>
            <w:tcW w:w="800" w:type="pct"/>
            <w:vAlign w:val="center"/>
          </w:tcPr>
          <w:p w14:paraId="348406CE">
            <w:pPr>
              <w:adjustRightInd w:val="0"/>
              <w:snapToGrid w:val="0"/>
              <w:jc w:val="center"/>
              <w:rPr>
                <w:color w:val="auto"/>
                <w:szCs w:val="21"/>
              </w:rPr>
            </w:pPr>
            <w:r>
              <w:rPr>
                <w:color w:val="auto"/>
                <w:szCs w:val="21"/>
              </w:rPr>
              <w:t>落实相关环保要求</w:t>
            </w:r>
          </w:p>
        </w:tc>
        <w:tc>
          <w:tcPr>
            <w:tcW w:w="1121" w:type="pct"/>
            <w:vAlign w:val="center"/>
          </w:tcPr>
          <w:p w14:paraId="4805CC13">
            <w:pPr>
              <w:adjustRightInd w:val="0"/>
              <w:snapToGrid w:val="0"/>
              <w:jc w:val="center"/>
              <w:rPr>
                <w:color w:val="auto"/>
                <w:szCs w:val="21"/>
              </w:rPr>
            </w:pPr>
            <w:r>
              <w:rPr>
                <w:rFonts w:hint="eastAsia" w:cstheme="minorBidi"/>
                <w:bCs/>
                <w:color w:val="auto"/>
                <w:kern w:val="44"/>
              </w:rPr>
              <w:t>开采作业面及建筑用砂装卸过程中采用雾炮机水雾增湿除尘方式降尘；开采至矿区边界时，在靠近养殖区一侧设置围挡措施；表土堆场、运输道路洒水降尘，堆场采用防尘网苫盖；对车辆进行清洗，降低扬尘产生</w:t>
            </w:r>
            <w:r>
              <w:rPr>
                <w:rFonts w:hint="eastAsia" w:cstheme="minorBidi"/>
                <w:bCs/>
                <w:color w:val="auto"/>
                <w:kern w:val="44"/>
                <w:lang w:eastAsia="zh-CN"/>
              </w:rPr>
              <w:t>；</w:t>
            </w:r>
            <w:r>
              <w:rPr>
                <w:rFonts w:hint="eastAsia" w:cstheme="minorBidi"/>
                <w:bCs/>
                <w:color w:val="auto"/>
                <w:kern w:val="44"/>
                <w:szCs w:val="21"/>
              </w:rPr>
              <w:t>项目砂石矿运输车辆采用篷布遮盖，</w:t>
            </w:r>
            <w:r>
              <w:rPr>
                <w:color w:val="auto"/>
                <w:szCs w:val="21"/>
              </w:rPr>
              <w:t>控制运输车辆行驶速度及装载量，减少物料转运环节，缩短物料运输距离，严禁在大风及暴雨天气进行物料采装、运输等。</w:t>
            </w:r>
          </w:p>
        </w:tc>
        <w:tc>
          <w:tcPr>
            <w:tcW w:w="901" w:type="pct"/>
            <w:vAlign w:val="center"/>
          </w:tcPr>
          <w:p w14:paraId="2172DA6F">
            <w:pPr>
              <w:adjustRightInd w:val="0"/>
              <w:snapToGrid w:val="0"/>
              <w:jc w:val="center"/>
              <w:rPr>
                <w:color w:val="auto"/>
                <w:szCs w:val="21"/>
              </w:rPr>
            </w:pPr>
            <w:r>
              <w:rPr>
                <w:color w:val="auto"/>
                <w:szCs w:val="21"/>
              </w:rPr>
              <w:t>《大气污染物综合排放标准》（GB16297-1996）中无组织排放浓度限值（1.0mg/m</w:t>
            </w:r>
            <w:r>
              <w:rPr>
                <w:color w:val="auto"/>
                <w:szCs w:val="21"/>
                <w:vertAlign w:val="superscript"/>
              </w:rPr>
              <w:t>3</w:t>
            </w:r>
            <w:r>
              <w:rPr>
                <w:color w:val="auto"/>
                <w:szCs w:val="21"/>
              </w:rPr>
              <w:t>）</w:t>
            </w:r>
          </w:p>
        </w:tc>
      </w:tr>
      <w:tr w14:paraId="12C04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0445AD00">
            <w:pPr>
              <w:adjustRightInd w:val="0"/>
              <w:snapToGrid w:val="0"/>
              <w:jc w:val="center"/>
              <w:rPr>
                <w:color w:val="auto"/>
                <w:szCs w:val="21"/>
              </w:rPr>
            </w:pPr>
            <w:r>
              <w:rPr>
                <w:color w:val="auto"/>
                <w:szCs w:val="21"/>
              </w:rPr>
              <w:t>固体废物</w:t>
            </w:r>
          </w:p>
        </w:tc>
        <w:tc>
          <w:tcPr>
            <w:tcW w:w="1088" w:type="pct"/>
            <w:vAlign w:val="center"/>
          </w:tcPr>
          <w:p w14:paraId="000A94F2">
            <w:pPr>
              <w:adjustRightInd w:val="0"/>
              <w:snapToGrid w:val="0"/>
              <w:jc w:val="center"/>
              <w:rPr>
                <w:color w:val="auto"/>
                <w:szCs w:val="21"/>
              </w:rPr>
            </w:pPr>
            <w:r>
              <w:rPr>
                <w:rFonts w:hint="eastAsia"/>
                <w:color w:val="auto"/>
                <w:szCs w:val="21"/>
              </w:rPr>
              <w:t>项目剥离表土集中堆至表土堆场，后期用于土地复垦</w:t>
            </w:r>
          </w:p>
        </w:tc>
        <w:tc>
          <w:tcPr>
            <w:tcW w:w="800" w:type="pct"/>
            <w:vAlign w:val="center"/>
          </w:tcPr>
          <w:p w14:paraId="3100C761">
            <w:pPr>
              <w:adjustRightInd w:val="0"/>
              <w:snapToGrid w:val="0"/>
              <w:jc w:val="center"/>
              <w:rPr>
                <w:color w:val="auto"/>
                <w:szCs w:val="21"/>
              </w:rPr>
            </w:pPr>
            <w:r>
              <w:rPr>
                <w:color w:val="auto"/>
                <w:szCs w:val="21"/>
              </w:rPr>
              <w:t>落实相关环保要求</w:t>
            </w:r>
          </w:p>
        </w:tc>
        <w:tc>
          <w:tcPr>
            <w:tcW w:w="1121" w:type="pct"/>
            <w:vAlign w:val="center"/>
          </w:tcPr>
          <w:p w14:paraId="05EDA850">
            <w:pPr>
              <w:adjustRightInd w:val="0"/>
              <w:snapToGrid w:val="0"/>
              <w:jc w:val="center"/>
              <w:rPr>
                <w:color w:val="auto"/>
                <w:szCs w:val="21"/>
              </w:rPr>
            </w:pPr>
            <w:r>
              <w:rPr>
                <w:rFonts w:hint="eastAsia"/>
                <w:color w:val="auto"/>
                <w:kern w:val="0"/>
                <w:szCs w:val="21"/>
                <w:lang w:val="en-US" w:eastAsia="zh-CN"/>
              </w:rPr>
              <w:t>采用边开采边回填方式，</w:t>
            </w:r>
            <w:r>
              <w:rPr>
                <w:rFonts w:hint="eastAsia"/>
                <w:color w:val="auto"/>
                <w:kern w:val="0"/>
                <w:szCs w:val="21"/>
              </w:rPr>
              <w:t>剥离表土集中堆至表土堆场，</w:t>
            </w:r>
            <w:r>
              <w:rPr>
                <w:rFonts w:hint="eastAsia"/>
                <w:color w:val="auto"/>
                <w:kern w:val="0"/>
                <w:szCs w:val="21"/>
                <w:lang w:val="en-US" w:eastAsia="zh-CN"/>
              </w:rPr>
              <w:t>及时</w:t>
            </w:r>
            <w:r>
              <w:rPr>
                <w:rFonts w:hint="eastAsia"/>
                <w:color w:val="auto"/>
                <w:kern w:val="0"/>
                <w:szCs w:val="21"/>
              </w:rPr>
              <w:t>用于土地复垦</w:t>
            </w:r>
            <w:r>
              <w:rPr>
                <w:rFonts w:hint="eastAsia"/>
                <w:color w:val="auto"/>
                <w:szCs w:val="21"/>
              </w:rPr>
              <w:t>；垃圾箱</w:t>
            </w:r>
          </w:p>
        </w:tc>
        <w:tc>
          <w:tcPr>
            <w:tcW w:w="901" w:type="pct"/>
            <w:vAlign w:val="center"/>
          </w:tcPr>
          <w:p w14:paraId="095EBE89">
            <w:pPr>
              <w:adjustRightInd w:val="0"/>
              <w:snapToGrid w:val="0"/>
              <w:jc w:val="center"/>
              <w:rPr>
                <w:color w:val="auto"/>
                <w:szCs w:val="21"/>
              </w:rPr>
            </w:pPr>
            <w:r>
              <w:rPr>
                <w:color w:val="auto"/>
                <w:szCs w:val="21"/>
              </w:rPr>
              <w:t>矿区固废得到合理处置</w:t>
            </w:r>
          </w:p>
        </w:tc>
      </w:tr>
      <w:tr w14:paraId="2D8DF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76686A7A">
            <w:pPr>
              <w:adjustRightInd w:val="0"/>
              <w:snapToGrid w:val="0"/>
              <w:jc w:val="center"/>
              <w:rPr>
                <w:color w:val="auto"/>
                <w:szCs w:val="21"/>
              </w:rPr>
            </w:pPr>
            <w:r>
              <w:rPr>
                <w:color w:val="auto"/>
                <w:szCs w:val="21"/>
              </w:rPr>
              <w:t>电磁环境</w:t>
            </w:r>
          </w:p>
        </w:tc>
        <w:tc>
          <w:tcPr>
            <w:tcW w:w="1088" w:type="pct"/>
            <w:vAlign w:val="center"/>
          </w:tcPr>
          <w:p w14:paraId="1EC9B685">
            <w:pPr>
              <w:adjustRightInd w:val="0"/>
              <w:snapToGrid w:val="0"/>
              <w:jc w:val="center"/>
              <w:rPr>
                <w:color w:val="auto"/>
                <w:szCs w:val="21"/>
              </w:rPr>
            </w:pPr>
            <w:r>
              <w:rPr>
                <w:color w:val="auto"/>
                <w:szCs w:val="21"/>
              </w:rPr>
              <w:t>/</w:t>
            </w:r>
          </w:p>
        </w:tc>
        <w:tc>
          <w:tcPr>
            <w:tcW w:w="800" w:type="pct"/>
            <w:vAlign w:val="center"/>
          </w:tcPr>
          <w:p w14:paraId="3B6BCAE2">
            <w:pPr>
              <w:adjustRightInd w:val="0"/>
              <w:snapToGrid w:val="0"/>
              <w:jc w:val="center"/>
              <w:rPr>
                <w:color w:val="auto"/>
                <w:szCs w:val="21"/>
              </w:rPr>
            </w:pPr>
            <w:r>
              <w:rPr>
                <w:color w:val="auto"/>
                <w:szCs w:val="21"/>
              </w:rPr>
              <w:t>/</w:t>
            </w:r>
          </w:p>
        </w:tc>
        <w:tc>
          <w:tcPr>
            <w:tcW w:w="1121" w:type="pct"/>
            <w:vAlign w:val="center"/>
          </w:tcPr>
          <w:p w14:paraId="31530D47">
            <w:pPr>
              <w:adjustRightInd w:val="0"/>
              <w:snapToGrid w:val="0"/>
              <w:jc w:val="center"/>
              <w:rPr>
                <w:color w:val="auto"/>
                <w:szCs w:val="21"/>
              </w:rPr>
            </w:pPr>
            <w:r>
              <w:rPr>
                <w:color w:val="auto"/>
                <w:szCs w:val="21"/>
              </w:rPr>
              <w:t>/</w:t>
            </w:r>
          </w:p>
        </w:tc>
        <w:tc>
          <w:tcPr>
            <w:tcW w:w="901" w:type="pct"/>
            <w:vAlign w:val="center"/>
          </w:tcPr>
          <w:p w14:paraId="5A313A14">
            <w:pPr>
              <w:adjustRightInd w:val="0"/>
              <w:snapToGrid w:val="0"/>
              <w:jc w:val="center"/>
              <w:rPr>
                <w:color w:val="auto"/>
                <w:szCs w:val="21"/>
              </w:rPr>
            </w:pPr>
            <w:r>
              <w:rPr>
                <w:color w:val="auto"/>
                <w:szCs w:val="21"/>
              </w:rPr>
              <w:t>/</w:t>
            </w:r>
          </w:p>
        </w:tc>
      </w:tr>
      <w:tr w14:paraId="2A1A1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3953130A">
            <w:pPr>
              <w:adjustRightInd w:val="0"/>
              <w:snapToGrid w:val="0"/>
              <w:jc w:val="center"/>
              <w:rPr>
                <w:color w:val="auto"/>
                <w:szCs w:val="21"/>
              </w:rPr>
            </w:pPr>
            <w:r>
              <w:rPr>
                <w:color w:val="auto"/>
                <w:szCs w:val="21"/>
              </w:rPr>
              <w:t>环境风险</w:t>
            </w:r>
          </w:p>
        </w:tc>
        <w:tc>
          <w:tcPr>
            <w:tcW w:w="1088" w:type="pct"/>
            <w:vAlign w:val="center"/>
          </w:tcPr>
          <w:p w14:paraId="430E4617">
            <w:pPr>
              <w:adjustRightInd w:val="0"/>
              <w:snapToGrid w:val="0"/>
              <w:jc w:val="center"/>
              <w:rPr>
                <w:color w:val="auto"/>
                <w:szCs w:val="21"/>
              </w:rPr>
            </w:pPr>
            <w:r>
              <w:rPr>
                <w:color w:val="auto"/>
                <w:szCs w:val="21"/>
              </w:rPr>
              <w:t>/</w:t>
            </w:r>
          </w:p>
        </w:tc>
        <w:tc>
          <w:tcPr>
            <w:tcW w:w="800" w:type="pct"/>
            <w:vAlign w:val="center"/>
          </w:tcPr>
          <w:p w14:paraId="15A3C9EF">
            <w:pPr>
              <w:adjustRightInd w:val="0"/>
              <w:snapToGrid w:val="0"/>
              <w:jc w:val="center"/>
              <w:rPr>
                <w:color w:val="auto"/>
                <w:szCs w:val="21"/>
              </w:rPr>
            </w:pPr>
            <w:r>
              <w:rPr>
                <w:color w:val="auto"/>
                <w:szCs w:val="21"/>
              </w:rPr>
              <w:t>/</w:t>
            </w:r>
          </w:p>
        </w:tc>
        <w:tc>
          <w:tcPr>
            <w:tcW w:w="1121" w:type="pct"/>
            <w:vAlign w:val="center"/>
          </w:tcPr>
          <w:p w14:paraId="0EE9852D">
            <w:pPr>
              <w:adjustRightInd w:val="0"/>
              <w:snapToGrid w:val="0"/>
              <w:jc w:val="center"/>
              <w:rPr>
                <w:color w:val="auto"/>
                <w:szCs w:val="21"/>
              </w:rPr>
            </w:pPr>
            <w:r>
              <w:rPr>
                <w:rFonts w:hint="eastAsia"/>
                <w:color w:val="auto"/>
                <w:szCs w:val="21"/>
              </w:rPr>
              <w:t>加强对边坡的检查，及时处理安全隐患；根据工程地质条件，必要时调整边坡角；经常检查边坡，发现隐患及时处理；建立全面严格的各项管理制度和安全管理体系；严格按生产工艺规程进行生产和操作。</w:t>
            </w:r>
          </w:p>
        </w:tc>
        <w:tc>
          <w:tcPr>
            <w:tcW w:w="901" w:type="pct"/>
            <w:vAlign w:val="center"/>
          </w:tcPr>
          <w:p w14:paraId="2FA6B929">
            <w:pPr>
              <w:adjustRightInd w:val="0"/>
              <w:snapToGrid w:val="0"/>
              <w:jc w:val="center"/>
              <w:rPr>
                <w:color w:val="auto"/>
                <w:szCs w:val="21"/>
              </w:rPr>
            </w:pPr>
            <w:r>
              <w:rPr>
                <w:rFonts w:hint="eastAsia"/>
                <w:color w:val="auto"/>
                <w:szCs w:val="21"/>
              </w:rPr>
              <w:t>环境风险较低，可以接受</w:t>
            </w:r>
          </w:p>
        </w:tc>
      </w:tr>
      <w:tr w14:paraId="1A572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468AEFA5">
            <w:pPr>
              <w:adjustRightInd w:val="0"/>
              <w:snapToGrid w:val="0"/>
              <w:jc w:val="center"/>
              <w:rPr>
                <w:color w:val="auto"/>
                <w:szCs w:val="21"/>
              </w:rPr>
            </w:pPr>
            <w:r>
              <w:rPr>
                <w:color w:val="auto"/>
                <w:szCs w:val="21"/>
              </w:rPr>
              <w:t>环境监测</w:t>
            </w:r>
          </w:p>
        </w:tc>
        <w:tc>
          <w:tcPr>
            <w:tcW w:w="1088" w:type="pct"/>
            <w:vAlign w:val="center"/>
          </w:tcPr>
          <w:p w14:paraId="5B187790">
            <w:pPr>
              <w:adjustRightInd w:val="0"/>
              <w:snapToGrid w:val="0"/>
              <w:jc w:val="center"/>
              <w:rPr>
                <w:color w:val="auto"/>
                <w:szCs w:val="21"/>
              </w:rPr>
            </w:pPr>
            <w:r>
              <w:rPr>
                <w:rFonts w:hint="eastAsia"/>
                <w:color w:val="auto"/>
                <w:szCs w:val="21"/>
              </w:rPr>
              <w:t>/</w:t>
            </w:r>
          </w:p>
        </w:tc>
        <w:tc>
          <w:tcPr>
            <w:tcW w:w="800" w:type="pct"/>
            <w:vAlign w:val="center"/>
          </w:tcPr>
          <w:p w14:paraId="54AFBB5C">
            <w:pPr>
              <w:adjustRightInd w:val="0"/>
              <w:snapToGrid w:val="0"/>
              <w:jc w:val="center"/>
              <w:rPr>
                <w:color w:val="auto"/>
                <w:szCs w:val="21"/>
              </w:rPr>
            </w:pPr>
            <w:r>
              <w:rPr>
                <w:rFonts w:hint="eastAsia"/>
                <w:color w:val="auto"/>
                <w:szCs w:val="21"/>
              </w:rPr>
              <w:t>/</w:t>
            </w:r>
          </w:p>
        </w:tc>
        <w:tc>
          <w:tcPr>
            <w:tcW w:w="1121" w:type="pct"/>
            <w:vAlign w:val="center"/>
          </w:tcPr>
          <w:p w14:paraId="74B38F69">
            <w:pPr>
              <w:adjustRightInd w:val="0"/>
              <w:snapToGrid w:val="0"/>
              <w:jc w:val="center"/>
              <w:rPr>
                <w:color w:val="auto"/>
                <w:szCs w:val="21"/>
              </w:rPr>
            </w:pPr>
            <w:r>
              <w:rPr>
                <w:color w:val="auto"/>
                <w:szCs w:val="21"/>
              </w:rPr>
              <w:t>废气、噪声监测</w:t>
            </w:r>
          </w:p>
        </w:tc>
        <w:tc>
          <w:tcPr>
            <w:tcW w:w="901" w:type="pct"/>
            <w:vAlign w:val="center"/>
          </w:tcPr>
          <w:p w14:paraId="2791AAEE">
            <w:pPr>
              <w:adjustRightInd w:val="0"/>
              <w:snapToGrid w:val="0"/>
              <w:jc w:val="center"/>
              <w:rPr>
                <w:color w:val="auto"/>
                <w:szCs w:val="21"/>
              </w:rPr>
            </w:pPr>
            <w:r>
              <w:rPr>
                <w:rFonts w:hint="eastAsia"/>
                <w:color w:val="auto"/>
                <w:szCs w:val="21"/>
              </w:rPr>
              <w:t>按照</w:t>
            </w:r>
            <w:r>
              <w:rPr>
                <w:color w:val="auto"/>
                <w:szCs w:val="21"/>
              </w:rPr>
              <w:t>《排污单位自行监测技术指南</w:t>
            </w:r>
            <w:r>
              <w:rPr>
                <w:rFonts w:hint="eastAsia"/>
                <w:color w:val="auto"/>
                <w:szCs w:val="21"/>
              </w:rPr>
              <w:t xml:space="preserve"> 总则》要求开展监测</w:t>
            </w:r>
          </w:p>
        </w:tc>
      </w:tr>
      <w:tr w14:paraId="2EE60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BD88735">
            <w:pPr>
              <w:adjustRightInd w:val="0"/>
              <w:snapToGrid w:val="0"/>
              <w:jc w:val="center"/>
              <w:rPr>
                <w:color w:val="auto"/>
                <w:szCs w:val="21"/>
              </w:rPr>
            </w:pPr>
            <w:r>
              <w:rPr>
                <w:color w:val="auto"/>
                <w:szCs w:val="21"/>
              </w:rPr>
              <w:t>其他</w:t>
            </w:r>
          </w:p>
        </w:tc>
        <w:tc>
          <w:tcPr>
            <w:tcW w:w="1088" w:type="pct"/>
            <w:vAlign w:val="center"/>
          </w:tcPr>
          <w:p w14:paraId="5CC7B460">
            <w:pPr>
              <w:adjustRightInd w:val="0"/>
              <w:snapToGrid w:val="0"/>
              <w:jc w:val="center"/>
              <w:rPr>
                <w:color w:val="auto"/>
                <w:szCs w:val="21"/>
              </w:rPr>
            </w:pPr>
            <w:r>
              <w:rPr>
                <w:color w:val="auto"/>
                <w:szCs w:val="21"/>
              </w:rPr>
              <w:t>/</w:t>
            </w:r>
          </w:p>
        </w:tc>
        <w:tc>
          <w:tcPr>
            <w:tcW w:w="800" w:type="pct"/>
            <w:vAlign w:val="center"/>
          </w:tcPr>
          <w:p w14:paraId="745FA296">
            <w:pPr>
              <w:adjustRightInd w:val="0"/>
              <w:snapToGrid w:val="0"/>
              <w:jc w:val="center"/>
              <w:rPr>
                <w:color w:val="auto"/>
                <w:szCs w:val="21"/>
              </w:rPr>
            </w:pPr>
            <w:r>
              <w:rPr>
                <w:color w:val="auto"/>
                <w:szCs w:val="21"/>
              </w:rPr>
              <w:t>/</w:t>
            </w:r>
          </w:p>
        </w:tc>
        <w:tc>
          <w:tcPr>
            <w:tcW w:w="1121" w:type="pct"/>
            <w:vAlign w:val="center"/>
          </w:tcPr>
          <w:p w14:paraId="13ED3AEC">
            <w:pPr>
              <w:adjustRightInd w:val="0"/>
              <w:snapToGrid w:val="0"/>
              <w:jc w:val="center"/>
              <w:rPr>
                <w:color w:val="auto"/>
                <w:szCs w:val="21"/>
              </w:rPr>
            </w:pPr>
            <w:r>
              <w:rPr>
                <w:color w:val="auto"/>
                <w:szCs w:val="21"/>
              </w:rPr>
              <w:t>/</w:t>
            </w:r>
          </w:p>
        </w:tc>
        <w:tc>
          <w:tcPr>
            <w:tcW w:w="901" w:type="pct"/>
            <w:vAlign w:val="center"/>
          </w:tcPr>
          <w:p w14:paraId="0EFA2EE7">
            <w:pPr>
              <w:adjustRightInd w:val="0"/>
              <w:snapToGrid w:val="0"/>
              <w:jc w:val="center"/>
              <w:rPr>
                <w:color w:val="auto"/>
                <w:szCs w:val="21"/>
              </w:rPr>
            </w:pPr>
            <w:r>
              <w:rPr>
                <w:color w:val="auto"/>
                <w:szCs w:val="21"/>
              </w:rPr>
              <w:t>/</w:t>
            </w:r>
          </w:p>
        </w:tc>
      </w:tr>
    </w:tbl>
    <w:p w14:paraId="73C7423C">
      <w:pPr>
        <w:pStyle w:val="25"/>
        <w:jc w:val="center"/>
        <w:rPr>
          <w:rFonts w:ascii="Times New Roman" w:hAnsi="Times New Roman" w:eastAsia="黑体"/>
          <w:snapToGrid w:val="0"/>
          <w:color w:val="auto"/>
        </w:rPr>
      </w:pPr>
    </w:p>
    <w:p w14:paraId="1C94FB4A">
      <w:pPr>
        <w:pStyle w:val="25"/>
        <w:spacing w:before="0" w:beforeAutospacing="0" w:line="14" w:lineRule="auto"/>
        <w:jc w:val="center"/>
        <w:rPr>
          <w:rFonts w:hint="eastAsia" w:ascii="黑体" w:hAnsi="黑体" w:eastAsia="黑体"/>
          <w:snapToGrid w:val="0"/>
          <w:color w:val="auto"/>
          <w:sz w:val="30"/>
          <w:szCs w:val="30"/>
        </w:rPr>
      </w:pPr>
      <w:r>
        <w:rPr>
          <w:rFonts w:ascii="黑体" w:hAnsi="黑体" w:eastAsia="黑体"/>
          <w:snapToGrid w:val="0"/>
          <w:color w:val="auto"/>
          <w:sz w:val="30"/>
          <w:szCs w:val="30"/>
        </w:rPr>
        <w:br w:type="page"/>
      </w:r>
    </w:p>
    <w:p w14:paraId="1A79055A">
      <w:pPr>
        <w:pStyle w:val="25"/>
        <w:spacing w:before="0" w:beforeAutospacing="0"/>
        <w:jc w:val="center"/>
        <w:outlineLvl w:val="0"/>
        <w:rPr>
          <w:rFonts w:hint="eastAsia" w:ascii="黑体" w:hAnsi="黑体" w:eastAsia="黑体"/>
          <w:snapToGrid w:val="0"/>
          <w:color w:val="auto"/>
          <w:sz w:val="30"/>
          <w:szCs w:val="30"/>
        </w:rPr>
      </w:pPr>
      <w:bookmarkStart w:id="18" w:name="_Toc16506"/>
      <w:r>
        <w:rPr>
          <w:rFonts w:hint="eastAsia" w:ascii="黑体" w:hAnsi="黑体" w:eastAsia="黑体"/>
          <w:snapToGrid w:val="0"/>
          <w:color w:val="auto"/>
          <w:sz w:val="30"/>
          <w:szCs w:val="30"/>
        </w:rPr>
        <w:t>七、结论</w:t>
      </w:r>
      <w:bookmarkEnd w:id="18"/>
    </w:p>
    <w:tbl>
      <w:tblPr>
        <w:tblStyle w:val="28"/>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328F7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16" w:hRule="atLeast"/>
          <w:jc w:val="center"/>
        </w:trPr>
        <w:tc>
          <w:tcPr>
            <w:tcW w:w="9289" w:type="dxa"/>
          </w:tcPr>
          <w:p w14:paraId="2FCEFB67">
            <w:pPr>
              <w:adjustRightInd w:val="0"/>
              <w:snapToGrid w:val="0"/>
              <w:spacing w:line="360" w:lineRule="auto"/>
              <w:ind w:firstLine="480" w:firstLineChars="200"/>
              <w:rPr>
                <w:rFonts w:hint="eastAsia" w:ascii="宋体" w:hAnsi="宋体" w:cs="宋体"/>
                <w:color w:val="auto"/>
                <w:szCs w:val="21"/>
              </w:rPr>
            </w:pPr>
            <w:r>
              <w:rPr>
                <w:color w:val="auto"/>
                <w:sz w:val="24"/>
              </w:rPr>
              <w:t>本项目符合国家产业政策，选址较为合理，只要严格落实本报告表中所提出的各项环境保护措施及生态恢复方案，该项目产生的废气、噪声可以实现达标排放</w:t>
            </w:r>
            <w:r>
              <w:rPr>
                <w:rFonts w:hint="eastAsia"/>
                <w:color w:val="auto"/>
                <w:sz w:val="24"/>
              </w:rPr>
              <w:t>，固废得到妥善处置</w:t>
            </w:r>
            <w:r>
              <w:rPr>
                <w:color w:val="auto"/>
                <w:sz w:val="24"/>
              </w:rPr>
              <w:t>。</w:t>
            </w:r>
            <w:r>
              <w:rPr>
                <w:rFonts w:hint="eastAsia"/>
                <w:color w:val="auto"/>
                <w:sz w:val="24"/>
              </w:rPr>
              <w:t>项目开采会导致</w:t>
            </w:r>
            <w:r>
              <w:rPr>
                <w:color w:val="auto"/>
                <w:sz w:val="24"/>
              </w:rPr>
              <w:t>自然景观和地形地貌</w:t>
            </w:r>
            <w:r>
              <w:rPr>
                <w:rFonts w:hint="eastAsia"/>
                <w:color w:val="auto"/>
                <w:sz w:val="24"/>
              </w:rPr>
              <w:t>发生</w:t>
            </w:r>
            <w:r>
              <w:rPr>
                <w:color w:val="auto"/>
                <w:sz w:val="24"/>
              </w:rPr>
              <w:t>变化</w:t>
            </w:r>
            <w:r>
              <w:rPr>
                <w:rFonts w:hint="eastAsia"/>
                <w:color w:val="auto"/>
                <w:sz w:val="24"/>
              </w:rPr>
              <w:t>，</w:t>
            </w:r>
            <w:r>
              <w:rPr>
                <w:color w:val="auto"/>
                <w:sz w:val="24"/>
              </w:rPr>
              <w:t>随着开采的结束，对开采区域进行生态恢复治理后，</w:t>
            </w:r>
            <w:r>
              <w:rPr>
                <w:rFonts w:hint="eastAsia"/>
                <w:color w:val="auto"/>
                <w:sz w:val="24"/>
              </w:rPr>
              <w:t>生态及景观会逐步恢复，</w:t>
            </w:r>
            <w:r>
              <w:rPr>
                <w:color w:val="auto"/>
                <w:sz w:val="24"/>
              </w:rPr>
              <w:t>对区域整体环境影响不大。从环境影响的角度分析，项目的建设是可行的。</w:t>
            </w:r>
          </w:p>
        </w:tc>
      </w:tr>
    </w:tbl>
    <w:p w14:paraId="43E01AD7">
      <w:pPr>
        <w:widowControl/>
        <w:adjustRightInd w:val="0"/>
        <w:snapToGrid w:val="0"/>
        <w:spacing w:before="192" w:beforeLines="80"/>
        <w:jc w:val="left"/>
        <w:rPr>
          <w:rFonts w:ascii="宋体"/>
          <w:color w:val="auto"/>
        </w:rPr>
      </w:pPr>
    </w:p>
    <w:p w14:paraId="077281DA">
      <w:pPr>
        <w:spacing w:line="360" w:lineRule="auto"/>
        <w:jc w:val="left"/>
        <w:rPr>
          <w:b/>
          <w:color w:val="auto"/>
          <w:sz w:val="24"/>
        </w:rPr>
      </w:pPr>
    </w:p>
    <w:p w14:paraId="5E7EFB0A">
      <w:pPr>
        <w:rPr>
          <w:color w:val="auto"/>
        </w:rPr>
      </w:pPr>
    </w:p>
    <w:sectPr>
      <w:pgSz w:w="11906" w:h="16838"/>
      <w:pgMar w:top="1440" w:right="1800" w:bottom="1440" w:left="1800" w:header="851" w:footer="107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82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2008">
    <w:pPr>
      <w:pStyle w:val="1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cap="sq" cmpd="sng">
                        <a:noFill/>
                        <a:prstDash val="sysDot"/>
                        <a:miter lim="800000"/>
                        <a:tailEnd type="triangle" w="med" len="med"/>
                      </a:ln>
                    </wps:spPr>
                    <wps:txbx>
                      <w:txbxContent>
                        <w:p w14:paraId="601692CC">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ZWIBPSAAAABQEAAA8AAAAAAAAAAQAgAAAAIgAAAGRycy9kb3ducmV2Lnht&#10;bFBLAQIUABQAAAAIAIdO4kDZ7bZNcQIAANQEAAAOAAAAAAAAAAEAIAAAACEBAABkcnMvZTJvRG9j&#10;LnhtbFBLBQYAAAAABgAGAFkBAAAEBgAAAAA=&#10;">
              <v:fill on="f" focussize="0,0"/>
              <v:stroke on="f" miterlimit="8" joinstyle="miter" dashstyle="1 1" endcap="square" endarrow="block"/>
              <v:imagedata o:title=""/>
              <o:lock v:ext="edit" aspectratio="f"/>
              <v:textbox inset="0mm,0mm,0mm,0mm" style="mso-fit-shape-to-text:t;">
                <w:txbxContent>
                  <w:p w14:paraId="601692CC">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5179">
    <w:pPr>
      <w:pStyle w:val="19"/>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92785" cy="230505"/>
              <wp:effectExtent l="0" t="0" r="254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692785" cy="230505"/>
                      </a:xfrm>
                      <a:prstGeom prst="rect">
                        <a:avLst/>
                      </a:prstGeom>
                      <a:noFill/>
                      <a:ln>
                        <a:noFill/>
                      </a:ln>
                    </wps:spPr>
                    <wps:txbx>
                      <w:txbxContent>
                        <w:p w14:paraId="603B7DF0">
                          <w:pPr>
                            <w:pStyle w:val="19"/>
                            <w:rPr>
                              <w:rStyle w:val="31"/>
                              <w:rFonts w:hint="eastAsia" w:ascii="宋体" w:hAnsi="宋体"/>
                              <w:sz w:val="28"/>
                              <w:szCs w:val="28"/>
                            </w:rPr>
                          </w:pPr>
                          <w:r>
                            <w:rPr>
                              <w:rStyle w:val="31"/>
                              <w:rFonts w:hint="eastAsia" w:ascii="宋体" w:hAnsi="宋体"/>
                              <w:sz w:val="28"/>
                              <w:szCs w:val="28"/>
                            </w:rPr>
                            <w:t>—</w:t>
                          </w:r>
                          <w:r>
                            <w:rPr>
                              <w:rStyle w:val="31"/>
                              <w:rFonts w:hint="eastAsia" w:ascii="宋体" w:hAnsi="宋体"/>
                              <w:sz w:val="20"/>
                              <w:szCs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22</w:t>
                          </w:r>
                          <w:r>
                            <w:rPr>
                              <w:rStyle w:val="31"/>
                              <w:rFonts w:ascii="宋体" w:hAnsi="宋体"/>
                              <w:sz w:val="26"/>
                              <w:szCs w:val="26"/>
                            </w:rPr>
                            <w:fldChar w:fldCharType="end"/>
                          </w:r>
                          <w:r>
                            <w:rPr>
                              <w:rStyle w:val="31"/>
                              <w:rFonts w:hint="eastAsia" w:ascii="宋体" w:hAnsi="宋体"/>
                              <w:sz w:val="20"/>
                              <w:szCs w:val="20"/>
                            </w:rPr>
                            <w:t xml:space="preserve">  </w:t>
                          </w:r>
                          <w:r>
                            <w:rPr>
                              <w:rStyle w:val="31"/>
                              <w:rFonts w:hint="eastAsia" w:ascii="宋体" w:hAnsi="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54.55pt;mso-position-horizontal:center;mso-position-horizontal-relative:margin;mso-wrap-style:none;z-index:251660288;mso-width-relative:page;mso-height-relative:page;" filled="f" stroked="f" coordsize="21600,21600" o:gfxdata="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dZXtIAAAAEAQAADwAAAAAAAAABACAAAAAiAAAA&#10;ZHJzL2Rvd25yZXYueG1sUEsBAhQAFAAAAAgAh07iQNmz8xANAgAABgQAAA4AAAAAAAAAAQAgAAAA&#10;IQEAAGRycy9lMm9Eb2MueG1sUEsFBgAAAAAGAAYAWQEAAKAFAAAAAA==&#10;">
              <v:fill on="f" focussize="0,0"/>
              <v:stroke on="f"/>
              <v:imagedata o:title=""/>
              <o:lock v:ext="edit" aspectratio="f"/>
              <v:textbox inset="0mm,0mm,0mm,0mm" style="mso-fit-shape-to-text:t;">
                <w:txbxContent>
                  <w:p w14:paraId="603B7DF0">
                    <w:pPr>
                      <w:pStyle w:val="19"/>
                      <w:rPr>
                        <w:rStyle w:val="31"/>
                        <w:rFonts w:hint="eastAsia" w:ascii="宋体" w:hAnsi="宋体"/>
                        <w:sz w:val="28"/>
                        <w:szCs w:val="28"/>
                      </w:rPr>
                    </w:pPr>
                    <w:r>
                      <w:rPr>
                        <w:rStyle w:val="31"/>
                        <w:rFonts w:hint="eastAsia" w:ascii="宋体" w:hAnsi="宋体"/>
                        <w:sz w:val="28"/>
                        <w:szCs w:val="28"/>
                      </w:rPr>
                      <w:t>—</w:t>
                    </w:r>
                    <w:r>
                      <w:rPr>
                        <w:rStyle w:val="31"/>
                        <w:rFonts w:hint="eastAsia" w:ascii="宋体" w:hAnsi="宋体"/>
                        <w:sz w:val="20"/>
                        <w:szCs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22</w:t>
                    </w:r>
                    <w:r>
                      <w:rPr>
                        <w:rStyle w:val="31"/>
                        <w:rFonts w:ascii="宋体" w:hAnsi="宋体"/>
                        <w:sz w:val="26"/>
                        <w:szCs w:val="26"/>
                      </w:rPr>
                      <w:fldChar w:fldCharType="end"/>
                    </w:r>
                    <w:r>
                      <w:rPr>
                        <w:rStyle w:val="31"/>
                        <w:rFonts w:hint="eastAsia" w:ascii="宋体" w:hAnsi="宋体"/>
                        <w:sz w:val="20"/>
                        <w:szCs w:val="20"/>
                      </w:rPr>
                      <w:t xml:space="preserve">  </w:t>
                    </w:r>
                    <w:r>
                      <w:rPr>
                        <w:rStyle w:val="31"/>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87D7"/>
    <w:multiLevelType w:val="singleLevel"/>
    <w:tmpl w:val="855887D7"/>
    <w:lvl w:ilvl="0" w:tentative="0">
      <w:start w:val="1"/>
      <w:numFmt w:val="decimal"/>
      <w:suff w:val="nothing"/>
      <w:lvlText w:val="（%1）"/>
      <w:lvlJc w:val="left"/>
    </w:lvl>
  </w:abstractNum>
  <w:abstractNum w:abstractNumId="1">
    <w:nsid w:val="8BFB6F9F"/>
    <w:multiLevelType w:val="singleLevel"/>
    <w:tmpl w:val="8BFB6F9F"/>
    <w:lvl w:ilvl="0" w:tentative="0">
      <w:start w:val="3"/>
      <w:numFmt w:val="chineseCounting"/>
      <w:suff w:val="space"/>
      <w:lvlText w:val="第%1节"/>
      <w:lvlJc w:val="left"/>
      <w:rPr>
        <w:rFonts w:hint="eastAsia"/>
      </w:rPr>
    </w:lvl>
  </w:abstractNum>
  <w:abstractNum w:abstractNumId="2">
    <w:nsid w:val="9F7238D2"/>
    <w:multiLevelType w:val="singleLevel"/>
    <w:tmpl w:val="9F7238D2"/>
    <w:lvl w:ilvl="0" w:tentative="0">
      <w:start w:val="1"/>
      <w:numFmt w:val="decimal"/>
      <w:suff w:val="nothing"/>
      <w:lvlText w:val="%1、"/>
      <w:lvlJc w:val="left"/>
    </w:lvl>
  </w:abstractNum>
  <w:abstractNum w:abstractNumId="3">
    <w:nsid w:val="CB3DDD25"/>
    <w:multiLevelType w:val="singleLevel"/>
    <w:tmpl w:val="CB3DDD25"/>
    <w:lvl w:ilvl="0" w:tentative="0">
      <w:start w:val="2"/>
      <w:numFmt w:val="chineseCounting"/>
      <w:suff w:val="nothing"/>
      <w:lvlText w:val="%1、"/>
      <w:lvlJc w:val="left"/>
      <w:rPr>
        <w:rFonts w:hint="eastAsia"/>
      </w:rPr>
    </w:lvl>
  </w:abstractNum>
  <w:abstractNum w:abstractNumId="4">
    <w:nsid w:val="D8A29DE6"/>
    <w:multiLevelType w:val="singleLevel"/>
    <w:tmpl w:val="D8A29DE6"/>
    <w:lvl w:ilvl="0" w:tentative="0">
      <w:start w:val="7"/>
      <w:numFmt w:val="decimal"/>
      <w:suff w:val="nothing"/>
      <w:lvlText w:val="%1、"/>
      <w:lvlJc w:val="left"/>
    </w:lvl>
  </w:abstractNum>
  <w:abstractNum w:abstractNumId="5">
    <w:nsid w:val="03ADFEC0"/>
    <w:multiLevelType w:val="singleLevel"/>
    <w:tmpl w:val="03ADFEC0"/>
    <w:lvl w:ilvl="0" w:tentative="0">
      <w:start w:val="2"/>
      <w:numFmt w:val="decimal"/>
      <w:suff w:val="nothing"/>
      <w:lvlText w:val="%1、"/>
      <w:lvlJc w:val="left"/>
    </w:lvl>
  </w:abstractNum>
  <w:abstractNum w:abstractNumId="6">
    <w:nsid w:val="2D0ABA6B"/>
    <w:multiLevelType w:val="singleLevel"/>
    <w:tmpl w:val="2D0ABA6B"/>
    <w:lvl w:ilvl="0" w:tentative="0">
      <w:start w:val="1"/>
      <w:numFmt w:val="decimal"/>
      <w:pStyle w:val="5"/>
      <w:lvlText w:val="%1."/>
      <w:lvlJc w:val="left"/>
      <w:pPr>
        <w:tabs>
          <w:tab w:val="left" w:pos="2040"/>
        </w:tabs>
        <w:ind w:left="2040" w:hanging="360"/>
      </w:pPr>
    </w:lvl>
  </w:abstractNum>
  <w:abstractNum w:abstractNumId="7">
    <w:nsid w:val="74BF8D33"/>
    <w:multiLevelType w:val="singleLevel"/>
    <w:tmpl w:val="74BF8D33"/>
    <w:lvl w:ilvl="0" w:tentative="0">
      <w:start w:val="4"/>
      <w:numFmt w:val="decimal"/>
      <w:suff w:val="nothing"/>
      <w:lvlText w:val="%1、"/>
      <w:lvlJc w:val="left"/>
    </w:lvl>
  </w:abstractNum>
  <w:num w:numId="1">
    <w:abstractNumId w:val="6"/>
  </w:num>
  <w:num w:numId="2">
    <w:abstractNumId w:val="7"/>
  </w:num>
  <w:num w:numId="3">
    <w:abstractNumId w:val="3"/>
  </w:num>
  <w:num w:numId="4">
    <w:abstractNumId w:val="1"/>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E4"/>
    <w:rsid w:val="00004CB4"/>
    <w:rsid w:val="0018099E"/>
    <w:rsid w:val="00195CC9"/>
    <w:rsid w:val="001D6464"/>
    <w:rsid w:val="001E5DF2"/>
    <w:rsid w:val="001F55A6"/>
    <w:rsid w:val="002018F3"/>
    <w:rsid w:val="002A4247"/>
    <w:rsid w:val="003271E8"/>
    <w:rsid w:val="00380BED"/>
    <w:rsid w:val="005A0C55"/>
    <w:rsid w:val="00606BFE"/>
    <w:rsid w:val="0069492B"/>
    <w:rsid w:val="006C4CF3"/>
    <w:rsid w:val="0079271F"/>
    <w:rsid w:val="00810F43"/>
    <w:rsid w:val="00835A9E"/>
    <w:rsid w:val="00841DE4"/>
    <w:rsid w:val="00896243"/>
    <w:rsid w:val="008B578F"/>
    <w:rsid w:val="008F1808"/>
    <w:rsid w:val="00945F93"/>
    <w:rsid w:val="00955324"/>
    <w:rsid w:val="009C610C"/>
    <w:rsid w:val="00A46A6F"/>
    <w:rsid w:val="00B54788"/>
    <w:rsid w:val="00B7221C"/>
    <w:rsid w:val="00B92FDF"/>
    <w:rsid w:val="00BE13F1"/>
    <w:rsid w:val="00D60159"/>
    <w:rsid w:val="00F5117B"/>
    <w:rsid w:val="00F573E0"/>
    <w:rsid w:val="00FD2E8D"/>
    <w:rsid w:val="00FD4F13"/>
    <w:rsid w:val="0150266D"/>
    <w:rsid w:val="05A148BD"/>
    <w:rsid w:val="073E1554"/>
    <w:rsid w:val="095074C6"/>
    <w:rsid w:val="0EA41C25"/>
    <w:rsid w:val="10C64BD4"/>
    <w:rsid w:val="13B278B4"/>
    <w:rsid w:val="153B4ABB"/>
    <w:rsid w:val="162C017A"/>
    <w:rsid w:val="184A3267"/>
    <w:rsid w:val="18893D8F"/>
    <w:rsid w:val="18DA6BF9"/>
    <w:rsid w:val="19B65058"/>
    <w:rsid w:val="1AE836F5"/>
    <w:rsid w:val="1B334486"/>
    <w:rsid w:val="1B695130"/>
    <w:rsid w:val="1BC53330"/>
    <w:rsid w:val="1C6951F4"/>
    <w:rsid w:val="1D1F1166"/>
    <w:rsid w:val="1D3E44B3"/>
    <w:rsid w:val="1DF65701"/>
    <w:rsid w:val="1F4E0DAF"/>
    <w:rsid w:val="20080954"/>
    <w:rsid w:val="2100305C"/>
    <w:rsid w:val="211663DC"/>
    <w:rsid w:val="219266A8"/>
    <w:rsid w:val="22FD6EAE"/>
    <w:rsid w:val="233314C7"/>
    <w:rsid w:val="23CA4229"/>
    <w:rsid w:val="260D24A3"/>
    <w:rsid w:val="26733D48"/>
    <w:rsid w:val="2CBF201D"/>
    <w:rsid w:val="2FBB185C"/>
    <w:rsid w:val="32E5702D"/>
    <w:rsid w:val="34C1112C"/>
    <w:rsid w:val="3550437A"/>
    <w:rsid w:val="36545584"/>
    <w:rsid w:val="385103EE"/>
    <w:rsid w:val="3BE97D86"/>
    <w:rsid w:val="3E554590"/>
    <w:rsid w:val="3F5C6E8F"/>
    <w:rsid w:val="407B049E"/>
    <w:rsid w:val="40967243"/>
    <w:rsid w:val="411059D4"/>
    <w:rsid w:val="42B10107"/>
    <w:rsid w:val="44BA7391"/>
    <w:rsid w:val="456D6663"/>
    <w:rsid w:val="4D5E7F38"/>
    <w:rsid w:val="51254295"/>
    <w:rsid w:val="52316359"/>
    <w:rsid w:val="53486D0A"/>
    <w:rsid w:val="53784B50"/>
    <w:rsid w:val="5B7653B5"/>
    <w:rsid w:val="5E826EAF"/>
    <w:rsid w:val="64CD16F2"/>
    <w:rsid w:val="681C1AF7"/>
    <w:rsid w:val="68461101"/>
    <w:rsid w:val="68B63CF9"/>
    <w:rsid w:val="699D0077"/>
    <w:rsid w:val="6AF62825"/>
    <w:rsid w:val="6C731D77"/>
    <w:rsid w:val="6F917BEA"/>
    <w:rsid w:val="70B579C1"/>
    <w:rsid w:val="711A246F"/>
    <w:rsid w:val="77F3410E"/>
    <w:rsid w:val="78DA4F2A"/>
    <w:rsid w:val="7A72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7"/>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8">
    <w:name w:val="heading 3"/>
    <w:basedOn w:val="1"/>
    <w:next w:val="1"/>
    <w:link w:val="36"/>
    <w:qFormat/>
    <w:uiPriority w:val="0"/>
    <w:pPr>
      <w:keepNext/>
      <w:keepLines/>
      <w:spacing w:before="260" w:after="260" w:line="413" w:lineRule="auto"/>
      <w:outlineLvl w:val="2"/>
    </w:pPr>
    <w:rPr>
      <w:b/>
      <w:sz w:val="32"/>
    </w:rPr>
  </w:style>
  <w:style w:type="paragraph" w:styleId="9">
    <w:name w:val="heading 4"/>
    <w:basedOn w:val="1"/>
    <w:next w:val="1"/>
    <w:link w:val="42"/>
    <w:qFormat/>
    <w:uiPriority w:val="0"/>
    <w:pPr>
      <w:spacing w:before="100" w:beforeAutospacing="1" w:after="100" w:afterAutospacing="1"/>
      <w:jc w:val="left"/>
      <w:outlineLvl w:val="3"/>
    </w:pPr>
    <w:rPr>
      <w:rFonts w:hint="eastAsia" w:ascii="宋体" w:hAnsi="宋体"/>
      <w:b/>
      <w:bCs/>
      <w:kern w:val="0"/>
      <w:sz w:val="24"/>
    </w:rPr>
  </w:style>
  <w:style w:type="paragraph" w:styleId="10">
    <w:name w:val="heading 5"/>
    <w:basedOn w:val="1"/>
    <w:next w:val="1"/>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link w:val="45"/>
    <w:semiHidden/>
    <w:qFormat/>
    <w:uiPriority w:val="0"/>
    <w:pPr>
      <w:spacing w:after="120"/>
      <w:ind w:left="420" w:leftChars="200"/>
    </w:pPr>
  </w:style>
  <w:style w:type="paragraph" w:styleId="4">
    <w:name w:val="Plain Text"/>
    <w:basedOn w:val="1"/>
    <w:next w:val="5"/>
    <w:link w:val="46"/>
    <w:qFormat/>
    <w:uiPriority w:val="0"/>
    <w:rPr>
      <w:rFonts w:ascii="宋体" w:hAnsi="Courier New" w:cs="Courier New"/>
      <w:szCs w:val="21"/>
    </w:rPr>
  </w:style>
  <w:style w:type="paragraph" w:styleId="5">
    <w:name w:val="List Number 5"/>
    <w:basedOn w:val="1"/>
    <w:semiHidden/>
    <w:unhideWhenUsed/>
    <w:qFormat/>
    <w:uiPriority w:val="99"/>
    <w:pPr>
      <w:numPr>
        <w:ilvl w:val="0"/>
        <w:numId w:val="1"/>
      </w:numPr>
    </w:pPr>
  </w:style>
  <w:style w:type="paragraph" w:styleId="11">
    <w:name w:val="Normal Indent"/>
    <w:basedOn w:val="1"/>
    <w:next w:val="12"/>
    <w:qFormat/>
    <w:uiPriority w:val="0"/>
    <w:pPr>
      <w:ind w:firstLine="420" w:firstLineChars="200"/>
    </w:pPr>
  </w:style>
  <w:style w:type="paragraph" w:customStyle="1" w:styleId="12">
    <w:name w:val="表头"/>
    <w:basedOn w:val="13"/>
    <w:next w:val="1"/>
    <w:link w:val="93"/>
    <w:qFormat/>
    <w:uiPriority w:val="0"/>
    <w:pPr>
      <w:jc w:val="center"/>
    </w:pPr>
    <w:rPr>
      <w:rFonts w:hint="eastAsia"/>
      <w:b/>
      <w:bCs/>
      <w:szCs w:val="21"/>
    </w:rPr>
  </w:style>
  <w:style w:type="paragraph" w:styleId="13">
    <w:name w:val="List"/>
    <w:basedOn w:val="1"/>
    <w:qFormat/>
    <w:uiPriority w:val="0"/>
    <w:pPr>
      <w:ind w:left="200" w:hanging="200" w:hangingChars="200"/>
    </w:pPr>
  </w:style>
  <w:style w:type="paragraph" w:styleId="14">
    <w:name w:val="caption"/>
    <w:basedOn w:val="1"/>
    <w:next w:val="1"/>
    <w:qFormat/>
    <w:uiPriority w:val="0"/>
    <w:pPr>
      <w:jc w:val="right"/>
    </w:pPr>
    <w:rPr>
      <w:rFonts w:eastAsia="黑体"/>
      <w:sz w:val="20"/>
    </w:rPr>
  </w:style>
  <w:style w:type="paragraph" w:styleId="15">
    <w:name w:val="annotation text"/>
    <w:basedOn w:val="1"/>
    <w:link w:val="44"/>
    <w:semiHidden/>
    <w:qFormat/>
    <w:uiPriority w:val="0"/>
    <w:pPr>
      <w:jc w:val="left"/>
    </w:pPr>
    <w:rPr>
      <w:kern w:val="0"/>
      <w:sz w:val="20"/>
    </w:rPr>
  </w:style>
  <w:style w:type="paragraph" w:styleId="16">
    <w:name w:val="Body Text"/>
    <w:basedOn w:val="1"/>
    <w:next w:val="1"/>
    <w:link w:val="43"/>
    <w:qFormat/>
    <w:uiPriority w:val="0"/>
    <w:pPr>
      <w:widowControl/>
      <w:snapToGrid w:val="0"/>
      <w:spacing w:before="60" w:after="160" w:line="259" w:lineRule="auto"/>
      <w:ind w:right="113"/>
    </w:pPr>
    <w:rPr>
      <w:kern w:val="0"/>
      <w:sz w:val="18"/>
      <w:szCs w:val="18"/>
    </w:rPr>
  </w:style>
  <w:style w:type="paragraph" w:styleId="17">
    <w:name w:val="Date"/>
    <w:basedOn w:val="1"/>
    <w:next w:val="1"/>
    <w:link w:val="48"/>
    <w:qFormat/>
    <w:uiPriority w:val="0"/>
    <w:pPr>
      <w:ind w:left="100" w:leftChars="2500"/>
    </w:pPr>
    <w:rPr>
      <w:kern w:val="0"/>
      <w:sz w:val="20"/>
    </w:rPr>
  </w:style>
  <w:style w:type="paragraph" w:styleId="18">
    <w:name w:val="Balloon Text"/>
    <w:basedOn w:val="1"/>
    <w:link w:val="49"/>
    <w:semiHidden/>
    <w:qFormat/>
    <w:uiPriority w:val="0"/>
    <w:rPr>
      <w:sz w:val="18"/>
      <w:szCs w:val="18"/>
    </w:rPr>
  </w:style>
  <w:style w:type="paragraph" w:styleId="19">
    <w:name w:val="footer"/>
    <w:basedOn w:val="1"/>
    <w:link w:val="41"/>
    <w:unhideWhenUsed/>
    <w:qFormat/>
    <w:uiPriority w:val="0"/>
    <w:pPr>
      <w:tabs>
        <w:tab w:val="center" w:pos="4153"/>
        <w:tab w:val="right" w:pos="8306"/>
      </w:tabs>
      <w:snapToGrid w:val="0"/>
      <w:jc w:val="left"/>
    </w:pPr>
    <w:rPr>
      <w:sz w:val="18"/>
      <w:szCs w:val="18"/>
    </w:rPr>
  </w:style>
  <w:style w:type="paragraph" w:styleId="20">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39"/>
  </w:style>
  <w:style w:type="paragraph" w:styleId="22">
    <w:name w:val="index heading"/>
    <w:basedOn w:val="1"/>
    <w:next w:val="23"/>
    <w:qFormat/>
    <w:uiPriority w:val="0"/>
    <w:rPr>
      <w:szCs w:val="20"/>
    </w:rPr>
  </w:style>
  <w:style w:type="paragraph" w:styleId="23">
    <w:name w:val="index 1"/>
    <w:basedOn w:val="1"/>
    <w:next w:val="1"/>
    <w:qFormat/>
    <w:uiPriority w:val="0"/>
    <w:pPr>
      <w:adjustRightInd w:val="0"/>
      <w:snapToGrid w:val="0"/>
      <w:spacing w:line="440" w:lineRule="atLeast"/>
      <w:ind w:left="240" w:hanging="240"/>
      <w:jc w:val="left"/>
    </w:pPr>
    <w:rPr>
      <w:rFonts w:ascii="宋体"/>
      <w:sz w:val="18"/>
      <w:szCs w:val="18"/>
    </w:rPr>
  </w:style>
  <w:style w:type="paragraph" w:styleId="24">
    <w:name w:val="Body Text 2"/>
    <w:basedOn w:val="1"/>
    <w:unhideWhenUsed/>
    <w:qFormat/>
    <w:uiPriority w:val="0"/>
    <w:pPr>
      <w:widowControl/>
      <w:jc w:val="left"/>
    </w:pPr>
    <w:rPr>
      <w:rFonts w:ascii="仿宋_GB2312" w:eastAsia="仿宋_GB2312"/>
      <w:sz w:val="30"/>
      <w:szCs w:val="20"/>
    </w:rPr>
  </w:style>
  <w:style w:type="paragraph" w:styleId="25">
    <w:name w:val="Normal (Web)"/>
    <w:basedOn w:val="1"/>
    <w:link w:val="50"/>
    <w:qFormat/>
    <w:uiPriority w:val="0"/>
    <w:pPr>
      <w:widowControl/>
      <w:spacing w:before="100" w:beforeAutospacing="1" w:after="100" w:afterAutospacing="1"/>
      <w:jc w:val="left"/>
    </w:pPr>
    <w:rPr>
      <w:rFonts w:ascii="宋体" w:hAnsi="宋体"/>
      <w:kern w:val="0"/>
      <w:sz w:val="24"/>
    </w:rPr>
  </w:style>
  <w:style w:type="paragraph" w:styleId="26">
    <w:name w:val="Title"/>
    <w:basedOn w:val="1"/>
    <w:next w:val="1"/>
    <w:link w:val="51"/>
    <w:qFormat/>
    <w:uiPriority w:val="1"/>
    <w:pPr>
      <w:spacing w:before="28"/>
      <w:ind w:left="228" w:right="853"/>
    </w:pPr>
    <w:rPr>
      <w:rFonts w:ascii="宋体" w:hAnsi="宋体" w:cs="宋体"/>
      <w:sz w:val="52"/>
      <w:szCs w:val="52"/>
    </w:rPr>
  </w:style>
  <w:style w:type="paragraph" w:styleId="27">
    <w:name w:val="annotation subject"/>
    <w:basedOn w:val="15"/>
    <w:next w:val="15"/>
    <w:link w:val="52"/>
    <w:semiHidden/>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Emphasis"/>
    <w:basedOn w:val="30"/>
    <w:qFormat/>
    <w:uiPriority w:val="0"/>
  </w:style>
  <w:style w:type="character" w:styleId="33">
    <w:name w:val="Hyperlink"/>
    <w:basedOn w:val="30"/>
    <w:qFormat/>
    <w:uiPriority w:val="0"/>
    <w:rPr>
      <w:color w:val="0000FF"/>
      <w:u w:val="single"/>
    </w:rPr>
  </w:style>
  <w:style w:type="character" w:styleId="34">
    <w:name w:val="annotation reference"/>
    <w:basedOn w:val="30"/>
    <w:semiHidden/>
    <w:qFormat/>
    <w:uiPriority w:val="0"/>
    <w:rPr>
      <w:sz w:val="21"/>
    </w:rPr>
  </w:style>
  <w:style w:type="character" w:styleId="35">
    <w:name w:val="HTML Cite"/>
    <w:basedOn w:val="30"/>
    <w:qFormat/>
    <w:uiPriority w:val="0"/>
  </w:style>
  <w:style w:type="character" w:customStyle="1" w:styleId="36">
    <w:name w:val="标题 3 字符"/>
    <w:basedOn w:val="30"/>
    <w:link w:val="8"/>
    <w:qFormat/>
    <w:uiPriority w:val="0"/>
    <w:rPr>
      <w:rFonts w:ascii="Times New Roman" w:hAnsi="Times New Roman" w:eastAsia="宋体" w:cs="Times New Roman"/>
      <w:b/>
      <w:sz w:val="32"/>
      <w:szCs w:val="24"/>
    </w:rPr>
  </w:style>
  <w:style w:type="character" w:customStyle="1" w:styleId="37">
    <w:name w:val="标题 1 字符"/>
    <w:basedOn w:val="30"/>
    <w:link w:val="6"/>
    <w:qFormat/>
    <w:uiPriority w:val="0"/>
    <w:rPr>
      <w:rFonts w:ascii="Times New Roman" w:hAnsi="Times New Roman" w:eastAsia="黑体" w:cs="Times New Roman"/>
      <w:b/>
      <w:bCs/>
      <w:color w:val="000000"/>
      <w:kern w:val="44"/>
      <w:sz w:val="30"/>
      <w:szCs w:val="30"/>
    </w:rPr>
  </w:style>
  <w:style w:type="paragraph" w:customStyle="1" w:styleId="38">
    <w:name w:val="表格内"/>
    <w:qFormat/>
    <w:uiPriority w:val="0"/>
    <w:pPr>
      <w:autoSpaceDE w:val="0"/>
      <w:autoSpaceDN w:val="0"/>
      <w:adjustRightInd w:val="0"/>
      <w:snapToGrid w:val="0"/>
      <w:spacing w:after="200" w:line="360" w:lineRule="exact"/>
      <w:jc w:val="center"/>
    </w:pPr>
    <w:rPr>
      <w:rFonts w:ascii="宋体" w:hAnsi="宋体" w:eastAsia="微软雅黑" w:cs="宋体"/>
      <w:snapToGrid w:val="0"/>
      <w:sz w:val="22"/>
      <w:szCs w:val="21"/>
      <w:lang w:val="en-US" w:eastAsia="en-US" w:bidi="ar-SA"/>
    </w:rPr>
  </w:style>
  <w:style w:type="paragraph" w:customStyle="1" w:styleId="39">
    <w:name w:val="Char Char Char Char Char Char Char Char Char1 Char"/>
    <w:basedOn w:val="1"/>
    <w:qFormat/>
    <w:uiPriority w:val="0"/>
    <w:pPr>
      <w:spacing w:line="360" w:lineRule="auto"/>
      <w:ind w:firstLine="200" w:firstLineChars="200"/>
    </w:pPr>
    <w:rPr>
      <w:rFonts w:hAnsi="宋体" w:cs="宋体"/>
      <w:sz w:val="24"/>
    </w:rPr>
  </w:style>
  <w:style w:type="character" w:customStyle="1" w:styleId="40">
    <w:name w:val="页眉 字符"/>
    <w:basedOn w:val="30"/>
    <w:link w:val="20"/>
    <w:qFormat/>
    <w:uiPriority w:val="0"/>
    <w:rPr>
      <w:sz w:val="18"/>
      <w:szCs w:val="18"/>
    </w:rPr>
  </w:style>
  <w:style w:type="character" w:customStyle="1" w:styleId="41">
    <w:name w:val="页脚 字符"/>
    <w:basedOn w:val="30"/>
    <w:link w:val="19"/>
    <w:qFormat/>
    <w:uiPriority w:val="0"/>
    <w:rPr>
      <w:sz w:val="18"/>
      <w:szCs w:val="18"/>
    </w:rPr>
  </w:style>
  <w:style w:type="character" w:customStyle="1" w:styleId="42">
    <w:name w:val="标题 4 字符"/>
    <w:basedOn w:val="30"/>
    <w:link w:val="9"/>
    <w:qFormat/>
    <w:uiPriority w:val="0"/>
    <w:rPr>
      <w:rFonts w:ascii="宋体" w:hAnsi="宋体" w:eastAsia="宋体" w:cs="Times New Roman"/>
      <w:b/>
      <w:bCs/>
      <w:kern w:val="0"/>
      <w:sz w:val="24"/>
      <w:szCs w:val="24"/>
    </w:rPr>
  </w:style>
  <w:style w:type="character" w:customStyle="1" w:styleId="43">
    <w:name w:val="正文文本 字符"/>
    <w:basedOn w:val="30"/>
    <w:link w:val="16"/>
    <w:qFormat/>
    <w:uiPriority w:val="0"/>
    <w:rPr>
      <w:rFonts w:ascii="Times New Roman" w:hAnsi="Times New Roman" w:eastAsia="宋体" w:cs="Times New Roman"/>
      <w:kern w:val="0"/>
      <w:sz w:val="18"/>
      <w:szCs w:val="18"/>
    </w:rPr>
  </w:style>
  <w:style w:type="character" w:customStyle="1" w:styleId="44">
    <w:name w:val="批注文字 字符"/>
    <w:basedOn w:val="30"/>
    <w:link w:val="15"/>
    <w:semiHidden/>
    <w:qFormat/>
    <w:uiPriority w:val="0"/>
    <w:rPr>
      <w:rFonts w:ascii="Times New Roman" w:hAnsi="Times New Roman" w:eastAsia="宋体" w:cs="Times New Roman"/>
      <w:kern w:val="0"/>
      <w:sz w:val="20"/>
      <w:szCs w:val="24"/>
    </w:rPr>
  </w:style>
  <w:style w:type="character" w:customStyle="1" w:styleId="45">
    <w:name w:val="正文文本缩进 字符"/>
    <w:basedOn w:val="30"/>
    <w:link w:val="3"/>
    <w:semiHidden/>
    <w:qFormat/>
    <w:uiPriority w:val="0"/>
    <w:rPr>
      <w:rFonts w:ascii="Times New Roman" w:hAnsi="Times New Roman" w:eastAsia="宋体" w:cs="Times New Roman"/>
      <w:szCs w:val="24"/>
    </w:rPr>
  </w:style>
  <w:style w:type="character" w:customStyle="1" w:styleId="46">
    <w:name w:val="纯文本 字符"/>
    <w:basedOn w:val="30"/>
    <w:link w:val="4"/>
    <w:qFormat/>
    <w:uiPriority w:val="0"/>
    <w:rPr>
      <w:rFonts w:ascii="宋体" w:hAnsi="Courier New" w:eastAsia="宋体" w:cs="Courier New"/>
      <w:szCs w:val="21"/>
    </w:rPr>
  </w:style>
  <w:style w:type="character" w:customStyle="1" w:styleId="47">
    <w:name w:val="日期 字符"/>
    <w:basedOn w:val="30"/>
    <w:semiHidden/>
    <w:qFormat/>
    <w:uiPriority w:val="0"/>
    <w:rPr>
      <w:rFonts w:ascii="Times New Roman" w:hAnsi="Times New Roman" w:eastAsia="宋体" w:cs="Times New Roman"/>
      <w:szCs w:val="24"/>
    </w:rPr>
  </w:style>
  <w:style w:type="character" w:customStyle="1" w:styleId="48">
    <w:name w:val="日期 字符1"/>
    <w:link w:val="17"/>
    <w:qFormat/>
    <w:locked/>
    <w:uiPriority w:val="0"/>
    <w:rPr>
      <w:rFonts w:ascii="Times New Roman" w:hAnsi="Times New Roman" w:eastAsia="宋体" w:cs="Times New Roman"/>
      <w:kern w:val="0"/>
      <w:sz w:val="20"/>
      <w:szCs w:val="24"/>
    </w:rPr>
  </w:style>
  <w:style w:type="character" w:customStyle="1" w:styleId="49">
    <w:name w:val="批注框文本 字符"/>
    <w:basedOn w:val="30"/>
    <w:link w:val="18"/>
    <w:semiHidden/>
    <w:qFormat/>
    <w:uiPriority w:val="0"/>
    <w:rPr>
      <w:rFonts w:ascii="Times New Roman" w:hAnsi="Times New Roman" w:eastAsia="宋体" w:cs="Times New Roman"/>
      <w:sz w:val="18"/>
      <w:szCs w:val="18"/>
    </w:rPr>
  </w:style>
  <w:style w:type="character" w:customStyle="1" w:styleId="50">
    <w:name w:val="普通(网站) 字符"/>
    <w:link w:val="25"/>
    <w:qFormat/>
    <w:locked/>
    <w:uiPriority w:val="0"/>
    <w:rPr>
      <w:rFonts w:ascii="宋体" w:hAnsi="宋体" w:eastAsia="宋体" w:cs="Times New Roman"/>
      <w:kern w:val="0"/>
      <w:sz w:val="24"/>
      <w:szCs w:val="24"/>
    </w:rPr>
  </w:style>
  <w:style w:type="character" w:customStyle="1" w:styleId="51">
    <w:name w:val="标题 字符"/>
    <w:basedOn w:val="30"/>
    <w:link w:val="26"/>
    <w:qFormat/>
    <w:uiPriority w:val="1"/>
    <w:rPr>
      <w:rFonts w:ascii="宋体" w:hAnsi="宋体" w:eastAsia="宋体" w:cs="宋体"/>
      <w:sz w:val="52"/>
      <w:szCs w:val="52"/>
    </w:rPr>
  </w:style>
  <w:style w:type="character" w:customStyle="1" w:styleId="52">
    <w:name w:val="批注主题 字符"/>
    <w:basedOn w:val="44"/>
    <w:link w:val="27"/>
    <w:semiHidden/>
    <w:qFormat/>
    <w:uiPriority w:val="0"/>
    <w:rPr>
      <w:rFonts w:ascii="Times New Roman" w:hAnsi="Times New Roman" w:eastAsia="宋体" w:cs="Times New Roman"/>
      <w:b/>
      <w:bCs/>
      <w:kern w:val="0"/>
      <w:sz w:val="20"/>
      <w:szCs w:val="24"/>
    </w:rPr>
  </w:style>
  <w:style w:type="character" w:customStyle="1" w:styleId="53">
    <w:name w:val="正文文本 字符1"/>
    <w:basedOn w:val="30"/>
    <w:semiHidden/>
    <w:qFormat/>
    <w:uiPriority w:val="0"/>
    <w:rPr>
      <w:rFonts w:ascii="Times New Roman" w:hAnsi="Times New Roman" w:eastAsia="宋体" w:cs="Times New Roman"/>
      <w:sz w:val="24"/>
      <w:szCs w:val="24"/>
    </w:rPr>
  </w:style>
  <w:style w:type="paragraph" w:customStyle="1" w:styleId="54">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5">
    <w:name w:val="表格 Char"/>
    <w:link w:val="56"/>
    <w:qFormat/>
    <w:locked/>
    <w:uiPriority w:val="0"/>
    <w:rPr>
      <w:rFonts w:ascii="宋体"/>
    </w:rPr>
  </w:style>
  <w:style w:type="paragraph" w:customStyle="1" w:styleId="56">
    <w:name w:val="表格"/>
    <w:basedOn w:val="1"/>
    <w:next w:val="1"/>
    <w:link w:val="55"/>
    <w:qFormat/>
    <w:uiPriority w:val="0"/>
    <w:pPr>
      <w:adjustRightInd w:val="0"/>
      <w:snapToGrid w:val="0"/>
      <w:spacing w:beforeLines="10" w:afterLines="10" w:line="259" w:lineRule="auto"/>
      <w:jc w:val="center"/>
    </w:pPr>
    <w:rPr>
      <w:rFonts w:ascii="宋体" w:hAnsiTheme="minorHAnsi" w:eastAsiaTheme="minorEastAsia" w:cstheme="minorBidi"/>
      <w:szCs w:val="22"/>
    </w:rPr>
  </w:style>
  <w:style w:type="character" w:customStyle="1" w:styleId="57">
    <w:name w:val="批注文字 字符1"/>
    <w:basedOn w:val="30"/>
    <w:semiHidden/>
    <w:qFormat/>
    <w:uiPriority w:val="0"/>
    <w:rPr>
      <w:rFonts w:ascii="Times New Roman" w:hAnsi="Times New Roman" w:eastAsia="宋体" w:cs="Times New Roman"/>
      <w:sz w:val="24"/>
      <w:szCs w:val="24"/>
    </w:rPr>
  </w:style>
  <w:style w:type="character" w:customStyle="1" w:styleId="58">
    <w:name w:val="普通(网站) Char"/>
    <w:qFormat/>
    <w:locked/>
    <w:uiPriority w:val="0"/>
    <w:rPr>
      <w:rFonts w:ascii="宋体" w:hAnsi="宋体" w:eastAsia="宋体"/>
      <w:sz w:val="24"/>
    </w:rPr>
  </w:style>
  <w:style w:type="paragraph" w:customStyle="1" w:styleId="59">
    <w:name w:val="Table Paragraph"/>
    <w:basedOn w:val="1"/>
    <w:qFormat/>
    <w:uiPriority w:val="1"/>
    <w:pPr>
      <w:jc w:val="center"/>
    </w:pPr>
    <w:rPr>
      <w:rFonts w:ascii="宋体" w:hAnsi="宋体" w:cs="宋体"/>
    </w:rPr>
  </w:style>
  <w:style w:type="paragraph" w:customStyle="1" w:styleId="60">
    <w:name w:val="正文(首行缩进)"/>
    <w:basedOn w:val="1"/>
    <w:next w:val="1"/>
    <w:semiHidden/>
    <w:qFormat/>
    <w:uiPriority w:val="0"/>
    <w:pPr>
      <w:spacing w:line="360" w:lineRule="auto"/>
      <w:ind w:firstLine="540" w:firstLineChars="225"/>
    </w:pPr>
    <w:rPr>
      <w:snapToGrid w:val="0"/>
      <w:color w:val="000000"/>
      <w:kern w:val="0"/>
      <w:sz w:val="24"/>
    </w:rPr>
  </w:style>
  <w:style w:type="paragraph" w:customStyle="1" w:styleId="61">
    <w:name w:val="Default"/>
    <w:basedOn w:val="62"/>
    <w:next w:val="1"/>
    <w:qFormat/>
    <w:uiPriority w:val="0"/>
    <w:pPr>
      <w:tabs>
        <w:tab w:val="left" w:pos="1845"/>
      </w:tabs>
      <w:autoSpaceDE w:val="0"/>
      <w:autoSpaceDN w:val="0"/>
      <w:adjustRightInd w:val="0"/>
    </w:pPr>
    <w:rPr>
      <w:rFonts w:ascii="宋体" w:cs="宋体"/>
      <w:color w:val="000000"/>
      <w:sz w:val="24"/>
    </w:rPr>
  </w:style>
  <w:style w:type="paragraph" w:customStyle="1" w:styleId="62">
    <w:name w:val="纯文本1"/>
    <w:basedOn w:val="1"/>
    <w:qFormat/>
    <w:uiPriority w:val="0"/>
    <w:pPr>
      <w:tabs>
        <w:tab w:val="left" w:pos="1845"/>
      </w:tabs>
      <w:spacing w:line="240" w:lineRule="exact"/>
      <w:jc w:val="center"/>
    </w:pPr>
    <w:rPr>
      <w:sz w:val="18"/>
    </w:rPr>
  </w:style>
  <w:style w:type="paragraph" w:customStyle="1" w:styleId="63">
    <w:name w:val="表格标题"/>
    <w:basedOn w:val="14"/>
    <w:next w:val="1"/>
    <w:autoRedefine/>
    <w:qFormat/>
    <w:uiPriority w:val="0"/>
    <w:pPr>
      <w:spacing w:line="360" w:lineRule="auto"/>
      <w:jc w:val="center"/>
    </w:pPr>
    <w:rPr>
      <w:rFonts w:eastAsia="宋体" w:cs="Arial"/>
      <w:b/>
      <w:sz w:val="21"/>
    </w:rPr>
  </w:style>
  <w:style w:type="paragraph" w:customStyle="1" w:styleId="64">
    <w:name w:val="样式1"/>
    <w:basedOn w:val="22"/>
    <w:next w:val="1"/>
    <w:autoRedefine/>
    <w:qFormat/>
    <w:uiPriority w:val="0"/>
    <w:pPr>
      <w:keepNext/>
      <w:keepLines/>
      <w:jc w:val="center"/>
      <w:outlineLvl w:val="0"/>
    </w:pPr>
    <w:rPr>
      <w:rFonts w:hint="eastAsia"/>
      <w:kern w:val="44"/>
    </w:rPr>
  </w:style>
  <w:style w:type="paragraph" w:customStyle="1" w:styleId="65">
    <w:name w:val="Char"/>
    <w:qFormat/>
    <w:uiPriority w:val="0"/>
    <w:pPr>
      <w:widowControl w:val="0"/>
      <w:overflowPunct w:val="0"/>
      <w:snapToGrid w:val="0"/>
      <w:spacing w:line="360" w:lineRule="auto"/>
      <w:ind w:firstLine="480" w:firstLineChars="200"/>
    </w:pPr>
    <w:rPr>
      <w:rFonts w:ascii="仿宋_GB2312" w:hAnsi="宋体" w:eastAsia="仿宋_GB2312" w:cs="Times New Roman"/>
      <w:sz w:val="24"/>
      <w:szCs w:val="24"/>
      <w:lang w:val="en-US" w:eastAsia="zh-CN" w:bidi="ar-SA"/>
    </w:rPr>
  </w:style>
  <w:style w:type="paragraph" w:customStyle="1" w:styleId="66">
    <w:name w:val="表格文字"/>
    <w:basedOn w:val="1"/>
    <w:qFormat/>
    <w:uiPriority w:val="0"/>
    <w:pPr>
      <w:adjustRightInd w:val="0"/>
      <w:spacing w:line="400" w:lineRule="exact"/>
      <w:jc w:val="center"/>
      <w:textAlignment w:val="baseline"/>
    </w:pPr>
    <w:rPr>
      <w:szCs w:val="21"/>
    </w:rPr>
  </w:style>
  <w:style w:type="paragraph" w:customStyle="1" w:styleId="67">
    <w:name w:val="正"/>
    <w:basedOn w:val="1"/>
    <w:qFormat/>
    <w:uiPriority w:val="0"/>
    <w:pPr>
      <w:spacing w:line="360" w:lineRule="auto"/>
      <w:ind w:firstLine="200" w:firstLineChars="200"/>
    </w:pPr>
    <w:rPr>
      <w:kern w:val="0"/>
      <w:sz w:val="24"/>
      <w:szCs w:val="20"/>
    </w:rPr>
  </w:style>
  <w:style w:type="paragraph" w:customStyle="1" w:styleId="68">
    <w:name w:val="样式 样式 正文（ＬＺＱ） + 首行缩进:  2 字符 行距: 固定值 26 磅 + 首行缩进:  2 字符"/>
    <w:basedOn w:val="1"/>
    <w:qFormat/>
    <w:uiPriority w:val="0"/>
    <w:pPr>
      <w:adjustRightInd w:val="0"/>
      <w:spacing w:line="500" w:lineRule="exact"/>
      <w:ind w:firstLine="480" w:firstLineChars="200"/>
      <w:textAlignment w:val="baseline"/>
    </w:pPr>
    <w:rPr>
      <w:rFonts w:eastAsia="华文中宋"/>
      <w:snapToGrid w:val="0"/>
      <w:color w:val="000080"/>
      <w:kern w:val="0"/>
      <w:sz w:val="24"/>
      <w:szCs w:val="20"/>
    </w:rPr>
  </w:style>
  <w:style w:type="character" w:customStyle="1" w:styleId="69">
    <w:name w:val="hover"/>
    <w:basedOn w:val="30"/>
    <w:qFormat/>
    <w:uiPriority w:val="0"/>
  </w:style>
  <w:style w:type="character" w:customStyle="1" w:styleId="70">
    <w:name w:val="hover1"/>
    <w:basedOn w:val="30"/>
    <w:qFormat/>
    <w:uiPriority w:val="0"/>
  </w:style>
  <w:style w:type="character" w:customStyle="1" w:styleId="71">
    <w:name w:val="blzt"/>
    <w:basedOn w:val="30"/>
    <w:qFormat/>
    <w:uiPriority w:val="0"/>
  </w:style>
  <w:style w:type="character" w:customStyle="1" w:styleId="72">
    <w:name w:val="blzt1"/>
    <w:basedOn w:val="30"/>
    <w:qFormat/>
    <w:uiPriority w:val="0"/>
    <w:rPr>
      <w:color w:val="FF7800"/>
    </w:rPr>
  </w:style>
  <w:style w:type="character" w:customStyle="1" w:styleId="73">
    <w:name w:val="lxsj"/>
    <w:basedOn w:val="30"/>
    <w:qFormat/>
    <w:uiPriority w:val="0"/>
  </w:style>
  <w:style w:type="character" w:customStyle="1" w:styleId="74">
    <w:name w:val="lxsj1"/>
    <w:basedOn w:val="30"/>
    <w:qFormat/>
    <w:uiPriority w:val="0"/>
    <w:rPr>
      <w:color w:val="B5B5B5"/>
    </w:rPr>
  </w:style>
  <w:style w:type="character" w:customStyle="1" w:styleId="75">
    <w:name w:val="daoqi_tit"/>
    <w:basedOn w:val="30"/>
    <w:qFormat/>
    <w:uiPriority w:val="0"/>
    <w:rPr>
      <w:shd w:val="clear" w:color="auto" w:fill="E5F7FF"/>
    </w:rPr>
  </w:style>
  <w:style w:type="character" w:customStyle="1" w:styleId="76">
    <w:name w:val="long_span"/>
    <w:basedOn w:val="30"/>
    <w:qFormat/>
    <w:uiPriority w:val="0"/>
  </w:style>
  <w:style w:type="character" w:customStyle="1" w:styleId="77">
    <w:name w:val="one"/>
    <w:basedOn w:val="30"/>
    <w:qFormat/>
    <w:uiPriority w:val="0"/>
    <w:rPr>
      <w:vanish/>
    </w:rPr>
  </w:style>
  <w:style w:type="character" w:customStyle="1" w:styleId="78">
    <w:name w:val="one1"/>
    <w:basedOn w:val="30"/>
    <w:qFormat/>
    <w:uiPriority w:val="0"/>
  </w:style>
  <w:style w:type="character" w:customStyle="1" w:styleId="79">
    <w:name w:val="two"/>
    <w:basedOn w:val="30"/>
    <w:qFormat/>
    <w:uiPriority w:val="0"/>
  </w:style>
  <w:style w:type="character" w:customStyle="1" w:styleId="80">
    <w:name w:val="two1"/>
    <w:basedOn w:val="30"/>
    <w:qFormat/>
    <w:uiPriority w:val="0"/>
    <w:rPr>
      <w:vanish/>
      <w:color w:val="000000"/>
    </w:rPr>
  </w:style>
  <w:style w:type="character" w:customStyle="1" w:styleId="81">
    <w:name w:val="one11"/>
    <w:basedOn w:val="30"/>
    <w:qFormat/>
    <w:uiPriority w:val="0"/>
    <w:rPr>
      <w:vanish/>
    </w:rPr>
  </w:style>
  <w:style w:type="character" w:customStyle="1" w:styleId="82">
    <w:name w:val="one12"/>
    <w:basedOn w:val="30"/>
    <w:qFormat/>
    <w:uiPriority w:val="0"/>
  </w:style>
  <w:style w:type="character" w:customStyle="1" w:styleId="83">
    <w:name w:val="two11"/>
    <w:basedOn w:val="30"/>
    <w:qFormat/>
    <w:uiPriority w:val="0"/>
  </w:style>
  <w:style w:type="character" w:customStyle="1" w:styleId="84">
    <w:name w:val="two12"/>
    <w:basedOn w:val="30"/>
    <w:qFormat/>
    <w:uiPriority w:val="0"/>
    <w:rPr>
      <w:vanish/>
      <w:color w:val="000000"/>
    </w:rPr>
  </w:style>
  <w:style w:type="character" w:customStyle="1" w:styleId="85">
    <w:name w:val="xjbh"/>
    <w:basedOn w:val="30"/>
    <w:qFormat/>
    <w:uiPriority w:val="0"/>
  </w:style>
  <w:style w:type="character" w:customStyle="1" w:styleId="86">
    <w:name w:val="xjbh1"/>
    <w:basedOn w:val="30"/>
    <w:qFormat/>
    <w:uiPriority w:val="0"/>
    <w:rPr>
      <w:color w:val="0071A5"/>
    </w:rPr>
  </w:style>
  <w:style w:type="character" w:customStyle="1" w:styleId="87">
    <w:name w:val="xjbt"/>
    <w:basedOn w:val="30"/>
    <w:qFormat/>
    <w:uiPriority w:val="0"/>
  </w:style>
  <w:style w:type="character" w:customStyle="1" w:styleId="88">
    <w:name w:val="hover29"/>
    <w:basedOn w:val="30"/>
    <w:qFormat/>
    <w:uiPriority w:val="0"/>
  </w:style>
  <w:style w:type="character" w:customStyle="1" w:styleId="89">
    <w:name w:val="hover30"/>
    <w:basedOn w:val="30"/>
    <w:qFormat/>
    <w:uiPriority w:val="0"/>
  </w:style>
  <w:style w:type="paragraph" w:customStyle="1" w:styleId="90">
    <w:name w:val="表格1"/>
    <w:basedOn w:val="1"/>
    <w:qFormat/>
    <w:uiPriority w:val="0"/>
    <w:pPr>
      <w:adjustRightInd w:val="0"/>
      <w:snapToGrid w:val="0"/>
      <w:jc w:val="center"/>
    </w:pPr>
    <w:rPr>
      <w:rFonts w:eastAsia="方正仿宋_GBK"/>
      <w:color w:val="000000"/>
      <w:kern w:val="0"/>
    </w:rPr>
  </w:style>
  <w:style w:type="paragraph" w:customStyle="1" w:styleId="91">
    <w:name w:val="正文新"/>
    <w:basedOn w:val="1"/>
    <w:qFormat/>
    <w:uiPriority w:val="0"/>
    <w:pPr>
      <w:spacing w:line="460" w:lineRule="exact"/>
      <w:ind w:firstLine="480" w:firstLineChars="200"/>
    </w:pPr>
    <w:rPr>
      <w:sz w:val="24"/>
    </w:rPr>
  </w:style>
  <w:style w:type="paragraph" w:customStyle="1" w:styleId="92">
    <w:name w:val="Char1"/>
    <w:basedOn w:val="1"/>
    <w:qFormat/>
    <w:uiPriority w:val="0"/>
  </w:style>
  <w:style w:type="character" w:customStyle="1" w:styleId="93">
    <w:name w:val="表头 Char"/>
    <w:link w:val="12"/>
    <w:qFormat/>
    <w:uiPriority w:val="0"/>
    <w:rPr>
      <w:rFonts w:hint="eastAsia" w:ascii="Times New Roman" w:hAnsi="Times New Roman" w:eastAsia="宋体"/>
      <w:b/>
      <w:bCs/>
      <w:szCs w:val="21"/>
    </w:rPr>
  </w:style>
  <w:style w:type="paragraph" w:customStyle="1" w:styleId="94">
    <w:name w:val="Table Text"/>
    <w:basedOn w:val="1"/>
    <w:autoRedefine/>
    <w:semiHidden/>
    <w:qFormat/>
    <w:uiPriority w:val="0"/>
    <w:rPr>
      <w:rFonts w:ascii="宋体" w:hAnsi="宋体" w:cs="宋体"/>
      <w:sz w:val="24"/>
      <w:lang w:eastAsia="en-US"/>
    </w:rPr>
  </w:style>
  <w:style w:type="table" w:customStyle="1" w:styleId="95">
    <w:name w:val="Table Normal"/>
    <w:autoRedefine/>
    <w:semiHidden/>
    <w:unhideWhenUsed/>
    <w:qFormat/>
    <w:uiPriority w:val="0"/>
    <w:tblPr>
      <w:tblCellMar>
        <w:top w:w="0" w:type="dxa"/>
        <w:left w:w="0" w:type="dxa"/>
        <w:bottom w:w="0" w:type="dxa"/>
        <w:right w:w="0" w:type="dxa"/>
      </w:tblCellMar>
    </w:tblPr>
  </w:style>
  <w:style w:type="paragraph" w:customStyle="1" w:styleId="96">
    <w:name w:val="0正文"/>
    <w:basedOn w:val="1"/>
    <w:qFormat/>
    <w:uiPriority w:val="0"/>
    <w:pPr>
      <w:adjustRightInd w:val="0"/>
      <w:snapToGrid w:val="0"/>
      <w:spacing w:line="360" w:lineRule="auto"/>
      <w:ind w:firstLine="200" w:firstLineChars="200"/>
    </w:pPr>
    <w:rPr>
      <w:color w:val="000000"/>
      <w:kern w:val="0"/>
      <w:sz w:val="24"/>
      <w:szCs w:val="20"/>
    </w:rPr>
  </w:style>
  <w:style w:type="paragraph" w:customStyle="1" w:styleId="97">
    <w:name w:val="表格内文字"/>
    <w:basedOn w:val="1"/>
    <w:autoRedefine/>
    <w:qFormat/>
    <w:uiPriority w:val="0"/>
    <w:pPr>
      <w:tabs>
        <w:tab w:val="left" w:pos="0"/>
      </w:tabs>
      <w:adjustRightInd w:val="0"/>
      <w:snapToGrid w:val="0"/>
      <w:jc w:val="center"/>
    </w:pPr>
    <w:rPr>
      <w:rFonts w:ascii="宋体" w:hAnsi="宋体"/>
      <w:szCs w:val="21"/>
    </w:rPr>
  </w:style>
  <w:style w:type="paragraph" w:customStyle="1" w:styleId="98">
    <w:name w:val="文本"/>
    <w:basedOn w:val="1"/>
    <w:autoRedefine/>
    <w:qFormat/>
    <w:uiPriority w:val="0"/>
    <w:pPr>
      <w:adjustRightInd w:val="0"/>
      <w:snapToGrid w:val="0"/>
      <w:spacing w:line="440" w:lineRule="exact"/>
      <w:ind w:firstLine="480" w:firstLineChars="200"/>
    </w:pPr>
    <w:rPr>
      <w:rFonts w:ascii="宋体" w:hAnsi="宋体"/>
      <w:sz w:val="24"/>
    </w:rPr>
  </w:style>
  <w:style w:type="paragraph" w:customStyle="1" w:styleId="99">
    <w:name w:val="【正文】"/>
    <w:basedOn w:val="1"/>
    <w:autoRedefine/>
    <w:qFormat/>
    <w:uiPriority w:val="0"/>
    <w:pPr>
      <w:spacing w:line="520" w:lineRule="exact"/>
      <w:ind w:firstLine="720" w:firstLineChars="200"/>
    </w:pPr>
    <w:rPr>
      <w:sz w:val="24"/>
    </w:rPr>
  </w:style>
  <w:style w:type="paragraph" w:customStyle="1" w:styleId="100">
    <w:name w:val="【表内文字】"/>
    <w:basedOn w:val="99"/>
    <w:autoRedefine/>
    <w:qFormat/>
    <w:uiPriority w:val="0"/>
    <w:pPr>
      <w:spacing w:line="360" w:lineRule="exact"/>
      <w:ind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9525" cap="sq" cmpd="sng">
          <a:solidFill>
            <a:srgbClr val="000000"/>
          </a:solidFill>
          <a:prstDash val="sysDot"/>
          <a:miter lim="800000"/>
          <a:tailEnd type="triangle" w="med" len="med"/>
        </a:ln>
      </a:spPr>
      <a:bodyPr rot="0" vert="horz" wrap="square" lIns="91440" tIns="45720" rIns="91440" bIns="45720" anchor="t"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25898</Words>
  <Characters>27259</Characters>
  <Lines>470</Lines>
  <Paragraphs>132</Paragraphs>
  <TotalTime>0</TotalTime>
  <ScaleCrop>false</ScaleCrop>
  <LinksUpToDate>false</LinksUpToDate>
  <CharactersWithSpaces>27344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2025-02-22T00:51:00Z</dcterms:created>
  <dc:creator>Administrator</dc:creator>
  <cp:lastModifiedBy>小麦啾</cp:lastModifiedBy>
  <dcterms:modified xsi:type="dcterms:W3CDTF">2025-04-10T03:17:54Z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eyJoZGlkIjoiMzcxN2Q5OGY0MzIxMzQ2YTVkNjkyNjY4OTc0MzQwMDIiLCJ1c2VySWQiOiIzMjQ5NjUzODcifQ==</vt:lpwstr>
  </property>
  <property fmtid="{D5CDD505-2E9C-101B-9397-08002B2CF9AE}" pid="3" name="KSOProductBuildVer">
    <vt:lpwstr>2052-12.1.0.20305</vt:lpwstr>
  </property>
  <property fmtid="{D5CDD505-2E9C-101B-9397-08002B2CF9AE}" pid="4" name="ICV">
    <vt:lpwstr>70823E1FCEFE409299A5CA76E3F6C990_13</vt:lpwstr>
  </property>
</Properties>
</file>