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F4E4B2">
      <w:pPr>
        <w:keepNext w:val="0"/>
        <w:keepLines w:val="0"/>
        <w:pageBreakBefore w:val="0"/>
        <w:widowControl w:val="0"/>
        <w:kinsoku/>
        <w:wordWrap/>
        <w:overflowPunct/>
        <w:topLinePunct w:val="0"/>
        <w:autoSpaceDE/>
        <w:autoSpaceDN/>
        <w:bidi w:val="0"/>
        <w:spacing w:line="360" w:lineRule="auto"/>
        <w:jc w:val="center"/>
        <w:textAlignment w:val="auto"/>
        <w:rPr>
          <w:rFonts w:hint="eastAsia" w:ascii="宋体" w:hAnsi="宋体" w:cs="宋体"/>
          <w:b/>
          <w:bCs w:val="0"/>
          <w:sz w:val="32"/>
          <w:szCs w:val="32"/>
          <w:lang w:val="zh-CN"/>
        </w:rPr>
      </w:pPr>
      <w:r>
        <w:rPr>
          <w:rFonts w:hint="eastAsia" w:ascii="宋体" w:hAnsi="宋体" w:cs="宋体"/>
          <w:b/>
          <w:bCs w:val="0"/>
          <w:sz w:val="32"/>
          <w:szCs w:val="32"/>
          <w:lang w:val="zh-CN" w:eastAsia="zh-CN"/>
        </w:rPr>
        <w:t>新疆鸿裕翔能源环保科技有限公司废机油、废铅蓄电池的回收建设项目修改说明</w:t>
      </w:r>
    </w:p>
    <w:p w14:paraId="18403237">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cs="宋体"/>
          <w:b/>
          <w:bCs w:val="0"/>
          <w:sz w:val="24"/>
          <w:szCs w:val="24"/>
          <w:lang w:val="zh-CN"/>
        </w:rPr>
      </w:pPr>
    </w:p>
    <w:p w14:paraId="38353500">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cs="宋体"/>
          <w:b/>
          <w:bCs w:val="0"/>
          <w:sz w:val="24"/>
          <w:szCs w:val="24"/>
          <w:lang w:val="zh-CN"/>
        </w:rPr>
      </w:pPr>
    </w:p>
    <w:p w14:paraId="7E5F22AE">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cs="宋体"/>
          <w:b/>
          <w:bCs w:val="0"/>
          <w:sz w:val="24"/>
          <w:szCs w:val="24"/>
          <w:lang w:val="zh-CN"/>
        </w:rPr>
      </w:pPr>
    </w:p>
    <w:p w14:paraId="3D2DB0A4">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cs="宋体"/>
          <w:b/>
          <w:bCs w:val="0"/>
          <w:sz w:val="24"/>
          <w:szCs w:val="24"/>
          <w:lang w:val="zh-CN"/>
        </w:rPr>
      </w:pPr>
      <w:r>
        <w:rPr>
          <w:rFonts w:hint="eastAsia" w:ascii="宋体" w:hAnsi="宋体" w:cs="宋体"/>
          <w:b/>
          <w:bCs w:val="0"/>
          <w:sz w:val="24"/>
          <w:szCs w:val="24"/>
          <w:lang w:val="zh-CN"/>
        </w:rPr>
        <w:t>意见</w:t>
      </w:r>
      <w:r>
        <w:rPr>
          <w:rFonts w:hint="eastAsia" w:ascii="宋体" w:hAnsi="宋体" w:cs="宋体"/>
          <w:b/>
          <w:bCs w:val="0"/>
          <w:sz w:val="24"/>
          <w:szCs w:val="24"/>
          <w:lang w:val="en-US" w:eastAsia="zh-CN"/>
        </w:rPr>
        <w:t>1、</w:t>
      </w:r>
      <w:r>
        <w:rPr>
          <w:rFonts w:hint="eastAsia" w:ascii="宋体" w:hAnsi="宋体" w:cs="宋体"/>
          <w:b/>
          <w:bCs w:val="0"/>
          <w:sz w:val="24"/>
          <w:szCs w:val="24"/>
          <w:lang w:val="zh-CN"/>
        </w:rPr>
        <w:t>进一步完善项目选址的合理性分析。</w:t>
      </w:r>
    </w:p>
    <w:p w14:paraId="2039E610">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ascii="Times New Roman" w:hAnsi="Times New Roman" w:eastAsia="宋体"/>
          <w:b/>
          <w:bCs w:val="0"/>
          <w:color w:val="0000FF"/>
          <w:sz w:val="24"/>
          <w:szCs w:val="24"/>
        </w:rPr>
      </w:pPr>
      <w:r>
        <w:rPr>
          <w:rFonts w:hint="eastAsia" w:ascii="宋体" w:hAnsi="宋体" w:cs="宋体"/>
          <w:b/>
          <w:bCs w:val="0"/>
          <w:sz w:val="24"/>
          <w:szCs w:val="24"/>
          <w:vertAlign w:val="baseline"/>
          <w:lang w:val="zh-CN"/>
        </w:rPr>
        <w:t>已修改，见报告</w:t>
      </w:r>
      <w:r>
        <w:rPr>
          <w:rFonts w:hint="eastAsia" w:ascii="宋体" w:hAnsi="宋体" w:cs="宋体"/>
          <w:b/>
          <w:bCs w:val="0"/>
          <w:sz w:val="24"/>
          <w:szCs w:val="24"/>
          <w:vertAlign w:val="baseline"/>
          <w:lang w:val="en-US" w:eastAsia="zh-CN"/>
        </w:rPr>
        <w:t>P87-88</w:t>
      </w:r>
    </w:p>
    <w:p w14:paraId="4CFCA574">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ascii="Times New Roman" w:hAnsi="Times New Roman" w:eastAsia="宋体"/>
          <w:b/>
          <w:color w:val="0000FF"/>
          <w:sz w:val="24"/>
          <w:szCs w:val="24"/>
        </w:rPr>
      </w:pPr>
    </w:p>
    <w:p w14:paraId="5B053948">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ascii="Times New Roman" w:hAnsi="Times New Roman" w:eastAsia="宋体"/>
          <w:color w:val="0000FF"/>
          <w:sz w:val="24"/>
          <w:szCs w:val="22"/>
        </w:rPr>
      </w:pPr>
      <w:r>
        <w:rPr>
          <w:rFonts w:ascii="Times New Roman" w:hAnsi="Times New Roman" w:eastAsia="宋体"/>
          <w:b/>
          <w:color w:val="0000FF"/>
          <w:sz w:val="24"/>
          <w:szCs w:val="24"/>
        </w:rPr>
        <w:t>8.</w:t>
      </w:r>
      <w:r>
        <w:rPr>
          <w:rFonts w:hint="eastAsia" w:ascii="Times New Roman" w:hAnsi="Times New Roman" w:eastAsia="宋体"/>
          <w:b/>
          <w:color w:val="0000FF"/>
          <w:sz w:val="24"/>
          <w:szCs w:val="24"/>
          <w:lang w:val="en-US" w:eastAsia="zh-CN"/>
        </w:rPr>
        <w:t>2</w:t>
      </w:r>
      <w:r>
        <w:rPr>
          <w:rFonts w:ascii="Times New Roman" w:hAnsi="Times New Roman" w:eastAsia="宋体"/>
          <w:b/>
          <w:bCs/>
          <w:color w:val="0000FF"/>
          <w:sz w:val="24"/>
          <w:szCs w:val="22"/>
        </w:rPr>
        <w:t>选址合理性分析</w:t>
      </w:r>
    </w:p>
    <w:p w14:paraId="49FFA3C0">
      <w:pPr>
        <w:adjustRightInd w:val="0"/>
        <w:snapToGrid w:val="0"/>
        <w:spacing w:line="360" w:lineRule="auto"/>
        <w:ind w:firstLine="480" w:firstLineChars="200"/>
        <w:rPr>
          <w:rFonts w:hint="eastAsia" w:ascii="Times New Roman" w:hAnsi="Times New Roman" w:eastAsia="宋体"/>
          <w:b w:val="0"/>
          <w:bCs w:val="0"/>
          <w:color w:val="0000FF"/>
          <w:sz w:val="24"/>
        </w:rPr>
      </w:pPr>
      <w:r>
        <w:rPr>
          <w:rFonts w:hint="eastAsia" w:ascii="Times New Roman" w:hAnsi="Times New Roman" w:eastAsia="宋体"/>
          <w:b w:val="0"/>
          <w:bCs w:val="0"/>
          <w:color w:val="0000FF"/>
          <w:sz w:val="24"/>
        </w:rPr>
        <w:t>（1）项目所在地周围无自然保护区、风景名胜区、饮用水源保护区、文物保护单位等需要特别保护的敏感目标。</w:t>
      </w:r>
    </w:p>
    <w:p w14:paraId="3BF4AD98">
      <w:pPr>
        <w:adjustRightInd w:val="0"/>
        <w:snapToGrid w:val="0"/>
        <w:spacing w:line="360" w:lineRule="auto"/>
        <w:ind w:firstLine="480" w:firstLineChars="200"/>
        <w:jc w:val="left"/>
        <w:rPr>
          <w:rFonts w:hint="eastAsia" w:ascii="Times New Roman" w:hAnsi="Times New Roman" w:eastAsia="宋体"/>
          <w:b w:val="0"/>
          <w:bCs w:val="0"/>
          <w:color w:val="0000FF"/>
          <w:sz w:val="24"/>
          <w:lang w:eastAsia="zh-CN"/>
        </w:rPr>
      </w:pPr>
      <w:r>
        <w:rPr>
          <w:rFonts w:hint="eastAsia" w:ascii="Times New Roman" w:hAnsi="Times New Roman" w:eastAsia="宋体"/>
          <w:b w:val="0"/>
          <w:bCs w:val="0"/>
          <w:color w:val="0000FF"/>
          <w:sz w:val="24"/>
        </w:rPr>
        <w:t>（2）</w:t>
      </w:r>
      <w:r>
        <w:rPr>
          <w:rFonts w:hint="eastAsia" w:ascii="Times New Roman" w:hAnsi="Times New Roman" w:eastAsia="宋体"/>
          <w:b w:val="0"/>
          <w:bCs w:val="0"/>
          <w:color w:val="0000FF"/>
          <w:sz w:val="24"/>
          <w:lang w:eastAsia="zh-CN"/>
        </w:rPr>
        <w:t>本项目属于</w:t>
      </w:r>
      <w:r>
        <w:rPr>
          <w:rFonts w:hint="eastAsia" w:ascii="Times New Roman" w:hAnsi="Times New Roman" w:eastAsia="宋体"/>
          <w:color w:val="0000FF"/>
          <w:sz w:val="24"/>
          <w:lang w:val="en-US" w:eastAsia="zh-CN"/>
        </w:rPr>
        <w:t>废机油、废铅蓄电池</w:t>
      </w:r>
      <w:r>
        <w:rPr>
          <w:rFonts w:hint="eastAsia" w:ascii="Times New Roman" w:hAnsi="Times New Roman" w:eastAsia="宋体"/>
          <w:b w:val="0"/>
          <w:bCs w:val="0"/>
          <w:color w:val="0000FF"/>
          <w:sz w:val="24"/>
          <w:lang w:eastAsia="zh-CN"/>
        </w:rPr>
        <w:t>临时存放场所，主要收集零散的</w:t>
      </w:r>
      <w:r>
        <w:rPr>
          <w:rFonts w:hint="eastAsia" w:ascii="Times New Roman" w:hAnsi="Times New Roman" w:eastAsia="宋体"/>
          <w:color w:val="0000FF"/>
          <w:sz w:val="24"/>
          <w:lang w:val="en-US" w:eastAsia="zh-CN"/>
        </w:rPr>
        <w:t>废机油、废铅蓄电池</w:t>
      </w:r>
      <w:r>
        <w:rPr>
          <w:rFonts w:hint="eastAsia" w:ascii="Times New Roman" w:hAnsi="Times New Roman" w:eastAsia="宋体"/>
          <w:b w:val="0"/>
          <w:bCs w:val="0"/>
          <w:color w:val="0000FF"/>
          <w:sz w:val="24"/>
          <w:lang w:eastAsia="zh-CN"/>
        </w:rPr>
        <w:t>，</w:t>
      </w:r>
      <w:r>
        <w:rPr>
          <w:rFonts w:hint="eastAsia" w:ascii="Times New Roman" w:hAnsi="Times New Roman" w:eastAsia="宋体"/>
          <w:b w:val="0"/>
          <w:bCs w:val="0"/>
          <w:color w:val="0000FF"/>
          <w:sz w:val="24"/>
        </w:rPr>
        <w:t>满足《新疆维吾尔自治区废铅蓄电池收集、贮存和转移管理规范（试行）》（新环字【2018】90号）</w:t>
      </w:r>
      <w:r>
        <w:rPr>
          <w:rFonts w:hint="eastAsia" w:ascii="Times New Roman" w:hAnsi="Times New Roman" w:eastAsia="宋体"/>
          <w:b w:val="0"/>
          <w:bCs w:val="0"/>
          <w:color w:val="0000FF"/>
          <w:sz w:val="24"/>
          <w:lang w:eastAsia="zh-CN"/>
        </w:rPr>
        <w:t>、</w:t>
      </w:r>
      <w:r>
        <w:rPr>
          <w:rFonts w:hint="eastAsia" w:ascii="Times New Roman" w:hAnsi="Times New Roman" w:eastAsia="宋体"/>
          <w:b w:val="0"/>
          <w:bCs w:val="0"/>
          <w:color w:val="0000FF"/>
          <w:sz w:val="24"/>
          <w:lang w:val="en-US" w:eastAsia="zh-CN"/>
        </w:rPr>
        <w:t>《废矿物油回收利用污染控制技术规范》（HJ607-2011）、《危险废物贮存污染控制标准》（GB18597-2001）及其修改单（公告2013年第36号）、《废铅酸蓄电池处理污染控制技术规范》（HJ519-2009）、《危险废物收集、贮存、运输技术规范》（HJ2025-2012）、《废矿物油回收利用污染控制技术规范》（HJ607-2011）</w:t>
      </w:r>
      <w:r>
        <w:rPr>
          <w:rFonts w:hint="eastAsia" w:ascii="Times New Roman" w:hAnsi="Times New Roman" w:eastAsia="宋体"/>
          <w:b w:val="0"/>
          <w:bCs w:val="0"/>
          <w:color w:val="0000FF"/>
          <w:sz w:val="24"/>
        </w:rPr>
        <w:t>的</w:t>
      </w:r>
      <w:r>
        <w:rPr>
          <w:rFonts w:hint="eastAsia" w:ascii="Times New Roman" w:hAnsi="Times New Roman" w:eastAsia="宋体"/>
          <w:b w:val="0"/>
          <w:bCs w:val="0"/>
          <w:color w:val="0000FF"/>
          <w:sz w:val="24"/>
          <w:lang w:eastAsia="zh-CN"/>
        </w:rPr>
        <w:t>相关</w:t>
      </w:r>
      <w:r>
        <w:rPr>
          <w:rFonts w:hint="eastAsia" w:ascii="Times New Roman" w:hAnsi="Times New Roman" w:eastAsia="宋体"/>
          <w:b w:val="0"/>
          <w:bCs w:val="0"/>
          <w:color w:val="0000FF"/>
          <w:sz w:val="24"/>
        </w:rPr>
        <w:t>要求</w:t>
      </w:r>
      <w:r>
        <w:rPr>
          <w:rFonts w:hint="eastAsia" w:ascii="Times New Roman" w:hAnsi="Times New Roman" w:eastAsia="宋体"/>
          <w:b w:val="0"/>
          <w:bCs w:val="0"/>
          <w:color w:val="0000FF"/>
          <w:sz w:val="24"/>
          <w:lang w:eastAsia="zh-CN"/>
        </w:rPr>
        <w:t>。</w:t>
      </w:r>
    </w:p>
    <w:p w14:paraId="41930F62">
      <w:pPr>
        <w:keepNext w:val="0"/>
        <w:keepLines w:val="0"/>
        <w:pageBreakBefore w:val="0"/>
        <w:widowControl w:val="0"/>
        <w:kinsoku/>
        <w:wordWrap/>
        <w:overflowPunct/>
        <w:topLinePunct w:val="0"/>
        <w:autoSpaceDE/>
        <w:autoSpaceDN/>
        <w:bidi w:val="0"/>
        <w:spacing w:beforeLines="0" w:afterLines="0" w:line="360" w:lineRule="auto"/>
        <w:ind w:firstLine="480" w:firstLineChars="200"/>
        <w:jc w:val="left"/>
        <w:textAlignment w:val="auto"/>
        <w:rPr>
          <w:rFonts w:hint="eastAsia" w:ascii="Times New Roman" w:hAnsi="Times New Roman" w:eastAsia="宋体"/>
          <w:b w:val="0"/>
          <w:bCs w:val="0"/>
          <w:color w:val="0000FF"/>
          <w:sz w:val="24"/>
          <w:lang w:eastAsia="zh-CN"/>
        </w:rPr>
      </w:pPr>
      <w:r>
        <w:rPr>
          <w:rFonts w:hint="eastAsia" w:ascii="Times New Roman" w:hAnsi="Times New Roman" w:eastAsia="宋体"/>
          <w:b w:val="0"/>
          <w:bCs w:val="0"/>
          <w:color w:val="0000FF"/>
          <w:sz w:val="24"/>
        </w:rPr>
        <w:t>（3）</w:t>
      </w:r>
      <w:r>
        <w:rPr>
          <w:rFonts w:hint="eastAsia" w:ascii="Times New Roman" w:hAnsi="Times New Roman" w:eastAsia="宋体"/>
          <w:b w:val="0"/>
          <w:bCs w:val="0"/>
          <w:color w:val="0000FF"/>
          <w:sz w:val="24"/>
          <w:lang w:val="en-US" w:eastAsia="zh-CN"/>
        </w:rPr>
        <w:t>本项目租赁新疆奇台县新港物流·新港云仓原仓库（租赁面积700m</w:t>
      </w:r>
      <w:r>
        <w:rPr>
          <w:rFonts w:hint="eastAsia" w:ascii="Times New Roman" w:hAnsi="Times New Roman" w:eastAsia="宋体"/>
          <w:b w:val="0"/>
          <w:bCs w:val="0"/>
          <w:color w:val="0000FF"/>
          <w:sz w:val="24"/>
          <w:vertAlign w:val="superscript"/>
          <w:lang w:val="en-US" w:eastAsia="zh-CN"/>
        </w:rPr>
        <w:t>2</w:t>
      </w:r>
      <w:r>
        <w:rPr>
          <w:rFonts w:hint="eastAsia" w:ascii="Times New Roman" w:hAnsi="Times New Roman" w:eastAsia="宋体"/>
          <w:b w:val="0"/>
          <w:bCs w:val="0"/>
          <w:color w:val="0000FF"/>
          <w:sz w:val="24"/>
          <w:lang w:val="en-US" w:eastAsia="zh-CN"/>
        </w:rPr>
        <w:t>）开展经营活动。新疆奇台县新港物流·新港云仓于2019年9月12日取得了资中县国土资源局出具的国有土地使用证，明确土地用途为工业用地。本项目性质为危险废物收集及仓储，所租赁的新疆奇台县新港物流·新港云仓闲置厂房未进行过生产活动，</w:t>
      </w:r>
      <w:r>
        <w:rPr>
          <w:rFonts w:hint="eastAsia" w:ascii="宋体" w:hAnsi="宋体" w:eastAsia="宋体"/>
          <w:color w:val="0000FF"/>
          <w:sz w:val="24"/>
        </w:rPr>
        <w:t>本项目租用的现有厂房为独栋厂房，使得本项目贮存区形成一个独立的空间，项目贮存过程与其他入驻单位生产过程互不影响。本项目配置有消火栓系统和配套灭火器，发生火灾后能及时灭火，本项目与其他入驻单位有墙体隔断，不会对其他入驻单位消防安全产生影响，因此，本项目与其他入驻单位相容。</w:t>
      </w:r>
    </w:p>
    <w:p w14:paraId="514784FC">
      <w:pPr>
        <w:keepNext w:val="0"/>
        <w:keepLines w:val="0"/>
        <w:pageBreakBefore w:val="0"/>
        <w:widowControl w:val="0"/>
        <w:kinsoku/>
        <w:wordWrap/>
        <w:overflowPunct/>
        <w:topLinePunct w:val="0"/>
        <w:autoSpaceDE/>
        <w:autoSpaceDN/>
        <w:bidi w:val="0"/>
        <w:spacing w:beforeLines="0" w:afterLines="0" w:line="360" w:lineRule="auto"/>
        <w:ind w:firstLine="480" w:firstLineChars="200"/>
        <w:jc w:val="left"/>
        <w:textAlignment w:val="auto"/>
        <w:rPr>
          <w:rFonts w:hint="eastAsia" w:ascii="Times New Roman" w:hAnsi="Times New Roman" w:eastAsia="宋体"/>
          <w:b w:val="0"/>
          <w:bCs w:val="0"/>
          <w:color w:val="0000FF"/>
          <w:sz w:val="24"/>
          <w:lang w:eastAsia="zh-CN"/>
        </w:rPr>
      </w:pPr>
      <w:r>
        <w:rPr>
          <w:rFonts w:hint="eastAsia" w:ascii="宋体" w:hAnsi="宋体" w:eastAsia="宋体"/>
          <w:color w:val="0000FF"/>
          <w:sz w:val="24"/>
        </w:rPr>
        <w:t>公用工程（供水、供电等）、进厂道路全部依托</w:t>
      </w:r>
      <w:r>
        <w:rPr>
          <w:rFonts w:hint="eastAsia" w:ascii="Times New Roman" w:hAnsi="Times New Roman" w:eastAsia="宋体"/>
          <w:b w:val="0"/>
          <w:bCs w:val="0"/>
          <w:color w:val="0000FF"/>
          <w:sz w:val="24"/>
          <w:lang w:val="en-US" w:eastAsia="zh-CN"/>
        </w:rPr>
        <w:t>新疆奇台县新港物流·新港云仓</w:t>
      </w:r>
      <w:r>
        <w:rPr>
          <w:rFonts w:hint="eastAsia" w:ascii="宋体" w:hAnsi="宋体" w:eastAsia="宋体"/>
          <w:color w:val="0000FF"/>
          <w:sz w:val="24"/>
        </w:rPr>
        <w:t>已建设施；项目员工产生的生活污水依托</w:t>
      </w:r>
      <w:r>
        <w:rPr>
          <w:rFonts w:hint="eastAsia" w:ascii="Times New Roman" w:hAnsi="Times New Roman" w:eastAsia="宋体"/>
          <w:b w:val="0"/>
          <w:bCs w:val="0"/>
          <w:color w:val="0000FF"/>
          <w:sz w:val="24"/>
          <w:lang w:val="en-US" w:eastAsia="zh-CN"/>
        </w:rPr>
        <w:t>新疆奇台县新港物流·新港云仓</w:t>
      </w:r>
      <w:r>
        <w:rPr>
          <w:rFonts w:hint="eastAsia" w:ascii="宋体" w:hAnsi="宋体" w:eastAsia="宋体"/>
          <w:color w:val="0000FF"/>
          <w:sz w:val="24"/>
        </w:rPr>
        <w:t>已建</w:t>
      </w:r>
      <w:r>
        <w:rPr>
          <w:rFonts w:hint="eastAsia" w:ascii="宋体" w:hAnsi="宋体" w:eastAsia="宋体"/>
          <w:color w:val="0000FF"/>
          <w:sz w:val="24"/>
          <w:lang w:eastAsia="zh-CN"/>
        </w:rPr>
        <w:t>生活设施</w:t>
      </w:r>
      <w:r>
        <w:rPr>
          <w:rFonts w:hint="eastAsia" w:ascii="宋体" w:hAnsi="宋体" w:eastAsia="宋体"/>
          <w:color w:val="0000FF"/>
          <w:sz w:val="24"/>
        </w:rPr>
        <w:t>，本项目将现有厂房按照危废贮存要求改造后，能满足项目储存需要。</w:t>
      </w:r>
    </w:p>
    <w:p w14:paraId="017E2D2A">
      <w:pPr>
        <w:adjustRightInd w:val="0"/>
        <w:snapToGrid w:val="0"/>
        <w:spacing w:line="360" w:lineRule="auto"/>
        <w:ind w:firstLine="480" w:firstLineChars="200"/>
        <w:rPr>
          <w:rFonts w:ascii="Times New Roman" w:hAnsi="Times New Roman" w:eastAsia="宋体"/>
          <w:b w:val="0"/>
          <w:bCs w:val="0"/>
          <w:color w:val="0000FF"/>
          <w:sz w:val="24"/>
        </w:rPr>
      </w:pPr>
      <w:r>
        <w:rPr>
          <w:rFonts w:hint="eastAsia" w:ascii="Times New Roman" w:hAnsi="Times New Roman" w:eastAsia="宋体"/>
          <w:b w:val="0"/>
          <w:bCs w:val="0"/>
          <w:color w:val="0000FF"/>
          <w:sz w:val="24"/>
        </w:rPr>
        <w:t>经现场调查，</w:t>
      </w:r>
      <w:r>
        <w:rPr>
          <w:rFonts w:hint="eastAsia" w:ascii="Times New Roman" w:hAnsi="Times New Roman" w:eastAsia="宋体"/>
          <w:color w:val="0000FF"/>
          <w:sz w:val="24"/>
          <w:szCs w:val="22"/>
          <w:lang w:eastAsia="zh-CN"/>
        </w:rPr>
        <w:t>项目区东侧为万源创鑫石材公司；南侧为西关街；西侧为恒盈石材；北侧为空地，</w:t>
      </w:r>
      <w:r>
        <w:rPr>
          <w:rFonts w:hint="eastAsia" w:ascii="Times New Roman" w:hAnsi="Times New Roman" w:eastAsia="宋体"/>
          <w:b w:val="0"/>
          <w:bCs w:val="0"/>
          <w:color w:val="0000FF"/>
          <w:sz w:val="24"/>
        </w:rPr>
        <w:t>项目区四周200m范围内均为已建</w:t>
      </w:r>
      <w:r>
        <w:rPr>
          <w:rFonts w:hint="eastAsia" w:ascii="Times New Roman" w:hAnsi="Times New Roman" w:eastAsia="宋体"/>
          <w:b w:val="0"/>
          <w:bCs w:val="0"/>
          <w:color w:val="0000FF"/>
          <w:sz w:val="24"/>
          <w:lang w:eastAsia="zh-CN"/>
        </w:rPr>
        <w:t>石材加工</w:t>
      </w:r>
      <w:r>
        <w:rPr>
          <w:rFonts w:hint="eastAsia" w:ascii="Times New Roman" w:hAnsi="Times New Roman" w:eastAsia="宋体"/>
          <w:b w:val="0"/>
          <w:bCs w:val="0"/>
          <w:color w:val="0000FF"/>
          <w:sz w:val="24"/>
        </w:rPr>
        <w:t>企业，无居民区，本项目正常运行期间破损废铅蓄电池贮存场所产生废气经</w:t>
      </w:r>
      <w:r>
        <w:rPr>
          <w:rFonts w:hint="eastAsia" w:ascii="Times New Roman" w:hAnsi="Times New Roman" w:eastAsia="宋体"/>
          <w:b w:val="0"/>
          <w:bCs w:val="0"/>
          <w:color w:val="0000FF"/>
          <w:sz w:val="24"/>
          <w:lang w:eastAsia="zh-CN"/>
        </w:rPr>
        <w:t>负压排风系统处理</w:t>
      </w:r>
      <w:r>
        <w:rPr>
          <w:rFonts w:hint="eastAsia" w:ascii="Times New Roman" w:hAnsi="Times New Roman" w:eastAsia="宋体"/>
          <w:b w:val="0"/>
          <w:bCs w:val="0"/>
          <w:color w:val="0000FF"/>
          <w:sz w:val="24"/>
        </w:rPr>
        <w:t>，废矿物油</w:t>
      </w:r>
      <w:r>
        <w:rPr>
          <w:rFonts w:hint="eastAsia" w:ascii="Times New Roman" w:hAnsi="Times New Roman" w:eastAsia="宋体"/>
          <w:b w:val="0"/>
          <w:bCs w:val="0"/>
          <w:color w:val="0000FF"/>
          <w:sz w:val="24"/>
          <w:lang w:eastAsia="zh-CN"/>
        </w:rPr>
        <w:t>存放在密闭的油罐中</w:t>
      </w:r>
      <w:r>
        <w:rPr>
          <w:rFonts w:hint="eastAsia" w:ascii="Times New Roman" w:hAnsi="Times New Roman" w:eastAsia="宋体"/>
          <w:b w:val="0"/>
          <w:bCs w:val="0"/>
          <w:color w:val="0000FF"/>
          <w:sz w:val="24"/>
        </w:rPr>
        <w:t>，</w:t>
      </w:r>
      <w:r>
        <w:rPr>
          <w:rFonts w:hint="eastAsia" w:ascii="Times New Roman" w:hAnsi="Times New Roman" w:eastAsia="宋体"/>
          <w:b w:val="0"/>
          <w:bCs w:val="0"/>
          <w:color w:val="0000FF"/>
          <w:sz w:val="24"/>
          <w:lang w:eastAsia="zh-CN"/>
        </w:rPr>
        <w:t>有机废气经</w:t>
      </w:r>
      <w:r>
        <w:rPr>
          <w:rFonts w:hint="eastAsia" w:ascii="Times New Roman" w:hAnsi="Times New Roman" w:eastAsia="宋体"/>
          <w:b w:val="0"/>
          <w:bCs w:val="0"/>
          <w:color w:val="0000FF"/>
          <w:sz w:val="24"/>
          <w:lang w:val="en-US" w:eastAsia="zh-CN"/>
        </w:rPr>
        <w:t>活性炭吸附装置处理后由一根15m高排气筒达标</w:t>
      </w:r>
      <w:r>
        <w:rPr>
          <w:rFonts w:hint="eastAsia" w:ascii="Times New Roman" w:hAnsi="Times New Roman" w:eastAsia="宋体"/>
          <w:b w:val="0"/>
          <w:bCs w:val="0"/>
          <w:color w:val="0000FF"/>
          <w:sz w:val="24"/>
        </w:rPr>
        <w:t>排放</w:t>
      </w:r>
      <w:r>
        <w:rPr>
          <w:rFonts w:hint="eastAsia" w:ascii="Times New Roman" w:hAnsi="Times New Roman" w:eastAsia="宋体"/>
          <w:b w:val="0"/>
          <w:bCs w:val="0"/>
          <w:color w:val="0000FF"/>
          <w:sz w:val="24"/>
          <w:lang w:eastAsia="zh-CN"/>
        </w:rPr>
        <w:t>，</w:t>
      </w:r>
      <w:r>
        <w:rPr>
          <w:rFonts w:hint="eastAsia" w:ascii="Times New Roman" w:hAnsi="Times New Roman" w:eastAsia="宋体"/>
          <w:b w:val="0"/>
          <w:bCs w:val="0"/>
          <w:color w:val="0000FF"/>
          <w:sz w:val="24"/>
        </w:rPr>
        <w:t>正常情况下有机废气产生量很小，对环境造成影响较小。</w:t>
      </w:r>
    </w:p>
    <w:p w14:paraId="798D2294">
      <w:pPr>
        <w:adjustRightInd w:val="0"/>
        <w:snapToGrid w:val="0"/>
        <w:spacing w:line="360" w:lineRule="auto"/>
        <w:ind w:firstLine="480" w:firstLineChars="200"/>
        <w:rPr>
          <w:rFonts w:hint="eastAsia" w:ascii="Times New Roman" w:hAnsi="Times New Roman" w:eastAsia="宋体"/>
          <w:b w:val="0"/>
          <w:bCs w:val="0"/>
          <w:color w:val="0000FF"/>
          <w:sz w:val="24"/>
        </w:rPr>
      </w:pPr>
      <w:r>
        <w:rPr>
          <w:rFonts w:hint="eastAsia" w:ascii="Times New Roman" w:hAnsi="Times New Roman" w:eastAsia="宋体"/>
          <w:b w:val="0"/>
          <w:bCs w:val="0"/>
          <w:color w:val="0000FF"/>
          <w:sz w:val="24"/>
        </w:rPr>
        <w:t>（</w:t>
      </w:r>
      <w:r>
        <w:rPr>
          <w:rFonts w:hint="eastAsia" w:ascii="Times New Roman" w:hAnsi="Times New Roman" w:eastAsia="宋体"/>
          <w:b w:val="0"/>
          <w:bCs w:val="0"/>
          <w:color w:val="0000FF"/>
          <w:sz w:val="24"/>
          <w:lang w:val="en-US" w:eastAsia="zh-CN"/>
        </w:rPr>
        <w:t>4</w:t>
      </w:r>
      <w:r>
        <w:rPr>
          <w:rFonts w:hint="eastAsia" w:ascii="Times New Roman" w:hAnsi="Times New Roman" w:eastAsia="宋体"/>
          <w:b w:val="0"/>
          <w:bCs w:val="0"/>
          <w:color w:val="0000FF"/>
          <w:sz w:val="24"/>
        </w:rPr>
        <w:t>）拟建项目</w:t>
      </w:r>
      <w:r>
        <w:rPr>
          <w:rFonts w:hint="eastAsia" w:ascii="Times New Roman" w:hAnsi="Times New Roman" w:eastAsia="宋体"/>
          <w:b w:val="0"/>
          <w:bCs w:val="0"/>
          <w:color w:val="0000FF"/>
          <w:sz w:val="24"/>
          <w:lang w:eastAsia="zh-CN"/>
        </w:rPr>
        <w:t>区</w:t>
      </w:r>
      <w:r>
        <w:rPr>
          <w:rFonts w:hint="eastAsia" w:ascii="Times New Roman" w:hAnsi="Times New Roman" w:eastAsia="宋体"/>
          <w:b w:val="0"/>
          <w:bCs w:val="0"/>
          <w:color w:val="0000FF"/>
          <w:sz w:val="24"/>
        </w:rPr>
        <w:t>在正常状况下</w:t>
      </w:r>
      <w:r>
        <w:rPr>
          <w:rFonts w:hint="eastAsia" w:ascii="Times New Roman" w:hAnsi="Times New Roman" w:eastAsia="宋体"/>
          <w:b w:val="0"/>
          <w:bCs w:val="0"/>
          <w:color w:val="0000FF"/>
          <w:sz w:val="24"/>
          <w:lang w:eastAsia="zh-CN"/>
        </w:rPr>
        <w:t>暂存点</w:t>
      </w:r>
      <w:r>
        <w:rPr>
          <w:rFonts w:hint="eastAsia" w:ascii="Times New Roman" w:hAnsi="Times New Roman" w:eastAsia="宋体"/>
          <w:b w:val="0"/>
          <w:bCs w:val="0"/>
          <w:color w:val="0000FF"/>
          <w:sz w:val="24"/>
        </w:rPr>
        <w:t>地面防渗层可以隔绝由于废旧铅蓄电池破损产生的液体及废</w:t>
      </w:r>
      <w:r>
        <w:rPr>
          <w:rFonts w:hint="eastAsia" w:ascii="Times New Roman" w:hAnsi="Times New Roman" w:eastAsia="宋体"/>
          <w:b w:val="0"/>
          <w:bCs w:val="0"/>
          <w:color w:val="0000FF"/>
          <w:sz w:val="24"/>
          <w:lang w:eastAsia="zh-CN"/>
        </w:rPr>
        <w:t>机油</w:t>
      </w:r>
      <w:r>
        <w:rPr>
          <w:rFonts w:hint="eastAsia" w:ascii="Times New Roman" w:hAnsi="Times New Roman" w:eastAsia="宋体"/>
          <w:b w:val="0"/>
          <w:bCs w:val="0"/>
          <w:color w:val="0000FF"/>
          <w:sz w:val="24"/>
        </w:rPr>
        <w:t>油泄漏对地下水的影响，非正常状况下（如防渗层出现破损），液体对地下水环境有一定的影响，采取应急措施后对周边环境影响较小。</w:t>
      </w:r>
    </w:p>
    <w:p w14:paraId="6975F2F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imes New Roman" w:hAnsi="Times New Roman" w:eastAsia="宋体"/>
          <w:b w:val="0"/>
          <w:bCs w:val="0"/>
          <w:color w:val="0000FF"/>
          <w:sz w:val="24"/>
        </w:rPr>
      </w:pPr>
      <w:r>
        <w:rPr>
          <w:rFonts w:hint="eastAsia" w:ascii="Times New Roman" w:hAnsi="Times New Roman" w:eastAsia="宋体"/>
          <w:b w:val="0"/>
          <w:bCs w:val="0"/>
          <w:color w:val="0000FF"/>
          <w:sz w:val="24"/>
        </w:rPr>
        <w:t>（</w:t>
      </w:r>
      <w:r>
        <w:rPr>
          <w:rFonts w:hint="eastAsia" w:ascii="Times New Roman" w:hAnsi="Times New Roman" w:eastAsia="宋体"/>
          <w:b w:val="0"/>
          <w:bCs w:val="0"/>
          <w:color w:val="0000FF"/>
          <w:sz w:val="24"/>
          <w:lang w:val="en-US" w:eastAsia="zh-CN"/>
        </w:rPr>
        <w:t>5</w:t>
      </w:r>
      <w:r>
        <w:rPr>
          <w:rFonts w:hint="eastAsia" w:ascii="Times New Roman" w:hAnsi="Times New Roman" w:eastAsia="宋体"/>
          <w:b w:val="0"/>
          <w:bCs w:val="0"/>
          <w:color w:val="0000FF"/>
          <w:sz w:val="24"/>
        </w:rPr>
        <w:t>）项目运营后，无生产废水，废液收集至危废贮存处定期运至处置单位处置，废气在采取措施后可达标排放，固体废物得到合理处置，对周围环境的影响较小；同时对照国土资源部、国家发改委关于发布实施</w:t>
      </w:r>
      <w:r>
        <w:rPr>
          <w:rFonts w:hint="eastAsia" w:ascii="Times New Roman" w:hAnsi="Times New Roman" w:eastAsia="宋体"/>
          <w:b w:val="0"/>
          <w:bCs w:val="0"/>
          <w:color w:val="0000FF"/>
          <w:sz w:val="24"/>
          <w:lang w:eastAsia="zh-CN"/>
        </w:rPr>
        <w:t>《</w:t>
      </w:r>
      <w:r>
        <w:rPr>
          <w:rFonts w:hint="eastAsia" w:ascii="Times New Roman" w:hAnsi="Times New Roman" w:eastAsia="宋体"/>
          <w:b w:val="0"/>
          <w:bCs w:val="0"/>
          <w:color w:val="0000FF"/>
          <w:sz w:val="24"/>
        </w:rPr>
        <w:t>限制用地项目目录</w:t>
      </w:r>
      <w:r>
        <w:rPr>
          <w:rFonts w:hint="eastAsia" w:ascii="Times New Roman" w:hAnsi="Times New Roman" w:eastAsia="宋体"/>
          <w:b w:val="0"/>
          <w:bCs w:val="0"/>
          <w:color w:val="0000FF"/>
          <w:sz w:val="24"/>
          <w:lang w:eastAsia="zh-CN"/>
        </w:rPr>
        <w:t>》（</w:t>
      </w:r>
      <w:r>
        <w:rPr>
          <w:rFonts w:hint="eastAsia" w:ascii="Times New Roman" w:hAnsi="Times New Roman" w:eastAsia="宋体"/>
          <w:b w:val="0"/>
          <w:bCs w:val="0"/>
          <w:color w:val="0000FF"/>
          <w:sz w:val="24"/>
        </w:rPr>
        <w:t>2012年本</w:t>
      </w:r>
      <w:r>
        <w:rPr>
          <w:rFonts w:hint="eastAsia" w:ascii="Times New Roman" w:hAnsi="Times New Roman" w:eastAsia="宋体"/>
          <w:b w:val="0"/>
          <w:bCs w:val="0"/>
          <w:color w:val="0000FF"/>
          <w:sz w:val="24"/>
          <w:lang w:eastAsia="zh-CN"/>
        </w:rPr>
        <w:t>）</w:t>
      </w:r>
      <w:r>
        <w:rPr>
          <w:rFonts w:hint="eastAsia" w:ascii="Times New Roman" w:hAnsi="Times New Roman" w:eastAsia="宋体"/>
          <w:b w:val="0"/>
          <w:bCs w:val="0"/>
          <w:color w:val="0000FF"/>
          <w:sz w:val="24"/>
        </w:rPr>
        <w:t>和</w:t>
      </w:r>
      <w:r>
        <w:rPr>
          <w:rFonts w:hint="eastAsia" w:ascii="Times New Roman" w:hAnsi="Times New Roman" w:eastAsia="宋体"/>
          <w:b w:val="0"/>
          <w:bCs w:val="0"/>
          <w:color w:val="0000FF"/>
          <w:sz w:val="24"/>
          <w:lang w:eastAsia="zh-CN"/>
        </w:rPr>
        <w:t>《</w:t>
      </w:r>
      <w:r>
        <w:rPr>
          <w:rFonts w:hint="eastAsia" w:ascii="Times New Roman" w:hAnsi="Times New Roman" w:eastAsia="宋体"/>
          <w:b w:val="0"/>
          <w:bCs w:val="0"/>
          <w:color w:val="0000FF"/>
          <w:sz w:val="24"/>
        </w:rPr>
        <w:t>禁止用地项目目录</w:t>
      </w:r>
      <w:r>
        <w:rPr>
          <w:rFonts w:hint="eastAsia" w:ascii="Times New Roman" w:hAnsi="Times New Roman" w:eastAsia="宋体"/>
          <w:b w:val="0"/>
          <w:bCs w:val="0"/>
          <w:color w:val="0000FF"/>
          <w:sz w:val="24"/>
          <w:lang w:eastAsia="zh-CN"/>
        </w:rPr>
        <w:t>》（</w:t>
      </w:r>
      <w:r>
        <w:rPr>
          <w:rFonts w:hint="eastAsia" w:ascii="Times New Roman" w:hAnsi="Times New Roman" w:eastAsia="宋体"/>
          <w:b w:val="0"/>
          <w:bCs w:val="0"/>
          <w:color w:val="0000FF"/>
          <w:sz w:val="24"/>
        </w:rPr>
        <w:t>2012年本</w:t>
      </w:r>
      <w:r>
        <w:rPr>
          <w:rFonts w:hint="eastAsia" w:ascii="Times New Roman" w:hAnsi="Times New Roman" w:eastAsia="宋体"/>
          <w:b w:val="0"/>
          <w:bCs w:val="0"/>
          <w:color w:val="0000FF"/>
          <w:sz w:val="24"/>
          <w:lang w:eastAsia="zh-CN"/>
        </w:rPr>
        <w:t>）</w:t>
      </w:r>
      <w:r>
        <w:rPr>
          <w:rFonts w:hint="eastAsia" w:ascii="Times New Roman" w:hAnsi="Times New Roman" w:eastAsia="宋体"/>
          <w:b w:val="0"/>
          <w:bCs w:val="0"/>
          <w:color w:val="0000FF"/>
          <w:sz w:val="24"/>
        </w:rPr>
        <w:t>的通知，本项目不在限制用地项目目录和禁止用地项目目录内。</w:t>
      </w:r>
    </w:p>
    <w:p w14:paraId="4F5AEEF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Times New Roman" w:hAnsi="Times New Roman" w:eastAsia="宋体"/>
          <w:color w:val="0000FF"/>
          <w:sz w:val="24"/>
          <w:szCs w:val="22"/>
        </w:rPr>
      </w:pPr>
      <w:r>
        <w:rPr>
          <w:rFonts w:hint="default" w:ascii="Times New Roman" w:hAnsi="Times New Roman" w:eastAsia="宋体" w:cs="Times New Roman"/>
          <w:color w:val="0000FF"/>
          <w:sz w:val="24"/>
        </w:rPr>
        <w:t>本项目</w:t>
      </w:r>
      <w:r>
        <w:rPr>
          <w:rFonts w:hint="default" w:ascii="Times New Roman" w:hAnsi="Times New Roman" w:eastAsia="宋体" w:cs="Times New Roman"/>
          <w:color w:val="0000FF"/>
          <w:sz w:val="24"/>
          <w:lang w:eastAsia="zh-CN"/>
        </w:rPr>
        <w:t>新疆奇台县新港物流·新港云仓厂区内</w:t>
      </w:r>
      <w:r>
        <w:rPr>
          <w:rFonts w:hint="default" w:ascii="Times New Roman" w:hAnsi="Times New Roman" w:eastAsia="宋体" w:cs="Times New Roman"/>
          <w:color w:val="0000FF"/>
          <w:sz w:val="24"/>
        </w:rPr>
        <w:t>（项目区地理位置坐标：</w:t>
      </w:r>
      <w:r>
        <w:rPr>
          <w:rFonts w:hint="default" w:ascii="Times New Roman" w:hAnsi="Times New Roman" w:eastAsia="宋体" w:cs="Times New Roman"/>
          <w:color w:val="0000FF"/>
          <w:sz w:val="24"/>
          <w:lang w:eastAsia="zh-CN"/>
        </w:rPr>
        <w:t>E89°32′45.55″，N44°1′24.07″</w:t>
      </w:r>
      <w:r>
        <w:rPr>
          <w:rFonts w:hint="default" w:ascii="Times New Roman" w:hAnsi="Times New Roman" w:eastAsia="宋体" w:cs="Times New Roman"/>
          <w:color w:val="0000FF"/>
          <w:sz w:val="24"/>
        </w:rPr>
        <w:t>）</w:t>
      </w:r>
      <w:r>
        <w:rPr>
          <w:rFonts w:hint="default" w:ascii="Times New Roman" w:hAnsi="Times New Roman" w:eastAsia="宋体" w:cs="Times New Roman"/>
          <w:color w:val="0000FF"/>
          <w:sz w:val="24"/>
          <w:szCs w:val="22"/>
        </w:rPr>
        <w:t>。</w:t>
      </w:r>
      <w:r>
        <w:rPr>
          <w:rFonts w:hint="default" w:ascii="Times New Roman" w:hAnsi="Times New Roman" w:eastAsia="宋体" w:cs="Times New Roman"/>
          <w:color w:val="0000FF"/>
          <w:sz w:val="24"/>
          <w:szCs w:val="22"/>
          <w:lang w:eastAsia="zh-CN"/>
        </w:rPr>
        <w:t>项</w:t>
      </w:r>
      <w:r>
        <w:rPr>
          <w:rFonts w:hint="eastAsia" w:ascii="Times New Roman" w:hAnsi="Times New Roman" w:eastAsia="宋体"/>
          <w:color w:val="0000FF"/>
          <w:sz w:val="24"/>
          <w:szCs w:val="22"/>
          <w:lang w:eastAsia="zh-CN"/>
        </w:rPr>
        <w:t>目区东侧为万源创鑫石材公司；南侧为西关街；西侧为恒盈石材；北侧为空地。</w:t>
      </w:r>
      <w:r>
        <w:rPr>
          <w:rFonts w:ascii="Times New Roman" w:hAnsi="Times New Roman" w:eastAsia="宋体"/>
          <w:color w:val="0000FF"/>
          <w:sz w:val="24"/>
          <w:szCs w:val="22"/>
        </w:rPr>
        <w:t>本项目所在地无生态敏感区、风景名胜区、自然保护区、文化和自然遗产地、文物古迹、军事基地等环境敏感保护目标，本项目所产生的污染物经相关措施处理后均能达标排放，不会对周边环境产生较大影响。周边区域内植被较不发育，植被覆盖率较低，植被群落较单一，野生动物数量较少且种类较单一，无国家和自治区级珍稀濒危保护动植物，项目区及所在区域环境质量现状较好。本项目外环境关系单纯，没有明显的外环境制约因素，且与区域环境具有相容性。</w:t>
      </w:r>
    </w:p>
    <w:p w14:paraId="609C5E1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Times New Roman" w:hAnsi="Times New Roman" w:eastAsia="宋体"/>
          <w:color w:val="0000FF"/>
          <w:sz w:val="24"/>
          <w:szCs w:val="22"/>
        </w:rPr>
      </w:pPr>
      <w:r>
        <w:rPr>
          <w:rFonts w:ascii="Times New Roman" w:hAnsi="Times New Roman" w:eastAsia="宋体"/>
          <w:color w:val="0000FF"/>
          <w:sz w:val="24"/>
          <w:szCs w:val="22"/>
        </w:rPr>
        <w:t>因此，本项目选址基本合理可行。</w:t>
      </w:r>
    </w:p>
    <w:p w14:paraId="70D4A0D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bCs w:val="0"/>
          <w:sz w:val="24"/>
          <w:szCs w:val="24"/>
          <w:lang w:val="zh-CN"/>
        </w:rPr>
      </w:pPr>
      <w:r>
        <w:rPr>
          <w:rFonts w:hint="eastAsia" w:ascii="宋体" w:hAnsi="宋体" w:cs="宋体"/>
          <w:b/>
          <w:bCs w:val="0"/>
          <w:sz w:val="24"/>
          <w:szCs w:val="24"/>
          <w:lang w:val="zh-CN"/>
        </w:rPr>
        <w:t>意见</w:t>
      </w:r>
      <w:r>
        <w:rPr>
          <w:rFonts w:hint="eastAsia" w:ascii="宋体" w:hAnsi="宋体" w:cs="宋体"/>
          <w:b/>
          <w:bCs w:val="0"/>
          <w:sz w:val="24"/>
          <w:szCs w:val="24"/>
          <w:lang w:val="en-US" w:eastAsia="zh-CN"/>
        </w:rPr>
        <w:t>2、</w:t>
      </w:r>
      <w:r>
        <w:rPr>
          <w:rFonts w:hint="eastAsia" w:ascii="宋体" w:hAnsi="宋体" w:cs="宋体"/>
          <w:b/>
          <w:bCs w:val="0"/>
          <w:sz w:val="24"/>
          <w:szCs w:val="24"/>
          <w:lang w:val="zh-CN"/>
        </w:rPr>
        <w:t>该项目租赁新疆奇台县新港物流</w:t>
      </w:r>
      <w:r>
        <w:rPr>
          <w:rFonts w:ascii="宋体" w:hAnsi="宋体" w:cs="宋体"/>
          <w:b/>
          <w:bCs w:val="0"/>
          <w:sz w:val="24"/>
          <w:szCs w:val="24"/>
          <w:lang w:val="zh-CN"/>
        </w:rPr>
        <w:t>·</w:t>
      </w:r>
      <w:r>
        <w:rPr>
          <w:rFonts w:hint="eastAsia" w:ascii="宋体" w:hAnsi="宋体" w:cs="宋体"/>
          <w:b/>
          <w:bCs w:val="0"/>
          <w:sz w:val="24"/>
          <w:szCs w:val="24"/>
          <w:lang w:val="zh-CN"/>
        </w:rPr>
        <w:t>新港云仓</w:t>
      </w:r>
      <w:r>
        <w:rPr>
          <w:rFonts w:ascii="宋体" w:hAnsi="宋体" w:cs="宋体"/>
          <w:b/>
          <w:bCs w:val="0"/>
          <w:sz w:val="24"/>
          <w:szCs w:val="24"/>
          <w:lang w:val="zh-CN"/>
        </w:rPr>
        <w:t>厂区</w:t>
      </w:r>
      <w:r>
        <w:rPr>
          <w:rFonts w:hint="eastAsia" w:ascii="宋体" w:hAnsi="宋体" w:cs="宋体"/>
          <w:b/>
          <w:bCs w:val="0"/>
          <w:sz w:val="24"/>
          <w:szCs w:val="24"/>
          <w:lang w:val="zh-CN"/>
        </w:rPr>
        <w:t>内空闲厂房，核实现有工程防渗工程内容，结合《危险废物贮存污染控制标准》对现有厂房提出更严格的防渗要求。</w:t>
      </w:r>
    </w:p>
    <w:p w14:paraId="60F92AD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bCs w:val="0"/>
          <w:sz w:val="24"/>
          <w:szCs w:val="24"/>
          <w:vertAlign w:val="baseline"/>
          <w:lang w:val="zh-CN"/>
        </w:rPr>
      </w:pPr>
    </w:p>
    <w:p w14:paraId="17A80D9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bCs w:val="0"/>
          <w:sz w:val="24"/>
          <w:szCs w:val="24"/>
          <w:vertAlign w:val="baseline"/>
          <w:lang w:val="en-US" w:eastAsia="zh-CN"/>
        </w:rPr>
      </w:pPr>
      <w:r>
        <w:rPr>
          <w:rFonts w:hint="eastAsia" w:ascii="宋体" w:hAnsi="宋体" w:cs="宋体"/>
          <w:b/>
          <w:bCs w:val="0"/>
          <w:sz w:val="24"/>
          <w:szCs w:val="24"/>
          <w:vertAlign w:val="baseline"/>
          <w:lang w:val="zh-CN"/>
        </w:rPr>
        <w:t>已修改，见报告</w:t>
      </w:r>
      <w:r>
        <w:rPr>
          <w:rFonts w:hint="eastAsia" w:ascii="宋体" w:hAnsi="宋体" w:cs="宋体"/>
          <w:b/>
          <w:bCs w:val="0"/>
          <w:sz w:val="24"/>
          <w:szCs w:val="24"/>
          <w:vertAlign w:val="baseline"/>
          <w:lang w:val="en-US" w:eastAsia="zh-CN"/>
        </w:rPr>
        <w:t>P9-10</w:t>
      </w:r>
    </w:p>
    <w:p w14:paraId="1E755E7D">
      <w:pPr>
        <w:adjustRightInd w:val="0"/>
        <w:snapToGrid w:val="0"/>
        <w:spacing w:line="360" w:lineRule="auto"/>
        <w:jc w:val="center"/>
        <w:rPr>
          <w:rFonts w:ascii="Times New Roman" w:hAnsi="Times New Roman" w:eastAsia="宋体"/>
          <w:b/>
          <w:bCs/>
          <w:color w:val="auto"/>
        </w:rPr>
      </w:pPr>
    </w:p>
    <w:p w14:paraId="566D94BF">
      <w:pPr>
        <w:adjustRightInd w:val="0"/>
        <w:snapToGrid w:val="0"/>
        <w:spacing w:line="360" w:lineRule="auto"/>
        <w:jc w:val="center"/>
        <w:rPr>
          <w:rFonts w:ascii="Times New Roman" w:hAnsi="Times New Roman" w:eastAsia="宋体"/>
          <w:b/>
          <w:bCs/>
          <w:color w:val="auto"/>
        </w:rPr>
      </w:pPr>
      <w:r>
        <w:rPr>
          <w:rFonts w:ascii="Times New Roman" w:hAnsi="Times New Roman" w:eastAsia="宋体"/>
          <w:b/>
          <w:bCs/>
          <w:color w:val="auto"/>
        </w:rPr>
        <w:t>表</w:t>
      </w:r>
      <w:r>
        <w:rPr>
          <w:rFonts w:hint="eastAsia" w:ascii="Times New Roman" w:hAnsi="Times New Roman" w:eastAsia="宋体"/>
          <w:b/>
          <w:bCs/>
          <w:color w:val="auto"/>
          <w:lang w:val="en-US" w:eastAsia="zh-CN"/>
        </w:rPr>
        <w:t>1-10</w:t>
      </w:r>
      <w:r>
        <w:rPr>
          <w:rFonts w:ascii="Times New Roman" w:hAnsi="Times New Roman" w:eastAsia="宋体"/>
          <w:b/>
          <w:bCs/>
          <w:color w:val="auto"/>
        </w:rPr>
        <w:t>项目组成一览表</w:t>
      </w:r>
    </w:p>
    <w:tbl>
      <w:tblPr>
        <w:tblStyle w:val="11"/>
        <w:tblW w:w="4998" w:type="pct"/>
        <w:jc w:val="center"/>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882"/>
        <w:gridCol w:w="1024"/>
        <w:gridCol w:w="5280"/>
        <w:gridCol w:w="1333"/>
      </w:tblGrid>
      <w:tr w14:paraId="7786932E">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517" w:type="pct"/>
            <w:tcBorders>
              <w:tl2br w:val="nil"/>
              <w:tr2bl w:val="nil"/>
            </w:tcBorders>
            <w:noWrap w:val="0"/>
            <w:vAlign w:val="center"/>
          </w:tcPr>
          <w:p w14:paraId="101A6A02">
            <w:pPr>
              <w:snapToGrid w:val="0"/>
              <w:jc w:val="center"/>
              <w:rPr>
                <w:rFonts w:ascii="Times New Roman" w:hAnsi="Times New Roman" w:eastAsia="宋体"/>
                <w:b/>
                <w:bCs/>
                <w:color w:val="auto"/>
                <w:szCs w:val="21"/>
              </w:rPr>
            </w:pPr>
            <w:r>
              <w:rPr>
                <w:rFonts w:ascii="Times New Roman" w:hAnsi="Times New Roman" w:eastAsia="宋体"/>
                <w:b/>
                <w:bCs/>
                <w:color w:val="auto"/>
                <w:szCs w:val="21"/>
              </w:rPr>
              <w:t>工程类别</w:t>
            </w:r>
          </w:p>
        </w:tc>
        <w:tc>
          <w:tcPr>
            <w:tcW w:w="601" w:type="pct"/>
            <w:tcBorders>
              <w:tl2br w:val="nil"/>
              <w:tr2bl w:val="nil"/>
            </w:tcBorders>
            <w:noWrap w:val="0"/>
            <w:vAlign w:val="center"/>
          </w:tcPr>
          <w:p w14:paraId="12DB7C13">
            <w:pPr>
              <w:snapToGrid w:val="0"/>
              <w:jc w:val="center"/>
              <w:rPr>
                <w:rFonts w:ascii="Times New Roman" w:hAnsi="Times New Roman" w:eastAsia="宋体"/>
                <w:b/>
                <w:bCs/>
                <w:color w:val="auto"/>
                <w:szCs w:val="21"/>
              </w:rPr>
            </w:pPr>
            <w:r>
              <w:rPr>
                <w:rFonts w:ascii="Times New Roman" w:hAnsi="Times New Roman" w:eastAsia="宋体"/>
                <w:b/>
                <w:bCs/>
                <w:color w:val="auto"/>
                <w:szCs w:val="21"/>
              </w:rPr>
              <w:t>工程名称</w:t>
            </w:r>
          </w:p>
        </w:tc>
        <w:tc>
          <w:tcPr>
            <w:tcW w:w="3098" w:type="pct"/>
            <w:tcBorders>
              <w:tl2br w:val="nil"/>
              <w:tr2bl w:val="nil"/>
            </w:tcBorders>
            <w:noWrap w:val="0"/>
            <w:vAlign w:val="center"/>
          </w:tcPr>
          <w:p w14:paraId="709DD5A9">
            <w:pPr>
              <w:snapToGrid w:val="0"/>
              <w:jc w:val="center"/>
              <w:rPr>
                <w:rFonts w:ascii="Times New Roman" w:hAnsi="Times New Roman" w:eastAsia="宋体"/>
                <w:b/>
                <w:bCs/>
                <w:color w:val="auto"/>
                <w:szCs w:val="21"/>
              </w:rPr>
            </w:pPr>
            <w:r>
              <w:rPr>
                <w:rFonts w:ascii="Times New Roman" w:hAnsi="Times New Roman" w:eastAsia="宋体"/>
                <w:b/>
                <w:bCs/>
                <w:color w:val="auto"/>
                <w:szCs w:val="21"/>
              </w:rPr>
              <w:t>工程内容</w:t>
            </w:r>
          </w:p>
        </w:tc>
        <w:tc>
          <w:tcPr>
            <w:tcW w:w="782" w:type="pct"/>
            <w:tcBorders>
              <w:tl2br w:val="nil"/>
              <w:tr2bl w:val="nil"/>
            </w:tcBorders>
            <w:noWrap w:val="0"/>
            <w:vAlign w:val="center"/>
          </w:tcPr>
          <w:p w14:paraId="2E78B6EF">
            <w:pPr>
              <w:snapToGrid w:val="0"/>
              <w:jc w:val="center"/>
              <w:rPr>
                <w:rFonts w:ascii="Times New Roman" w:hAnsi="Times New Roman" w:eastAsia="宋体"/>
                <w:b/>
                <w:bCs/>
                <w:color w:val="auto"/>
                <w:szCs w:val="21"/>
              </w:rPr>
            </w:pPr>
            <w:r>
              <w:rPr>
                <w:rFonts w:ascii="Times New Roman" w:hAnsi="Times New Roman" w:eastAsia="宋体"/>
                <w:b/>
                <w:bCs/>
                <w:color w:val="auto"/>
                <w:szCs w:val="21"/>
              </w:rPr>
              <w:t>备注</w:t>
            </w:r>
          </w:p>
        </w:tc>
      </w:tr>
      <w:tr w14:paraId="355058BD">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517" w:type="pct"/>
            <w:vMerge w:val="restart"/>
            <w:tcBorders>
              <w:tl2br w:val="nil"/>
              <w:tr2bl w:val="nil"/>
            </w:tcBorders>
            <w:noWrap w:val="0"/>
            <w:vAlign w:val="center"/>
          </w:tcPr>
          <w:p w14:paraId="6B282724">
            <w:pPr>
              <w:snapToGrid w:val="0"/>
              <w:jc w:val="center"/>
              <w:rPr>
                <w:rFonts w:ascii="Times New Roman" w:hAnsi="Times New Roman" w:eastAsia="宋体"/>
                <w:color w:val="auto"/>
                <w:szCs w:val="21"/>
              </w:rPr>
            </w:pPr>
            <w:r>
              <w:rPr>
                <w:rFonts w:ascii="Times New Roman" w:hAnsi="Times New Roman" w:eastAsia="宋体"/>
                <w:color w:val="auto"/>
                <w:szCs w:val="21"/>
              </w:rPr>
              <w:t>主体工程</w:t>
            </w:r>
          </w:p>
        </w:tc>
        <w:tc>
          <w:tcPr>
            <w:tcW w:w="601" w:type="pct"/>
            <w:tcBorders>
              <w:tl2br w:val="nil"/>
              <w:tr2bl w:val="nil"/>
            </w:tcBorders>
            <w:noWrap w:val="0"/>
            <w:vAlign w:val="center"/>
          </w:tcPr>
          <w:p w14:paraId="43CBDF54">
            <w:pPr>
              <w:widowControl/>
              <w:jc w:val="center"/>
              <w:rPr>
                <w:rFonts w:ascii="Times New Roman" w:hAnsi="Times New Roman" w:eastAsia="宋体"/>
                <w:color w:val="0000FF"/>
                <w:szCs w:val="21"/>
              </w:rPr>
            </w:pPr>
            <w:r>
              <w:rPr>
                <w:rFonts w:hint="eastAsia" w:ascii="Times New Roman" w:hAnsi="Times New Roman" w:eastAsia="宋体"/>
                <w:color w:val="0000FF"/>
                <w:kern w:val="0"/>
                <w:szCs w:val="21"/>
                <w:lang w:eastAsia="zh-CN" w:bidi="ar"/>
              </w:rPr>
              <w:t>废机油贮存区</w:t>
            </w:r>
          </w:p>
        </w:tc>
        <w:tc>
          <w:tcPr>
            <w:tcW w:w="3098" w:type="pct"/>
            <w:tcBorders>
              <w:tl2br w:val="nil"/>
              <w:tr2bl w:val="nil"/>
            </w:tcBorders>
            <w:noWrap w:val="0"/>
            <w:vAlign w:val="center"/>
          </w:tcPr>
          <w:p w14:paraId="4942372C">
            <w:pPr>
              <w:snapToGrid w:val="0"/>
              <w:jc w:val="center"/>
              <w:rPr>
                <w:rFonts w:ascii="Times New Roman" w:hAnsi="Times New Roman" w:eastAsia="宋体"/>
                <w:color w:val="0000FF"/>
                <w:szCs w:val="21"/>
              </w:rPr>
            </w:pPr>
            <w:r>
              <w:rPr>
                <w:rFonts w:hint="eastAsia" w:ascii="Times New Roman" w:hAnsi="Times New Roman" w:eastAsia="宋体"/>
                <w:color w:val="0000FF"/>
                <w:szCs w:val="21"/>
                <w:lang w:eastAsia="zh-CN"/>
              </w:rPr>
              <w:t>占地面积</w:t>
            </w:r>
            <w:r>
              <w:rPr>
                <w:rFonts w:hint="eastAsia" w:ascii="Times New Roman" w:hAnsi="Times New Roman" w:eastAsia="宋体"/>
                <w:color w:val="0000FF"/>
                <w:szCs w:val="21"/>
                <w:lang w:val="en-US" w:eastAsia="zh-CN"/>
              </w:rPr>
              <w:t>500m</w:t>
            </w:r>
            <w:r>
              <w:rPr>
                <w:rFonts w:hint="eastAsia" w:ascii="Times New Roman" w:hAnsi="Times New Roman" w:eastAsia="宋体"/>
                <w:color w:val="0000FF"/>
                <w:szCs w:val="21"/>
                <w:vertAlign w:val="superscript"/>
                <w:lang w:val="en-US" w:eastAsia="zh-CN"/>
              </w:rPr>
              <w:t>2</w:t>
            </w:r>
            <w:r>
              <w:rPr>
                <w:rFonts w:hint="eastAsia" w:ascii="Times New Roman" w:hAnsi="Times New Roman" w:eastAsia="宋体"/>
                <w:color w:val="0000FF"/>
                <w:szCs w:val="21"/>
                <w:lang w:val="en-US" w:eastAsia="zh-CN"/>
              </w:rPr>
              <w:t>，</w:t>
            </w:r>
            <w:r>
              <w:rPr>
                <w:rFonts w:ascii="Times New Roman" w:hAnsi="Times New Roman" w:eastAsia="宋体"/>
                <w:color w:val="0000FF"/>
                <w:szCs w:val="21"/>
              </w:rPr>
              <w:t>新建3个50m</w:t>
            </w:r>
            <w:r>
              <w:rPr>
                <w:rFonts w:ascii="Times New Roman" w:hAnsi="Times New Roman" w:eastAsia="宋体"/>
                <w:color w:val="0000FF"/>
                <w:szCs w:val="21"/>
                <w:vertAlign w:val="superscript"/>
              </w:rPr>
              <w:t>3</w:t>
            </w:r>
            <w:r>
              <w:rPr>
                <w:rFonts w:ascii="Times New Roman" w:hAnsi="Times New Roman" w:eastAsia="宋体"/>
                <w:color w:val="0000FF"/>
                <w:szCs w:val="21"/>
              </w:rPr>
              <w:t>卧式储油罐，修建围堰，油罐修建基座。本项目场地为重点防渗区，仓库贮存区地面、墙壁</w:t>
            </w:r>
            <w:r>
              <w:rPr>
                <w:rFonts w:hint="eastAsia" w:ascii="Times New Roman" w:hAnsi="Times New Roman" w:eastAsia="宋体"/>
                <w:color w:val="0000FF"/>
                <w:szCs w:val="21"/>
                <w:lang w:eastAsia="zh-CN"/>
              </w:rPr>
              <w:t>、</w:t>
            </w:r>
            <w:r>
              <w:rPr>
                <w:rFonts w:ascii="Times New Roman" w:hAnsi="Times New Roman" w:eastAsia="宋体"/>
                <w:color w:val="0000FF"/>
                <w:szCs w:val="21"/>
              </w:rPr>
              <w:t>收集池采用</w:t>
            </w:r>
            <w:r>
              <w:rPr>
                <w:rFonts w:hint="eastAsia" w:ascii="Times New Roman" w:hAnsi="Times New Roman" w:eastAsia="宋体"/>
                <w:color w:val="0000FF"/>
                <w:szCs w:val="21"/>
                <w:lang w:val="en-US" w:eastAsia="zh-CN"/>
              </w:rPr>
              <w:t>水泥基础防渗+</w:t>
            </w:r>
            <w:r>
              <w:rPr>
                <w:rFonts w:ascii="Times New Roman" w:hAnsi="Times New Roman" w:eastAsia="宋体"/>
                <w:color w:val="0000FF"/>
                <w:szCs w:val="21"/>
              </w:rPr>
              <w:t>2</w:t>
            </w:r>
            <w:r>
              <w:rPr>
                <w:rFonts w:hint="eastAsia" w:ascii="Times New Roman" w:hAnsi="Times New Roman" w:eastAsia="宋体"/>
                <w:color w:val="0000FF"/>
                <w:szCs w:val="21"/>
                <w:lang w:eastAsia="zh-CN"/>
              </w:rPr>
              <w:t>mm</w:t>
            </w:r>
            <w:r>
              <w:rPr>
                <w:rFonts w:ascii="Times New Roman" w:hAnsi="Times New Roman" w:eastAsia="宋体"/>
                <w:color w:val="0000FF"/>
                <w:szCs w:val="21"/>
              </w:rPr>
              <w:t>厚高密度聚乙烯（HDPE）材料防渗，并设置环氧树脂防腐，使之渗透系数≤10</w:t>
            </w:r>
            <w:r>
              <w:rPr>
                <w:rFonts w:hint="eastAsia" w:ascii="Times New Roman" w:hAnsi="Times New Roman" w:eastAsia="宋体"/>
                <w:color w:val="0000FF"/>
                <w:szCs w:val="21"/>
                <w:vertAlign w:val="superscript"/>
                <w:lang w:eastAsia="zh-CN"/>
              </w:rPr>
              <w:t>-10</w:t>
            </w:r>
            <w:r>
              <w:rPr>
                <w:rFonts w:hint="eastAsia" w:ascii="Times New Roman" w:hAnsi="Times New Roman" w:eastAsia="宋体"/>
                <w:color w:val="0000FF"/>
                <w:szCs w:val="21"/>
                <w:lang w:eastAsia="zh-CN"/>
              </w:rPr>
              <w:t>cm</w:t>
            </w:r>
            <w:r>
              <w:rPr>
                <w:rFonts w:ascii="Times New Roman" w:hAnsi="Times New Roman" w:eastAsia="宋体"/>
                <w:color w:val="0000FF"/>
                <w:szCs w:val="21"/>
              </w:rPr>
              <w:t>/</w:t>
            </w:r>
            <w:r>
              <w:rPr>
                <w:rFonts w:hint="eastAsia" w:ascii="Times New Roman" w:hAnsi="Times New Roman" w:eastAsia="宋体"/>
                <w:color w:val="0000FF"/>
                <w:szCs w:val="21"/>
                <w:lang w:eastAsia="zh-CN"/>
              </w:rPr>
              <w:t>s</w:t>
            </w:r>
            <w:r>
              <w:rPr>
                <w:rFonts w:ascii="Times New Roman" w:hAnsi="Times New Roman" w:eastAsia="宋体"/>
                <w:color w:val="0000FF"/>
                <w:szCs w:val="21"/>
              </w:rPr>
              <w:t>，墙壁防渗防腐裙脚高度约50cm。</w:t>
            </w:r>
          </w:p>
        </w:tc>
        <w:tc>
          <w:tcPr>
            <w:tcW w:w="782" w:type="pct"/>
            <w:tcBorders>
              <w:tl2br w:val="nil"/>
              <w:tr2bl w:val="nil"/>
            </w:tcBorders>
            <w:noWrap w:val="0"/>
            <w:vAlign w:val="center"/>
          </w:tcPr>
          <w:p w14:paraId="04670B74">
            <w:pPr>
              <w:snapToGrid w:val="0"/>
              <w:jc w:val="center"/>
              <w:rPr>
                <w:rFonts w:ascii="Times New Roman" w:hAnsi="Times New Roman" w:eastAsia="宋体"/>
                <w:color w:val="0000FF"/>
                <w:szCs w:val="21"/>
              </w:rPr>
            </w:pPr>
            <w:r>
              <w:rPr>
                <w:rFonts w:ascii="Times New Roman" w:hAnsi="Times New Roman" w:eastAsia="宋体"/>
                <w:color w:val="0000FF"/>
                <w:szCs w:val="21"/>
              </w:rPr>
              <w:t>新建</w:t>
            </w:r>
          </w:p>
        </w:tc>
      </w:tr>
      <w:tr w14:paraId="4B2974FE">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517" w:type="pct"/>
            <w:vMerge w:val="continue"/>
            <w:tcBorders>
              <w:tl2br w:val="nil"/>
              <w:tr2bl w:val="nil"/>
            </w:tcBorders>
            <w:noWrap w:val="0"/>
            <w:vAlign w:val="center"/>
          </w:tcPr>
          <w:p w14:paraId="72313D08">
            <w:pPr>
              <w:snapToGrid w:val="0"/>
              <w:jc w:val="center"/>
              <w:rPr>
                <w:rFonts w:ascii="Times New Roman" w:hAnsi="Times New Roman" w:eastAsia="宋体"/>
                <w:color w:val="auto"/>
                <w:szCs w:val="21"/>
              </w:rPr>
            </w:pPr>
          </w:p>
        </w:tc>
        <w:tc>
          <w:tcPr>
            <w:tcW w:w="601" w:type="pct"/>
            <w:tcBorders>
              <w:tl2br w:val="nil"/>
              <w:tr2bl w:val="nil"/>
            </w:tcBorders>
            <w:noWrap w:val="0"/>
            <w:vAlign w:val="center"/>
          </w:tcPr>
          <w:p w14:paraId="327BBE96">
            <w:pPr>
              <w:widowControl/>
              <w:jc w:val="center"/>
              <w:rPr>
                <w:rFonts w:hint="eastAsia" w:ascii="Times New Roman" w:hAnsi="Times New Roman" w:eastAsia="宋体"/>
                <w:color w:val="0000FF"/>
                <w:kern w:val="0"/>
                <w:szCs w:val="21"/>
                <w:lang w:eastAsia="zh-CN" w:bidi="ar"/>
              </w:rPr>
            </w:pPr>
            <w:r>
              <w:rPr>
                <w:rFonts w:hint="eastAsia" w:ascii="Times New Roman" w:hAnsi="Times New Roman" w:eastAsia="宋体"/>
                <w:color w:val="0000FF"/>
                <w:kern w:val="0"/>
                <w:szCs w:val="21"/>
                <w:lang w:eastAsia="zh-CN" w:bidi="ar"/>
              </w:rPr>
              <w:t>废铅酸蓄电池贮存区</w:t>
            </w:r>
          </w:p>
        </w:tc>
        <w:tc>
          <w:tcPr>
            <w:tcW w:w="3098" w:type="pct"/>
            <w:tcBorders>
              <w:tl2br w:val="nil"/>
              <w:tr2bl w:val="nil"/>
            </w:tcBorders>
            <w:noWrap w:val="0"/>
            <w:vAlign w:val="center"/>
          </w:tcPr>
          <w:p w14:paraId="275C2891">
            <w:pPr>
              <w:snapToGrid w:val="0"/>
              <w:jc w:val="center"/>
              <w:rPr>
                <w:rFonts w:hint="eastAsia" w:ascii="Times New Roman" w:hAnsi="Times New Roman" w:eastAsia="宋体"/>
                <w:color w:val="0000FF"/>
                <w:szCs w:val="21"/>
                <w:lang w:eastAsia="zh-CN"/>
              </w:rPr>
            </w:pPr>
            <w:r>
              <w:rPr>
                <w:rFonts w:hint="eastAsia" w:ascii="Times New Roman" w:hAnsi="Times New Roman" w:eastAsia="宋体"/>
                <w:color w:val="0000FF"/>
                <w:szCs w:val="21"/>
                <w:lang w:eastAsia="zh-CN"/>
              </w:rPr>
              <w:t>占地面积</w:t>
            </w:r>
            <w:r>
              <w:rPr>
                <w:rFonts w:hint="eastAsia" w:ascii="Times New Roman" w:hAnsi="Times New Roman" w:eastAsia="宋体"/>
                <w:color w:val="0000FF"/>
                <w:szCs w:val="21"/>
                <w:lang w:val="en-US" w:eastAsia="zh-CN"/>
              </w:rPr>
              <w:t>100m</w:t>
            </w:r>
            <w:r>
              <w:rPr>
                <w:rFonts w:hint="eastAsia" w:ascii="Times New Roman" w:hAnsi="Times New Roman" w:eastAsia="宋体"/>
                <w:color w:val="0000FF"/>
                <w:szCs w:val="21"/>
                <w:vertAlign w:val="superscript"/>
                <w:lang w:val="en-US" w:eastAsia="zh-CN"/>
              </w:rPr>
              <w:t>2</w:t>
            </w:r>
            <w:r>
              <w:rPr>
                <w:rFonts w:hint="eastAsia" w:ascii="Times New Roman" w:hAnsi="Times New Roman" w:eastAsia="宋体"/>
                <w:color w:val="0000FF"/>
                <w:szCs w:val="21"/>
                <w:lang w:val="en-US" w:eastAsia="zh-CN"/>
              </w:rPr>
              <w:t>，用于贮存废铅酸蓄电池，贮存区分为废铅酸蓄电池完整区和破损区。</w:t>
            </w:r>
            <w:r>
              <w:rPr>
                <w:rFonts w:ascii="Times New Roman" w:hAnsi="Times New Roman" w:eastAsia="宋体"/>
                <w:color w:val="0000FF"/>
                <w:szCs w:val="21"/>
              </w:rPr>
              <w:t>本项目为重点防渗区，</w:t>
            </w:r>
            <w:r>
              <w:rPr>
                <w:rFonts w:hint="eastAsia" w:ascii="宋体" w:hAnsi="宋体" w:eastAsia="宋体"/>
                <w:color w:val="0000FF"/>
                <w:sz w:val="21"/>
              </w:rPr>
              <w:t>改造项目厂房地面结构，</w:t>
            </w:r>
            <w:r>
              <w:rPr>
                <w:rFonts w:ascii="Times New Roman" w:hAnsi="Times New Roman" w:eastAsia="宋体"/>
                <w:color w:val="0000FF"/>
                <w:szCs w:val="21"/>
              </w:rPr>
              <w:t>仓库贮存区地面、墙壁收集池采用</w:t>
            </w:r>
            <w:r>
              <w:rPr>
                <w:rFonts w:hint="eastAsia" w:ascii="Times New Roman" w:hAnsi="Times New Roman" w:eastAsia="宋体"/>
                <w:color w:val="0000FF"/>
                <w:szCs w:val="21"/>
                <w:lang w:eastAsia="zh-CN"/>
              </w:rPr>
              <w:t>水泥基础防渗</w:t>
            </w:r>
            <w:r>
              <w:rPr>
                <w:rFonts w:hint="eastAsia" w:ascii="Times New Roman" w:hAnsi="Times New Roman" w:eastAsia="宋体"/>
                <w:color w:val="0000FF"/>
                <w:szCs w:val="21"/>
                <w:lang w:val="en-US" w:eastAsia="zh-CN"/>
              </w:rPr>
              <w:t>+</w:t>
            </w:r>
            <w:r>
              <w:rPr>
                <w:rFonts w:ascii="Times New Roman" w:hAnsi="Times New Roman" w:eastAsia="宋体"/>
                <w:color w:val="0000FF"/>
                <w:szCs w:val="21"/>
              </w:rPr>
              <w:t>2</w:t>
            </w:r>
            <w:r>
              <w:rPr>
                <w:rFonts w:hint="eastAsia" w:ascii="Times New Roman" w:hAnsi="Times New Roman" w:eastAsia="宋体"/>
                <w:color w:val="0000FF"/>
                <w:szCs w:val="21"/>
                <w:lang w:eastAsia="zh-CN"/>
              </w:rPr>
              <w:t>mm</w:t>
            </w:r>
            <w:r>
              <w:rPr>
                <w:rFonts w:ascii="Times New Roman" w:hAnsi="Times New Roman" w:eastAsia="宋体"/>
                <w:color w:val="0000FF"/>
                <w:szCs w:val="21"/>
              </w:rPr>
              <w:t>厚高密度聚乙烯（HDPE）材料防渗，并设置环氧树脂防腐，使之渗透系数≤10</w:t>
            </w:r>
            <w:r>
              <w:rPr>
                <w:rFonts w:hint="eastAsia" w:ascii="Times New Roman" w:hAnsi="Times New Roman" w:eastAsia="宋体"/>
                <w:color w:val="0000FF"/>
                <w:szCs w:val="21"/>
                <w:vertAlign w:val="superscript"/>
                <w:lang w:eastAsia="zh-CN"/>
              </w:rPr>
              <w:t>-10</w:t>
            </w:r>
            <w:r>
              <w:rPr>
                <w:rFonts w:hint="eastAsia" w:ascii="Times New Roman" w:hAnsi="Times New Roman" w:eastAsia="宋体"/>
                <w:color w:val="0000FF"/>
                <w:szCs w:val="21"/>
                <w:lang w:eastAsia="zh-CN"/>
              </w:rPr>
              <w:t>cm</w:t>
            </w:r>
            <w:r>
              <w:rPr>
                <w:rFonts w:ascii="Times New Roman" w:hAnsi="Times New Roman" w:eastAsia="宋体"/>
                <w:color w:val="0000FF"/>
                <w:szCs w:val="21"/>
              </w:rPr>
              <w:t>/</w:t>
            </w:r>
            <w:r>
              <w:rPr>
                <w:rFonts w:hint="eastAsia" w:ascii="Times New Roman" w:hAnsi="Times New Roman" w:eastAsia="宋体"/>
                <w:color w:val="0000FF"/>
                <w:szCs w:val="21"/>
                <w:lang w:eastAsia="zh-CN"/>
              </w:rPr>
              <w:t>s</w:t>
            </w:r>
            <w:r>
              <w:rPr>
                <w:rFonts w:ascii="Times New Roman" w:hAnsi="Times New Roman" w:eastAsia="宋体"/>
                <w:color w:val="0000FF"/>
                <w:szCs w:val="21"/>
              </w:rPr>
              <w:t>，墙壁防渗防腐裙脚高度约50cm。</w:t>
            </w:r>
          </w:p>
        </w:tc>
        <w:tc>
          <w:tcPr>
            <w:tcW w:w="782" w:type="pct"/>
            <w:tcBorders>
              <w:tl2br w:val="nil"/>
              <w:tr2bl w:val="nil"/>
            </w:tcBorders>
            <w:noWrap w:val="0"/>
            <w:vAlign w:val="center"/>
          </w:tcPr>
          <w:p w14:paraId="280DB407">
            <w:pPr>
              <w:snapToGrid w:val="0"/>
              <w:jc w:val="center"/>
              <w:rPr>
                <w:rFonts w:hint="eastAsia" w:ascii="Times New Roman" w:hAnsi="Times New Roman" w:eastAsia="宋体"/>
                <w:color w:val="0000FF"/>
                <w:szCs w:val="21"/>
                <w:lang w:eastAsia="zh-CN"/>
              </w:rPr>
            </w:pPr>
            <w:r>
              <w:rPr>
                <w:rFonts w:hint="eastAsia" w:ascii="Times New Roman" w:hAnsi="Times New Roman" w:eastAsia="宋体"/>
                <w:color w:val="0000FF"/>
                <w:szCs w:val="21"/>
                <w:lang w:eastAsia="zh-CN"/>
              </w:rPr>
              <w:t>新建</w:t>
            </w:r>
          </w:p>
        </w:tc>
      </w:tr>
      <w:tr w14:paraId="07B4E3FF">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517" w:type="pct"/>
            <w:vMerge w:val="restart"/>
            <w:tcBorders>
              <w:tl2br w:val="nil"/>
              <w:tr2bl w:val="nil"/>
            </w:tcBorders>
            <w:noWrap w:val="0"/>
            <w:vAlign w:val="center"/>
          </w:tcPr>
          <w:p w14:paraId="541D5741">
            <w:pPr>
              <w:widowControl/>
              <w:jc w:val="center"/>
              <w:rPr>
                <w:rFonts w:ascii="Times New Roman" w:hAnsi="Times New Roman" w:eastAsia="宋体"/>
                <w:color w:val="auto"/>
                <w:szCs w:val="21"/>
              </w:rPr>
            </w:pPr>
            <w:r>
              <w:rPr>
                <w:rFonts w:ascii="Times New Roman" w:hAnsi="Times New Roman" w:eastAsia="宋体"/>
                <w:color w:val="auto"/>
                <w:kern w:val="0"/>
                <w:szCs w:val="21"/>
                <w:lang w:bidi="ar"/>
              </w:rPr>
              <w:t>储运工程</w:t>
            </w:r>
          </w:p>
        </w:tc>
        <w:tc>
          <w:tcPr>
            <w:tcW w:w="601" w:type="pct"/>
            <w:tcBorders>
              <w:tl2br w:val="nil"/>
              <w:tr2bl w:val="nil"/>
            </w:tcBorders>
            <w:noWrap w:val="0"/>
            <w:vAlign w:val="center"/>
          </w:tcPr>
          <w:p w14:paraId="7988E47A">
            <w:pPr>
              <w:widowControl/>
              <w:jc w:val="center"/>
              <w:rPr>
                <w:rFonts w:ascii="Times New Roman" w:hAnsi="Times New Roman" w:eastAsia="宋体"/>
                <w:color w:val="auto"/>
                <w:szCs w:val="21"/>
              </w:rPr>
            </w:pPr>
            <w:r>
              <w:rPr>
                <w:rFonts w:ascii="Times New Roman" w:hAnsi="Times New Roman" w:eastAsia="宋体"/>
                <w:color w:val="auto"/>
                <w:kern w:val="0"/>
                <w:szCs w:val="21"/>
                <w:lang w:bidi="ar"/>
              </w:rPr>
              <w:t>运输</w:t>
            </w:r>
          </w:p>
        </w:tc>
        <w:tc>
          <w:tcPr>
            <w:tcW w:w="3098" w:type="pct"/>
            <w:tcBorders>
              <w:tl2br w:val="nil"/>
              <w:tr2bl w:val="nil"/>
            </w:tcBorders>
            <w:noWrap w:val="0"/>
            <w:vAlign w:val="center"/>
          </w:tcPr>
          <w:p w14:paraId="02223845">
            <w:pPr>
              <w:widowControl/>
              <w:jc w:val="center"/>
              <w:rPr>
                <w:rFonts w:hint="eastAsia" w:ascii="Times New Roman" w:hAnsi="Times New Roman" w:eastAsia="宋体"/>
                <w:color w:val="auto"/>
                <w:szCs w:val="21"/>
                <w:lang w:eastAsia="zh-CN"/>
              </w:rPr>
            </w:pPr>
            <w:r>
              <w:rPr>
                <w:rFonts w:ascii="Times New Roman" w:hAnsi="Times New Roman" w:eastAsia="宋体"/>
                <w:color w:val="auto"/>
                <w:kern w:val="0"/>
                <w:szCs w:val="21"/>
                <w:lang w:bidi="ar"/>
              </w:rPr>
              <w:t>罐车运输，依托有危废运输资质的单位承担运输工作</w:t>
            </w:r>
            <w:r>
              <w:rPr>
                <w:rFonts w:hint="eastAsia" w:ascii="Times New Roman" w:hAnsi="Times New Roman" w:eastAsia="宋体"/>
                <w:color w:val="auto"/>
                <w:kern w:val="0"/>
                <w:szCs w:val="21"/>
                <w:lang w:eastAsia="zh-CN" w:bidi="ar"/>
              </w:rPr>
              <w:t>。</w:t>
            </w:r>
          </w:p>
        </w:tc>
        <w:tc>
          <w:tcPr>
            <w:tcW w:w="782" w:type="pct"/>
            <w:tcBorders>
              <w:tl2br w:val="nil"/>
              <w:tr2bl w:val="nil"/>
            </w:tcBorders>
            <w:noWrap w:val="0"/>
            <w:vAlign w:val="center"/>
          </w:tcPr>
          <w:p w14:paraId="525C920D">
            <w:pPr>
              <w:snapToGrid w:val="0"/>
              <w:jc w:val="center"/>
              <w:rPr>
                <w:rFonts w:ascii="Times New Roman" w:hAnsi="Times New Roman" w:eastAsia="宋体"/>
                <w:color w:val="auto"/>
                <w:szCs w:val="21"/>
              </w:rPr>
            </w:pPr>
            <w:r>
              <w:rPr>
                <w:rFonts w:ascii="Times New Roman" w:hAnsi="Times New Roman" w:eastAsia="宋体"/>
                <w:color w:val="auto"/>
                <w:szCs w:val="21"/>
              </w:rPr>
              <w:t>依托</w:t>
            </w:r>
          </w:p>
        </w:tc>
      </w:tr>
      <w:tr w14:paraId="4A825592">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517" w:type="pct"/>
            <w:vMerge w:val="continue"/>
            <w:tcBorders>
              <w:tl2br w:val="nil"/>
              <w:tr2bl w:val="nil"/>
            </w:tcBorders>
            <w:noWrap w:val="0"/>
            <w:vAlign w:val="center"/>
          </w:tcPr>
          <w:p w14:paraId="01D45DD1">
            <w:pPr>
              <w:snapToGrid w:val="0"/>
              <w:jc w:val="center"/>
              <w:rPr>
                <w:rFonts w:ascii="Times New Roman" w:hAnsi="Times New Roman" w:eastAsia="宋体"/>
                <w:color w:val="auto"/>
                <w:szCs w:val="21"/>
              </w:rPr>
            </w:pPr>
          </w:p>
        </w:tc>
        <w:tc>
          <w:tcPr>
            <w:tcW w:w="601" w:type="pct"/>
            <w:tcBorders>
              <w:tl2br w:val="nil"/>
              <w:tr2bl w:val="nil"/>
            </w:tcBorders>
            <w:noWrap w:val="0"/>
            <w:vAlign w:val="center"/>
          </w:tcPr>
          <w:p w14:paraId="69AA512E">
            <w:pPr>
              <w:widowControl/>
              <w:jc w:val="center"/>
              <w:rPr>
                <w:rFonts w:ascii="Times New Roman" w:hAnsi="Times New Roman" w:eastAsia="宋体"/>
                <w:color w:val="auto"/>
                <w:szCs w:val="21"/>
              </w:rPr>
            </w:pPr>
            <w:r>
              <w:rPr>
                <w:rFonts w:ascii="Times New Roman" w:hAnsi="Times New Roman" w:eastAsia="宋体"/>
                <w:color w:val="auto"/>
                <w:kern w:val="0"/>
                <w:szCs w:val="21"/>
                <w:lang w:bidi="ar"/>
              </w:rPr>
              <w:t>收集</w:t>
            </w:r>
          </w:p>
        </w:tc>
        <w:tc>
          <w:tcPr>
            <w:tcW w:w="3098" w:type="pct"/>
            <w:tcBorders>
              <w:tl2br w:val="nil"/>
              <w:tr2bl w:val="nil"/>
            </w:tcBorders>
            <w:noWrap w:val="0"/>
            <w:vAlign w:val="center"/>
          </w:tcPr>
          <w:p w14:paraId="63754679">
            <w:pPr>
              <w:widowControl/>
              <w:jc w:val="center"/>
              <w:rPr>
                <w:rFonts w:hint="eastAsia" w:ascii="Times New Roman" w:hAnsi="Times New Roman" w:eastAsia="宋体"/>
                <w:color w:val="auto"/>
                <w:szCs w:val="21"/>
                <w:lang w:eastAsia="zh-CN"/>
              </w:rPr>
            </w:pPr>
            <w:r>
              <w:rPr>
                <w:rFonts w:ascii="Times New Roman" w:hAnsi="Times New Roman" w:eastAsia="宋体"/>
                <w:color w:val="auto"/>
                <w:kern w:val="0"/>
                <w:szCs w:val="21"/>
                <w:lang w:bidi="ar"/>
              </w:rPr>
              <w:t>各企业按照危废暂存的要求，集中收集废机油</w:t>
            </w:r>
            <w:r>
              <w:rPr>
                <w:rFonts w:hint="eastAsia" w:ascii="Times New Roman" w:hAnsi="Times New Roman" w:eastAsia="宋体"/>
                <w:color w:val="auto"/>
                <w:kern w:val="0"/>
                <w:szCs w:val="21"/>
                <w:lang w:eastAsia="zh-CN" w:bidi="ar"/>
              </w:rPr>
              <w:t>、废铅酸蓄电池</w:t>
            </w:r>
            <w:r>
              <w:rPr>
                <w:rFonts w:ascii="Times New Roman" w:hAnsi="Times New Roman" w:eastAsia="宋体"/>
                <w:color w:val="auto"/>
                <w:kern w:val="0"/>
                <w:szCs w:val="21"/>
                <w:lang w:bidi="ar"/>
              </w:rPr>
              <w:t>，建设单位定期委托有危废运输资质的单位运送至项目区</w:t>
            </w:r>
            <w:r>
              <w:rPr>
                <w:rFonts w:hint="eastAsia" w:ascii="Times New Roman" w:hAnsi="Times New Roman" w:eastAsia="宋体"/>
                <w:color w:val="auto"/>
                <w:kern w:val="0"/>
                <w:szCs w:val="21"/>
                <w:lang w:eastAsia="zh-CN" w:bidi="ar"/>
              </w:rPr>
              <w:t>。</w:t>
            </w:r>
          </w:p>
        </w:tc>
        <w:tc>
          <w:tcPr>
            <w:tcW w:w="782" w:type="pct"/>
            <w:tcBorders>
              <w:tl2br w:val="nil"/>
              <w:tr2bl w:val="nil"/>
            </w:tcBorders>
            <w:noWrap w:val="0"/>
            <w:vAlign w:val="center"/>
          </w:tcPr>
          <w:p w14:paraId="5AEAD4A3">
            <w:pPr>
              <w:snapToGrid w:val="0"/>
              <w:jc w:val="center"/>
              <w:rPr>
                <w:rFonts w:ascii="Times New Roman" w:hAnsi="Times New Roman" w:eastAsia="宋体"/>
                <w:color w:val="auto"/>
                <w:szCs w:val="21"/>
              </w:rPr>
            </w:pPr>
            <w:r>
              <w:rPr>
                <w:rFonts w:ascii="Times New Roman" w:hAnsi="Times New Roman" w:eastAsia="宋体"/>
                <w:color w:val="auto"/>
                <w:szCs w:val="21"/>
              </w:rPr>
              <w:t>依托</w:t>
            </w:r>
          </w:p>
        </w:tc>
      </w:tr>
      <w:tr w14:paraId="2A68F448">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7" w:type="pct"/>
            <w:vMerge w:val="restart"/>
            <w:tcBorders>
              <w:tl2br w:val="nil"/>
              <w:tr2bl w:val="nil"/>
            </w:tcBorders>
            <w:noWrap w:val="0"/>
            <w:vAlign w:val="center"/>
          </w:tcPr>
          <w:p w14:paraId="7DAEA32E">
            <w:pPr>
              <w:snapToGrid w:val="0"/>
              <w:jc w:val="center"/>
              <w:rPr>
                <w:rFonts w:ascii="Times New Roman" w:hAnsi="Times New Roman" w:eastAsia="宋体"/>
                <w:color w:val="auto"/>
                <w:szCs w:val="21"/>
              </w:rPr>
            </w:pPr>
            <w:r>
              <w:rPr>
                <w:rFonts w:ascii="Times New Roman" w:hAnsi="Times New Roman" w:eastAsia="宋体"/>
                <w:color w:val="auto"/>
                <w:szCs w:val="21"/>
              </w:rPr>
              <w:t>公用工程</w:t>
            </w:r>
          </w:p>
        </w:tc>
        <w:tc>
          <w:tcPr>
            <w:tcW w:w="601" w:type="pct"/>
            <w:tcBorders>
              <w:tl2br w:val="nil"/>
              <w:tr2bl w:val="nil"/>
            </w:tcBorders>
            <w:noWrap w:val="0"/>
            <w:vAlign w:val="center"/>
          </w:tcPr>
          <w:p w14:paraId="4686063C">
            <w:pPr>
              <w:pStyle w:val="10"/>
              <w:spacing w:before="0" w:beforeAutospacing="0" w:after="0" w:afterAutospacing="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供水</w:t>
            </w:r>
          </w:p>
        </w:tc>
        <w:tc>
          <w:tcPr>
            <w:tcW w:w="3098" w:type="pct"/>
            <w:tcBorders>
              <w:tl2br w:val="nil"/>
              <w:tr2bl w:val="nil"/>
            </w:tcBorders>
            <w:noWrap w:val="0"/>
            <w:vAlign w:val="center"/>
          </w:tcPr>
          <w:p w14:paraId="2A9AB904">
            <w:pPr>
              <w:pStyle w:val="10"/>
              <w:spacing w:before="0" w:beforeAutospacing="0" w:after="0" w:afterAutospacing="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园区供水管网。</w:t>
            </w:r>
          </w:p>
        </w:tc>
        <w:tc>
          <w:tcPr>
            <w:tcW w:w="782" w:type="pct"/>
            <w:tcBorders>
              <w:tl2br w:val="nil"/>
              <w:tr2bl w:val="nil"/>
            </w:tcBorders>
            <w:noWrap w:val="0"/>
            <w:vAlign w:val="center"/>
          </w:tcPr>
          <w:p w14:paraId="30D43458">
            <w:pPr>
              <w:snapToGrid w:val="0"/>
              <w:jc w:val="center"/>
              <w:rPr>
                <w:rFonts w:ascii="Times New Roman" w:hAnsi="Times New Roman" w:eastAsia="宋体"/>
                <w:color w:val="auto"/>
                <w:szCs w:val="21"/>
              </w:rPr>
            </w:pPr>
            <w:r>
              <w:rPr>
                <w:rFonts w:ascii="Times New Roman" w:hAnsi="Times New Roman" w:eastAsia="宋体"/>
                <w:color w:val="auto"/>
                <w:szCs w:val="21"/>
              </w:rPr>
              <w:t>依托</w:t>
            </w:r>
          </w:p>
        </w:tc>
      </w:tr>
      <w:tr w14:paraId="2F789796">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517" w:type="pct"/>
            <w:vMerge w:val="continue"/>
            <w:tcBorders>
              <w:tl2br w:val="nil"/>
              <w:tr2bl w:val="nil"/>
            </w:tcBorders>
            <w:noWrap w:val="0"/>
            <w:vAlign w:val="center"/>
          </w:tcPr>
          <w:p w14:paraId="126DF21E">
            <w:pPr>
              <w:snapToGrid w:val="0"/>
              <w:jc w:val="center"/>
              <w:rPr>
                <w:rFonts w:ascii="Times New Roman" w:hAnsi="Times New Roman" w:eastAsia="宋体"/>
                <w:color w:val="auto"/>
                <w:szCs w:val="21"/>
              </w:rPr>
            </w:pPr>
          </w:p>
        </w:tc>
        <w:tc>
          <w:tcPr>
            <w:tcW w:w="601" w:type="pct"/>
            <w:tcBorders>
              <w:tl2br w:val="nil"/>
              <w:tr2bl w:val="nil"/>
            </w:tcBorders>
            <w:noWrap w:val="0"/>
            <w:vAlign w:val="center"/>
          </w:tcPr>
          <w:p w14:paraId="19D72446">
            <w:pPr>
              <w:pStyle w:val="10"/>
              <w:spacing w:before="0" w:beforeAutospacing="0" w:after="0" w:afterAutospacing="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排水</w:t>
            </w:r>
          </w:p>
        </w:tc>
        <w:tc>
          <w:tcPr>
            <w:tcW w:w="3098" w:type="pct"/>
            <w:tcBorders>
              <w:tl2br w:val="nil"/>
              <w:tr2bl w:val="nil"/>
            </w:tcBorders>
            <w:noWrap w:val="0"/>
            <w:vAlign w:val="center"/>
          </w:tcPr>
          <w:p w14:paraId="184851EA">
            <w:pPr>
              <w:pStyle w:val="10"/>
              <w:spacing w:before="0" w:beforeAutospacing="0" w:after="0" w:afterAutospacing="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本项目营运期无生产工艺废水产生</w:t>
            </w:r>
            <w:r>
              <w:rPr>
                <w:rFonts w:hint="eastAsia" w:ascii="Times New Roman" w:hAnsi="Times New Roman" w:eastAsia="宋体" w:cs="Times New Roman"/>
                <w:color w:val="auto"/>
                <w:sz w:val="21"/>
                <w:szCs w:val="21"/>
                <w:lang w:eastAsia="zh-CN"/>
              </w:rPr>
              <w:t>，</w:t>
            </w:r>
            <w:r>
              <w:rPr>
                <w:rFonts w:ascii="Times New Roman" w:hAnsi="Times New Roman" w:eastAsia="宋体" w:cs="Times New Roman"/>
                <w:color w:val="auto"/>
                <w:sz w:val="21"/>
                <w:szCs w:val="21"/>
              </w:rPr>
              <w:t>员工入厕依托</w:t>
            </w:r>
            <w:r>
              <w:rPr>
                <w:rFonts w:hint="eastAsia" w:ascii="Times New Roman" w:hAnsi="Times New Roman" w:eastAsia="宋体" w:cs="Times New Roman"/>
                <w:color w:val="auto"/>
                <w:sz w:val="21"/>
                <w:szCs w:val="21"/>
                <w:lang w:eastAsia="zh-CN"/>
              </w:rPr>
              <w:t>新疆奇台县新港物流</w:t>
            </w:r>
            <w:r>
              <w:rPr>
                <w:rFonts w:hint="default" w:ascii="Times New Roman" w:hAnsi="Times New Roman" w:eastAsia="宋体" w:cs="Times New Roman"/>
                <w:color w:val="auto"/>
                <w:sz w:val="21"/>
                <w:szCs w:val="21"/>
                <w:lang w:eastAsia="zh-CN"/>
              </w:rPr>
              <w:t>·</w:t>
            </w:r>
            <w:r>
              <w:rPr>
                <w:rFonts w:hint="eastAsia" w:ascii="Times New Roman" w:hAnsi="Times New Roman" w:eastAsia="宋体" w:cs="Times New Roman"/>
                <w:color w:val="auto"/>
                <w:sz w:val="21"/>
                <w:szCs w:val="21"/>
                <w:lang w:eastAsia="zh-CN"/>
              </w:rPr>
              <w:t>新港云仓</w:t>
            </w:r>
            <w:r>
              <w:rPr>
                <w:rFonts w:ascii="Times New Roman" w:hAnsi="Times New Roman" w:eastAsia="宋体" w:cs="Times New Roman"/>
                <w:color w:val="auto"/>
                <w:sz w:val="21"/>
                <w:szCs w:val="21"/>
              </w:rPr>
              <w:t>现有公共设施，生活污水经园区污水管网最终排入园区污水处理厂进行处理。</w:t>
            </w:r>
          </w:p>
        </w:tc>
        <w:tc>
          <w:tcPr>
            <w:tcW w:w="782" w:type="pct"/>
            <w:tcBorders>
              <w:tl2br w:val="nil"/>
              <w:tr2bl w:val="nil"/>
            </w:tcBorders>
            <w:noWrap w:val="0"/>
            <w:vAlign w:val="center"/>
          </w:tcPr>
          <w:p w14:paraId="1553672F">
            <w:pPr>
              <w:snapToGrid w:val="0"/>
              <w:jc w:val="center"/>
              <w:rPr>
                <w:rFonts w:ascii="Times New Roman" w:hAnsi="Times New Roman" w:eastAsia="宋体"/>
                <w:color w:val="auto"/>
                <w:szCs w:val="21"/>
              </w:rPr>
            </w:pPr>
            <w:r>
              <w:rPr>
                <w:rFonts w:ascii="Times New Roman" w:hAnsi="Times New Roman" w:eastAsia="宋体"/>
                <w:color w:val="auto"/>
                <w:szCs w:val="21"/>
              </w:rPr>
              <w:t>依托</w:t>
            </w:r>
          </w:p>
        </w:tc>
      </w:tr>
      <w:tr w14:paraId="3BBF85B8">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517" w:type="pct"/>
            <w:vMerge w:val="continue"/>
            <w:tcBorders>
              <w:tl2br w:val="nil"/>
              <w:tr2bl w:val="nil"/>
            </w:tcBorders>
            <w:noWrap w:val="0"/>
            <w:vAlign w:val="center"/>
          </w:tcPr>
          <w:p w14:paraId="0D02C72D">
            <w:pPr>
              <w:snapToGrid w:val="0"/>
              <w:jc w:val="center"/>
              <w:rPr>
                <w:rFonts w:ascii="Times New Roman" w:hAnsi="Times New Roman" w:eastAsia="宋体"/>
                <w:color w:val="auto"/>
                <w:szCs w:val="21"/>
              </w:rPr>
            </w:pPr>
          </w:p>
        </w:tc>
        <w:tc>
          <w:tcPr>
            <w:tcW w:w="601" w:type="pct"/>
            <w:tcBorders>
              <w:tl2br w:val="nil"/>
              <w:tr2bl w:val="nil"/>
            </w:tcBorders>
            <w:noWrap w:val="0"/>
            <w:vAlign w:val="center"/>
          </w:tcPr>
          <w:p w14:paraId="256CFC67">
            <w:pPr>
              <w:pStyle w:val="10"/>
              <w:spacing w:before="0" w:beforeAutospacing="0" w:after="0" w:afterAutospacing="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供热</w:t>
            </w:r>
          </w:p>
        </w:tc>
        <w:tc>
          <w:tcPr>
            <w:tcW w:w="3098" w:type="pct"/>
            <w:tcBorders>
              <w:tl2br w:val="nil"/>
              <w:tr2bl w:val="nil"/>
            </w:tcBorders>
            <w:noWrap w:val="0"/>
            <w:vAlign w:val="center"/>
          </w:tcPr>
          <w:p w14:paraId="4C8907AE">
            <w:pPr>
              <w:pStyle w:val="10"/>
              <w:spacing w:before="0" w:beforeAutospacing="0" w:after="0" w:afterAutospacing="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冬季办公区采用电采暖</w:t>
            </w:r>
          </w:p>
        </w:tc>
        <w:tc>
          <w:tcPr>
            <w:tcW w:w="782" w:type="pct"/>
            <w:tcBorders>
              <w:tl2br w:val="nil"/>
              <w:tr2bl w:val="nil"/>
            </w:tcBorders>
            <w:noWrap w:val="0"/>
            <w:vAlign w:val="center"/>
          </w:tcPr>
          <w:p w14:paraId="5138FDB9">
            <w:pPr>
              <w:jc w:val="center"/>
              <w:rPr>
                <w:rFonts w:ascii="Times New Roman" w:hAnsi="Times New Roman" w:eastAsia="宋体"/>
                <w:color w:val="auto"/>
                <w:szCs w:val="21"/>
              </w:rPr>
            </w:pPr>
            <w:r>
              <w:rPr>
                <w:rFonts w:ascii="Times New Roman" w:hAnsi="Times New Roman" w:eastAsia="宋体"/>
                <w:color w:val="auto"/>
                <w:szCs w:val="21"/>
              </w:rPr>
              <w:t>依托</w:t>
            </w:r>
          </w:p>
        </w:tc>
      </w:tr>
      <w:tr w14:paraId="1A72BB6F">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517" w:type="pct"/>
            <w:vMerge w:val="continue"/>
            <w:tcBorders>
              <w:tl2br w:val="nil"/>
              <w:tr2bl w:val="nil"/>
            </w:tcBorders>
            <w:noWrap w:val="0"/>
            <w:vAlign w:val="center"/>
          </w:tcPr>
          <w:p w14:paraId="08448591">
            <w:pPr>
              <w:snapToGrid w:val="0"/>
              <w:jc w:val="center"/>
              <w:rPr>
                <w:rFonts w:ascii="Times New Roman" w:hAnsi="Times New Roman" w:eastAsia="宋体"/>
                <w:color w:val="auto"/>
                <w:szCs w:val="21"/>
              </w:rPr>
            </w:pPr>
          </w:p>
        </w:tc>
        <w:tc>
          <w:tcPr>
            <w:tcW w:w="601" w:type="pct"/>
            <w:tcBorders>
              <w:tl2br w:val="nil"/>
              <w:tr2bl w:val="nil"/>
            </w:tcBorders>
            <w:noWrap w:val="0"/>
            <w:vAlign w:val="center"/>
          </w:tcPr>
          <w:p w14:paraId="109AD7B0">
            <w:pPr>
              <w:pStyle w:val="10"/>
              <w:spacing w:before="0" w:beforeAutospacing="0" w:after="0" w:afterAutospacing="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供电</w:t>
            </w:r>
          </w:p>
        </w:tc>
        <w:tc>
          <w:tcPr>
            <w:tcW w:w="3098" w:type="pct"/>
            <w:tcBorders>
              <w:tl2br w:val="nil"/>
              <w:tr2bl w:val="nil"/>
            </w:tcBorders>
            <w:noWrap w:val="0"/>
            <w:vAlign w:val="center"/>
          </w:tcPr>
          <w:p w14:paraId="09E75DAD">
            <w:pPr>
              <w:pStyle w:val="10"/>
              <w:spacing w:before="0" w:beforeAutospacing="0" w:after="0" w:afterAutospacing="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园区供电系统</w:t>
            </w:r>
          </w:p>
        </w:tc>
        <w:tc>
          <w:tcPr>
            <w:tcW w:w="782" w:type="pct"/>
            <w:tcBorders>
              <w:tl2br w:val="nil"/>
              <w:tr2bl w:val="nil"/>
            </w:tcBorders>
            <w:noWrap w:val="0"/>
            <w:vAlign w:val="center"/>
          </w:tcPr>
          <w:p w14:paraId="6563C63F">
            <w:pPr>
              <w:jc w:val="center"/>
              <w:rPr>
                <w:rFonts w:ascii="Times New Roman" w:hAnsi="Times New Roman" w:eastAsia="宋体"/>
                <w:color w:val="auto"/>
                <w:szCs w:val="21"/>
              </w:rPr>
            </w:pPr>
            <w:r>
              <w:rPr>
                <w:rFonts w:ascii="Times New Roman" w:hAnsi="Times New Roman" w:eastAsia="宋体"/>
                <w:color w:val="auto"/>
                <w:szCs w:val="21"/>
              </w:rPr>
              <w:t>依托</w:t>
            </w:r>
          </w:p>
        </w:tc>
      </w:tr>
      <w:tr w14:paraId="60856C6D">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58" w:hRule="atLeast"/>
          <w:jc w:val="center"/>
        </w:trPr>
        <w:tc>
          <w:tcPr>
            <w:tcW w:w="517" w:type="pct"/>
            <w:vMerge w:val="restart"/>
            <w:tcBorders>
              <w:tl2br w:val="nil"/>
              <w:tr2bl w:val="nil"/>
            </w:tcBorders>
            <w:noWrap w:val="0"/>
            <w:vAlign w:val="center"/>
          </w:tcPr>
          <w:p w14:paraId="78A82F2A">
            <w:pPr>
              <w:snapToGrid w:val="0"/>
              <w:jc w:val="center"/>
              <w:rPr>
                <w:rFonts w:ascii="Times New Roman" w:hAnsi="Times New Roman" w:eastAsia="宋体"/>
                <w:color w:val="auto"/>
                <w:szCs w:val="21"/>
              </w:rPr>
            </w:pPr>
            <w:r>
              <w:rPr>
                <w:rFonts w:ascii="Times New Roman" w:hAnsi="Times New Roman" w:eastAsia="宋体"/>
                <w:color w:val="auto"/>
                <w:szCs w:val="21"/>
              </w:rPr>
              <w:t>环保工程</w:t>
            </w:r>
          </w:p>
        </w:tc>
        <w:tc>
          <w:tcPr>
            <w:tcW w:w="601" w:type="pct"/>
            <w:tcBorders>
              <w:tl2br w:val="nil"/>
              <w:tr2bl w:val="nil"/>
            </w:tcBorders>
            <w:noWrap w:val="0"/>
            <w:vAlign w:val="center"/>
          </w:tcPr>
          <w:p w14:paraId="01AAA73B">
            <w:pPr>
              <w:pStyle w:val="10"/>
              <w:spacing w:before="0" w:beforeAutospacing="0" w:after="0" w:afterAutospacing="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废气</w:t>
            </w:r>
          </w:p>
        </w:tc>
        <w:tc>
          <w:tcPr>
            <w:tcW w:w="3098" w:type="pct"/>
            <w:tcBorders>
              <w:tl2br w:val="nil"/>
              <w:tr2bl w:val="nil"/>
            </w:tcBorders>
            <w:noWrap w:val="0"/>
            <w:vAlign w:val="center"/>
          </w:tcPr>
          <w:p w14:paraId="5AE2329B">
            <w:pPr>
              <w:widowControl/>
              <w:jc w:val="center"/>
              <w:rPr>
                <w:rFonts w:hint="eastAsia" w:ascii="Times New Roman" w:hAnsi="Times New Roman" w:eastAsia="宋体"/>
                <w:color w:val="auto"/>
                <w:szCs w:val="21"/>
                <w:lang w:val="en-US" w:eastAsia="zh-CN"/>
              </w:rPr>
            </w:pPr>
            <w:r>
              <w:rPr>
                <w:rFonts w:hint="eastAsia" w:ascii="Times New Roman" w:hAnsi="Times New Roman" w:eastAsia="宋体"/>
                <w:color w:val="auto"/>
                <w:szCs w:val="21"/>
                <w:lang w:eastAsia="zh-CN"/>
              </w:rPr>
              <w:t>硫酸雾：负压排气系统</w:t>
            </w:r>
            <w:r>
              <w:rPr>
                <w:rFonts w:hint="eastAsia" w:ascii="Times New Roman" w:hAnsi="Times New Roman" w:eastAsia="宋体"/>
                <w:color w:val="auto"/>
                <w:szCs w:val="21"/>
                <w:lang w:val="en-US" w:eastAsia="zh-CN"/>
              </w:rPr>
              <w:t>+排风扇</w:t>
            </w:r>
          </w:p>
          <w:p w14:paraId="32E28093">
            <w:pPr>
              <w:widowControl/>
              <w:jc w:val="center"/>
              <w:rPr>
                <w:rFonts w:hint="default" w:ascii="Times New Roman" w:hAnsi="Times New Roman" w:eastAsia="宋体"/>
                <w:color w:val="auto"/>
                <w:szCs w:val="21"/>
                <w:lang w:val="en-US" w:eastAsia="zh-CN"/>
              </w:rPr>
            </w:pPr>
            <w:r>
              <w:rPr>
                <w:rFonts w:hint="eastAsia" w:ascii="Times New Roman" w:hAnsi="Times New Roman" w:eastAsia="宋体"/>
                <w:color w:val="auto"/>
                <w:szCs w:val="21"/>
                <w:lang w:val="en-US" w:eastAsia="zh-CN"/>
              </w:rPr>
              <w:t>非甲烷总烃：废机油储罐区设一套油气回收系统。</w:t>
            </w:r>
          </w:p>
        </w:tc>
        <w:tc>
          <w:tcPr>
            <w:tcW w:w="782" w:type="pct"/>
            <w:tcBorders>
              <w:tl2br w:val="nil"/>
              <w:tr2bl w:val="nil"/>
            </w:tcBorders>
            <w:noWrap w:val="0"/>
            <w:vAlign w:val="center"/>
          </w:tcPr>
          <w:p w14:paraId="29898622">
            <w:pPr>
              <w:pStyle w:val="10"/>
              <w:spacing w:before="0" w:beforeAutospacing="0" w:after="0" w:afterAutospacing="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新建</w:t>
            </w:r>
          </w:p>
        </w:tc>
      </w:tr>
      <w:tr w14:paraId="4A321ED1">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517" w:type="pct"/>
            <w:vMerge w:val="continue"/>
            <w:tcBorders>
              <w:tl2br w:val="nil"/>
              <w:tr2bl w:val="nil"/>
            </w:tcBorders>
            <w:noWrap w:val="0"/>
            <w:vAlign w:val="center"/>
          </w:tcPr>
          <w:p w14:paraId="141F2D27">
            <w:pPr>
              <w:snapToGrid w:val="0"/>
              <w:jc w:val="center"/>
              <w:rPr>
                <w:rFonts w:ascii="Times New Roman" w:hAnsi="Times New Roman" w:eastAsia="宋体"/>
                <w:color w:val="auto"/>
                <w:szCs w:val="21"/>
              </w:rPr>
            </w:pPr>
          </w:p>
        </w:tc>
        <w:tc>
          <w:tcPr>
            <w:tcW w:w="601" w:type="pct"/>
            <w:tcBorders>
              <w:tl2br w:val="nil"/>
              <w:tr2bl w:val="nil"/>
            </w:tcBorders>
            <w:noWrap w:val="0"/>
            <w:vAlign w:val="center"/>
          </w:tcPr>
          <w:p w14:paraId="1F9F2E15">
            <w:pPr>
              <w:pStyle w:val="10"/>
              <w:spacing w:before="0" w:beforeAutospacing="0" w:after="0" w:afterAutospacing="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废水</w:t>
            </w:r>
          </w:p>
        </w:tc>
        <w:tc>
          <w:tcPr>
            <w:tcW w:w="3098" w:type="pct"/>
            <w:tcBorders>
              <w:tl2br w:val="nil"/>
              <w:tr2bl w:val="nil"/>
            </w:tcBorders>
            <w:noWrap w:val="0"/>
            <w:vAlign w:val="center"/>
          </w:tcPr>
          <w:p w14:paraId="4EF3B809">
            <w:pPr>
              <w:pStyle w:val="10"/>
              <w:spacing w:before="0" w:beforeAutospacing="0" w:after="0" w:afterAutospacing="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本项目生产过程不产生生产废水。事故状态下的冲洗废水作危废交有资质单位处置，不外排。</w:t>
            </w:r>
          </w:p>
        </w:tc>
        <w:tc>
          <w:tcPr>
            <w:tcW w:w="782" w:type="pct"/>
            <w:tcBorders>
              <w:tl2br w:val="nil"/>
              <w:tr2bl w:val="nil"/>
            </w:tcBorders>
            <w:noWrap w:val="0"/>
            <w:vAlign w:val="center"/>
          </w:tcPr>
          <w:p w14:paraId="60BCFB5F">
            <w:pPr>
              <w:pStyle w:val="10"/>
              <w:spacing w:before="0" w:beforeAutospacing="0" w:after="0" w:afterAutospacing="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依托</w:t>
            </w:r>
          </w:p>
        </w:tc>
      </w:tr>
      <w:tr w14:paraId="77306D16">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517" w:type="pct"/>
            <w:vMerge w:val="continue"/>
            <w:tcBorders>
              <w:tl2br w:val="nil"/>
              <w:tr2bl w:val="nil"/>
            </w:tcBorders>
            <w:noWrap w:val="0"/>
            <w:vAlign w:val="center"/>
          </w:tcPr>
          <w:p w14:paraId="3BB42367">
            <w:pPr>
              <w:snapToGrid w:val="0"/>
              <w:jc w:val="center"/>
              <w:rPr>
                <w:rFonts w:ascii="Times New Roman" w:hAnsi="Times New Roman" w:eastAsia="宋体"/>
                <w:color w:val="auto"/>
                <w:szCs w:val="21"/>
              </w:rPr>
            </w:pPr>
          </w:p>
        </w:tc>
        <w:tc>
          <w:tcPr>
            <w:tcW w:w="601" w:type="pct"/>
            <w:tcBorders>
              <w:tl2br w:val="nil"/>
              <w:tr2bl w:val="nil"/>
            </w:tcBorders>
            <w:noWrap w:val="0"/>
            <w:vAlign w:val="center"/>
          </w:tcPr>
          <w:p w14:paraId="5CE88170">
            <w:pPr>
              <w:pStyle w:val="10"/>
              <w:spacing w:before="0" w:beforeAutospacing="0" w:after="0" w:afterAutospacing="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噪声</w:t>
            </w:r>
          </w:p>
        </w:tc>
        <w:tc>
          <w:tcPr>
            <w:tcW w:w="3098" w:type="pct"/>
            <w:tcBorders>
              <w:tl2br w:val="nil"/>
              <w:tr2bl w:val="nil"/>
            </w:tcBorders>
            <w:noWrap w:val="0"/>
            <w:vAlign w:val="center"/>
          </w:tcPr>
          <w:p w14:paraId="60F4AEFB">
            <w:pPr>
              <w:widowControl/>
              <w:jc w:val="center"/>
              <w:rPr>
                <w:rFonts w:ascii="Times New Roman" w:hAnsi="Times New Roman" w:eastAsia="宋体"/>
                <w:color w:val="auto"/>
                <w:szCs w:val="21"/>
              </w:rPr>
            </w:pPr>
            <w:r>
              <w:rPr>
                <w:rFonts w:ascii="Times New Roman" w:hAnsi="Times New Roman" w:eastAsia="宋体"/>
                <w:color w:val="auto"/>
                <w:kern w:val="0"/>
                <w:szCs w:val="21"/>
                <w:lang w:bidi="ar"/>
              </w:rPr>
              <w:t>隔声、消声、减振</w:t>
            </w:r>
          </w:p>
        </w:tc>
        <w:tc>
          <w:tcPr>
            <w:tcW w:w="782" w:type="pct"/>
            <w:tcBorders>
              <w:tl2br w:val="nil"/>
              <w:tr2bl w:val="nil"/>
            </w:tcBorders>
            <w:noWrap w:val="0"/>
            <w:vAlign w:val="center"/>
          </w:tcPr>
          <w:p w14:paraId="11B9E6CB">
            <w:pPr>
              <w:pStyle w:val="10"/>
              <w:spacing w:before="0" w:beforeAutospacing="0" w:after="0" w:afterAutospacing="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新建</w:t>
            </w:r>
          </w:p>
        </w:tc>
      </w:tr>
      <w:tr w14:paraId="0BD56FAD">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872" w:hRule="atLeast"/>
          <w:jc w:val="center"/>
        </w:trPr>
        <w:tc>
          <w:tcPr>
            <w:tcW w:w="517" w:type="pct"/>
            <w:vMerge w:val="continue"/>
            <w:tcBorders>
              <w:tl2br w:val="nil"/>
              <w:tr2bl w:val="nil"/>
            </w:tcBorders>
            <w:noWrap w:val="0"/>
            <w:vAlign w:val="center"/>
          </w:tcPr>
          <w:p w14:paraId="49292B65">
            <w:pPr>
              <w:snapToGrid w:val="0"/>
              <w:jc w:val="center"/>
              <w:rPr>
                <w:rFonts w:ascii="Times New Roman" w:hAnsi="Times New Roman" w:eastAsia="宋体"/>
                <w:color w:val="auto"/>
                <w:szCs w:val="21"/>
              </w:rPr>
            </w:pPr>
          </w:p>
        </w:tc>
        <w:tc>
          <w:tcPr>
            <w:tcW w:w="601" w:type="pct"/>
            <w:vMerge w:val="restart"/>
            <w:tcBorders>
              <w:tl2br w:val="nil"/>
              <w:tr2bl w:val="nil"/>
            </w:tcBorders>
            <w:noWrap w:val="0"/>
            <w:vAlign w:val="center"/>
          </w:tcPr>
          <w:p w14:paraId="670B8343">
            <w:pPr>
              <w:pStyle w:val="10"/>
              <w:spacing w:before="0" w:beforeAutospacing="0" w:after="0" w:afterAutospacing="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固废</w:t>
            </w:r>
          </w:p>
        </w:tc>
        <w:tc>
          <w:tcPr>
            <w:tcW w:w="3098" w:type="pct"/>
            <w:tcBorders>
              <w:tl2br w:val="nil"/>
              <w:tr2bl w:val="nil"/>
            </w:tcBorders>
            <w:noWrap w:val="0"/>
            <w:vAlign w:val="center"/>
          </w:tcPr>
          <w:p w14:paraId="0871EE6C">
            <w:pPr>
              <w:adjustRightInd w:val="0"/>
              <w:snapToGrid w:val="0"/>
              <w:jc w:val="center"/>
              <w:rPr>
                <w:rFonts w:ascii="Times New Roman" w:hAnsi="Times New Roman" w:eastAsia="宋体"/>
                <w:color w:val="auto"/>
                <w:szCs w:val="21"/>
              </w:rPr>
            </w:pPr>
            <w:r>
              <w:rPr>
                <w:rFonts w:ascii="Times New Roman" w:hAnsi="Times New Roman" w:eastAsia="宋体"/>
                <w:color w:val="auto"/>
                <w:szCs w:val="21"/>
              </w:rPr>
              <w:t>生活垃圾依托现有垃圾收集点，收集后交由当地环卫部门进行集中处理。</w:t>
            </w:r>
          </w:p>
        </w:tc>
        <w:tc>
          <w:tcPr>
            <w:tcW w:w="782" w:type="pct"/>
            <w:tcBorders>
              <w:tl2br w:val="nil"/>
              <w:tr2bl w:val="nil"/>
            </w:tcBorders>
            <w:noWrap w:val="0"/>
            <w:vAlign w:val="center"/>
          </w:tcPr>
          <w:p w14:paraId="106D8580">
            <w:pPr>
              <w:adjustRightInd w:val="0"/>
              <w:snapToGrid w:val="0"/>
              <w:jc w:val="center"/>
              <w:rPr>
                <w:rFonts w:ascii="Times New Roman" w:hAnsi="Times New Roman" w:eastAsia="宋体"/>
                <w:color w:val="auto"/>
                <w:szCs w:val="21"/>
              </w:rPr>
            </w:pPr>
            <w:r>
              <w:rPr>
                <w:rFonts w:ascii="Times New Roman" w:hAnsi="Times New Roman" w:eastAsia="宋体"/>
                <w:color w:val="auto"/>
                <w:szCs w:val="21"/>
              </w:rPr>
              <w:t>依托</w:t>
            </w:r>
          </w:p>
        </w:tc>
      </w:tr>
      <w:tr w14:paraId="10B490B1">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872" w:hRule="atLeast"/>
          <w:jc w:val="center"/>
        </w:trPr>
        <w:tc>
          <w:tcPr>
            <w:tcW w:w="517" w:type="pct"/>
            <w:vMerge w:val="continue"/>
            <w:tcBorders>
              <w:tl2br w:val="nil"/>
              <w:tr2bl w:val="nil"/>
            </w:tcBorders>
            <w:noWrap w:val="0"/>
            <w:vAlign w:val="center"/>
          </w:tcPr>
          <w:p w14:paraId="2B134DE3">
            <w:pPr>
              <w:snapToGrid w:val="0"/>
              <w:jc w:val="center"/>
              <w:rPr>
                <w:rFonts w:ascii="Times New Roman" w:hAnsi="Times New Roman" w:eastAsia="宋体"/>
                <w:color w:val="auto"/>
                <w:szCs w:val="21"/>
              </w:rPr>
            </w:pPr>
          </w:p>
        </w:tc>
        <w:tc>
          <w:tcPr>
            <w:tcW w:w="601" w:type="pct"/>
            <w:vMerge w:val="continue"/>
            <w:tcBorders>
              <w:tl2br w:val="nil"/>
              <w:tr2bl w:val="nil"/>
            </w:tcBorders>
            <w:noWrap w:val="0"/>
            <w:vAlign w:val="center"/>
          </w:tcPr>
          <w:p w14:paraId="27612BDB">
            <w:pPr>
              <w:pStyle w:val="10"/>
              <w:spacing w:before="0" w:beforeAutospacing="0" w:after="0" w:afterAutospacing="0"/>
              <w:jc w:val="center"/>
              <w:rPr>
                <w:rFonts w:ascii="Times New Roman" w:hAnsi="Times New Roman" w:eastAsia="宋体" w:cs="Times New Roman"/>
                <w:color w:val="auto"/>
                <w:sz w:val="21"/>
                <w:szCs w:val="21"/>
              </w:rPr>
            </w:pPr>
          </w:p>
        </w:tc>
        <w:tc>
          <w:tcPr>
            <w:tcW w:w="3098" w:type="pct"/>
            <w:tcBorders>
              <w:tl2br w:val="nil"/>
              <w:tr2bl w:val="nil"/>
            </w:tcBorders>
            <w:noWrap w:val="0"/>
            <w:vAlign w:val="center"/>
          </w:tcPr>
          <w:p w14:paraId="7FF29D05">
            <w:pPr>
              <w:adjustRightInd w:val="0"/>
              <w:snapToGrid w:val="0"/>
              <w:jc w:val="center"/>
              <w:rPr>
                <w:color w:val="auto"/>
              </w:rPr>
            </w:pPr>
            <w:r>
              <w:rPr>
                <w:rFonts w:hint="eastAsia"/>
                <w:color w:val="auto"/>
                <w:lang w:eastAsia="zh-CN"/>
              </w:rPr>
              <w:t>废机油：</w:t>
            </w:r>
            <w:r>
              <w:rPr>
                <w:color w:val="auto"/>
              </w:rPr>
              <w:t>集中收集后暂存在</w:t>
            </w:r>
            <w:r>
              <w:rPr>
                <w:rFonts w:hint="eastAsia"/>
                <w:color w:val="auto"/>
                <w:lang w:eastAsia="zh-CN"/>
              </w:rPr>
              <w:t>厂房内</w:t>
            </w:r>
            <w:r>
              <w:rPr>
                <w:color w:val="auto"/>
              </w:rPr>
              <w:t>危废暂存</w:t>
            </w:r>
            <w:r>
              <w:rPr>
                <w:rFonts w:hint="eastAsia"/>
                <w:color w:val="auto"/>
                <w:lang w:eastAsia="zh-CN"/>
              </w:rPr>
              <w:t>点，</w:t>
            </w:r>
            <w:r>
              <w:rPr>
                <w:color w:val="auto"/>
              </w:rPr>
              <w:t>由</w:t>
            </w:r>
            <w:r>
              <w:rPr>
                <w:rFonts w:hint="eastAsia"/>
                <w:color w:val="auto"/>
              </w:rPr>
              <w:t>新疆海克新能源科技有限公司</w:t>
            </w:r>
            <w:r>
              <w:rPr>
                <w:color w:val="auto"/>
              </w:rPr>
              <w:t>转运及处置。</w:t>
            </w:r>
          </w:p>
          <w:p w14:paraId="37109331">
            <w:pPr>
              <w:adjustRightInd w:val="0"/>
              <w:snapToGrid w:val="0"/>
              <w:jc w:val="both"/>
              <w:rPr>
                <w:rFonts w:hint="eastAsia"/>
                <w:color w:val="auto"/>
              </w:rPr>
            </w:pPr>
            <w:r>
              <w:rPr>
                <w:rFonts w:hint="eastAsia"/>
                <w:color w:val="auto"/>
              </w:rPr>
              <w:t>废活性炭</w:t>
            </w:r>
            <w:r>
              <w:rPr>
                <w:rFonts w:hint="eastAsia"/>
                <w:color w:val="auto"/>
                <w:lang w:eastAsia="zh-CN"/>
              </w:rPr>
              <w:t>：</w:t>
            </w:r>
            <w:r>
              <w:rPr>
                <w:rFonts w:hint="eastAsia"/>
                <w:color w:val="auto"/>
              </w:rPr>
              <w:t>暂存于</w:t>
            </w:r>
            <w:r>
              <w:rPr>
                <w:rFonts w:hint="eastAsia"/>
                <w:color w:val="auto"/>
                <w:lang w:eastAsia="zh-CN"/>
              </w:rPr>
              <w:t>厂房内</w:t>
            </w:r>
            <w:r>
              <w:rPr>
                <w:color w:val="auto"/>
              </w:rPr>
              <w:t>危废暂存</w:t>
            </w:r>
            <w:r>
              <w:rPr>
                <w:rFonts w:hint="eastAsia"/>
                <w:color w:val="auto"/>
                <w:lang w:eastAsia="zh-CN"/>
              </w:rPr>
              <w:t>点</w:t>
            </w:r>
            <w:r>
              <w:rPr>
                <w:rFonts w:hint="eastAsia"/>
                <w:color w:val="auto"/>
              </w:rPr>
              <w:t>，委托有资质单位处理。</w:t>
            </w:r>
          </w:p>
          <w:p w14:paraId="74DAB9C9">
            <w:pPr>
              <w:pStyle w:val="16"/>
              <w:rPr>
                <w:rFonts w:hint="eastAsia" w:eastAsia="宋体"/>
                <w:color w:val="auto"/>
                <w:lang w:eastAsia="zh-CN"/>
              </w:rPr>
            </w:pPr>
            <w:r>
              <w:rPr>
                <w:rFonts w:hint="eastAsia" w:ascii="Times New Roman" w:hAnsi="Times New Roman" w:eastAsia="宋体"/>
                <w:color w:val="auto"/>
                <w:szCs w:val="21"/>
                <w:lang w:eastAsia="zh-CN"/>
              </w:rPr>
              <w:t>废铅酸蓄电池及电解液：委托</w:t>
            </w:r>
            <w:r>
              <w:rPr>
                <w:rFonts w:hint="eastAsia" w:ascii="Times New Roman" w:hAnsi="Times New Roman" w:eastAsia="宋体"/>
                <w:color w:val="auto"/>
                <w:szCs w:val="21"/>
                <w:lang w:val="en-US" w:eastAsia="zh-CN"/>
              </w:rPr>
              <w:t>骆驼集团新疆再生资源有限公司处置</w:t>
            </w:r>
          </w:p>
        </w:tc>
        <w:tc>
          <w:tcPr>
            <w:tcW w:w="782" w:type="pct"/>
            <w:tcBorders>
              <w:tl2br w:val="nil"/>
              <w:tr2bl w:val="nil"/>
            </w:tcBorders>
            <w:noWrap w:val="0"/>
            <w:vAlign w:val="center"/>
          </w:tcPr>
          <w:p w14:paraId="5A22D1BD">
            <w:pPr>
              <w:adjustRightInd w:val="0"/>
              <w:snapToGrid w:val="0"/>
              <w:jc w:val="center"/>
              <w:rPr>
                <w:rFonts w:ascii="Times New Roman" w:hAnsi="Times New Roman" w:eastAsia="宋体"/>
                <w:color w:val="auto"/>
                <w:szCs w:val="21"/>
              </w:rPr>
            </w:pPr>
            <w:r>
              <w:rPr>
                <w:rFonts w:ascii="Times New Roman" w:hAnsi="Times New Roman" w:eastAsia="宋体"/>
                <w:color w:val="auto"/>
                <w:szCs w:val="21"/>
              </w:rPr>
              <w:t>新建</w:t>
            </w:r>
          </w:p>
        </w:tc>
      </w:tr>
      <w:tr w14:paraId="039A9477">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517" w:type="pct"/>
            <w:vMerge w:val="continue"/>
            <w:tcBorders>
              <w:tl2br w:val="nil"/>
              <w:tr2bl w:val="nil"/>
            </w:tcBorders>
            <w:noWrap w:val="0"/>
            <w:vAlign w:val="center"/>
          </w:tcPr>
          <w:p w14:paraId="72C1690B">
            <w:pPr>
              <w:snapToGrid w:val="0"/>
              <w:jc w:val="center"/>
              <w:rPr>
                <w:rFonts w:ascii="Times New Roman" w:hAnsi="Times New Roman" w:eastAsia="宋体"/>
                <w:color w:val="auto"/>
                <w:szCs w:val="21"/>
              </w:rPr>
            </w:pPr>
          </w:p>
        </w:tc>
        <w:tc>
          <w:tcPr>
            <w:tcW w:w="601" w:type="pct"/>
            <w:tcBorders>
              <w:tl2br w:val="nil"/>
              <w:tr2bl w:val="nil"/>
            </w:tcBorders>
            <w:noWrap w:val="0"/>
            <w:vAlign w:val="center"/>
          </w:tcPr>
          <w:p w14:paraId="55465152">
            <w:pPr>
              <w:snapToGrid w:val="0"/>
              <w:jc w:val="center"/>
              <w:rPr>
                <w:rFonts w:ascii="Times New Roman" w:hAnsi="Times New Roman" w:eastAsia="宋体"/>
                <w:color w:val="auto"/>
                <w:szCs w:val="21"/>
              </w:rPr>
            </w:pPr>
            <w:r>
              <w:rPr>
                <w:rFonts w:ascii="Times New Roman" w:hAnsi="Times New Roman" w:eastAsia="宋体"/>
                <w:color w:val="auto"/>
                <w:szCs w:val="21"/>
              </w:rPr>
              <w:t>防渗</w:t>
            </w:r>
          </w:p>
        </w:tc>
        <w:tc>
          <w:tcPr>
            <w:tcW w:w="3098" w:type="pct"/>
            <w:tcBorders>
              <w:tl2br w:val="nil"/>
              <w:tr2bl w:val="nil"/>
            </w:tcBorders>
            <w:noWrap w:val="0"/>
            <w:vAlign w:val="center"/>
          </w:tcPr>
          <w:p w14:paraId="156B4B6E">
            <w:pPr>
              <w:jc w:val="center"/>
              <w:rPr>
                <w:rFonts w:ascii="Times New Roman" w:hAnsi="Times New Roman" w:eastAsia="宋体"/>
                <w:color w:val="auto"/>
                <w:szCs w:val="21"/>
              </w:rPr>
            </w:pPr>
            <w:r>
              <w:rPr>
                <w:rFonts w:ascii="Times New Roman" w:hAnsi="Times New Roman" w:eastAsia="宋体"/>
                <w:color w:val="auto"/>
                <w:szCs w:val="21"/>
              </w:rPr>
              <w:t>本项目场地为重点防渗区，</w:t>
            </w:r>
            <w:r>
              <w:rPr>
                <w:rFonts w:hint="eastAsia" w:ascii="宋体" w:hAnsi="宋体" w:eastAsia="宋体"/>
                <w:sz w:val="21"/>
              </w:rPr>
              <w:t>改造项目厂房地面结构，</w:t>
            </w:r>
            <w:r>
              <w:rPr>
                <w:rFonts w:ascii="Times New Roman" w:hAnsi="Times New Roman" w:eastAsia="宋体"/>
                <w:color w:val="auto"/>
                <w:szCs w:val="21"/>
              </w:rPr>
              <w:t>仓库贮存区地面、墙壁收集池采用</w:t>
            </w:r>
            <w:r>
              <w:rPr>
                <w:rFonts w:hint="eastAsia" w:ascii="Times New Roman" w:hAnsi="Times New Roman" w:eastAsia="宋体"/>
                <w:color w:val="auto"/>
                <w:szCs w:val="21"/>
                <w:lang w:eastAsia="zh-CN"/>
              </w:rPr>
              <w:t>水泥基础防渗</w:t>
            </w:r>
            <w:r>
              <w:rPr>
                <w:rFonts w:hint="eastAsia" w:ascii="Times New Roman" w:hAnsi="Times New Roman" w:eastAsia="宋体"/>
                <w:color w:val="auto"/>
                <w:szCs w:val="21"/>
                <w:lang w:val="en-US" w:eastAsia="zh-CN"/>
              </w:rPr>
              <w:t>+</w:t>
            </w:r>
            <w:r>
              <w:rPr>
                <w:rFonts w:ascii="Times New Roman" w:hAnsi="Times New Roman" w:eastAsia="宋体"/>
                <w:color w:val="auto"/>
                <w:szCs w:val="21"/>
              </w:rPr>
              <w:t>2</w:t>
            </w:r>
            <w:r>
              <w:rPr>
                <w:rFonts w:hint="eastAsia" w:ascii="Times New Roman" w:hAnsi="Times New Roman" w:eastAsia="宋体"/>
                <w:color w:val="auto"/>
                <w:szCs w:val="21"/>
                <w:lang w:eastAsia="zh-CN"/>
              </w:rPr>
              <w:t>mm</w:t>
            </w:r>
            <w:r>
              <w:rPr>
                <w:rFonts w:ascii="Times New Roman" w:hAnsi="Times New Roman" w:eastAsia="宋体"/>
                <w:color w:val="auto"/>
                <w:szCs w:val="21"/>
              </w:rPr>
              <w:t>厚高密度聚乙烯（HDPE）材料防渗，并设置环氧树脂防腐，使之渗透系数≤10</w:t>
            </w:r>
            <w:r>
              <w:rPr>
                <w:rFonts w:hint="eastAsia" w:ascii="Times New Roman" w:hAnsi="Times New Roman" w:eastAsia="宋体"/>
                <w:color w:val="auto"/>
                <w:szCs w:val="21"/>
                <w:vertAlign w:val="superscript"/>
                <w:lang w:eastAsia="zh-CN"/>
              </w:rPr>
              <w:t>-10</w:t>
            </w:r>
            <w:r>
              <w:rPr>
                <w:rFonts w:hint="eastAsia" w:ascii="Times New Roman" w:hAnsi="Times New Roman" w:eastAsia="宋体"/>
                <w:color w:val="auto"/>
                <w:szCs w:val="21"/>
                <w:lang w:eastAsia="zh-CN"/>
              </w:rPr>
              <w:t>cm</w:t>
            </w:r>
            <w:r>
              <w:rPr>
                <w:rFonts w:ascii="Times New Roman" w:hAnsi="Times New Roman" w:eastAsia="宋体"/>
                <w:color w:val="auto"/>
                <w:szCs w:val="21"/>
              </w:rPr>
              <w:t>/</w:t>
            </w:r>
            <w:r>
              <w:rPr>
                <w:rFonts w:hint="eastAsia" w:ascii="Times New Roman" w:hAnsi="Times New Roman" w:eastAsia="宋体"/>
                <w:color w:val="auto"/>
                <w:szCs w:val="21"/>
                <w:lang w:eastAsia="zh-CN"/>
              </w:rPr>
              <w:t>s</w:t>
            </w:r>
            <w:r>
              <w:rPr>
                <w:rFonts w:ascii="Times New Roman" w:hAnsi="Times New Roman" w:eastAsia="宋体"/>
                <w:color w:val="auto"/>
                <w:szCs w:val="21"/>
              </w:rPr>
              <w:t>，墙壁防渗防腐裙脚高度约50cm。</w:t>
            </w:r>
          </w:p>
        </w:tc>
        <w:tc>
          <w:tcPr>
            <w:tcW w:w="782" w:type="pct"/>
            <w:tcBorders>
              <w:tl2br w:val="nil"/>
              <w:tr2bl w:val="nil"/>
            </w:tcBorders>
            <w:noWrap w:val="0"/>
            <w:vAlign w:val="center"/>
          </w:tcPr>
          <w:p w14:paraId="0864D392">
            <w:pPr>
              <w:jc w:val="center"/>
              <w:rPr>
                <w:rFonts w:ascii="Times New Roman" w:hAnsi="Times New Roman" w:eastAsia="宋体"/>
                <w:color w:val="auto"/>
                <w:szCs w:val="21"/>
              </w:rPr>
            </w:pPr>
            <w:r>
              <w:rPr>
                <w:rFonts w:ascii="Times New Roman" w:hAnsi="Times New Roman" w:eastAsia="宋体"/>
                <w:color w:val="auto"/>
                <w:szCs w:val="21"/>
              </w:rPr>
              <w:t>新建</w:t>
            </w:r>
          </w:p>
        </w:tc>
      </w:tr>
      <w:tr w14:paraId="0A3C0D31">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517" w:type="pct"/>
            <w:vMerge w:val="continue"/>
            <w:tcBorders>
              <w:tl2br w:val="nil"/>
              <w:tr2bl w:val="nil"/>
            </w:tcBorders>
            <w:noWrap w:val="0"/>
            <w:vAlign w:val="center"/>
          </w:tcPr>
          <w:p w14:paraId="1F7DD091">
            <w:pPr>
              <w:snapToGrid w:val="0"/>
              <w:jc w:val="center"/>
              <w:rPr>
                <w:rFonts w:ascii="Times New Roman" w:hAnsi="Times New Roman" w:eastAsia="宋体"/>
                <w:color w:val="auto"/>
                <w:szCs w:val="21"/>
              </w:rPr>
            </w:pPr>
          </w:p>
        </w:tc>
        <w:tc>
          <w:tcPr>
            <w:tcW w:w="601" w:type="pct"/>
            <w:vMerge w:val="restart"/>
            <w:tcBorders>
              <w:tl2br w:val="nil"/>
              <w:tr2bl w:val="nil"/>
            </w:tcBorders>
            <w:noWrap w:val="0"/>
            <w:vAlign w:val="center"/>
          </w:tcPr>
          <w:p w14:paraId="2014DEDB">
            <w:pPr>
              <w:snapToGrid w:val="0"/>
              <w:jc w:val="center"/>
              <w:rPr>
                <w:rFonts w:ascii="Times New Roman" w:hAnsi="Times New Roman" w:eastAsia="宋体"/>
                <w:color w:val="auto"/>
                <w:szCs w:val="21"/>
              </w:rPr>
            </w:pPr>
            <w:r>
              <w:rPr>
                <w:rFonts w:ascii="Times New Roman" w:hAnsi="Times New Roman" w:eastAsia="宋体"/>
                <w:color w:val="auto"/>
                <w:szCs w:val="21"/>
              </w:rPr>
              <w:t>风险措施</w:t>
            </w:r>
          </w:p>
        </w:tc>
        <w:tc>
          <w:tcPr>
            <w:tcW w:w="3098" w:type="pct"/>
            <w:tcBorders>
              <w:tl2br w:val="nil"/>
              <w:tr2bl w:val="nil"/>
            </w:tcBorders>
            <w:noWrap w:val="0"/>
            <w:vAlign w:val="center"/>
          </w:tcPr>
          <w:p w14:paraId="5D7EA60E">
            <w:pPr>
              <w:jc w:val="center"/>
              <w:rPr>
                <w:rFonts w:ascii="Times New Roman" w:hAnsi="Times New Roman" w:eastAsia="宋体"/>
                <w:color w:val="auto"/>
                <w:szCs w:val="21"/>
              </w:rPr>
            </w:pPr>
            <w:r>
              <w:rPr>
                <w:rFonts w:hint="eastAsia" w:ascii="Times New Roman" w:hAnsi="Times New Roman" w:eastAsia="宋体"/>
                <w:color w:val="auto"/>
                <w:szCs w:val="21"/>
                <w:lang w:eastAsia="zh-CN"/>
              </w:rPr>
              <w:t>废机油车间</w:t>
            </w:r>
            <w:r>
              <w:rPr>
                <w:rFonts w:ascii="Times New Roman" w:hAnsi="Times New Roman" w:eastAsia="宋体"/>
                <w:color w:val="auto"/>
                <w:szCs w:val="21"/>
              </w:rPr>
              <w:t>内西南侧设置一个事故池，用于收集</w:t>
            </w:r>
            <w:r>
              <w:rPr>
                <w:rFonts w:hint="eastAsia" w:ascii="Times New Roman" w:hAnsi="Times New Roman" w:eastAsia="宋体"/>
                <w:color w:val="auto"/>
                <w:szCs w:val="21"/>
                <w:lang w:eastAsia="zh-CN"/>
              </w:rPr>
              <w:t>事故</w:t>
            </w:r>
            <w:r>
              <w:rPr>
                <w:rFonts w:ascii="Times New Roman" w:hAnsi="Times New Roman" w:eastAsia="宋体"/>
                <w:color w:val="auto"/>
                <w:szCs w:val="21"/>
              </w:rPr>
              <w:t>废水，大小为</w:t>
            </w:r>
            <w:r>
              <w:rPr>
                <w:rFonts w:hint="eastAsia" w:ascii="Times New Roman" w:hAnsi="Times New Roman" w:eastAsia="宋体"/>
                <w:color w:val="auto"/>
                <w:szCs w:val="21"/>
                <w:lang w:val="en-US" w:eastAsia="zh-CN"/>
              </w:rPr>
              <w:t>45</w:t>
            </w:r>
            <w:r>
              <w:rPr>
                <w:rFonts w:ascii="Times New Roman" w:hAnsi="Times New Roman" w:eastAsia="宋体"/>
                <w:color w:val="auto"/>
                <w:szCs w:val="21"/>
              </w:rPr>
              <w:t>m</w:t>
            </w:r>
            <w:r>
              <w:rPr>
                <w:rFonts w:ascii="Times New Roman" w:hAnsi="Times New Roman" w:eastAsia="宋体"/>
                <w:color w:val="auto"/>
                <w:szCs w:val="21"/>
                <w:vertAlign w:val="superscript"/>
              </w:rPr>
              <w:t>3</w:t>
            </w:r>
            <w:r>
              <w:rPr>
                <w:rFonts w:ascii="Times New Roman" w:hAnsi="Times New Roman" w:eastAsia="宋体"/>
                <w:color w:val="auto"/>
                <w:szCs w:val="21"/>
              </w:rPr>
              <w:t>。收集池收集的废液、废水转入耐酸塑料容器后委托新疆海克新能源科技有限公司进行处置，建设单位不得自行处置。</w:t>
            </w:r>
          </w:p>
        </w:tc>
        <w:tc>
          <w:tcPr>
            <w:tcW w:w="782" w:type="pct"/>
            <w:tcBorders>
              <w:tl2br w:val="nil"/>
              <w:tr2bl w:val="nil"/>
            </w:tcBorders>
            <w:noWrap w:val="0"/>
            <w:vAlign w:val="center"/>
          </w:tcPr>
          <w:p w14:paraId="7BE4C194">
            <w:pPr>
              <w:jc w:val="center"/>
              <w:rPr>
                <w:rFonts w:ascii="Times New Roman" w:hAnsi="Times New Roman" w:eastAsia="宋体"/>
                <w:color w:val="auto"/>
                <w:szCs w:val="21"/>
              </w:rPr>
            </w:pPr>
            <w:r>
              <w:rPr>
                <w:rFonts w:ascii="Times New Roman" w:hAnsi="Times New Roman" w:eastAsia="宋体"/>
                <w:color w:val="auto"/>
                <w:szCs w:val="21"/>
              </w:rPr>
              <w:t>新建</w:t>
            </w:r>
          </w:p>
        </w:tc>
      </w:tr>
      <w:tr w14:paraId="3CCC9BE0">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517" w:type="pct"/>
            <w:vMerge w:val="continue"/>
            <w:tcBorders>
              <w:tl2br w:val="nil"/>
              <w:tr2bl w:val="nil"/>
            </w:tcBorders>
            <w:noWrap w:val="0"/>
            <w:vAlign w:val="center"/>
          </w:tcPr>
          <w:p w14:paraId="21BA4F91">
            <w:pPr>
              <w:snapToGrid w:val="0"/>
              <w:jc w:val="center"/>
              <w:rPr>
                <w:rFonts w:ascii="Times New Roman" w:hAnsi="Times New Roman" w:eastAsia="宋体"/>
                <w:color w:val="auto"/>
                <w:szCs w:val="21"/>
              </w:rPr>
            </w:pPr>
          </w:p>
        </w:tc>
        <w:tc>
          <w:tcPr>
            <w:tcW w:w="601" w:type="pct"/>
            <w:vMerge w:val="continue"/>
            <w:tcBorders>
              <w:tl2br w:val="nil"/>
              <w:tr2bl w:val="nil"/>
            </w:tcBorders>
            <w:noWrap w:val="0"/>
            <w:vAlign w:val="center"/>
          </w:tcPr>
          <w:p w14:paraId="29CA47D8">
            <w:pPr>
              <w:snapToGrid w:val="0"/>
              <w:jc w:val="center"/>
              <w:rPr>
                <w:rFonts w:ascii="Times New Roman" w:hAnsi="Times New Roman" w:eastAsia="宋体"/>
                <w:color w:val="auto"/>
                <w:szCs w:val="21"/>
              </w:rPr>
            </w:pPr>
          </w:p>
        </w:tc>
        <w:tc>
          <w:tcPr>
            <w:tcW w:w="3098" w:type="pct"/>
            <w:tcBorders>
              <w:tl2br w:val="nil"/>
              <w:tr2bl w:val="nil"/>
            </w:tcBorders>
            <w:noWrap w:val="0"/>
            <w:vAlign w:val="center"/>
          </w:tcPr>
          <w:p w14:paraId="54CB48A7">
            <w:pPr>
              <w:jc w:val="center"/>
              <w:rPr>
                <w:rFonts w:hint="eastAsia" w:ascii="Times New Roman" w:hAnsi="Times New Roman" w:eastAsia="宋体"/>
                <w:color w:val="auto"/>
                <w:szCs w:val="21"/>
                <w:lang w:eastAsia="zh-CN"/>
              </w:rPr>
            </w:pPr>
            <w:r>
              <w:rPr>
                <w:rFonts w:hint="eastAsia" w:ascii="Times New Roman" w:hAnsi="Times New Roman" w:eastAsia="宋体" w:cs="Times New Roman"/>
                <w:bCs/>
                <w:color w:val="auto"/>
                <w:sz w:val="21"/>
                <w:szCs w:val="21"/>
                <w:lang w:eastAsia="zh-CN"/>
              </w:rPr>
              <w:t>废铅酸蓄电池</w:t>
            </w:r>
            <w:r>
              <w:rPr>
                <w:rFonts w:ascii="Times New Roman" w:hAnsi="Times New Roman" w:eastAsia="宋体" w:cs="Times New Roman"/>
                <w:bCs/>
                <w:color w:val="auto"/>
                <w:sz w:val="21"/>
                <w:szCs w:val="21"/>
              </w:rPr>
              <w:t>车间地坪四周设收集水沟，设1座</w:t>
            </w:r>
            <w:r>
              <w:rPr>
                <w:rFonts w:hint="eastAsia" w:ascii="Times New Roman" w:hAnsi="Times New Roman" w:eastAsia="宋体" w:cs="Times New Roman"/>
                <w:bCs/>
                <w:color w:val="auto"/>
                <w:sz w:val="21"/>
                <w:szCs w:val="21"/>
              </w:rPr>
              <w:t>1</w:t>
            </w:r>
            <w:r>
              <w:rPr>
                <w:rFonts w:ascii="Times New Roman" w:hAnsi="Times New Roman" w:eastAsia="宋体" w:cs="Times New Roman"/>
                <w:bCs/>
                <w:color w:val="auto"/>
                <w:sz w:val="21"/>
                <w:szCs w:val="21"/>
              </w:rPr>
              <w:t>m</w:t>
            </w:r>
            <w:r>
              <w:rPr>
                <w:rFonts w:ascii="Times New Roman" w:hAnsi="Times New Roman" w:eastAsia="宋体" w:cs="Times New Roman"/>
                <w:bCs/>
                <w:color w:val="auto"/>
                <w:sz w:val="21"/>
                <w:szCs w:val="21"/>
                <w:vertAlign w:val="superscript"/>
              </w:rPr>
              <w:t>3</w:t>
            </w:r>
            <w:r>
              <w:rPr>
                <w:rFonts w:ascii="Times New Roman" w:hAnsi="Times New Roman" w:eastAsia="宋体" w:cs="Times New Roman"/>
                <w:bCs/>
                <w:color w:val="auto"/>
                <w:sz w:val="21"/>
                <w:szCs w:val="21"/>
              </w:rPr>
              <w:t>废液收集池，</w:t>
            </w:r>
            <w:r>
              <w:rPr>
                <w:rFonts w:hint="eastAsia" w:ascii="Times New Roman" w:hAnsi="Times New Roman" w:eastAsia="宋体" w:cs="Times New Roman"/>
                <w:bCs/>
                <w:color w:val="auto"/>
                <w:sz w:val="21"/>
                <w:szCs w:val="21"/>
              </w:rPr>
              <w:t>收集泄漏的电解液，电解液交</w:t>
            </w:r>
            <w:r>
              <w:rPr>
                <w:rFonts w:hint="eastAsia" w:ascii="Times New Roman" w:hAnsi="Times New Roman" w:eastAsia="宋体"/>
                <w:color w:val="auto"/>
                <w:sz w:val="21"/>
                <w:szCs w:val="21"/>
                <w:lang w:val="en-US" w:eastAsia="zh-CN"/>
              </w:rPr>
              <w:t>骆驼集团新疆再生资源有限公司</w:t>
            </w:r>
            <w:r>
              <w:rPr>
                <w:rFonts w:hint="eastAsia" w:ascii="Times New Roman" w:hAnsi="Times New Roman" w:eastAsia="宋体" w:cs="Times New Roman"/>
                <w:bCs/>
                <w:color w:val="auto"/>
                <w:sz w:val="21"/>
                <w:szCs w:val="21"/>
              </w:rPr>
              <w:t>处理处置。</w:t>
            </w:r>
          </w:p>
        </w:tc>
        <w:tc>
          <w:tcPr>
            <w:tcW w:w="782" w:type="pct"/>
            <w:tcBorders>
              <w:tl2br w:val="nil"/>
              <w:tr2bl w:val="nil"/>
            </w:tcBorders>
            <w:noWrap w:val="0"/>
            <w:vAlign w:val="center"/>
          </w:tcPr>
          <w:p w14:paraId="39713562">
            <w:pPr>
              <w:jc w:val="center"/>
              <w:rPr>
                <w:rFonts w:hint="eastAsia" w:ascii="Times New Roman" w:hAnsi="Times New Roman" w:eastAsia="宋体"/>
                <w:color w:val="auto"/>
                <w:szCs w:val="21"/>
                <w:lang w:eastAsia="zh-CN"/>
              </w:rPr>
            </w:pPr>
            <w:r>
              <w:rPr>
                <w:rFonts w:hint="eastAsia" w:ascii="Times New Roman" w:hAnsi="Times New Roman" w:eastAsia="宋体"/>
                <w:color w:val="auto"/>
                <w:szCs w:val="21"/>
                <w:lang w:eastAsia="zh-CN"/>
              </w:rPr>
              <w:t>新建</w:t>
            </w:r>
          </w:p>
        </w:tc>
      </w:tr>
      <w:tr w14:paraId="394681D2">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517" w:type="pct"/>
            <w:vMerge w:val="continue"/>
            <w:tcBorders>
              <w:tl2br w:val="nil"/>
              <w:tr2bl w:val="nil"/>
            </w:tcBorders>
            <w:noWrap w:val="0"/>
            <w:vAlign w:val="center"/>
          </w:tcPr>
          <w:p w14:paraId="3DD997F8">
            <w:pPr>
              <w:snapToGrid w:val="0"/>
              <w:jc w:val="center"/>
              <w:rPr>
                <w:rFonts w:ascii="Times New Roman" w:hAnsi="Times New Roman" w:eastAsia="宋体"/>
                <w:color w:val="auto"/>
                <w:szCs w:val="21"/>
              </w:rPr>
            </w:pPr>
          </w:p>
        </w:tc>
        <w:tc>
          <w:tcPr>
            <w:tcW w:w="601" w:type="pct"/>
            <w:vMerge w:val="continue"/>
            <w:tcBorders>
              <w:tl2br w:val="nil"/>
              <w:tr2bl w:val="nil"/>
            </w:tcBorders>
            <w:noWrap w:val="0"/>
            <w:vAlign w:val="center"/>
          </w:tcPr>
          <w:p w14:paraId="15D8EEB2">
            <w:pPr>
              <w:snapToGrid w:val="0"/>
              <w:jc w:val="center"/>
              <w:rPr>
                <w:rFonts w:ascii="Times New Roman" w:hAnsi="Times New Roman" w:eastAsia="宋体"/>
                <w:color w:val="auto"/>
                <w:szCs w:val="21"/>
              </w:rPr>
            </w:pPr>
          </w:p>
        </w:tc>
        <w:tc>
          <w:tcPr>
            <w:tcW w:w="3098" w:type="pct"/>
            <w:tcBorders>
              <w:tl2br w:val="nil"/>
              <w:tr2bl w:val="nil"/>
            </w:tcBorders>
            <w:noWrap w:val="0"/>
            <w:vAlign w:val="center"/>
          </w:tcPr>
          <w:p w14:paraId="2C48178A">
            <w:pPr>
              <w:jc w:val="center"/>
              <w:rPr>
                <w:rFonts w:hint="eastAsia" w:ascii="Times New Roman" w:hAnsi="Times New Roman" w:eastAsia="宋体" w:cs="Times New Roman"/>
                <w:bCs/>
                <w:color w:val="auto"/>
                <w:sz w:val="21"/>
                <w:szCs w:val="21"/>
                <w:lang w:eastAsia="zh-CN"/>
              </w:rPr>
            </w:pPr>
            <w:r>
              <w:rPr>
                <w:rFonts w:hint="eastAsia" w:ascii="Times New Roman" w:hAnsi="Times New Roman" w:eastAsia="宋体" w:cs="Times New Roman"/>
                <w:bCs/>
                <w:color w:val="auto"/>
                <w:sz w:val="21"/>
                <w:szCs w:val="21"/>
              </w:rPr>
              <w:t>安装设置视频监控系统</w:t>
            </w:r>
          </w:p>
        </w:tc>
        <w:tc>
          <w:tcPr>
            <w:tcW w:w="782" w:type="pct"/>
            <w:tcBorders>
              <w:tl2br w:val="nil"/>
              <w:tr2bl w:val="nil"/>
            </w:tcBorders>
            <w:noWrap w:val="0"/>
            <w:vAlign w:val="center"/>
          </w:tcPr>
          <w:p w14:paraId="69AB6B0E">
            <w:pPr>
              <w:jc w:val="center"/>
              <w:rPr>
                <w:rFonts w:hint="eastAsia" w:ascii="Times New Roman" w:hAnsi="Times New Roman" w:eastAsia="宋体"/>
                <w:color w:val="auto"/>
                <w:szCs w:val="21"/>
                <w:lang w:eastAsia="zh-CN"/>
              </w:rPr>
            </w:pPr>
            <w:r>
              <w:rPr>
                <w:rFonts w:hint="eastAsia" w:ascii="Times New Roman" w:hAnsi="Times New Roman" w:eastAsia="宋体"/>
                <w:color w:val="auto"/>
                <w:szCs w:val="21"/>
                <w:lang w:eastAsia="zh-CN"/>
              </w:rPr>
              <w:t>新建</w:t>
            </w:r>
          </w:p>
        </w:tc>
      </w:tr>
    </w:tbl>
    <w:p w14:paraId="001AE508">
      <w:pPr>
        <w:pStyle w:val="2"/>
        <w:rPr>
          <w:rFonts w:hint="eastAsia" w:ascii="宋体" w:hAnsi="宋体" w:cs="宋体"/>
          <w:bCs/>
          <w:sz w:val="24"/>
          <w:szCs w:val="24"/>
          <w:lang w:val="zh-CN"/>
        </w:rPr>
      </w:pPr>
      <w:r>
        <w:rPr>
          <w:rFonts w:hint="eastAsia" w:ascii="宋体" w:hAnsi="宋体" w:cs="宋体"/>
          <w:bCs/>
          <w:sz w:val="24"/>
          <w:szCs w:val="24"/>
          <w:lang w:val="zh-CN"/>
        </w:rPr>
        <w:t>意见</w:t>
      </w:r>
      <w:r>
        <w:rPr>
          <w:rFonts w:hint="eastAsia" w:ascii="宋体" w:hAnsi="宋体" w:cs="宋体"/>
          <w:bCs/>
          <w:sz w:val="24"/>
          <w:szCs w:val="24"/>
          <w:lang w:val="en-US" w:eastAsia="zh-CN"/>
        </w:rPr>
        <w:t>3、</w:t>
      </w:r>
      <w:r>
        <w:rPr>
          <w:rFonts w:hint="eastAsia" w:ascii="宋体" w:hAnsi="宋体" w:cs="宋体"/>
          <w:bCs/>
          <w:sz w:val="24"/>
          <w:szCs w:val="24"/>
          <w:lang w:val="zh-CN"/>
        </w:rPr>
        <w:t>补充本工程的危险废物接收企业新疆海克新能源科技有限公司、骆驼集团新疆再生资源有限公司的环保手续执行情况，明确本工程废旧电动车及摩托车的回收处置单位，分析依托可行性。</w:t>
      </w:r>
    </w:p>
    <w:p w14:paraId="79B1E3BB">
      <w:pPr>
        <w:pStyle w:val="2"/>
        <w:ind w:firstLine="482" w:firstLineChars="200"/>
        <w:rPr>
          <w:rFonts w:hint="eastAsia" w:ascii="宋体" w:hAnsi="宋体" w:cs="宋体"/>
          <w:b/>
          <w:bCs w:val="0"/>
          <w:sz w:val="24"/>
          <w:szCs w:val="24"/>
          <w:lang w:val="zh-CN"/>
        </w:rPr>
      </w:pPr>
      <w:r>
        <w:rPr>
          <w:rFonts w:hint="eastAsia" w:ascii="宋体" w:hAnsi="宋体" w:cs="宋体"/>
          <w:b/>
          <w:bCs w:val="0"/>
          <w:sz w:val="24"/>
          <w:szCs w:val="24"/>
          <w:vertAlign w:val="baseline"/>
          <w:lang w:val="zh-CN"/>
        </w:rPr>
        <w:t>已修改，见报告</w:t>
      </w:r>
      <w:r>
        <w:rPr>
          <w:rFonts w:hint="eastAsia" w:ascii="宋体" w:hAnsi="宋体" w:cs="宋体"/>
          <w:b/>
          <w:bCs w:val="0"/>
          <w:sz w:val="24"/>
          <w:szCs w:val="24"/>
          <w:vertAlign w:val="baseline"/>
          <w:lang w:val="en-US" w:eastAsia="zh-CN"/>
        </w:rPr>
        <w:t>P18、20。建设单位根据市场调查后，本项目取消</w:t>
      </w:r>
      <w:r>
        <w:rPr>
          <w:rFonts w:hint="eastAsia" w:ascii="宋体" w:hAnsi="宋体" w:cs="宋体"/>
          <w:b/>
          <w:bCs w:val="0"/>
          <w:sz w:val="24"/>
          <w:szCs w:val="24"/>
          <w:lang w:val="zh-CN"/>
        </w:rPr>
        <w:t>废旧电动车及摩托车的回收。</w:t>
      </w:r>
    </w:p>
    <w:p w14:paraId="50831006">
      <w:pPr>
        <w:pStyle w:val="16"/>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b/>
          <w:bCs/>
          <w:color w:val="0000FF"/>
          <w:sz w:val="24"/>
        </w:rPr>
      </w:pPr>
      <w:r>
        <w:rPr>
          <w:rFonts w:hint="eastAsia" w:ascii="Times New Roman" w:hAnsi="Times New Roman" w:eastAsia="宋体"/>
          <w:b/>
          <w:bCs/>
          <w:color w:val="0000FF"/>
          <w:sz w:val="24"/>
          <w:lang w:val="en-US" w:eastAsia="zh-CN"/>
        </w:rPr>
        <w:t>6.5</w:t>
      </w:r>
      <w:r>
        <w:rPr>
          <w:rFonts w:hint="eastAsia" w:ascii="Times New Roman" w:hAnsi="Times New Roman" w:eastAsia="宋体"/>
          <w:b/>
          <w:bCs/>
          <w:color w:val="0000FF"/>
          <w:sz w:val="24"/>
        </w:rPr>
        <w:t>废机油委托处置</w:t>
      </w:r>
    </w:p>
    <w:p w14:paraId="0895F6B4">
      <w:pPr>
        <w:pStyle w:val="16"/>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b w:val="0"/>
          <w:bCs w:val="0"/>
          <w:color w:val="0000FF"/>
          <w:sz w:val="24"/>
        </w:rPr>
      </w:pPr>
      <w:r>
        <w:rPr>
          <w:rFonts w:hint="eastAsia" w:ascii="Times New Roman" w:hAnsi="Times New Roman" w:eastAsia="宋体"/>
          <w:b w:val="0"/>
          <w:bCs w:val="0"/>
          <w:color w:val="0000FF"/>
          <w:sz w:val="24"/>
        </w:rPr>
        <w:t>本项目只从事废机油的回收储存，本身不涉及废机油处理加工利用业务，回收后的废机油拟委托</w:t>
      </w:r>
      <w:r>
        <w:rPr>
          <w:rFonts w:hint="eastAsia" w:ascii="Times New Roman" w:hAnsi="Times New Roman" w:eastAsia="宋体"/>
          <w:color w:val="0000FF"/>
          <w:sz w:val="24"/>
          <w:szCs w:val="24"/>
          <w:lang w:val="en-US" w:eastAsia="zh-CN"/>
        </w:rPr>
        <w:t>新疆海克新能源科技有限公司</w:t>
      </w:r>
      <w:r>
        <w:rPr>
          <w:rFonts w:hint="eastAsia" w:ascii="Times New Roman" w:hAnsi="Times New Roman" w:eastAsia="宋体"/>
          <w:b w:val="0"/>
          <w:bCs w:val="0"/>
          <w:color w:val="0000FF"/>
          <w:sz w:val="24"/>
        </w:rPr>
        <w:t>接收处置（以上相关危险废物处置资质单位负责本场区废机油的外运和处置，本项目已与以上相关资质单位签订危险废物委托处置协议，</w:t>
      </w:r>
      <w:r>
        <w:rPr>
          <w:rFonts w:hint="eastAsia" w:ascii="Times New Roman" w:hAnsi="Times New Roman" w:eastAsia="宋体"/>
          <w:b w:val="0"/>
          <w:bCs w:val="0"/>
          <w:color w:val="0000FF"/>
          <w:sz w:val="24"/>
          <w:lang w:eastAsia="zh-CN"/>
        </w:rPr>
        <w:t>接收单位相关资质完善，</w:t>
      </w:r>
      <w:r>
        <w:rPr>
          <w:rFonts w:hint="eastAsia" w:ascii="Times New Roman" w:hAnsi="Times New Roman" w:eastAsia="宋体"/>
          <w:b w:val="0"/>
          <w:bCs w:val="0"/>
          <w:color w:val="0000FF"/>
          <w:sz w:val="24"/>
        </w:rPr>
        <w:t>详见附件）。</w:t>
      </w:r>
    </w:p>
    <w:p w14:paraId="23BB0290">
      <w:pPr>
        <w:pStyle w:val="16"/>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imes New Roman" w:hAnsi="Times New Roman" w:eastAsia="宋体"/>
          <w:b/>
          <w:bCs/>
          <w:color w:val="0000FF"/>
          <w:sz w:val="24"/>
        </w:rPr>
      </w:pPr>
      <w:r>
        <w:rPr>
          <w:rFonts w:hint="eastAsia" w:ascii="Times New Roman" w:hAnsi="Times New Roman" w:eastAsia="宋体"/>
          <w:b/>
          <w:bCs/>
          <w:color w:val="0000FF"/>
          <w:sz w:val="24"/>
          <w:lang w:val="en-US" w:eastAsia="zh-CN"/>
        </w:rPr>
        <w:t>7.6</w:t>
      </w:r>
      <w:r>
        <w:rPr>
          <w:rFonts w:hint="eastAsia" w:ascii="Times New Roman" w:hAnsi="Times New Roman" w:eastAsia="宋体"/>
          <w:b/>
          <w:bCs/>
          <w:color w:val="0000FF"/>
          <w:sz w:val="24"/>
          <w:lang w:eastAsia="zh-CN"/>
        </w:rPr>
        <w:t>废铅酸蓄电池</w:t>
      </w:r>
      <w:r>
        <w:rPr>
          <w:rFonts w:hint="eastAsia" w:ascii="Times New Roman" w:hAnsi="Times New Roman" w:eastAsia="宋体"/>
          <w:b/>
          <w:bCs/>
          <w:color w:val="0000FF"/>
          <w:sz w:val="24"/>
        </w:rPr>
        <w:t>委托处置</w:t>
      </w:r>
    </w:p>
    <w:p w14:paraId="680EECC1">
      <w:pPr>
        <w:pStyle w:val="16"/>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b w:val="0"/>
          <w:bCs w:val="0"/>
          <w:color w:val="0000FF"/>
          <w:sz w:val="24"/>
        </w:rPr>
      </w:pPr>
      <w:r>
        <w:rPr>
          <w:rFonts w:hint="eastAsia" w:ascii="Times New Roman" w:hAnsi="Times New Roman" w:eastAsia="宋体"/>
          <w:b w:val="0"/>
          <w:bCs w:val="0"/>
          <w:color w:val="0000FF"/>
          <w:sz w:val="24"/>
        </w:rPr>
        <w:t>本项目只从事</w:t>
      </w:r>
      <w:r>
        <w:rPr>
          <w:rFonts w:hint="eastAsia" w:ascii="Times New Roman" w:hAnsi="Times New Roman" w:eastAsia="宋体"/>
          <w:b w:val="0"/>
          <w:bCs w:val="0"/>
          <w:color w:val="0000FF"/>
          <w:sz w:val="24"/>
          <w:lang w:eastAsia="zh-CN"/>
        </w:rPr>
        <w:t>废铅酸蓄电池</w:t>
      </w:r>
      <w:r>
        <w:rPr>
          <w:rFonts w:hint="eastAsia" w:ascii="Times New Roman" w:hAnsi="Times New Roman" w:eastAsia="宋体"/>
          <w:b w:val="0"/>
          <w:bCs w:val="0"/>
          <w:color w:val="0000FF"/>
          <w:sz w:val="24"/>
        </w:rPr>
        <w:t>的回收储存，本身不涉及</w:t>
      </w:r>
      <w:r>
        <w:rPr>
          <w:rFonts w:hint="eastAsia" w:ascii="Times New Roman" w:hAnsi="Times New Roman" w:eastAsia="宋体"/>
          <w:b w:val="0"/>
          <w:bCs w:val="0"/>
          <w:color w:val="0000FF"/>
          <w:sz w:val="24"/>
          <w:lang w:eastAsia="zh-CN"/>
        </w:rPr>
        <w:t>废铅酸蓄电池</w:t>
      </w:r>
      <w:r>
        <w:rPr>
          <w:rFonts w:hint="eastAsia" w:ascii="Times New Roman" w:hAnsi="Times New Roman" w:eastAsia="宋体"/>
          <w:b w:val="0"/>
          <w:bCs w:val="0"/>
          <w:color w:val="0000FF"/>
          <w:sz w:val="24"/>
        </w:rPr>
        <w:t>处理加工利用业务，回收后的</w:t>
      </w:r>
      <w:r>
        <w:rPr>
          <w:rFonts w:hint="eastAsia" w:ascii="Times New Roman" w:hAnsi="Times New Roman" w:eastAsia="宋体"/>
          <w:b w:val="0"/>
          <w:bCs w:val="0"/>
          <w:color w:val="0000FF"/>
          <w:sz w:val="24"/>
          <w:lang w:eastAsia="zh-CN"/>
        </w:rPr>
        <w:t>废铅酸蓄电池</w:t>
      </w:r>
      <w:r>
        <w:rPr>
          <w:rFonts w:hint="eastAsia" w:ascii="Times New Roman" w:hAnsi="Times New Roman" w:eastAsia="宋体"/>
          <w:b w:val="0"/>
          <w:bCs w:val="0"/>
          <w:color w:val="0000FF"/>
          <w:sz w:val="24"/>
        </w:rPr>
        <w:t>拟</w:t>
      </w:r>
      <w:r>
        <w:rPr>
          <w:rFonts w:ascii="Times New Roman" w:hAnsi="Times New Roman" w:eastAsia="宋体"/>
          <w:color w:val="0000FF"/>
          <w:sz w:val="24"/>
          <w:szCs w:val="24"/>
        </w:rPr>
        <w:t>委托</w:t>
      </w:r>
      <w:r>
        <w:rPr>
          <w:rFonts w:hint="eastAsia" w:ascii="Times New Roman" w:hAnsi="Times New Roman" w:eastAsia="宋体"/>
          <w:color w:val="0000FF"/>
          <w:sz w:val="24"/>
          <w:szCs w:val="24"/>
          <w:lang w:val="en-US" w:eastAsia="zh-CN"/>
        </w:rPr>
        <w:t>骆驼集团新疆再生资源有限公司</w:t>
      </w:r>
      <w:r>
        <w:rPr>
          <w:rFonts w:ascii="Times New Roman" w:hAnsi="Times New Roman" w:eastAsia="宋体"/>
          <w:color w:val="0000FF"/>
          <w:sz w:val="24"/>
          <w:szCs w:val="24"/>
        </w:rPr>
        <w:t>承担</w:t>
      </w:r>
      <w:r>
        <w:rPr>
          <w:rFonts w:hint="eastAsia" w:ascii="Times New Roman" w:hAnsi="Times New Roman" w:eastAsia="宋体"/>
          <w:b w:val="0"/>
          <w:bCs w:val="0"/>
          <w:color w:val="0000FF"/>
          <w:sz w:val="24"/>
        </w:rPr>
        <w:t>接收处置</w:t>
      </w:r>
      <w:r>
        <w:rPr>
          <w:rFonts w:hint="eastAsia" w:ascii="Times New Roman" w:hAnsi="Times New Roman" w:eastAsia="宋体"/>
          <w:b w:val="0"/>
          <w:bCs w:val="0"/>
          <w:color w:val="0000FF"/>
          <w:sz w:val="24"/>
          <w:lang w:eastAsia="zh-CN"/>
        </w:rPr>
        <w:t>（</w:t>
      </w:r>
      <w:r>
        <w:rPr>
          <w:rFonts w:hint="eastAsia" w:ascii="Times New Roman" w:hAnsi="Times New Roman" w:eastAsia="宋体"/>
          <w:b w:val="0"/>
          <w:bCs w:val="0"/>
          <w:color w:val="0000FF"/>
          <w:sz w:val="24"/>
        </w:rPr>
        <w:t>以上相关危险废物处置资质单位负责本场区废机油的外运和处置，本项目已与以上相关资质单位签订危险废物委托处置协议，</w:t>
      </w:r>
      <w:r>
        <w:rPr>
          <w:rFonts w:hint="eastAsia" w:ascii="Times New Roman" w:hAnsi="Times New Roman" w:eastAsia="宋体"/>
          <w:b w:val="0"/>
          <w:bCs w:val="0"/>
          <w:color w:val="0000FF"/>
          <w:sz w:val="24"/>
          <w:lang w:eastAsia="zh-CN"/>
        </w:rPr>
        <w:t>接收单位相关资质完善，</w:t>
      </w:r>
      <w:r>
        <w:rPr>
          <w:rFonts w:hint="eastAsia" w:ascii="Times New Roman" w:hAnsi="Times New Roman" w:eastAsia="宋体"/>
          <w:b w:val="0"/>
          <w:bCs w:val="0"/>
          <w:color w:val="0000FF"/>
          <w:sz w:val="24"/>
        </w:rPr>
        <w:t>详见附件）</w:t>
      </w:r>
      <w:r>
        <w:rPr>
          <w:rFonts w:hint="eastAsia" w:ascii="Times New Roman" w:hAnsi="Times New Roman" w:eastAsia="宋体"/>
          <w:b w:val="0"/>
          <w:bCs w:val="0"/>
          <w:color w:val="0000FF"/>
          <w:sz w:val="24"/>
          <w:lang w:eastAsia="zh-CN"/>
        </w:rPr>
        <w:t>）</w:t>
      </w:r>
      <w:r>
        <w:rPr>
          <w:rFonts w:hint="eastAsia" w:ascii="Times New Roman" w:hAnsi="Times New Roman" w:eastAsia="宋体"/>
          <w:b w:val="0"/>
          <w:bCs w:val="0"/>
          <w:color w:val="0000FF"/>
          <w:sz w:val="24"/>
        </w:rPr>
        <w:t>。</w:t>
      </w:r>
    </w:p>
    <w:p w14:paraId="7C2ADD03">
      <w:pPr>
        <w:pStyle w:val="2"/>
        <w:pageBreakBefore w:val="0"/>
        <w:widowControl w:val="0"/>
        <w:kinsoku/>
        <w:wordWrap/>
        <w:overflowPunct/>
        <w:topLinePunct w:val="0"/>
        <w:autoSpaceDE/>
        <w:autoSpaceDN/>
        <w:bidi w:val="0"/>
        <w:spacing w:line="360" w:lineRule="auto"/>
        <w:textAlignment w:val="auto"/>
        <w:rPr>
          <w:rFonts w:ascii="宋体" w:hAnsi="宋体" w:cs="宋体"/>
          <w:b/>
          <w:bCs/>
          <w:sz w:val="24"/>
          <w:szCs w:val="24"/>
          <w:lang w:val="zh-CN"/>
        </w:rPr>
      </w:pPr>
      <w:r>
        <w:rPr>
          <w:rFonts w:hint="eastAsia" w:ascii="宋体" w:hAnsi="宋体" w:cs="宋体"/>
          <w:bCs/>
          <w:sz w:val="24"/>
          <w:szCs w:val="24"/>
          <w:lang w:val="zh-CN"/>
        </w:rPr>
        <w:t>意见</w:t>
      </w:r>
      <w:r>
        <w:rPr>
          <w:rFonts w:hint="eastAsia" w:ascii="宋体" w:hAnsi="宋体" w:cs="宋体"/>
          <w:bCs/>
          <w:sz w:val="24"/>
          <w:szCs w:val="24"/>
          <w:lang w:val="en-US" w:eastAsia="zh-CN"/>
        </w:rPr>
        <w:t>4、</w:t>
      </w:r>
      <w:r>
        <w:rPr>
          <w:rFonts w:hint="eastAsia" w:ascii="宋体" w:hAnsi="宋体" w:cs="宋体"/>
          <w:bCs/>
          <w:sz w:val="24"/>
          <w:szCs w:val="24"/>
          <w:lang w:val="zh-CN"/>
        </w:rPr>
        <w:t>完善运营期工艺流程及产污环节分析，核实VOCs产生环节及产生量，</w:t>
      </w:r>
      <w:r>
        <w:rPr>
          <w:rFonts w:hint="eastAsia" w:ascii="宋体" w:hAnsi="宋体" w:cs="宋体"/>
          <w:b/>
          <w:bCs/>
          <w:sz w:val="24"/>
          <w:szCs w:val="24"/>
          <w:lang w:val="zh-CN"/>
        </w:rPr>
        <w:t>核实硫酸雾产生量，核实废弃活性炭产生量，明确废活性炭在厂区的存储方式</w:t>
      </w:r>
      <w:r>
        <w:rPr>
          <w:rFonts w:ascii="宋体" w:hAnsi="宋体" w:cs="宋体"/>
          <w:b/>
          <w:bCs/>
          <w:sz w:val="24"/>
          <w:szCs w:val="24"/>
          <w:lang w:val="zh-CN"/>
        </w:rPr>
        <w:t xml:space="preserve">。 </w:t>
      </w:r>
    </w:p>
    <w:p w14:paraId="096141E9">
      <w:pPr>
        <w:pageBreakBefore w:val="0"/>
        <w:widowControl w:val="0"/>
        <w:kinsoku/>
        <w:wordWrap/>
        <w:overflowPunct/>
        <w:topLinePunct w:val="0"/>
        <w:autoSpaceDE/>
        <w:autoSpaceDN/>
        <w:bidi w:val="0"/>
        <w:spacing w:line="360" w:lineRule="auto"/>
        <w:ind w:firstLine="482" w:firstLineChars="200"/>
        <w:textAlignment w:val="auto"/>
        <w:rPr>
          <w:rFonts w:hint="default" w:ascii="Times New Roman" w:hAnsi="Times New Roman" w:cs="Times New Roman"/>
          <w:b/>
          <w:bCs/>
          <w:sz w:val="24"/>
          <w:szCs w:val="24"/>
          <w:lang w:val="zh-CN"/>
        </w:rPr>
      </w:pPr>
      <w:r>
        <w:rPr>
          <w:rFonts w:hint="default" w:ascii="Times New Roman" w:hAnsi="Times New Roman" w:cs="Times New Roman"/>
          <w:b/>
          <w:bCs/>
          <w:sz w:val="24"/>
          <w:szCs w:val="24"/>
          <w:lang w:val="zh-CN"/>
        </w:rPr>
        <w:t>已修改，见报告P41-43、48、51。</w:t>
      </w:r>
    </w:p>
    <w:p w14:paraId="241B692E">
      <w:pPr>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ascii="Times New Roman" w:hAnsi="Times New Roman" w:eastAsia="宋体"/>
          <w:b/>
          <w:bCs/>
          <w:color w:val="0000FF"/>
          <w:sz w:val="24"/>
          <w:szCs w:val="24"/>
        </w:rPr>
      </w:pPr>
    </w:p>
    <w:p w14:paraId="3B8D66A3">
      <w:pPr>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ascii="Times New Roman" w:hAnsi="Times New Roman" w:eastAsia="宋体"/>
          <w:color w:val="0000FF"/>
          <w:sz w:val="24"/>
        </w:rPr>
      </w:pPr>
      <w:r>
        <w:rPr>
          <w:rFonts w:ascii="Times New Roman" w:hAnsi="Times New Roman" w:eastAsia="宋体"/>
          <w:b/>
          <w:bCs/>
          <w:color w:val="0000FF"/>
          <w:sz w:val="24"/>
          <w:szCs w:val="24"/>
        </w:rPr>
        <w:t>本项目建设内容的环境</w:t>
      </w:r>
      <w:r>
        <w:rPr>
          <w:rFonts w:ascii="Times New Roman" w:hAnsi="Times New Roman" w:eastAsia="宋体"/>
          <w:color w:val="0000FF"/>
          <w:sz w:val="24"/>
        </w:rPr>
        <w:t>影响时段包括工程施工期和建成运营期两部分。</w:t>
      </w:r>
    </w:p>
    <w:p w14:paraId="1E965A78">
      <w:pPr>
        <w:adjustRightInd w:val="0"/>
        <w:snapToGrid w:val="0"/>
        <w:spacing w:line="360" w:lineRule="auto"/>
        <w:ind w:firstLine="482" w:firstLineChars="200"/>
        <w:rPr>
          <w:rFonts w:ascii="Times New Roman" w:hAnsi="Times New Roman" w:eastAsia="宋体"/>
          <w:b/>
          <w:color w:val="0000FF"/>
          <w:sz w:val="24"/>
          <w:szCs w:val="24"/>
        </w:rPr>
      </w:pPr>
      <w:r>
        <w:rPr>
          <w:rFonts w:ascii="Times New Roman" w:hAnsi="Times New Roman" w:eastAsia="宋体"/>
          <w:b/>
          <w:color w:val="0000FF"/>
          <w:sz w:val="24"/>
          <w:szCs w:val="24"/>
        </w:rPr>
        <w:t>1、施工期</w:t>
      </w:r>
    </w:p>
    <w:p w14:paraId="4B488F3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00FF"/>
          <w:sz w:val="24"/>
          <w:lang w:val="en-US" w:eastAsia="zh-CN"/>
        </w:rPr>
      </w:pPr>
      <w:r>
        <w:rPr>
          <w:rFonts w:hint="default" w:ascii="Times New Roman" w:hAnsi="Times New Roman" w:eastAsia="宋体" w:cs="Times New Roman"/>
          <w:color w:val="0000FF"/>
          <w:sz w:val="24"/>
          <w:lang w:val="en-US" w:eastAsia="zh-CN"/>
        </w:rPr>
        <w:t>本项目施工过程的工艺流程及排污节点如下图所示：</w:t>
      </w:r>
    </w:p>
    <w:p w14:paraId="4267FE32">
      <w:pPr>
        <w:pStyle w:val="17"/>
        <w:jc w:val="center"/>
        <w:rPr>
          <w:rFonts w:hint="eastAsia" w:ascii="宋体" w:hAnsi="宋体" w:eastAsia="宋体" w:cs="宋体"/>
          <w:color w:val="0000FF"/>
          <w:sz w:val="24"/>
          <w:lang w:val="en-US" w:eastAsia="zh-CN"/>
        </w:rPr>
      </w:pPr>
      <w:r>
        <w:rPr>
          <w:color w:val="0000FF"/>
        </w:rPr>
        <w:drawing>
          <wp:inline distT="0" distB="0" distL="114300" distR="114300">
            <wp:extent cx="4237990" cy="2066290"/>
            <wp:effectExtent l="0" t="0" r="10160" b="10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lum bright="-6000" contrast="17999"/>
                    </a:blip>
                    <a:stretch>
                      <a:fillRect/>
                    </a:stretch>
                  </pic:blipFill>
                  <pic:spPr>
                    <a:xfrm>
                      <a:off x="0" y="0"/>
                      <a:ext cx="4237990" cy="2066290"/>
                    </a:xfrm>
                    <a:prstGeom prst="rect">
                      <a:avLst/>
                    </a:prstGeom>
                    <a:noFill/>
                    <a:ln>
                      <a:noFill/>
                    </a:ln>
                  </pic:spPr>
                </pic:pic>
              </a:graphicData>
            </a:graphic>
          </wp:inline>
        </w:drawing>
      </w:r>
    </w:p>
    <w:p w14:paraId="11392FEC">
      <w:pPr>
        <w:keepNext w:val="0"/>
        <w:keepLines w:val="0"/>
        <w:widowControl/>
        <w:suppressLineNumbers w:val="0"/>
        <w:jc w:val="center"/>
        <w:rPr>
          <w:rFonts w:hint="eastAsia" w:ascii="宋体" w:hAnsi="宋体" w:eastAsia="宋体" w:cs="宋体"/>
          <w:color w:val="0000FF"/>
          <w:sz w:val="21"/>
          <w:szCs w:val="21"/>
        </w:rPr>
      </w:pPr>
      <w:r>
        <w:rPr>
          <w:rFonts w:hint="eastAsia" w:ascii="宋体" w:hAnsi="宋体" w:eastAsia="宋体" w:cs="宋体"/>
          <w:b/>
          <w:color w:val="0000FF"/>
          <w:kern w:val="0"/>
          <w:sz w:val="21"/>
          <w:szCs w:val="21"/>
          <w:lang w:val="en-US" w:eastAsia="zh-CN" w:bidi="ar"/>
        </w:rPr>
        <w:t>图3-1施工工艺流程及排污节点图</w:t>
      </w:r>
    </w:p>
    <w:p w14:paraId="73D108AF">
      <w:pPr>
        <w:keepNext w:val="0"/>
        <w:keepLines w:val="0"/>
        <w:pageBreakBefore w:val="0"/>
        <w:widowControl/>
        <w:suppressLineNumbers w:val="0"/>
        <w:kinsoku/>
        <w:wordWrap/>
        <w:overflowPunct/>
        <w:topLinePunct w:val="0"/>
        <w:autoSpaceDE/>
        <w:autoSpaceDN/>
        <w:bidi w:val="0"/>
        <w:adjustRightInd/>
        <w:snapToGrid/>
        <w:spacing w:line="360" w:lineRule="auto"/>
        <w:ind w:firstLine="482" w:firstLineChars="200"/>
        <w:jc w:val="left"/>
        <w:textAlignment w:val="auto"/>
        <w:rPr>
          <w:rFonts w:hint="default" w:ascii="Times New Roman" w:hAnsi="Times New Roman" w:eastAsia="宋体" w:cs="Times New Roman"/>
          <w:b/>
          <w:bCs/>
          <w:color w:val="0000FF"/>
          <w:kern w:val="2"/>
          <w:sz w:val="24"/>
          <w:szCs w:val="24"/>
          <w:lang w:eastAsia="zh-CN" w:bidi="ar-SA"/>
        </w:rPr>
      </w:pPr>
      <w:r>
        <w:rPr>
          <w:rFonts w:hint="default" w:ascii="Times New Roman" w:hAnsi="Times New Roman" w:eastAsia="宋体" w:cs="Times New Roman"/>
          <w:b/>
          <w:bCs/>
          <w:color w:val="0000FF"/>
          <w:kern w:val="2"/>
          <w:sz w:val="24"/>
          <w:szCs w:val="24"/>
          <w:lang w:eastAsia="zh-CN" w:bidi="ar-SA"/>
        </w:rPr>
        <w:t>工艺流程简述：</w:t>
      </w:r>
    </w:p>
    <w:p w14:paraId="7F181159">
      <w:pPr>
        <w:keepNext w:val="0"/>
        <w:keepLines w:val="0"/>
        <w:pageBreakBefore w:val="0"/>
        <w:widowControl w:val="0"/>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b w:val="0"/>
          <w:bCs w:val="0"/>
          <w:color w:val="0000FF"/>
          <w:kern w:val="2"/>
          <w:sz w:val="24"/>
          <w:szCs w:val="22"/>
          <w:lang w:val="en-US" w:eastAsia="zh-CN" w:bidi="ar-SA"/>
        </w:rPr>
      </w:pPr>
      <w:r>
        <w:rPr>
          <w:rFonts w:hint="default" w:ascii="Times New Roman" w:hAnsi="Times New Roman" w:eastAsia="宋体" w:cs="Times New Roman"/>
          <w:color w:val="0000FF"/>
          <w:sz w:val="24"/>
          <w:lang w:val="en-US" w:eastAsia="zh-CN"/>
        </w:rPr>
        <w:t>本项目租用</w:t>
      </w:r>
      <w:r>
        <w:rPr>
          <w:rFonts w:hint="eastAsia" w:ascii="Times New Roman" w:hAnsi="Times New Roman" w:eastAsia="宋体"/>
          <w:color w:val="0000FF"/>
          <w:sz w:val="24"/>
          <w:szCs w:val="24"/>
          <w:lang w:eastAsia="zh-CN"/>
        </w:rPr>
        <w:t>新疆奇台县新港物流·新港云仓厂区内</w:t>
      </w:r>
      <w:r>
        <w:rPr>
          <w:rFonts w:hint="default" w:ascii="Times New Roman" w:hAnsi="Times New Roman" w:eastAsia="宋体" w:cs="Times New Roman"/>
          <w:color w:val="0000FF"/>
          <w:sz w:val="24"/>
          <w:lang w:val="en-US" w:eastAsia="zh-CN"/>
        </w:rPr>
        <w:t>已建厂房建设危险废物收储中心，</w:t>
      </w:r>
      <w:r>
        <w:rPr>
          <w:rFonts w:hint="default" w:ascii="Times New Roman" w:hAnsi="Times New Roman" w:eastAsia="宋体" w:cs="Times New Roman"/>
          <w:b w:val="0"/>
          <w:bCs w:val="0"/>
          <w:color w:val="0000FF"/>
          <w:kern w:val="2"/>
          <w:sz w:val="24"/>
          <w:szCs w:val="22"/>
          <w:lang w:val="en-US" w:eastAsia="zh-CN" w:bidi="ar-SA"/>
        </w:rPr>
        <w:t>施工期间主要为应急池的建设、围堰的建设、库房内罐区、应急池、围堰及地面的防渗施工，无其他土建施工过程。</w:t>
      </w:r>
    </w:p>
    <w:p w14:paraId="46B37074">
      <w:pPr>
        <w:adjustRightInd w:val="0"/>
        <w:snapToGrid w:val="0"/>
        <w:spacing w:line="360" w:lineRule="auto"/>
        <w:ind w:firstLine="480" w:firstLineChars="200"/>
        <w:rPr>
          <w:rFonts w:hint="eastAsia" w:ascii="Times New Roman" w:hAnsi="Times New Roman" w:eastAsia="宋体" w:cs="Times New Roman"/>
          <w:b w:val="0"/>
          <w:bCs w:val="0"/>
          <w:color w:val="0000FF"/>
          <w:kern w:val="2"/>
          <w:sz w:val="24"/>
          <w:szCs w:val="22"/>
          <w:lang w:val="en-US" w:eastAsia="zh-CN" w:bidi="ar-SA"/>
        </w:rPr>
      </w:pPr>
      <w:r>
        <w:rPr>
          <w:rFonts w:hint="default" w:ascii="Times New Roman" w:hAnsi="Times New Roman" w:eastAsia="宋体" w:cs="Times New Roman"/>
          <w:b w:val="0"/>
          <w:bCs w:val="0"/>
          <w:color w:val="0000FF"/>
          <w:kern w:val="2"/>
          <w:sz w:val="24"/>
          <w:szCs w:val="22"/>
          <w:lang w:val="en-US" w:eastAsia="zh-CN" w:bidi="ar-SA"/>
        </w:rPr>
        <w:t>施工过程产生的污染物主要为扬尘、噪声、固体废物等</w:t>
      </w:r>
      <w:r>
        <w:rPr>
          <w:rFonts w:hint="eastAsia" w:ascii="Times New Roman" w:hAnsi="Times New Roman" w:eastAsia="宋体" w:cs="Times New Roman"/>
          <w:b w:val="0"/>
          <w:bCs w:val="0"/>
          <w:color w:val="0000FF"/>
          <w:kern w:val="2"/>
          <w:sz w:val="24"/>
          <w:szCs w:val="22"/>
          <w:lang w:val="en-US" w:eastAsia="zh-CN" w:bidi="ar-SA"/>
        </w:rPr>
        <w:t>。</w:t>
      </w:r>
    </w:p>
    <w:p w14:paraId="4237BC61">
      <w:pPr>
        <w:adjustRightInd w:val="0"/>
        <w:snapToGrid w:val="0"/>
        <w:spacing w:line="360" w:lineRule="auto"/>
        <w:ind w:firstLine="482" w:firstLineChars="200"/>
        <w:rPr>
          <w:rFonts w:ascii="Times New Roman" w:hAnsi="Times New Roman" w:eastAsia="宋体"/>
          <w:b/>
          <w:color w:val="0000FF"/>
          <w:sz w:val="24"/>
          <w:szCs w:val="24"/>
        </w:rPr>
      </w:pPr>
      <w:r>
        <w:rPr>
          <w:rFonts w:ascii="Times New Roman" w:hAnsi="Times New Roman" w:eastAsia="宋体"/>
          <w:b/>
          <w:color w:val="0000FF"/>
          <w:sz w:val="24"/>
          <w:szCs w:val="24"/>
        </w:rPr>
        <w:t>2、运营期</w:t>
      </w:r>
    </w:p>
    <w:p w14:paraId="454F737A">
      <w:pPr>
        <w:pStyle w:val="4"/>
        <w:adjustRightInd w:val="0"/>
        <w:snapToGrid w:val="0"/>
        <w:spacing w:line="360" w:lineRule="auto"/>
        <w:ind w:firstLine="482"/>
        <w:rPr>
          <w:rFonts w:ascii="Times New Roman" w:hAnsi="Times New Roman"/>
          <w:color w:val="0000FF"/>
        </w:rPr>
      </w:pPr>
      <w:r>
        <w:rPr>
          <w:rFonts w:ascii="Times New Roman" w:hAnsi="Times New Roman" w:eastAsia="宋体"/>
          <w:b/>
          <w:bCs/>
          <w:color w:val="0000FF"/>
          <w:sz w:val="24"/>
        </w:rPr>
        <w:t>2.1</w:t>
      </w:r>
      <w:r>
        <w:rPr>
          <w:rFonts w:hint="eastAsia" w:ascii="Times New Roman" w:hAnsi="Times New Roman" w:eastAsia="宋体"/>
          <w:b/>
          <w:bCs/>
          <w:color w:val="0000FF"/>
          <w:sz w:val="24"/>
          <w:lang w:eastAsia="zh-CN"/>
        </w:rPr>
        <w:t>废机油回收</w:t>
      </w:r>
      <w:r>
        <w:rPr>
          <w:rFonts w:ascii="Times New Roman" w:hAnsi="Times New Roman" w:eastAsia="宋体"/>
          <w:b/>
          <w:bCs/>
          <w:color w:val="0000FF"/>
          <w:sz w:val="24"/>
        </w:rPr>
        <w:t>工艺</w:t>
      </w:r>
    </w:p>
    <w:p w14:paraId="470605A3">
      <w:pPr>
        <w:ind w:firstLine="1050" w:firstLineChars="500"/>
        <w:jc w:val="left"/>
        <w:rPr>
          <w:rFonts w:ascii="Times New Roman" w:hAnsi="Times New Roman"/>
          <w:color w:val="0000FF"/>
        </w:rPr>
      </w:pPr>
      <w:r>
        <w:rPr>
          <w:rFonts w:ascii="Times New Roman" w:hAnsi="Times New Roman"/>
          <w:color w:val="0000FF"/>
        </w:rPr>
        <w:t>废机油</w:t>
      </w:r>
    </w:p>
    <w:p w14:paraId="045AC865">
      <w:pPr>
        <w:pStyle w:val="2"/>
        <w:tabs>
          <w:tab w:val="left" w:pos="4279"/>
        </w:tabs>
        <w:spacing w:before="111"/>
        <w:ind w:left="3496"/>
        <w:outlineLvl w:val="2"/>
        <w:rPr>
          <w:rFonts w:ascii="Times New Roman" w:hAnsi="Times New Roman" w:eastAsia="宋体"/>
          <w:color w:val="0000FF"/>
          <w:sz w:val="24"/>
        </w:rPr>
      </w:pPr>
      <w:r>
        <w:rPr>
          <w:color w:val="0000FF"/>
          <w:sz w:val="32"/>
        </w:rPr>
        <mc:AlternateContent>
          <mc:Choice Requires="wps">
            <w:drawing>
              <wp:anchor distT="0" distB="0" distL="114300" distR="114300" simplePos="0" relativeHeight="251665408" behindDoc="0" locked="0" layoutInCell="1" allowOverlap="1">
                <wp:simplePos x="0" y="0"/>
                <wp:positionH relativeFrom="column">
                  <wp:posOffset>2672715</wp:posOffset>
                </wp:positionH>
                <wp:positionV relativeFrom="paragraph">
                  <wp:posOffset>2107565</wp:posOffset>
                </wp:positionV>
                <wp:extent cx="960755" cy="285750"/>
                <wp:effectExtent l="4445" t="4445" r="6350" b="14605"/>
                <wp:wrapNone/>
                <wp:docPr id="34" name="文本框 34"/>
                <wp:cNvGraphicFramePr/>
                <a:graphic xmlns:a="http://schemas.openxmlformats.org/drawingml/2006/main">
                  <a:graphicData uri="http://schemas.microsoft.com/office/word/2010/wordprocessingShape">
                    <wps:wsp>
                      <wps:cNvSpPr txBox="1"/>
                      <wps:spPr>
                        <a:xfrm>
                          <a:off x="0" y="0"/>
                          <a:ext cx="960755" cy="28575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AAD760D">
                            <w:pPr>
                              <w:rPr>
                                <w:rFonts w:hint="eastAsia" w:eastAsia="宋体"/>
                                <w:lang w:eastAsia="zh-CN"/>
                              </w:rPr>
                            </w:pPr>
                            <w:r>
                              <w:rPr>
                                <w:rFonts w:hint="eastAsia"/>
                                <w:lang w:eastAsia="zh-CN"/>
                              </w:rPr>
                              <w:t>非甲烷总烃</w:t>
                            </w:r>
                          </w:p>
                        </w:txbxContent>
                      </wps:txbx>
                      <wps:bodyPr upright="1"/>
                    </wps:wsp>
                  </a:graphicData>
                </a:graphic>
              </wp:anchor>
            </w:drawing>
          </mc:Choice>
          <mc:Fallback>
            <w:pict>
              <v:shape id="_x0000_s1026" o:spid="_x0000_s1026" o:spt="202" type="#_x0000_t202" style="position:absolute;left:0pt;margin-left:210.45pt;margin-top:165.95pt;height:22.5pt;width:75.65pt;z-index:251665408;mso-width-relative:page;mso-height-relative:page;" fillcolor="#FFFFFF" filled="t" stroked="t" coordsize="21600,21600" o:gfxdata="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j7Op62gAAAAsBAAAPAAAAAAAAAAEA&#10;IAAAACIAAABkcnMvZG93bnJldi54bWxQSwECFAAUAAAACACHTuJADGVrJQ0CAAA3BAAADgAAAAAA&#10;AAABACAAAAApAQAAZHJzL2Uyb0RvYy54bWxQSwUGAAAAAAYABgBZAQAAqAUAAAAA&#10;">
                <v:fill on="t" focussize="0,0"/>
                <v:stroke color="#000000" joinstyle="miter"/>
                <v:imagedata o:title=""/>
                <o:lock v:ext="edit" aspectratio="f"/>
                <v:textbox>
                  <w:txbxContent>
                    <w:p w14:paraId="4AAD760D">
                      <w:pPr>
                        <w:rPr>
                          <w:rFonts w:hint="eastAsia" w:eastAsia="宋体"/>
                          <w:lang w:eastAsia="zh-CN"/>
                        </w:rPr>
                      </w:pPr>
                      <w:r>
                        <w:rPr>
                          <w:rFonts w:hint="eastAsia"/>
                          <w:lang w:eastAsia="zh-CN"/>
                        </w:rPr>
                        <w:t>非甲烷总烃</w:t>
                      </w:r>
                    </w:p>
                  </w:txbxContent>
                </v:textbox>
              </v:shape>
            </w:pict>
          </mc:Fallback>
        </mc:AlternateContent>
      </w:r>
      <w:r>
        <w:rPr>
          <w:color w:val="0000FF"/>
          <w:sz w:val="32"/>
        </w:rPr>
        <mc:AlternateContent>
          <mc:Choice Requires="wps">
            <w:drawing>
              <wp:anchor distT="0" distB="0" distL="114300" distR="114300" simplePos="0" relativeHeight="251664384" behindDoc="0" locked="0" layoutInCell="1" allowOverlap="1">
                <wp:simplePos x="0" y="0"/>
                <wp:positionH relativeFrom="column">
                  <wp:posOffset>1463040</wp:posOffset>
                </wp:positionH>
                <wp:positionV relativeFrom="paragraph">
                  <wp:posOffset>193040</wp:posOffset>
                </wp:positionV>
                <wp:extent cx="960755" cy="285750"/>
                <wp:effectExtent l="4445" t="4445" r="6350" b="14605"/>
                <wp:wrapNone/>
                <wp:docPr id="33" name="文本框 33"/>
                <wp:cNvGraphicFramePr/>
                <a:graphic xmlns:a="http://schemas.openxmlformats.org/drawingml/2006/main">
                  <a:graphicData uri="http://schemas.microsoft.com/office/word/2010/wordprocessingShape">
                    <wps:wsp>
                      <wps:cNvSpPr txBox="1"/>
                      <wps:spPr>
                        <a:xfrm>
                          <a:off x="0" y="0"/>
                          <a:ext cx="960755" cy="28575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0B58621">
                            <w:pPr>
                              <w:rPr>
                                <w:rFonts w:hint="eastAsia" w:eastAsia="宋体"/>
                                <w:lang w:eastAsia="zh-CN"/>
                              </w:rPr>
                            </w:pPr>
                            <w:r>
                              <w:rPr>
                                <w:rFonts w:hint="eastAsia"/>
                                <w:lang w:eastAsia="zh-CN"/>
                              </w:rPr>
                              <w:t>非甲烷总烃</w:t>
                            </w:r>
                          </w:p>
                        </w:txbxContent>
                      </wps:txbx>
                      <wps:bodyPr upright="1"/>
                    </wps:wsp>
                  </a:graphicData>
                </a:graphic>
              </wp:anchor>
            </w:drawing>
          </mc:Choice>
          <mc:Fallback>
            <w:pict>
              <v:shape id="_x0000_s1026" o:spid="_x0000_s1026" o:spt="202" type="#_x0000_t202" style="position:absolute;left:0pt;margin-left:115.2pt;margin-top:15.2pt;height:22.5pt;width:75.65pt;z-index:251664384;mso-width-relative:page;mso-height-relative:page;" fillcolor="#FFFFFF" filled="t" stroked="t" coordsize="21600,21600" o:gfxdata="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L/mDN9gAAAAJAQAADwAAAAAAAAABACAA&#10;AAAiAAAAZHJzL2Rvd25yZXYueG1sUEsBAhQAFAAAAAgAh07iQCW6M4kNAgAANwQAAA4AAAAAAAAA&#10;AQAgAAAAJwEAAGRycy9lMm9Eb2MueG1sUEsFBgAAAAAGAAYAWQEAAKYFAAAAAA==&#10;">
                <v:fill on="t" focussize="0,0"/>
                <v:stroke color="#000000" joinstyle="miter"/>
                <v:imagedata o:title=""/>
                <o:lock v:ext="edit" aspectratio="f"/>
                <v:textbox>
                  <w:txbxContent>
                    <w:p w14:paraId="50B58621">
                      <w:pPr>
                        <w:rPr>
                          <w:rFonts w:hint="eastAsia" w:eastAsia="宋体"/>
                          <w:lang w:eastAsia="zh-CN"/>
                        </w:rPr>
                      </w:pPr>
                      <w:r>
                        <w:rPr>
                          <w:rFonts w:hint="eastAsia"/>
                          <w:lang w:eastAsia="zh-CN"/>
                        </w:rPr>
                        <w:t>非甲烷总烃</w:t>
                      </w:r>
                    </w:p>
                  </w:txbxContent>
                </v:textbox>
              </v:shape>
            </w:pict>
          </mc:Fallback>
        </mc:AlternateContent>
      </w:r>
      <w:r>
        <w:rPr>
          <w:color w:val="0000FF"/>
          <w:sz w:val="32"/>
        </w:rPr>
        <mc:AlternateContent>
          <mc:Choice Requires="wps">
            <w:drawing>
              <wp:anchor distT="0" distB="0" distL="114300" distR="114300" simplePos="0" relativeHeight="251663360" behindDoc="0" locked="0" layoutInCell="1" allowOverlap="1">
                <wp:simplePos x="0" y="0"/>
                <wp:positionH relativeFrom="column">
                  <wp:posOffset>3910965</wp:posOffset>
                </wp:positionH>
                <wp:positionV relativeFrom="paragraph">
                  <wp:posOffset>154940</wp:posOffset>
                </wp:positionV>
                <wp:extent cx="960755" cy="285750"/>
                <wp:effectExtent l="4445" t="4445" r="6350" b="14605"/>
                <wp:wrapNone/>
                <wp:docPr id="35" name="文本框 35"/>
                <wp:cNvGraphicFramePr/>
                <a:graphic xmlns:a="http://schemas.openxmlformats.org/drawingml/2006/main">
                  <a:graphicData uri="http://schemas.microsoft.com/office/word/2010/wordprocessingShape">
                    <wps:wsp>
                      <wps:cNvSpPr txBox="1"/>
                      <wps:spPr>
                        <a:xfrm>
                          <a:off x="0" y="0"/>
                          <a:ext cx="960755" cy="28575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0A83CBA">
                            <w:pPr>
                              <w:rPr>
                                <w:rFonts w:hint="eastAsia" w:eastAsia="宋体"/>
                                <w:lang w:eastAsia="zh-CN"/>
                              </w:rPr>
                            </w:pPr>
                            <w:r>
                              <w:rPr>
                                <w:rFonts w:hint="eastAsia"/>
                                <w:lang w:eastAsia="zh-CN"/>
                              </w:rPr>
                              <w:t>非甲烷总烃</w:t>
                            </w:r>
                          </w:p>
                        </w:txbxContent>
                      </wps:txbx>
                      <wps:bodyPr upright="1"/>
                    </wps:wsp>
                  </a:graphicData>
                </a:graphic>
              </wp:anchor>
            </w:drawing>
          </mc:Choice>
          <mc:Fallback>
            <w:pict>
              <v:shape id="_x0000_s1026" o:spid="_x0000_s1026" o:spt="202" type="#_x0000_t202" style="position:absolute;left:0pt;margin-left:307.95pt;margin-top:12.2pt;height:22.5pt;width:75.65pt;z-index:251663360;mso-width-relative:page;mso-height-relative:page;" fillcolor="#FFFFFF" filled="t" stroked="t" coordsize="21600,21600" o:gfxdata="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KGIGJXZAAAACQEAAA8AAAAAAAAAAQAg&#10;AAAAIgAAAGRycy9kb3ducmV2LnhtbFBLAQIUABQAAAAIAIdO4kBC+fPTDQIAADcEAAAOAAAAAAAA&#10;AAEAIAAAACgBAABkcnMvZTJvRG9jLnhtbFBLBQYAAAAABgAGAFkBAACnBQAAAAA=&#10;">
                <v:fill on="t" focussize="0,0"/>
                <v:stroke color="#000000" joinstyle="miter"/>
                <v:imagedata o:title=""/>
                <o:lock v:ext="edit" aspectratio="f"/>
                <v:textbox>
                  <w:txbxContent>
                    <w:p w14:paraId="30A83CBA">
                      <w:pPr>
                        <w:rPr>
                          <w:rFonts w:hint="eastAsia" w:eastAsia="宋体"/>
                          <w:lang w:eastAsia="zh-CN"/>
                        </w:rPr>
                      </w:pPr>
                      <w:r>
                        <w:rPr>
                          <w:rFonts w:hint="eastAsia"/>
                          <w:lang w:eastAsia="zh-CN"/>
                        </w:rPr>
                        <w:t>非甲烷总烃</w:t>
                      </w:r>
                    </w:p>
                  </w:txbxContent>
                </v:textbox>
              </v:shape>
            </w:pict>
          </mc:Fallback>
        </mc:AlternateContent>
      </w:r>
      <w:r>
        <w:rPr>
          <w:color w:val="0000FF"/>
          <w:sz w:val="32"/>
        </w:rPr>
        <mc:AlternateContent>
          <mc:Choice Requires="wps">
            <w:drawing>
              <wp:anchor distT="0" distB="0" distL="114300" distR="114300" simplePos="0" relativeHeight="251661312" behindDoc="0" locked="0" layoutInCell="1" allowOverlap="1">
                <wp:simplePos x="0" y="0"/>
                <wp:positionH relativeFrom="column">
                  <wp:posOffset>2755900</wp:posOffset>
                </wp:positionH>
                <wp:positionV relativeFrom="paragraph">
                  <wp:posOffset>2077085</wp:posOffset>
                </wp:positionV>
                <wp:extent cx="781050" cy="276225"/>
                <wp:effectExtent l="0" t="0" r="0" b="9525"/>
                <wp:wrapNone/>
                <wp:docPr id="36" name="文本框 36"/>
                <wp:cNvGraphicFramePr/>
                <a:graphic xmlns:a="http://schemas.openxmlformats.org/drawingml/2006/main">
                  <a:graphicData uri="http://schemas.microsoft.com/office/word/2010/wordprocessingShape">
                    <wps:wsp>
                      <wps:cNvSpPr txBox="1"/>
                      <wps:spPr>
                        <a:xfrm>
                          <a:off x="0" y="0"/>
                          <a:ext cx="781050" cy="276225"/>
                        </a:xfrm>
                        <a:prstGeom prst="rect">
                          <a:avLst/>
                        </a:prstGeom>
                        <a:solidFill>
                          <a:srgbClr val="FFFFFF"/>
                        </a:solidFill>
                        <a:ln>
                          <a:noFill/>
                        </a:ln>
                      </wps:spPr>
                      <wps:txbx>
                        <w:txbxContent>
                          <w:p w14:paraId="3551986A">
                            <w:pPr>
                              <w:rPr>
                                <w:rFonts w:hint="eastAsia" w:eastAsia="宋体"/>
                                <w:lang w:eastAsia="zh-CN"/>
                              </w:rPr>
                            </w:pPr>
                            <w:r>
                              <w:rPr>
                                <w:rFonts w:hint="eastAsia"/>
                                <w:lang w:eastAsia="zh-CN"/>
                              </w:rPr>
                              <w:t>挥发废气</w:t>
                            </w:r>
                          </w:p>
                        </w:txbxContent>
                      </wps:txbx>
                      <wps:bodyPr upright="1"/>
                    </wps:wsp>
                  </a:graphicData>
                </a:graphic>
              </wp:anchor>
            </w:drawing>
          </mc:Choice>
          <mc:Fallback>
            <w:pict>
              <v:shape id="_x0000_s1026" o:spid="_x0000_s1026" o:spt="202" type="#_x0000_t202" style="position:absolute;left:0pt;margin-left:217pt;margin-top:163.55pt;height:21.75pt;width:61.5pt;z-index:251661312;mso-width-relative:page;mso-height-relative:page;" fillcolor="#FFFFFF" filled="t" stroked="f" coordsize="21600,21600" o:gfxdata="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H0ee92AAAAAsBAAAPAAAAAAAAAAEAIAAAACIAAABkcnMvZG93bnJldi54&#10;bWxQSwECFAAUAAAACACHTuJAsRNnMMEBAAB4AwAADgAAAAAAAAABACAAAAAnAQAAZHJzL2Uyb0Rv&#10;Yy54bWxQSwUGAAAAAAYABgBZAQAAWgUAAAAA&#10;">
                <v:fill on="t" focussize="0,0"/>
                <v:stroke on="f"/>
                <v:imagedata o:title=""/>
                <o:lock v:ext="edit" aspectratio="f"/>
                <v:textbox>
                  <w:txbxContent>
                    <w:p w14:paraId="3551986A">
                      <w:pPr>
                        <w:rPr>
                          <w:rFonts w:hint="eastAsia" w:eastAsia="宋体"/>
                          <w:lang w:eastAsia="zh-CN"/>
                        </w:rPr>
                      </w:pPr>
                      <w:r>
                        <w:rPr>
                          <w:rFonts w:hint="eastAsia"/>
                          <w:lang w:eastAsia="zh-CN"/>
                        </w:rPr>
                        <w:t>挥发废气</w:t>
                      </w:r>
                    </w:p>
                  </w:txbxContent>
                </v:textbox>
              </v:shape>
            </w:pict>
          </mc:Fallback>
        </mc:AlternateContent>
      </w:r>
      <w:r>
        <w:rPr>
          <w:color w:val="0000FF"/>
          <w:sz w:val="32"/>
        </w:rPr>
        <mc:AlternateContent>
          <mc:Choice Requires="wps">
            <w:drawing>
              <wp:anchor distT="0" distB="0" distL="114300" distR="114300" simplePos="0" relativeHeight="251660288" behindDoc="0" locked="0" layoutInCell="1" allowOverlap="1">
                <wp:simplePos x="0" y="0"/>
                <wp:positionH relativeFrom="column">
                  <wp:posOffset>3022600</wp:posOffset>
                </wp:positionH>
                <wp:positionV relativeFrom="paragraph">
                  <wp:posOffset>1858010</wp:posOffset>
                </wp:positionV>
                <wp:extent cx="635" cy="219075"/>
                <wp:effectExtent l="37465" t="0" r="38100" b="9525"/>
                <wp:wrapNone/>
                <wp:docPr id="37" name="直接连接符 37"/>
                <wp:cNvGraphicFramePr/>
                <a:graphic xmlns:a="http://schemas.openxmlformats.org/drawingml/2006/main">
                  <a:graphicData uri="http://schemas.microsoft.com/office/word/2010/wordprocessingShape">
                    <wps:wsp>
                      <wps:cNvCnPr/>
                      <wps:spPr>
                        <a:xfrm>
                          <a:off x="0" y="0"/>
                          <a:ext cx="635" cy="219075"/>
                        </a:xfrm>
                        <a:prstGeom prst="line">
                          <a:avLst/>
                        </a:prstGeom>
                        <a:ln w="9525" cap="flat" cmpd="sng">
                          <a:solidFill>
                            <a:srgbClr val="000000"/>
                          </a:solidFill>
                          <a:prstDash val="dash"/>
                          <a:headEnd type="none" w="med" len="med"/>
                          <a:tailEnd type="triangle" w="med" len="med"/>
                        </a:ln>
                      </wps:spPr>
                      <wps:bodyPr upright="1"/>
                    </wps:wsp>
                  </a:graphicData>
                </a:graphic>
              </wp:anchor>
            </w:drawing>
          </mc:Choice>
          <mc:Fallback>
            <w:pict>
              <v:line id="_x0000_s1026" o:spid="_x0000_s1026" o:spt="20" style="position:absolute;left:0pt;margin-left:238pt;margin-top:146.3pt;height:17.25pt;width:0.05pt;z-index:251660288;mso-width-relative:page;mso-height-relative:page;" filled="f" stroked="t" coordsize="21600,21600" o:gfxdata="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LCKNWDcAAAACwEAAA8AAAAAAAAAAQAgAAAAIgAAAGRycy9k&#10;b3ducmV2LnhtbFBLAQIUABQAAAAIAIdO4kCs7wUD/gEAAOoDAAAOAAAAAAAAAAEAIAAAACsBAABk&#10;cnMvZTJvRG9jLnhtbFBLBQYAAAAABgAGAFkBAACbBQAAAAA=&#10;">
                <v:fill on="f" focussize="0,0"/>
                <v:stroke color="#000000" joinstyle="round" dashstyle="dash" endarrow="block"/>
                <v:imagedata o:title=""/>
                <o:lock v:ext="edit" aspectratio="f"/>
              </v:line>
            </w:pict>
          </mc:Fallback>
        </mc:AlternateContent>
      </w:r>
      <w:r>
        <w:rPr>
          <w:rFonts w:ascii="Times New Roman" w:hAnsi="Times New Roman"/>
          <w:color w:val="0000FF"/>
        </w:rPr>
        <mc:AlternateContent>
          <mc:Choice Requires="wpg">
            <w:drawing>
              <wp:anchor distT="0" distB="0" distL="114300" distR="114300" simplePos="0" relativeHeight="251659264" behindDoc="1" locked="0" layoutInCell="1" allowOverlap="1">
                <wp:simplePos x="0" y="0"/>
                <wp:positionH relativeFrom="page">
                  <wp:posOffset>624205</wp:posOffset>
                </wp:positionH>
                <wp:positionV relativeFrom="paragraph">
                  <wp:posOffset>52070</wp:posOffset>
                </wp:positionV>
                <wp:extent cx="4076700" cy="1806575"/>
                <wp:effectExtent l="635" t="0" r="0" b="3175"/>
                <wp:wrapTopAndBottom/>
                <wp:docPr id="32" name="组合 32"/>
                <wp:cNvGraphicFramePr/>
                <a:graphic xmlns:a="http://schemas.openxmlformats.org/drawingml/2006/main">
                  <a:graphicData uri="http://schemas.microsoft.com/office/word/2010/wordprocessingGroup">
                    <wpg:wgp>
                      <wpg:cNvGrpSpPr/>
                      <wpg:grpSpPr>
                        <a:xfrm>
                          <a:off x="0" y="0"/>
                          <a:ext cx="4076700" cy="1806575"/>
                          <a:chOff x="2619" y="364"/>
                          <a:chExt cx="6420" cy="2845"/>
                        </a:xfrm>
                      </wpg:grpSpPr>
                      <wps:wsp>
                        <wps:cNvPr id="2" name="任意多边形 2"/>
                        <wps:cNvSpPr/>
                        <wps:spPr>
                          <a:xfrm>
                            <a:off x="3676" y="1582"/>
                            <a:ext cx="525" cy="120"/>
                          </a:xfrm>
                          <a:custGeom>
                            <a:avLst/>
                            <a:gdLst/>
                            <a:ahLst/>
                            <a:cxnLst/>
                            <a:pathLst>
                              <a:path w="525" h="120">
                                <a:moveTo>
                                  <a:pt x="405" y="120"/>
                                </a:moveTo>
                                <a:lnTo>
                                  <a:pt x="405" y="0"/>
                                </a:lnTo>
                                <a:lnTo>
                                  <a:pt x="510" y="53"/>
                                </a:lnTo>
                                <a:lnTo>
                                  <a:pt x="435" y="53"/>
                                </a:lnTo>
                                <a:lnTo>
                                  <a:pt x="435" y="68"/>
                                </a:lnTo>
                                <a:lnTo>
                                  <a:pt x="510" y="68"/>
                                </a:lnTo>
                                <a:lnTo>
                                  <a:pt x="405" y="120"/>
                                </a:lnTo>
                                <a:close/>
                                <a:moveTo>
                                  <a:pt x="405" y="68"/>
                                </a:moveTo>
                                <a:lnTo>
                                  <a:pt x="0" y="68"/>
                                </a:lnTo>
                                <a:lnTo>
                                  <a:pt x="0" y="53"/>
                                </a:lnTo>
                                <a:lnTo>
                                  <a:pt x="405" y="53"/>
                                </a:lnTo>
                                <a:lnTo>
                                  <a:pt x="405" y="68"/>
                                </a:lnTo>
                                <a:close/>
                                <a:moveTo>
                                  <a:pt x="510" y="68"/>
                                </a:moveTo>
                                <a:lnTo>
                                  <a:pt x="435" y="68"/>
                                </a:lnTo>
                                <a:lnTo>
                                  <a:pt x="435" y="53"/>
                                </a:lnTo>
                                <a:lnTo>
                                  <a:pt x="510" y="53"/>
                                </a:lnTo>
                                <a:lnTo>
                                  <a:pt x="525" y="60"/>
                                </a:lnTo>
                                <a:lnTo>
                                  <a:pt x="510" y="68"/>
                                </a:lnTo>
                                <a:close/>
                              </a:path>
                            </a:pathLst>
                          </a:custGeom>
                          <a:solidFill>
                            <a:srgbClr val="000000"/>
                          </a:solidFill>
                          <a:ln>
                            <a:noFill/>
                          </a:ln>
                        </wps:spPr>
                        <wps:bodyPr upright="1"/>
                      </wps:wsp>
                      <wps:wsp>
                        <wps:cNvPr id="3" name="任意多边形 3"/>
                        <wps:cNvSpPr/>
                        <wps:spPr>
                          <a:xfrm>
                            <a:off x="4193" y="1388"/>
                            <a:ext cx="1065" cy="482"/>
                          </a:xfrm>
                          <a:custGeom>
                            <a:avLst/>
                            <a:gdLst/>
                            <a:ahLst/>
                            <a:cxnLst/>
                            <a:pathLst>
                              <a:path w="1065" h="482">
                                <a:moveTo>
                                  <a:pt x="1065" y="482"/>
                                </a:moveTo>
                                <a:lnTo>
                                  <a:pt x="0" y="482"/>
                                </a:lnTo>
                                <a:lnTo>
                                  <a:pt x="0" y="0"/>
                                </a:lnTo>
                                <a:lnTo>
                                  <a:pt x="1065" y="0"/>
                                </a:lnTo>
                                <a:lnTo>
                                  <a:pt x="1065" y="7"/>
                                </a:lnTo>
                                <a:lnTo>
                                  <a:pt x="15" y="7"/>
                                </a:lnTo>
                                <a:lnTo>
                                  <a:pt x="7" y="15"/>
                                </a:lnTo>
                                <a:lnTo>
                                  <a:pt x="15" y="15"/>
                                </a:lnTo>
                                <a:lnTo>
                                  <a:pt x="15" y="467"/>
                                </a:lnTo>
                                <a:lnTo>
                                  <a:pt x="7" y="467"/>
                                </a:lnTo>
                                <a:lnTo>
                                  <a:pt x="15" y="474"/>
                                </a:lnTo>
                                <a:lnTo>
                                  <a:pt x="1065" y="474"/>
                                </a:lnTo>
                                <a:lnTo>
                                  <a:pt x="1065" y="482"/>
                                </a:lnTo>
                                <a:close/>
                                <a:moveTo>
                                  <a:pt x="15" y="15"/>
                                </a:moveTo>
                                <a:lnTo>
                                  <a:pt x="7" y="15"/>
                                </a:lnTo>
                                <a:lnTo>
                                  <a:pt x="15" y="7"/>
                                </a:lnTo>
                                <a:lnTo>
                                  <a:pt x="15" y="15"/>
                                </a:lnTo>
                                <a:close/>
                                <a:moveTo>
                                  <a:pt x="1050" y="15"/>
                                </a:moveTo>
                                <a:lnTo>
                                  <a:pt x="15" y="15"/>
                                </a:lnTo>
                                <a:lnTo>
                                  <a:pt x="15" y="7"/>
                                </a:lnTo>
                                <a:lnTo>
                                  <a:pt x="1050" y="7"/>
                                </a:lnTo>
                                <a:lnTo>
                                  <a:pt x="1050" y="15"/>
                                </a:lnTo>
                                <a:close/>
                                <a:moveTo>
                                  <a:pt x="1050" y="474"/>
                                </a:moveTo>
                                <a:lnTo>
                                  <a:pt x="1050" y="7"/>
                                </a:lnTo>
                                <a:lnTo>
                                  <a:pt x="1057" y="15"/>
                                </a:lnTo>
                                <a:lnTo>
                                  <a:pt x="1065" y="15"/>
                                </a:lnTo>
                                <a:lnTo>
                                  <a:pt x="1065" y="467"/>
                                </a:lnTo>
                                <a:lnTo>
                                  <a:pt x="1057" y="467"/>
                                </a:lnTo>
                                <a:lnTo>
                                  <a:pt x="1050" y="474"/>
                                </a:lnTo>
                                <a:close/>
                                <a:moveTo>
                                  <a:pt x="1065" y="15"/>
                                </a:moveTo>
                                <a:lnTo>
                                  <a:pt x="1057" y="15"/>
                                </a:lnTo>
                                <a:lnTo>
                                  <a:pt x="1050" y="7"/>
                                </a:lnTo>
                                <a:lnTo>
                                  <a:pt x="1065" y="7"/>
                                </a:lnTo>
                                <a:lnTo>
                                  <a:pt x="1065" y="15"/>
                                </a:lnTo>
                                <a:close/>
                                <a:moveTo>
                                  <a:pt x="15" y="474"/>
                                </a:moveTo>
                                <a:lnTo>
                                  <a:pt x="7" y="467"/>
                                </a:lnTo>
                                <a:lnTo>
                                  <a:pt x="15" y="467"/>
                                </a:lnTo>
                                <a:lnTo>
                                  <a:pt x="15" y="474"/>
                                </a:lnTo>
                                <a:close/>
                                <a:moveTo>
                                  <a:pt x="1050" y="474"/>
                                </a:moveTo>
                                <a:lnTo>
                                  <a:pt x="15" y="474"/>
                                </a:lnTo>
                                <a:lnTo>
                                  <a:pt x="15" y="467"/>
                                </a:lnTo>
                                <a:lnTo>
                                  <a:pt x="1050" y="467"/>
                                </a:lnTo>
                                <a:lnTo>
                                  <a:pt x="1050" y="474"/>
                                </a:lnTo>
                                <a:close/>
                                <a:moveTo>
                                  <a:pt x="1065" y="474"/>
                                </a:moveTo>
                                <a:lnTo>
                                  <a:pt x="1050" y="474"/>
                                </a:lnTo>
                                <a:lnTo>
                                  <a:pt x="1057" y="467"/>
                                </a:lnTo>
                                <a:lnTo>
                                  <a:pt x="1065" y="467"/>
                                </a:lnTo>
                                <a:lnTo>
                                  <a:pt x="1065" y="474"/>
                                </a:lnTo>
                                <a:close/>
                              </a:path>
                            </a:pathLst>
                          </a:custGeom>
                          <a:solidFill>
                            <a:srgbClr val="000000"/>
                          </a:solidFill>
                          <a:ln>
                            <a:noFill/>
                          </a:ln>
                        </wps:spPr>
                        <wps:bodyPr upright="1"/>
                      </wps:wsp>
                      <wps:wsp>
                        <wps:cNvPr id="4" name="任意多边形 4"/>
                        <wps:cNvSpPr/>
                        <wps:spPr>
                          <a:xfrm>
                            <a:off x="5250" y="1553"/>
                            <a:ext cx="631" cy="120"/>
                          </a:xfrm>
                          <a:custGeom>
                            <a:avLst/>
                            <a:gdLst/>
                            <a:ahLst/>
                            <a:cxnLst/>
                            <a:pathLst>
                              <a:path w="631" h="120">
                                <a:moveTo>
                                  <a:pt x="615" y="68"/>
                                </a:moveTo>
                                <a:lnTo>
                                  <a:pt x="540" y="68"/>
                                </a:lnTo>
                                <a:lnTo>
                                  <a:pt x="540" y="53"/>
                                </a:lnTo>
                                <a:lnTo>
                                  <a:pt x="510" y="53"/>
                                </a:lnTo>
                                <a:lnTo>
                                  <a:pt x="510" y="0"/>
                                </a:lnTo>
                                <a:lnTo>
                                  <a:pt x="630" y="60"/>
                                </a:lnTo>
                                <a:lnTo>
                                  <a:pt x="615" y="68"/>
                                </a:lnTo>
                                <a:close/>
                                <a:moveTo>
                                  <a:pt x="510" y="68"/>
                                </a:moveTo>
                                <a:lnTo>
                                  <a:pt x="0" y="67"/>
                                </a:lnTo>
                                <a:lnTo>
                                  <a:pt x="0" y="52"/>
                                </a:lnTo>
                                <a:lnTo>
                                  <a:pt x="510" y="53"/>
                                </a:lnTo>
                                <a:lnTo>
                                  <a:pt x="510" y="68"/>
                                </a:lnTo>
                                <a:close/>
                                <a:moveTo>
                                  <a:pt x="540" y="68"/>
                                </a:moveTo>
                                <a:lnTo>
                                  <a:pt x="510" y="68"/>
                                </a:lnTo>
                                <a:lnTo>
                                  <a:pt x="510" y="53"/>
                                </a:lnTo>
                                <a:lnTo>
                                  <a:pt x="540" y="53"/>
                                </a:lnTo>
                                <a:lnTo>
                                  <a:pt x="540" y="68"/>
                                </a:lnTo>
                                <a:close/>
                                <a:moveTo>
                                  <a:pt x="510" y="120"/>
                                </a:moveTo>
                                <a:lnTo>
                                  <a:pt x="510" y="68"/>
                                </a:lnTo>
                                <a:lnTo>
                                  <a:pt x="615" y="68"/>
                                </a:lnTo>
                                <a:lnTo>
                                  <a:pt x="510" y="120"/>
                                </a:lnTo>
                                <a:close/>
                              </a:path>
                            </a:pathLst>
                          </a:custGeom>
                          <a:solidFill>
                            <a:srgbClr val="000000"/>
                          </a:solidFill>
                          <a:ln>
                            <a:noFill/>
                          </a:ln>
                        </wps:spPr>
                        <wps:bodyPr upright="1"/>
                      </wps:wsp>
                      <wps:wsp>
                        <wps:cNvPr id="5" name="任意多边形 5"/>
                        <wps:cNvSpPr/>
                        <wps:spPr>
                          <a:xfrm>
                            <a:off x="5873" y="1367"/>
                            <a:ext cx="1275" cy="482"/>
                          </a:xfrm>
                          <a:custGeom>
                            <a:avLst/>
                            <a:gdLst/>
                            <a:ahLst/>
                            <a:cxnLst/>
                            <a:pathLst>
                              <a:path w="1275" h="482">
                                <a:moveTo>
                                  <a:pt x="1275" y="482"/>
                                </a:moveTo>
                                <a:lnTo>
                                  <a:pt x="0" y="482"/>
                                </a:lnTo>
                                <a:lnTo>
                                  <a:pt x="0" y="0"/>
                                </a:lnTo>
                                <a:lnTo>
                                  <a:pt x="1275" y="0"/>
                                </a:lnTo>
                                <a:lnTo>
                                  <a:pt x="1275" y="7"/>
                                </a:lnTo>
                                <a:lnTo>
                                  <a:pt x="15" y="7"/>
                                </a:lnTo>
                                <a:lnTo>
                                  <a:pt x="7" y="15"/>
                                </a:lnTo>
                                <a:lnTo>
                                  <a:pt x="15" y="15"/>
                                </a:lnTo>
                                <a:lnTo>
                                  <a:pt x="15" y="467"/>
                                </a:lnTo>
                                <a:lnTo>
                                  <a:pt x="7" y="467"/>
                                </a:lnTo>
                                <a:lnTo>
                                  <a:pt x="15" y="474"/>
                                </a:lnTo>
                                <a:lnTo>
                                  <a:pt x="1275" y="474"/>
                                </a:lnTo>
                                <a:lnTo>
                                  <a:pt x="1275" y="482"/>
                                </a:lnTo>
                                <a:close/>
                                <a:moveTo>
                                  <a:pt x="15" y="15"/>
                                </a:moveTo>
                                <a:lnTo>
                                  <a:pt x="7" y="15"/>
                                </a:lnTo>
                                <a:lnTo>
                                  <a:pt x="15" y="7"/>
                                </a:lnTo>
                                <a:lnTo>
                                  <a:pt x="15" y="15"/>
                                </a:lnTo>
                                <a:close/>
                                <a:moveTo>
                                  <a:pt x="1260" y="15"/>
                                </a:moveTo>
                                <a:lnTo>
                                  <a:pt x="15" y="15"/>
                                </a:lnTo>
                                <a:lnTo>
                                  <a:pt x="15" y="7"/>
                                </a:lnTo>
                                <a:lnTo>
                                  <a:pt x="1260" y="7"/>
                                </a:lnTo>
                                <a:lnTo>
                                  <a:pt x="1260" y="15"/>
                                </a:lnTo>
                                <a:close/>
                                <a:moveTo>
                                  <a:pt x="1260" y="474"/>
                                </a:moveTo>
                                <a:lnTo>
                                  <a:pt x="1260" y="7"/>
                                </a:lnTo>
                                <a:lnTo>
                                  <a:pt x="1267" y="15"/>
                                </a:lnTo>
                                <a:lnTo>
                                  <a:pt x="1275" y="15"/>
                                </a:lnTo>
                                <a:lnTo>
                                  <a:pt x="1275" y="467"/>
                                </a:lnTo>
                                <a:lnTo>
                                  <a:pt x="1267" y="467"/>
                                </a:lnTo>
                                <a:lnTo>
                                  <a:pt x="1260" y="474"/>
                                </a:lnTo>
                                <a:close/>
                                <a:moveTo>
                                  <a:pt x="1275" y="15"/>
                                </a:moveTo>
                                <a:lnTo>
                                  <a:pt x="1267" y="15"/>
                                </a:lnTo>
                                <a:lnTo>
                                  <a:pt x="1260" y="7"/>
                                </a:lnTo>
                                <a:lnTo>
                                  <a:pt x="1275" y="7"/>
                                </a:lnTo>
                                <a:lnTo>
                                  <a:pt x="1275" y="15"/>
                                </a:lnTo>
                                <a:close/>
                                <a:moveTo>
                                  <a:pt x="15" y="474"/>
                                </a:moveTo>
                                <a:lnTo>
                                  <a:pt x="7" y="467"/>
                                </a:lnTo>
                                <a:lnTo>
                                  <a:pt x="15" y="467"/>
                                </a:lnTo>
                                <a:lnTo>
                                  <a:pt x="15" y="474"/>
                                </a:lnTo>
                                <a:close/>
                                <a:moveTo>
                                  <a:pt x="1260" y="474"/>
                                </a:moveTo>
                                <a:lnTo>
                                  <a:pt x="15" y="474"/>
                                </a:lnTo>
                                <a:lnTo>
                                  <a:pt x="15" y="467"/>
                                </a:lnTo>
                                <a:lnTo>
                                  <a:pt x="1260" y="467"/>
                                </a:lnTo>
                                <a:lnTo>
                                  <a:pt x="1260" y="474"/>
                                </a:lnTo>
                                <a:close/>
                                <a:moveTo>
                                  <a:pt x="1275" y="474"/>
                                </a:moveTo>
                                <a:lnTo>
                                  <a:pt x="1260" y="474"/>
                                </a:lnTo>
                                <a:lnTo>
                                  <a:pt x="1267" y="467"/>
                                </a:lnTo>
                                <a:lnTo>
                                  <a:pt x="1275" y="467"/>
                                </a:lnTo>
                                <a:lnTo>
                                  <a:pt x="1275" y="474"/>
                                </a:lnTo>
                                <a:close/>
                              </a:path>
                            </a:pathLst>
                          </a:custGeom>
                          <a:solidFill>
                            <a:srgbClr val="000000"/>
                          </a:solidFill>
                          <a:ln>
                            <a:noFill/>
                          </a:ln>
                        </wps:spPr>
                        <wps:bodyPr upright="1"/>
                      </wps:wsp>
                      <wps:wsp>
                        <wps:cNvPr id="6" name="任意多边形 6"/>
                        <wps:cNvSpPr/>
                        <wps:spPr>
                          <a:xfrm>
                            <a:off x="7763" y="1352"/>
                            <a:ext cx="1275" cy="482"/>
                          </a:xfrm>
                          <a:custGeom>
                            <a:avLst/>
                            <a:gdLst/>
                            <a:ahLst/>
                            <a:cxnLst/>
                            <a:pathLst>
                              <a:path w="1275" h="482">
                                <a:moveTo>
                                  <a:pt x="1275" y="482"/>
                                </a:moveTo>
                                <a:lnTo>
                                  <a:pt x="0" y="482"/>
                                </a:lnTo>
                                <a:lnTo>
                                  <a:pt x="0" y="0"/>
                                </a:lnTo>
                                <a:lnTo>
                                  <a:pt x="1275" y="0"/>
                                </a:lnTo>
                                <a:lnTo>
                                  <a:pt x="1275" y="7"/>
                                </a:lnTo>
                                <a:lnTo>
                                  <a:pt x="15" y="7"/>
                                </a:lnTo>
                                <a:lnTo>
                                  <a:pt x="7" y="15"/>
                                </a:lnTo>
                                <a:lnTo>
                                  <a:pt x="15" y="15"/>
                                </a:lnTo>
                                <a:lnTo>
                                  <a:pt x="15" y="467"/>
                                </a:lnTo>
                                <a:lnTo>
                                  <a:pt x="7" y="467"/>
                                </a:lnTo>
                                <a:lnTo>
                                  <a:pt x="15" y="474"/>
                                </a:lnTo>
                                <a:lnTo>
                                  <a:pt x="1275" y="474"/>
                                </a:lnTo>
                                <a:lnTo>
                                  <a:pt x="1275" y="482"/>
                                </a:lnTo>
                                <a:close/>
                                <a:moveTo>
                                  <a:pt x="15" y="15"/>
                                </a:moveTo>
                                <a:lnTo>
                                  <a:pt x="7" y="15"/>
                                </a:lnTo>
                                <a:lnTo>
                                  <a:pt x="15" y="7"/>
                                </a:lnTo>
                                <a:lnTo>
                                  <a:pt x="15" y="15"/>
                                </a:lnTo>
                                <a:close/>
                                <a:moveTo>
                                  <a:pt x="1260" y="15"/>
                                </a:moveTo>
                                <a:lnTo>
                                  <a:pt x="15" y="15"/>
                                </a:lnTo>
                                <a:lnTo>
                                  <a:pt x="15" y="7"/>
                                </a:lnTo>
                                <a:lnTo>
                                  <a:pt x="1260" y="7"/>
                                </a:lnTo>
                                <a:lnTo>
                                  <a:pt x="1260" y="15"/>
                                </a:lnTo>
                                <a:close/>
                                <a:moveTo>
                                  <a:pt x="1260" y="474"/>
                                </a:moveTo>
                                <a:lnTo>
                                  <a:pt x="1260" y="7"/>
                                </a:lnTo>
                                <a:lnTo>
                                  <a:pt x="1267" y="15"/>
                                </a:lnTo>
                                <a:lnTo>
                                  <a:pt x="1275" y="15"/>
                                </a:lnTo>
                                <a:lnTo>
                                  <a:pt x="1275" y="467"/>
                                </a:lnTo>
                                <a:lnTo>
                                  <a:pt x="1267" y="467"/>
                                </a:lnTo>
                                <a:lnTo>
                                  <a:pt x="1260" y="474"/>
                                </a:lnTo>
                                <a:close/>
                                <a:moveTo>
                                  <a:pt x="1275" y="15"/>
                                </a:moveTo>
                                <a:lnTo>
                                  <a:pt x="1267" y="15"/>
                                </a:lnTo>
                                <a:lnTo>
                                  <a:pt x="1260" y="7"/>
                                </a:lnTo>
                                <a:lnTo>
                                  <a:pt x="1275" y="7"/>
                                </a:lnTo>
                                <a:lnTo>
                                  <a:pt x="1275" y="15"/>
                                </a:lnTo>
                                <a:close/>
                                <a:moveTo>
                                  <a:pt x="15" y="474"/>
                                </a:moveTo>
                                <a:lnTo>
                                  <a:pt x="7" y="467"/>
                                </a:lnTo>
                                <a:lnTo>
                                  <a:pt x="15" y="467"/>
                                </a:lnTo>
                                <a:lnTo>
                                  <a:pt x="15" y="474"/>
                                </a:lnTo>
                                <a:close/>
                                <a:moveTo>
                                  <a:pt x="1260" y="474"/>
                                </a:moveTo>
                                <a:lnTo>
                                  <a:pt x="15" y="474"/>
                                </a:lnTo>
                                <a:lnTo>
                                  <a:pt x="15" y="467"/>
                                </a:lnTo>
                                <a:lnTo>
                                  <a:pt x="1260" y="467"/>
                                </a:lnTo>
                                <a:lnTo>
                                  <a:pt x="1260" y="474"/>
                                </a:lnTo>
                                <a:close/>
                                <a:moveTo>
                                  <a:pt x="1275" y="474"/>
                                </a:moveTo>
                                <a:lnTo>
                                  <a:pt x="1260" y="474"/>
                                </a:lnTo>
                                <a:lnTo>
                                  <a:pt x="1267" y="467"/>
                                </a:lnTo>
                                <a:lnTo>
                                  <a:pt x="1275" y="467"/>
                                </a:lnTo>
                                <a:lnTo>
                                  <a:pt x="1275" y="474"/>
                                </a:lnTo>
                                <a:close/>
                              </a:path>
                            </a:pathLst>
                          </a:custGeom>
                          <a:solidFill>
                            <a:srgbClr val="000000"/>
                          </a:solidFill>
                          <a:ln>
                            <a:noFill/>
                          </a:ln>
                        </wps:spPr>
                        <wps:bodyPr upright="1"/>
                      </wps:wsp>
                      <wps:wsp>
                        <wps:cNvPr id="7" name="任意多边形 7"/>
                        <wps:cNvSpPr/>
                        <wps:spPr>
                          <a:xfrm>
                            <a:off x="7155" y="1523"/>
                            <a:ext cx="631" cy="120"/>
                          </a:xfrm>
                          <a:custGeom>
                            <a:avLst/>
                            <a:gdLst/>
                            <a:ahLst/>
                            <a:cxnLst/>
                            <a:pathLst>
                              <a:path w="631" h="120">
                                <a:moveTo>
                                  <a:pt x="615" y="68"/>
                                </a:moveTo>
                                <a:lnTo>
                                  <a:pt x="540" y="68"/>
                                </a:lnTo>
                                <a:lnTo>
                                  <a:pt x="540" y="53"/>
                                </a:lnTo>
                                <a:lnTo>
                                  <a:pt x="510" y="53"/>
                                </a:lnTo>
                                <a:lnTo>
                                  <a:pt x="510" y="0"/>
                                </a:lnTo>
                                <a:lnTo>
                                  <a:pt x="630" y="60"/>
                                </a:lnTo>
                                <a:lnTo>
                                  <a:pt x="615" y="68"/>
                                </a:lnTo>
                                <a:close/>
                                <a:moveTo>
                                  <a:pt x="510" y="68"/>
                                </a:moveTo>
                                <a:lnTo>
                                  <a:pt x="0" y="67"/>
                                </a:lnTo>
                                <a:lnTo>
                                  <a:pt x="0" y="52"/>
                                </a:lnTo>
                                <a:lnTo>
                                  <a:pt x="510" y="53"/>
                                </a:lnTo>
                                <a:lnTo>
                                  <a:pt x="510" y="68"/>
                                </a:lnTo>
                                <a:close/>
                                <a:moveTo>
                                  <a:pt x="540" y="68"/>
                                </a:moveTo>
                                <a:lnTo>
                                  <a:pt x="510" y="68"/>
                                </a:lnTo>
                                <a:lnTo>
                                  <a:pt x="510" y="53"/>
                                </a:lnTo>
                                <a:lnTo>
                                  <a:pt x="540" y="53"/>
                                </a:lnTo>
                                <a:lnTo>
                                  <a:pt x="540" y="68"/>
                                </a:lnTo>
                                <a:close/>
                                <a:moveTo>
                                  <a:pt x="510" y="120"/>
                                </a:moveTo>
                                <a:lnTo>
                                  <a:pt x="510" y="68"/>
                                </a:lnTo>
                                <a:lnTo>
                                  <a:pt x="615" y="68"/>
                                </a:lnTo>
                                <a:lnTo>
                                  <a:pt x="510" y="120"/>
                                </a:lnTo>
                                <a:close/>
                              </a:path>
                            </a:pathLst>
                          </a:custGeom>
                          <a:solidFill>
                            <a:srgbClr val="000000"/>
                          </a:solidFill>
                          <a:ln>
                            <a:noFill/>
                          </a:ln>
                        </wps:spPr>
                        <wps:bodyPr upright="1"/>
                      </wps:wsp>
                      <pic:pic xmlns:pic="http://schemas.openxmlformats.org/drawingml/2006/picture">
                        <pic:nvPicPr>
                          <pic:cNvPr id="8" name="图片 14"/>
                          <pic:cNvPicPr>
                            <a:picLocks noChangeAspect="1"/>
                          </pic:cNvPicPr>
                        </pic:nvPicPr>
                        <pic:blipFill>
                          <a:blip r:embed="rId5"/>
                          <a:stretch>
                            <a:fillRect/>
                          </a:stretch>
                        </pic:blipFill>
                        <pic:spPr>
                          <a:xfrm>
                            <a:off x="4666" y="1018"/>
                            <a:ext cx="120" cy="378"/>
                          </a:xfrm>
                          <a:prstGeom prst="rect">
                            <a:avLst/>
                          </a:prstGeom>
                          <a:noFill/>
                          <a:ln>
                            <a:noFill/>
                          </a:ln>
                        </pic:spPr>
                      </pic:pic>
                      <pic:pic xmlns:pic="http://schemas.openxmlformats.org/drawingml/2006/picture">
                        <pic:nvPicPr>
                          <pic:cNvPr id="9" name="图片 15"/>
                          <pic:cNvPicPr>
                            <a:picLocks noChangeAspect="1"/>
                          </pic:cNvPicPr>
                        </pic:nvPicPr>
                        <pic:blipFill>
                          <a:blip r:embed="rId5"/>
                          <a:stretch>
                            <a:fillRect/>
                          </a:stretch>
                        </pic:blipFill>
                        <pic:spPr>
                          <a:xfrm>
                            <a:off x="6451" y="1018"/>
                            <a:ext cx="120" cy="378"/>
                          </a:xfrm>
                          <a:prstGeom prst="rect">
                            <a:avLst/>
                          </a:prstGeom>
                          <a:noFill/>
                          <a:ln>
                            <a:noFill/>
                          </a:ln>
                        </pic:spPr>
                      </pic:pic>
                      <pic:pic xmlns:pic="http://schemas.openxmlformats.org/drawingml/2006/picture">
                        <pic:nvPicPr>
                          <pic:cNvPr id="10" name="图片 16"/>
                          <pic:cNvPicPr>
                            <a:picLocks noChangeAspect="1"/>
                          </pic:cNvPicPr>
                        </pic:nvPicPr>
                        <pic:blipFill>
                          <a:blip r:embed="rId5"/>
                          <a:stretch>
                            <a:fillRect/>
                          </a:stretch>
                        </pic:blipFill>
                        <pic:spPr>
                          <a:xfrm>
                            <a:off x="8236" y="973"/>
                            <a:ext cx="120" cy="378"/>
                          </a:xfrm>
                          <a:prstGeom prst="rect">
                            <a:avLst/>
                          </a:prstGeom>
                          <a:noFill/>
                          <a:ln>
                            <a:noFill/>
                          </a:ln>
                        </pic:spPr>
                      </pic:pic>
                      <wps:wsp>
                        <wps:cNvPr id="11" name="任意多边形 11"/>
                        <wps:cNvSpPr/>
                        <wps:spPr>
                          <a:xfrm>
                            <a:off x="8341" y="1813"/>
                            <a:ext cx="120" cy="936"/>
                          </a:xfrm>
                          <a:custGeom>
                            <a:avLst/>
                            <a:gdLst/>
                            <a:ahLst/>
                            <a:cxnLst/>
                            <a:pathLst>
                              <a:path w="120" h="936">
                                <a:moveTo>
                                  <a:pt x="52" y="816"/>
                                </a:moveTo>
                                <a:lnTo>
                                  <a:pt x="52" y="0"/>
                                </a:lnTo>
                                <a:lnTo>
                                  <a:pt x="67" y="0"/>
                                </a:lnTo>
                                <a:lnTo>
                                  <a:pt x="67" y="816"/>
                                </a:lnTo>
                                <a:lnTo>
                                  <a:pt x="52" y="816"/>
                                </a:lnTo>
                                <a:close/>
                                <a:moveTo>
                                  <a:pt x="105" y="846"/>
                                </a:moveTo>
                                <a:lnTo>
                                  <a:pt x="67" y="846"/>
                                </a:lnTo>
                                <a:lnTo>
                                  <a:pt x="67" y="816"/>
                                </a:lnTo>
                                <a:lnTo>
                                  <a:pt x="120" y="816"/>
                                </a:lnTo>
                                <a:lnTo>
                                  <a:pt x="105" y="846"/>
                                </a:lnTo>
                                <a:close/>
                                <a:moveTo>
                                  <a:pt x="67" y="846"/>
                                </a:moveTo>
                                <a:lnTo>
                                  <a:pt x="52" y="846"/>
                                </a:lnTo>
                                <a:lnTo>
                                  <a:pt x="52" y="816"/>
                                </a:lnTo>
                                <a:lnTo>
                                  <a:pt x="67" y="816"/>
                                </a:lnTo>
                                <a:lnTo>
                                  <a:pt x="67" y="846"/>
                                </a:lnTo>
                                <a:close/>
                                <a:moveTo>
                                  <a:pt x="60" y="936"/>
                                </a:moveTo>
                                <a:lnTo>
                                  <a:pt x="0" y="816"/>
                                </a:lnTo>
                                <a:lnTo>
                                  <a:pt x="52" y="816"/>
                                </a:lnTo>
                                <a:lnTo>
                                  <a:pt x="52" y="846"/>
                                </a:lnTo>
                                <a:lnTo>
                                  <a:pt x="105" y="846"/>
                                </a:lnTo>
                                <a:lnTo>
                                  <a:pt x="60" y="936"/>
                                </a:lnTo>
                                <a:close/>
                              </a:path>
                            </a:pathLst>
                          </a:custGeom>
                          <a:solidFill>
                            <a:srgbClr val="000000"/>
                          </a:solidFill>
                          <a:ln>
                            <a:noFill/>
                          </a:ln>
                        </wps:spPr>
                        <wps:bodyPr upright="1"/>
                      </wps:wsp>
                      <wps:wsp>
                        <wps:cNvPr id="12" name="任意多边形 12"/>
                        <wps:cNvSpPr/>
                        <wps:spPr>
                          <a:xfrm>
                            <a:off x="7763" y="2726"/>
                            <a:ext cx="1275" cy="482"/>
                          </a:xfrm>
                          <a:custGeom>
                            <a:avLst/>
                            <a:gdLst/>
                            <a:ahLst/>
                            <a:cxnLst/>
                            <a:pathLst>
                              <a:path w="1275" h="482">
                                <a:moveTo>
                                  <a:pt x="1275" y="482"/>
                                </a:moveTo>
                                <a:lnTo>
                                  <a:pt x="0" y="482"/>
                                </a:lnTo>
                                <a:lnTo>
                                  <a:pt x="0" y="0"/>
                                </a:lnTo>
                                <a:lnTo>
                                  <a:pt x="1275" y="0"/>
                                </a:lnTo>
                                <a:lnTo>
                                  <a:pt x="1275" y="7"/>
                                </a:lnTo>
                                <a:lnTo>
                                  <a:pt x="15" y="7"/>
                                </a:lnTo>
                                <a:lnTo>
                                  <a:pt x="7" y="15"/>
                                </a:lnTo>
                                <a:lnTo>
                                  <a:pt x="15" y="15"/>
                                </a:lnTo>
                                <a:lnTo>
                                  <a:pt x="15" y="467"/>
                                </a:lnTo>
                                <a:lnTo>
                                  <a:pt x="7" y="467"/>
                                </a:lnTo>
                                <a:lnTo>
                                  <a:pt x="15" y="474"/>
                                </a:lnTo>
                                <a:lnTo>
                                  <a:pt x="1275" y="474"/>
                                </a:lnTo>
                                <a:lnTo>
                                  <a:pt x="1275" y="482"/>
                                </a:lnTo>
                                <a:close/>
                                <a:moveTo>
                                  <a:pt x="15" y="15"/>
                                </a:moveTo>
                                <a:lnTo>
                                  <a:pt x="7" y="15"/>
                                </a:lnTo>
                                <a:lnTo>
                                  <a:pt x="15" y="7"/>
                                </a:lnTo>
                                <a:lnTo>
                                  <a:pt x="15" y="15"/>
                                </a:lnTo>
                                <a:close/>
                                <a:moveTo>
                                  <a:pt x="1260" y="15"/>
                                </a:moveTo>
                                <a:lnTo>
                                  <a:pt x="15" y="15"/>
                                </a:lnTo>
                                <a:lnTo>
                                  <a:pt x="15" y="7"/>
                                </a:lnTo>
                                <a:lnTo>
                                  <a:pt x="1260" y="7"/>
                                </a:lnTo>
                                <a:lnTo>
                                  <a:pt x="1260" y="15"/>
                                </a:lnTo>
                                <a:close/>
                                <a:moveTo>
                                  <a:pt x="1260" y="474"/>
                                </a:moveTo>
                                <a:lnTo>
                                  <a:pt x="1260" y="7"/>
                                </a:lnTo>
                                <a:lnTo>
                                  <a:pt x="1267" y="15"/>
                                </a:lnTo>
                                <a:lnTo>
                                  <a:pt x="1275" y="15"/>
                                </a:lnTo>
                                <a:lnTo>
                                  <a:pt x="1275" y="467"/>
                                </a:lnTo>
                                <a:lnTo>
                                  <a:pt x="1267" y="467"/>
                                </a:lnTo>
                                <a:lnTo>
                                  <a:pt x="1260" y="474"/>
                                </a:lnTo>
                                <a:close/>
                                <a:moveTo>
                                  <a:pt x="1275" y="15"/>
                                </a:moveTo>
                                <a:lnTo>
                                  <a:pt x="1267" y="15"/>
                                </a:lnTo>
                                <a:lnTo>
                                  <a:pt x="1260" y="7"/>
                                </a:lnTo>
                                <a:lnTo>
                                  <a:pt x="1275" y="7"/>
                                </a:lnTo>
                                <a:lnTo>
                                  <a:pt x="1275" y="15"/>
                                </a:lnTo>
                                <a:close/>
                                <a:moveTo>
                                  <a:pt x="15" y="474"/>
                                </a:moveTo>
                                <a:lnTo>
                                  <a:pt x="7" y="467"/>
                                </a:lnTo>
                                <a:lnTo>
                                  <a:pt x="15" y="467"/>
                                </a:lnTo>
                                <a:lnTo>
                                  <a:pt x="15" y="474"/>
                                </a:lnTo>
                                <a:close/>
                                <a:moveTo>
                                  <a:pt x="1260" y="474"/>
                                </a:moveTo>
                                <a:lnTo>
                                  <a:pt x="15" y="474"/>
                                </a:lnTo>
                                <a:lnTo>
                                  <a:pt x="15" y="467"/>
                                </a:lnTo>
                                <a:lnTo>
                                  <a:pt x="1260" y="467"/>
                                </a:lnTo>
                                <a:lnTo>
                                  <a:pt x="1260" y="474"/>
                                </a:lnTo>
                                <a:close/>
                                <a:moveTo>
                                  <a:pt x="1275" y="474"/>
                                </a:moveTo>
                                <a:lnTo>
                                  <a:pt x="1260" y="474"/>
                                </a:lnTo>
                                <a:lnTo>
                                  <a:pt x="1267" y="467"/>
                                </a:lnTo>
                                <a:lnTo>
                                  <a:pt x="1275" y="467"/>
                                </a:lnTo>
                                <a:lnTo>
                                  <a:pt x="1275" y="474"/>
                                </a:lnTo>
                                <a:close/>
                              </a:path>
                            </a:pathLst>
                          </a:custGeom>
                          <a:solidFill>
                            <a:srgbClr val="000000"/>
                          </a:solidFill>
                          <a:ln>
                            <a:noFill/>
                          </a:ln>
                        </wps:spPr>
                        <wps:bodyPr upright="1"/>
                      </wps:wsp>
                      <wps:wsp>
                        <wps:cNvPr id="13" name="任意多边形 13"/>
                        <wps:cNvSpPr/>
                        <wps:spPr>
                          <a:xfrm>
                            <a:off x="7141" y="2906"/>
                            <a:ext cx="631" cy="120"/>
                          </a:xfrm>
                          <a:custGeom>
                            <a:avLst/>
                            <a:gdLst/>
                            <a:ahLst/>
                            <a:cxnLst/>
                            <a:pathLst>
                              <a:path w="631" h="120">
                                <a:moveTo>
                                  <a:pt x="120" y="120"/>
                                </a:moveTo>
                                <a:lnTo>
                                  <a:pt x="0" y="60"/>
                                </a:lnTo>
                                <a:lnTo>
                                  <a:pt x="120" y="0"/>
                                </a:lnTo>
                                <a:lnTo>
                                  <a:pt x="120" y="53"/>
                                </a:lnTo>
                                <a:lnTo>
                                  <a:pt x="90" y="53"/>
                                </a:lnTo>
                                <a:lnTo>
                                  <a:pt x="90" y="68"/>
                                </a:lnTo>
                                <a:lnTo>
                                  <a:pt x="120" y="68"/>
                                </a:lnTo>
                                <a:lnTo>
                                  <a:pt x="120" y="120"/>
                                </a:lnTo>
                                <a:close/>
                                <a:moveTo>
                                  <a:pt x="120" y="68"/>
                                </a:moveTo>
                                <a:lnTo>
                                  <a:pt x="120" y="53"/>
                                </a:lnTo>
                                <a:lnTo>
                                  <a:pt x="630" y="52"/>
                                </a:lnTo>
                                <a:lnTo>
                                  <a:pt x="630" y="67"/>
                                </a:lnTo>
                                <a:lnTo>
                                  <a:pt x="120" y="68"/>
                                </a:lnTo>
                                <a:close/>
                                <a:moveTo>
                                  <a:pt x="90" y="68"/>
                                </a:moveTo>
                                <a:lnTo>
                                  <a:pt x="90" y="53"/>
                                </a:lnTo>
                                <a:lnTo>
                                  <a:pt x="120" y="53"/>
                                </a:lnTo>
                                <a:lnTo>
                                  <a:pt x="120" y="68"/>
                                </a:lnTo>
                                <a:lnTo>
                                  <a:pt x="90" y="68"/>
                                </a:lnTo>
                                <a:close/>
                                <a:moveTo>
                                  <a:pt x="120" y="68"/>
                                </a:moveTo>
                                <a:lnTo>
                                  <a:pt x="90" y="68"/>
                                </a:lnTo>
                                <a:lnTo>
                                  <a:pt x="120" y="68"/>
                                </a:lnTo>
                                <a:lnTo>
                                  <a:pt x="120" y="68"/>
                                </a:lnTo>
                                <a:close/>
                              </a:path>
                            </a:pathLst>
                          </a:custGeom>
                          <a:solidFill>
                            <a:srgbClr val="000000"/>
                          </a:solidFill>
                          <a:ln>
                            <a:noFill/>
                          </a:ln>
                        </wps:spPr>
                        <wps:bodyPr upright="1"/>
                      </wps:wsp>
                      <wps:wsp>
                        <wps:cNvPr id="14" name="任意多边形 14"/>
                        <wps:cNvSpPr/>
                        <wps:spPr>
                          <a:xfrm>
                            <a:off x="5873" y="2726"/>
                            <a:ext cx="1275" cy="482"/>
                          </a:xfrm>
                          <a:custGeom>
                            <a:avLst/>
                            <a:gdLst/>
                            <a:ahLst/>
                            <a:cxnLst/>
                            <a:pathLst>
                              <a:path w="1275" h="482">
                                <a:moveTo>
                                  <a:pt x="1275" y="482"/>
                                </a:moveTo>
                                <a:lnTo>
                                  <a:pt x="0" y="482"/>
                                </a:lnTo>
                                <a:lnTo>
                                  <a:pt x="0" y="0"/>
                                </a:lnTo>
                                <a:lnTo>
                                  <a:pt x="1275" y="0"/>
                                </a:lnTo>
                                <a:lnTo>
                                  <a:pt x="1275" y="7"/>
                                </a:lnTo>
                                <a:lnTo>
                                  <a:pt x="15" y="7"/>
                                </a:lnTo>
                                <a:lnTo>
                                  <a:pt x="7" y="15"/>
                                </a:lnTo>
                                <a:lnTo>
                                  <a:pt x="15" y="15"/>
                                </a:lnTo>
                                <a:lnTo>
                                  <a:pt x="15" y="467"/>
                                </a:lnTo>
                                <a:lnTo>
                                  <a:pt x="7" y="467"/>
                                </a:lnTo>
                                <a:lnTo>
                                  <a:pt x="15" y="474"/>
                                </a:lnTo>
                                <a:lnTo>
                                  <a:pt x="1275" y="474"/>
                                </a:lnTo>
                                <a:lnTo>
                                  <a:pt x="1275" y="482"/>
                                </a:lnTo>
                                <a:close/>
                                <a:moveTo>
                                  <a:pt x="15" y="15"/>
                                </a:moveTo>
                                <a:lnTo>
                                  <a:pt x="7" y="15"/>
                                </a:lnTo>
                                <a:lnTo>
                                  <a:pt x="15" y="7"/>
                                </a:lnTo>
                                <a:lnTo>
                                  <a:pt x="15" y="15"/>
                                </a:lnTo>
                                <a:close/>
                                <a:moveTo>
                                  <a:pt x="1260" y="15"/>
                                </a:moveTo>
                                <a:lnTo>
                                  <a:pt x="15" y="15"/>
                                </a:lnTo>
                                <a:lnTo>
                                  <a:pt x="15" y="7"/>
                                </a:lnTo>
                                <a:lnTo>
                                  <a:pt x="1260" y="7"/>
                                </a:lnTo>
                                <a:lnTo>
                                  <a:pt x="1260" y="15"/>
                                </a:lnTo>
                                <a:close/>
                                <a:moveTo>
                                  <a:pt x="1260" y="474"/>
                                </a:moveTo>
                                <a:lnTo>
                                  <a:pt x="1260" y="7"/>
                                </a:lnTo>
                                <a:lnTo>
                                  <a:pt x="1267" y="15"/>
                                </a:lnTo>
                                <a:lnTo>
                                  <a:pt x="1275" y="15"/>
                                </a:lnTo>
                                <a:lnTo>
                                  <a:pt x="1275" y="467"/>
                                </a:lnTo>
                                <a:lnTo>
                                  <a:pt x="1267" y="467"/>
                                </a:lnTo>
                                <a:lnTo>
                                  <a:pt x="1260" y="474"/>
                                </a:lnTo>
                                <a:close/>
                                <a:moveTo>
                                  <a:pt x="1275" y="15"/>
                                </a:moveTo>
                                <a:lnTo>
                                  <a:pt x="1267" y="15"/>
                                </a:lnTo>
                                <a:lnTo>
                                  <a:pt x="1260" y="7"/>
                                </a:lnTo>
                                <a:lnTo>
                                  <a:pt x="1275" y="7"/>
                                </a:lnTo>
                                <a:lnTo>
                                  <a:pt x="1275" y="15"/>
                                </a:lnTo>
                                <a:close/>
                                <a:moveTo>
                                  <a:pt x="15" y="474"/>
                                </a:moveTo>
                                <a:lnTo>
                                  <a:pt x="7" y="467"/>
                                </a:lnTo>
                                <a:lnTo>
                                  <a:pt x="15" y="467"/>
                                </a:lnTo>
                                <a:lnTo>
                                  <a:pt x="15" y="474"/>
                                </a:lnTo>
                                <a:close/>
                                <a:moveTo>
                                  <a:pt x="1260" y="474"/>
                                </a:moveTo>
                                <a:lnTo>
                                  <a:pt x="15" y="474"/>
                                </a:lnTo>
                                <a:lnTo>
                                  <a:pt x="15" y="467"/>
                                </a:lnTo>
                                <a:lnTo>
                                  <a:pt x="1260" y="467"/>
                                </a:lnTo>
                                <a:lnTo>
                                  <a:pt x="1260" y="474"/>
                                </a:lnTo>
                                <a:close/>
                                <a:moveTo>
                                  <a:pt x="1275" y="474"/>
                                </a:moveTo>
                                <a:lnTo>
                                  <a:pt x="1260" y="474"/>
                                </a:lnTo>
                                <a:lnTo>
                                  <a:pt x="1267" y="467"/>
                                </a:lnTo>
                                <a:lnTo>
                                  <a:pt x="1275" y="467"/>
                                </a:lnTo>
                                <a:lnTo>
                                  <a:pt x="1275" y="474"/>
                                </a:lnTo>
                                <a:close/>
                              </a:path>
                            </a:pathLst>
                          </a:custGeom>
                          <a:solidFill>
                            <a:srgbClr val="000000"/>
                          </a:solidFill>
                          <a:ln>
                            <a:noFill/>
                          </a:ln>
                        </wps:spPr>
                        <wps:bodyPr upright="1"/>
                      </wps:wsp>
                      <wps:wsp>
                        <wps:cNvPr id="15" name="任意多边形 15"/>
                        <wps:cNvSpPr/>
                        <wps:spPr>
                          <a:xfrm>
                            <a:off x="5146" y="2906"/>
                            <a:ext cx="631" cy="120"/>
                          </a:xfrm>
                          <a:custGeom>
                            <a:avLst/>
                            <a:gdLst/>
                            <a:ahLst/>
                            <a:cxnLst/>
                            <a:pathLst>
                              <a:path w="631" h="120">
                                <a:moveTo>
                                  <a:pt x="120" y="120"/>
                                </a:moveTo>
                                <a:lnTo>
                                  <a:pt x="0" y="60"/>
                                </a:lnTo>
                                <a:lnTo>
                                  <a:pt x="120" y="0"/>
                                </a:lnTo>
                                <a:lnTo>
                                  <a:pt x="120" y="53"/>
                                </a:lnTo>
                                <a:lnTo>
                                  <a:pt x="90" y="53"/>
                                </a:lnTo>
                                <a:lnTo>
                                  <a:pt x="90" y="68"/>
                                </a:lnTo>
                                <a:lnTo>
                                  <a:pt x="120" y="68"/>
                                </a:lnTo>
                                <a:lnTo>
                                  <a:pt x="120" y="120"/>
                                </a:lnTo>
                                <a:close/>
                                <a:moveTo>
                                  <a:pt x="120" y="68"/>
                                </a:moveTo>
                                <a:lnTo>
                                  <a:pt x="120" y="53"/>
                                </a:lnTo>
                                <a:lnTo>
                                  <a:pt x="630" y="52"/>
                                </a:lnTo>
                                <a:lnTo>
                                  <a:pt x="630" y="67"/>
                                </a:lnTo>
                                <a:lnTo>
                                  <a:pt x="120" y="68"/>
                                </a:lnTo>
                                <a:close/>
                                <a:moveTo>
                                  <a:pt x="90" y="68"/>
                                </a:moveTo>
                                <a:lnTo>
                                  <a:pt x="90" y="53"/>
                                </a:lnTo>
                                <a:lnTo>
                                  <a:pt x="120" y="53"/>
                                </a:lnTo>
                                <a:lnTo>
                                  <a:pt x="120" y="68"/>
                                </a:lnTo>
                                <a:lnTo>
                                  <a:pt x="90" y="68"/>
                                </a:lnTo>
                                <a:close/>
                                <a:moveTo>
                                  <a:pt x="120" y="68"/>
                                </a:moveTo>
                                <a:lnTo>
                                  <a:pt x="90" y="68"/>
                                </a:lnTo>
                                <a:lnTo>
                                  <a:pt x="120" y="68"/>
                                </a:lnTo>
                                <a:lnTo>
                                  <a:pt x="120" y="68"/>
                                </a:lnTo>
                                <a:close/>
                              </a:path>
                            </a:pathLst>
                          </a:custGeom>
                          <a:solidFill>
                            <a:srgbClr val="000000"/>
                          </a:solidFill>
                          <a:ln>
                            <a:noFill/>
                          </a:ln>
                        </wps:spPr>
                        <wps:bodyPr upright="1"/>
                      </wps:wsp>
                      <pic:pic xmlns:pic="http://schemas.openxmlformats.org/drawingml/2006/picture">
                        <pic:nvPicPr>
                          <pic:cNvPr id="16" name="图片 22"/>
                          <pic:cNvPicPr>
                            <a:picLocks noChangeAspect="1"/>
                          </pic:cNvPicPr>
                        </pic:nvPicPr>
                        <pic:blipFill>
                          <a:blip r:embed="rId6"/>
                          <a:stretch>
                            <a:fillRect/>
                          </a:stretch>
                        </pic:blipFill>
                        <pic:spPr>
                          <a:xfrm>
                            <a:off x="7921" y="1813"/>
                            <a:ext cx="120" cy="313"/>
                          </a:xfrm>
                          <a:prstGeom prst="rect">
                            <a:avLst/>
                          </a:prstGeom>
                          <a:noFill/>
                          <a:ln>
                            <a:noFill/>
                          </a:ln>
                        </pic:spPr>
                      </pic:pic>
                      <pic:pic xmlns:pic="http://schemas.openxmlformats.org/drawingml/2006/picture">
                        <pic:nvPicPr>
                          <pic:cNvPr id="17" name="图片 23"/>
                          <pic:cNvPicPr>
                            <a:picLocks noChangeAspect="1"/>
                          </pic:cNvPicPr>
                        </pic:nvPicPr>
                        <pic:blipFill>
                          <a:blip r:embed="rId5"/>
                          <a:stretch>
                            <a:fillRect/>
                          </a:stretch>
                        </pic:blipFill>
                        <pic:spPr>
                          <a:xfrm>
                            <a:off x="8656" y="2347"/>
                            <a:ext cx="120" cy="378"/>
                          </a:xfrm>
                          <a:prstGeom prst="rect">
                            <a:avLst/>
                          </a:prstGeom>
                          <a:noFill/>
                          <a:ln>
                            <a:noFill/>
                          </a:ln>
                        </pic:spPr>
                      </pic:pic>
                      <wps:wsp>
                        <wps:cNvPr id="18" name="任意多边形 18"/>
                        <wps:cNvSpPr/>
                        <wps:spPr>
                          <a:xfrm>
                            <a:off x="2618" y="1130"/>
                            <a:ext cx="1065" cy="1017"/>
                          </a:xfrm>
                          <a:custGeom>
                            <a:avLst/>
                            <a:gdLst/>
                            <a:ahLst/>
                            <a:cxnLst/>
                            <a:pathLst>
                              <a:path w="1065" h="1017">
                                <a:moveTo>
                                  <a:pt x="1065" y="1017"/>
                                </a:moveTo>
                                <a:lnTo>
                                  <a:pt x="0" y="1017"/>
                                </a:lnTo>
                                <a:lnTo>
                                  <a:pt x="0" y="0"/>
                                </a:lnTo>
                                <a:lnTo>
                                  <a:pt x="1065" y="0"/>
                                </a:lnTo>
                                <a:lnTo>
                                  <a:pt x="1065" y="7"/>
                                </a:lnTo>
                                <a:lnTo>
                                  <a:pt x="15" y="7"/>
                                </a:lnTo>
                                <a:lnTo>
                                  <a:pt x="7" y="15"/>
                                </a:lnTo>
                                <a:lnTo>
                                  <a:pt x="15" y="15"/>
                                </a:lnTo>
                                <a:lnTo>
                                  <a:pt x="15" y="1002"/>
                                </a:lnTo>
                                <a:lnTo>
                                  <a:pt x="7" y="1002"/>
                                </a:lnTo>
                                <a:lnTo>
                                  <a:pt x="15" y="1009"/>
                                </a:lnTo>
                                <a:lnTo>
                                  <a:pt x="1065" y="1009"/>
                                </a:lnTo>
                                <a:lnTo>
                                  <a:pt x="1065" y="1017"/>
                                </a:lnTo>
                                <a:close/>
                                <a:moveTo>
                                  <a:pt x="15" y="15"/>
                                </a:moveTo>
                                <a:lnTo>
                                  <a:pt x="7" y="15"/>
                                </a:lnTo>
                                <a:lnTo>
                                  <a:pt x="15" y="7"/>
                                </a:lnTo>
                                <a:lnTo>
                                  <a:pt x="15" y="15"/>
                                </a:lnTo>
                                <a:close/>
                                <a:moveTo>
                                  <a:pt x="1050" y="15"/>
                                </a:moveTo>
                                <a:lnTo>
                                  <a:pt x="15" y="15"/>
                                </a:lnTo>
                                <a:lnTo>
                                  <a:pt x="15" y="7"/>
                                </a:lnTo>
                                <a:lnTo>
                                  <a:pt x="1050" y="7"/>
                                </a:lnTo>
                                <a:lnTo>
                                  <a:pt x="1050" y="15"/>
                                </a:lnTo>
                                <a:close/>
                                <a:moveTo>
                                  <a:pt x="1050" y="1009"/>
                                </a:moveTo>
                                <a:lnTo>
                                  <a:pt x="1050" y="7"/>
                                </a:lnTo>
                                <a:lnTo>
                                  <a:pt x="1057" y="15"/>
                                </a:lnTo>
                                <a:lnTo>
                                  <a:pt x="1065" y="15"/>
                                </a:lnTo>
                                <a:lnTo>
                                  <a:pt x="1065" y="1002"/>
                                </a:lnTo>
                                <a:lnTo>
                                  <a:pt x="1057" y="1002"/>
                                </a:lnTo>
                                <a:lnTo>
                                  <a:pt x="1050" y="1009"/>
                                </a:lnTo>
                                <a:close/>
                                <a:moveTo>
                                  <a:pt x="1065" y="15"/>
                                </a:moveTo>
                                <a:lnTo>
                                  <a:pt x="1057" y="15"/>
                                </a:lnTo>
                                <a:lnTo>
                                  <a:pt x="1050" y="7"/>
                                </a:lnTo>
                                <a:lnTo>
                                  <a:pt x="1065" y="7"/>
                                </a:lnTo>
                                <a:lnTo>
                                  <a:pt x="1065" y="15"/>
                                </a:lnTo>
                                <a:close/>
                                <a:moveTo>
                                  <a:pt x="15" y="1009"/>
                                </a:moveTo>
                                <a:lnTo>
                                  <a:pt x="7" y="1002"/>
                                </a:lnTo>
                                <a:lnTo>
                                  <a:pt x="15" y="1002"/>
                                </a:lnTo>
                                <a:lnTo>
                                  <a:pt x="15" y="1009"/>
                                </a:lnTo>
                                <a:close/>
                                <a:moveTo>
                                  <a:pt x="1050" y="1009"/>
                                </a:moveTo>
                                <a:lnTo>
                                  <a:pt x="15" y="1009"/>
                                </a:lnTo>
                                <a:lnTo>
                                  <a:pt x="15" y="1002"/>
                                </a:lnTo>
                                <a:lnTo>
                                  <a:pt x="1050" y="1002"/>
                                </a:lnTo>
                                <a:lnTo>
                                  <a:pt x="1050" y="1009"/>
                                </a:lnTo>
                                <a:close/>
                                <a:moveTo>
                                  <a:pt x="1065" y="1009"/>
                                </a:moveTo>
                                <a:lnTo>
                                  <a:pt x="1050" y="1009"/>
                                </a:lnTo>
                                <a:lnTo>
                                  <a:pt x="1057" y="1002"/>
                                </a:lnTo>
                                <a:lnTo>
                                  <a:pt x="1065" y="1002"/>
                                </a:lnTo>
                                <a:lnTo>
                                  <a:pt x="1065" y="1009"/>
                                </a:lnTo>
                                <a:close/>
                              </a:path>
                            </a:pathLst>
                          </a:custGeom>
                          <a:solidFill>
                            <a:srgbClr val="000000"/>
                          </a:solidFill>
                          <a:ln>
                            <a:noFill/>
                          </a:ln>
                        </wps:spPr>
                        <wps:bodyPr upright="1"/>
                      </wps:wsp>
                      <wps:wsp>
                        <wps:cNvPr id="19" name="任意多边形 19"/>
                        <wps:cNvSpPr/>
                        <wps:spPr>
                          <a:xfrm>
                            <a:off x="3136" y="364"/>
                            <a:ext cx="120" cy="780"/>
                          </a:xfrm>
                          <a:custGeom>
                            <a:avLst/>
                            <a:gdLst/>
                            <a:ahLst/>
                            <a:cxnLst/>
                            <a:pathLst>
                              <a:path w="120" h="780">
                                <a:moveTo>
                                  <a:pt x="52" y="660"/>
                                </a:moveTo>
                                <a:lnTo>
                                  <a:pt x="52" y="0"/>
                                </a:lnTo>
                                <a:lnTo>
                                  <a:pt x="67" y="0"/>
                                </a:lnTo>
                                <a:lnTo>
                                  <a:pt x="67" y="660"/>
                                </a:lnTo>
                                <a:lnTo>
                                  <a:pt x="52" y="660"/>
                                </a:lnTo>
                                <a:close/>
                                <a:moveTo>
                                  <a:pt x="105" y="690"/>
                                </a:moveTo>
                                <a:lnTo>
                                  <a:pt x="52" y="690"/>
                                </a:lnTo>
                                <a:lnTo>
                                  <a:pt x="67" y="690"/>
                                </a:lnTo>
                                <a:lnTo>
                                  <a:pt x="67" y="660"/>
                                </a:lnTo>
                                <a:lnTo>
                                  <a:pt x="120" y="660"/>
                                </a:lnTo>
                                <a:lnTo>
                                  <a:pt x="105" y="690"/>
                                </a:lnTo>
                                <a:close/>
                                <a:moveTo>
                                  <a:pt x="52" y="690"/>
                                </a:moveTo>
                                <a:lnTo>
                                  <a:pt x="52" y="660"/>
                                </a:lnTo>
                                <a:lnTo>
                                  <a:pt x="67" y="660"/>
                                </a:lnTo>
                                <a:lnTo>
                                  <a:pt x="67" y="690"/>
                                </a:lnTo>
                                <a:lnTo>
                                  <a:pt x="52" y="690"/>
                                </a:lnTo>
                                <a:close/>
                                <a:moveTo>
                                  <a:pt x="60" y="780"/>
                                </a:moveTo>
                                <a:lnTo>
                                  <a:pt x="0" y="660"/>
                                </a:lnTo>
                                <a:lnTo>
                                  <a:pt x="52" y="660"/>
                                </a:lnTo>
                                <a:lnTo>
                                  <a:pt x="52" y="690"/>
                                </a:lnTo>
                                <a:lnTo>
                                  <a:pt x="105" y="690"/>
                                </a:lnTo>
                                <a:lnTo>
                                  <a:pt x="60" y="780"/>
                                </a:lnTo>
                                <a:close/>
                              </a:path>
                            </a:pathLst>
                          </a:custGeom>
                          <a:solidFill>
                            <a:srgbClr val="000000"/>
                          </a:solidFill>
                          <a:ln>
                            <a:noFill/>
                          </a:ln>
                        </wps:spPr>
                        <wps:bodyPr upright="1"/>
                      </wps:wsp>
                      <wps:wsp>
                        <wps:cNvPr id="20" name="文本框 20"/>
                        <wps:cNvSpPr txBox="1"/>
                        <wps:spPr>
                          <a:xfrm>
                            <a:off x="4358" y="810"/>
                            <a:ext cx="858" cy="209"/>
                          </a:xfrm>
                          <a:prstGeom prst="rect">
                            <a:avLst/>
                          </a:prstGeom>
                          <a:noFill/>
                          <a:ln>
                            <a:noFill/>
                          </a:ln>
                        </wps:spPr>
                        <wps:txbx>
                          <w:txbxContent>
                            <w:p w14:paraId="0D92F0C8">
                              <w:pPr>
                                <w:spacing w:line="209" w:lineRule="exact"/>
                                <w:jc w:val="left"/>
                              </w:pPr>
                              <w:r>
                                <w:t>挥发废气</w:t>
                              </w:r>
                            </w:p>
                          </w:txbxContent>
                        </wps:txbx>
                        <wps:bodyPr lIns="0" tIns="0" rIns="0" bIns="0" upright="1"/>
                      </wps:wsp>
                      <wps:wsp>
                        <wps:cNvPr id="21" name="文本框 21"/>
                        <wps:cNvSpPr txBox="1"/>
                        <wps:spPr>
                          <a:xfrm>
                            <a:off x="6352" y="810"/>
                            <a:ext cx="438" cy="209"/>
                          </a:xfrm>
                          <a:prstGeom prst="rect">
                            <a:avLst/>
                          </a:prstGeom>
                          <a:noFill/>
                          <a:ln>
                            <a:noFill/>
                          </a:ln>
                        </wps:spPr>
                        <wps:txbx>
                          <w:txbxContent>
                            <w:p w14:paraId="7B8043BC">
                              <w:pPr>
                                <w:spacing w:line="209" w:lineRule="exact"/>
                                <w:jc w:val="left"/>
                              </w:pPr>
                              <w:r>
                                <w:t>噪声</w:t>
                              </w:r>
                            </w:p>
                          </w:txbxContent>
                        </wps:txbx>
                        <wps:bodyPr lIns="0" tIns="0" rIns="0" bIns="0" upright="1"/>
                      </wps:wsp>
                      <wps:wsp>
                        <wps:cNvPr id="22" name="文本框 22"/>
                        <wps:cNvSpPr txBox="1"/>
                        <wps:spPr>
                          <a:xfrm>
                            <a:off x="7927" y="779"/>
                            <a:ext cx="858" cy="209"/>
                          </a:xfrm>
                          <a:prstGeom prst="rect">
                            <a:avLst/>
                          </a:prstGeom>
                          <a:noFill/>
                          <a:ln>
                            <a:noFill/>
                          </a:ln>
                        </wps:spPr>
                        <wps:txbx>
                          <w:txbxContent>
                            <w:p w14:paraId="08E4D2A1">
                              <w:pPr>
                                <w:spacing w:line="209" w:lineRule="exact"/>
                                <w:jc w:val="left"/>
                              </w:pPr>
                              <w:r>
                                <w:t>挥发废气</w:t>
                              </w:r>
                            </w:p>
                          </w:txbxContent>
                        </wps:txbx>
                        <wps:bodyPr lIns="0" tIns="0" rIns="0" bIns="0" upright="1"/>
                      </wps:wsp>
                      <wps:wsp>
                        <wps:cNvPr id="23" name="文本框 23"/>
                        <wps:cNvSpPr txBox="1"/>
                        <wps:spPr>
                          <a:xfrm>
                            <a:off x="2836" y="1249"/>
                            <a:ext cx="649" cy="754"/>
                          </a:xfrm>
                          <a:prstGeom prst="rect">
                            <a:avLst/>
                          </a:prstGeom>
                          <a:noFill/>
                          <a:ln>
                            <a:noFill/>
                          </a:ln>
                        </wps:spPr>
                        <wps:txbx>
                          <w:txbxContent>
                            <w:p w14:paraId="7C4366D8">
                              <w:pPr>
                                <w:spacing w:line="239" w:lineRule="exact"/>
                                <w:jc w:val="left"/>
                              </w:pPr>
                              <w:r>
                                <w:rPr>
                                  <w:w w:val="95"/>
                                </w:rPr>
                                <w:t>产油企</w:t>
                              </w:r>
                            </w:p>
                            <w:p w14:paraId="42853782">
                              <w:pPr>
                                <w:spacing w:before="2"/>
                                <w:jc w:val="left"/>
                              </w:pPr>
                              <w:r>
                                <w:rPr>
                                  <w:w w:val="95"/>
                                </w:rPr>
                                <w:t>业专用</w:t>
                              </w:r>
                            </w:p>
                            <w:p w14:paraId="4CE9BBF5">
                              <w:pPr>
                                <w:spacing w:before="4" w:line="239" w:lineRule="exact"/>
                                <w:jc w:val="left"/>
                              </w:pPr>
                              <w:r>
                                <w:rPr>
                                  <w:w w:val="95"/>
                                </w:rPr>
                                <w:t>收集桶</w:t>
                              </w:r>
                            </w:p>
                          </w:txbxContent>
                        </wps:txbx>
                        <wps:bodyPr lIns="0" tIns="0" rIns="0" bIns="0" upright="1"/>
                      </wps:wsp>
                      <wps:wsp>
                        <wps:cNvPr id="24" name="文本框 24"/>
                        <wps:cNvSpPr txBox="1"/>
                        <wps:spPr>
                          <a:xfrm>
                            <a:off x="4411" y="1506"/>
                            <a:ext cx="649" cy="209"/>
                          </a:xfrm>
                          <a:prstGeom prst="rect">
                            <a:avLst/>
                          </a:prstGeom>
                          <a:noFill/>
                          <a:ln>
                            <a:noFill/>
                          </a:ln>
                        </wps:spPr>
                        <wps:txbx>
                          <w:txbxContent>
                            <w:p w14:paraId="7C9368E7">
                              <w:pPr>
                                <w:spacing w:line="209" w:lineRule="exact"/>
                                <w:jc w:val="left"/>
                              </w:pPr>
                              <w:r>
                                <w:t>油罐车</w:t>
                              </w:r>
                            </w:p>
                          </w:txbxContent>
                        </wps:txbx>
                        <wps:bodyPr lIns="0" tIns="0" rIns="0" bIns="0" upright="1"/>
                      </wps:wsp>
                      <wps:wsp>
                        <wps:cNvPr id="25" name="文本框 25"/>
                        <wps:cNvSpPr txBox="1"/>
                        <wps:spPr>
                          <a:xfrm>
                            <a:off x="6091" y="1487"/>
                            <a:ext cx="858" cy="209"/>
                          </a:xfrm>
                          <a:prstGeom prst="rect">
                            <a:avLst/>
                          </a:prstGeom>
                          <a:noFill/>
                          <a:ln>
                            <a:noFill/>
                          </a:ln>
                        </wps:spPr>
                        <wps:txbx>
                          <w:txbxContent>
                            <w:p w14:paraId="75CC176B">
                              <w:pPr>
                                <w:spacing w:line="209" w:lineRule="exact"/>
                                <w:jc w:val="left"/>
                              </w:pPr>
                              <w:r>
                                <w:t>油泵输送</w:t>
                              </w:r>
                            </w:p>
                          </w:txbxContent>
                        </wps:txbx>
                        <wps:bodyPr lIns="0" tIns="0" rIns="0" bIns="0" upright="1"/>
                      </wps:wsp>
                      <wps:wsp>
                        <wps:cNvPr id="26" name="文本框 26"/>
                        <wps:cNvSpPr txBox="1"/>
                        <wps:spPr>
                          <a:xfrm>
                            <a:off x="8085" y="1470"/>
                            <a:ext cx="649" cy="209"/>
                          </a:xfrm>
                          <a:prstGeom prst="rect">
                            <a:avLst/>
                          </a:prstGeom>
                          <a:noFill/>
                          <a:ln>
                            <a:noFill/>
                          </a:ln>
                        </wps:spPr>
                        <wps:txbx>
                          <w:txbxContent>
                            <w:p w14:paraId="510CDCA2">
                              <w:pPr>
                                <w:spacing w:line="209" w:lineRule="exact"/>
                                <w:jc w:val="left"/>
                              </w:pPr>
                              <w:r>
                                <w:t>储油罐</w:t>
                              </w:r>
                            </w:p>
                          </w:txbxContent>
                        </wps:txbx>
                        <wps:bodyPr lIns="0" tIns="0" rIns="0" bIns="0" upright="1"/>
                      </wps:wsp>
                      <wps:wsp>
                        <wps:cNvPr id="27" name="文本框 27"/>
                        <wps:cNvSpPr txBox="1"/>
                        <wps:spPr>
                          <a:xfrm>
                            <a:off x="6667" y="2214"/>
                            <a:ext cx="1698" cy="209"/>
                          </a:xfrm>
                          <a:prstGeom prst="rect">
                            <a:avLst/>
                          </a:prstGeom>
                          <a:noFill/>
                          <a:ln>
                            <a:noFill/>
                          </a:ln>
                        </wps:spPr>
                        <wps:txbx>
                          <w:txbxContent>
                            <w:p w14:paraId="23747221">
                              <w:pPr>
                                <w:spacing w:line="209" w:lineRule="exact"/>
                                <w:jc w:val="left"/>
                              </w:pPr>
                              <w:r>
                                <w:t>油污泥、环境风险</w:t>
                              </w:r>
                            </w:p>
                          </w:txbxContent>
                        </wps:txbx>
                        <wps:bodyPr lIns="0" tIns="0" rIns="0" bIns="0" upright="1"/>
                      </wps:wsp>
                      <wps:wsp>
                        <wps:cNvPr id="28" name="文本框 28"/>
                        <wps:cNvSpPr txBox="1"/>
                        <wps:spPr>
                          <a:xfrm>
                            <a:off x="8498" y="2087"/>
                            <a:ext cx="438" cy="209"/>
                          </a:xfrm>
                          <a:prstGeom prst="rect">
                            <a:avLst/>
                          </a:prstGeom>
                          <a:noFill/>
                          <a:ln>
                            <a:noFill/>
                          </a:ln>
                        </wps:spPr>
                        <wps:txbx>
                          <w:txbxContent>
                            <w:p w14:paraId="72E03F79">
                              <w:pPr>
                                <w:spacing w:line="209" w:lineRule="exact"/>
                                <w:jc w:val="left"/>
                              </w:pPr>
                              <w:r>
                                <w:t>噪声</w:t>
                              </w:r>
                            </w:p>
                          </w:txbxContent>
                        </wps:txbx>
                        <wps:bodyPr lIns="0" tIns="0" rIns="0" bIns="0" upright="1"/>
                      </wps:wsp>
                      <wps:wsp>
                        <wps:cNvPr id="29" name="文本框 29"/>
                        <wps:cNvSpPr txBox="1"/>
                        <wps:spPr>
                          <a:xfrm>
                            <a:off x="3938" y="2838"/>
                            <a:ext cx="1069" cy="209"/>
                          </a:xfrm>
                          <a:prstGeom prst="rect">
                            <a:avLst/>
                          </a:prstGeom>
                          <a:noFill/>
                          <a:ln>
                            <a:noFill/>
                          </a:ln>
                        </wps:spPr>
                        <wps:txbx>
                          <w:txbxContent>
                            <w:p w14:paraId="2FAE5342">
                              <w:pPr>
                                <w:spacing w:line="209" w:lineRule="exact"/>
                                <w:jc w:val="left"/>
                              </w:pPr>
                              <w:r>
                                <w:t>废机油输出</w:t>
                              </w:r>
                            </w:p>
                          </w:txbxContent>
                        </wps:txbx>
                        <wps:bodyPr lIns="0" tIns="0" rIns="0" bIns="0" upright="1"/>
                      </wps:wsp>
                      <wps:wsp>
                        <wps:cNvPr id="30" name="文本框 30"/>
                        <wps:cNvSpPr txBox="1"/>
                        <wps:spPr>
                          <a:xfrm>
                            <a:off x="6196" y="2845"/>
                            <a:ext cx="649" cy="209"/>
                          </a:xfrm>
                          <a:prstGeom prst="rect">
                            <a:avLst/>
                          </a:prstGeom>
                          <a:noFill/>
                          <a:ln>
                            <a:noFill/>
                          </a:ln>
                        </wps:spPr>
                        <wps:txbx>
                          <w:txbxContent>
                            <w:p w14:paraId="2E91489E">
                              <w:pPr>
                                <w:spacing w:line="209" w:lineRule="exact"/>
                                <w:jc w:val="left"/>
                              </w:pPr>
                              <w:r>
                                <w:t>油罐车</w:t>
                              </w:r>
                            </w:p>
                          </w:txbxContent>
                        </wps:txbx>
                        <wps:bodyPr lIns="0" tIns="0" rIns="0" bIns="0" upright="1"/>
                      </wps:wsp>
                      <wps:wsp>
                        <wps:cNvPr id="31" name="文本框 31"/>
                        <wps:cNvSpPr txBox="1"/>
                        <wps:spPr>
                          <a:xfrm>
                            <a:off x="7980" y="2845"/>
                            <a:ext cx="858" cy="209"/>
                          </a:xfrm>
                          <a:prstGeom prst="rect">
                            <a:avLst/>
                          </a:prstGeom>
                          <a:noFill/>
                          <a:ln>
                            <a:noFill/>
                          </a:ln>
                        </wps:spPr>
                        <wps:txbx>
                          <w:txbxContent>
                            <w:p w14:paraId="232BAE2C">
                              <w:pPr>
                                <w:spacing w:line="209" w:lineRule="exact"/>
                                <w:jc w:val="left"/>
                              </w:pPr>
                              <w:r>
                                <w:t>油泵输送</w:t>
                              </w:r>
                            </w:p>
                          </w:txbxContent>
                        </wps:txbx>
                        <wps:bodyPr lIns="0" tIns="0" rIns="0" bIns="0" upright="1"/>
                      </wps:wsp>
                    </wpg:wgp>
                  </a:graphicData>
                </a:graphic>
              </wp:anchor>
            </w:drawing>
          </mc:Choice>
          <mc:Fallback>
            <w:pict>
              <v:group id="_x0000_s1026" o:spid="_x0000_s1026" o:spt="203" style="position:absolute;left:0pt;margin-left:49.15pt;margin-top:4.1pt;height:142.25pt;width:321pt;mso-position-horizontal-relative:page;mso-wrap-distance-bottom:0pt;mso-wrap-distance-top:0pt;z-index:-251657216;mso-width-relative:page;mso-height-relative:page;" coordorigin="2619,364" coordsize="6420,2845" o:gfxdata="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">
                <o:lock v:ext="edit" aspectratio="f"/>
                <v:shape id="_x0000_s1026" o:spid="_x0000_s1026" o:spt="100" style="position:absolute;left:3676;top:1582;height:120;width:525;" fillcolor="#000000" filled="t" stroked="f" coordsize="525,120" o:gfxdata="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2vC1JugAAANoA&#10;AAAPAAAAAAAAAAEAIAAAACIAAABkcnMvZG93bnJldi54bWxQSwECFAAUAAAACACHTuJAMy8FnjsA&#10;AAA5AAAAEAAAAAAAAAABACAAAAAJAQAAZHJzL3NoYXBleG1sLnhtbFBLBQYAAAAABgAGAFsBAACz&#10;AwAAAAA=&#10;" path="m405,120l405,0,510,53,435,53,435,68,510,68,405,120xm405,68l0,68,0,53,405,53,405,68xm510,68l435,68,435,53,510,53,525,60,510,68xe">
                  <v:fill on="t" focussize="0,0"/>
                  <v:stroke on="f"/>
                  <v:imagedata o:title=""/>
                  <o:lock v:ext="edit" aspectratio="f"/>
                </v:shape>
                <v:shape id="_x0000_s1026" o:spid="_x0000_s1026" o:spt="100" style="position:absolute;left:4193;top:1388;height:482;width:1065;" fillcolor="#000000" filled="t" stroked="f" coordsize="1065,482" o:gfxdata="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2FymrgAAADaAAAA&#10;DwAAAAAAAAABACAAAAAiAAAAZHJzL2Rvd25yZXYueG1sUEsBAhQAFAAAAAgAh07iQDMvBZ47AAAA&#10;OQAAABAAAAAAAAAAAQAgAAAABwEAAGRycy9zaGFwZXhtbC54bWxQSwUGAAAAAAYABgBbAQAAsQMA&#10;AAAA&#10;" path="m1065,482l0,482,0,0,1065,0,1065,7,15,7,7,15,15,15,15,467,7,467,15,474,1065,474,1065,482xm15,15l7,15,15,7,15,15xm1050,15l15,15,15,7,1050,7,1050,15xm1050,474l1050,7,1057,15,1065,15,1065,467,1057,467,1050,474xm1065,15l1057,15,1050,7,1065,7,1065,15xm15,474l7,467,15,467,15,474xm1050,474l15,474,15,467,1050,467,1050,474xm1065,474l1050,474,1057,467,1065,467,1065,474xe">
                  <v:fill on="t" focussize="0,0"/>
                  <v:stroke on="f"/>
                  <v:imagedata o:title=""/>
                  <o:lock v:ext="edit" aspectratio="f"/>
                </v:shape>
                <v:shape id="_x0000_s1026" o:spid="_x0000_s1026" o:spt="100" style="position:absolute;left:5250;top:1553;height:120;width:631;" fillcolor="#000000" filled="t" stroked="f" coordsize="631,120" o:gfxdata="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cIb3r4A&#10;AADaAAAADwAAAAAAAAABACAAAAAiAAAAZHJzL2Rvd25yZXYueG1sUEsBAhQAFAAAAAgAh07iQDMv&#10;BZ47AAAAOQAAABAAAAAAAAAAAQAgAAAADQEAAGRycy9zaGFwZXhtbC54bWxQSwUGAAAAAAYABgBb&#10;AQAAtwMAAAAA&#10;" path="m615,68l540,68,540,53,510,53,510,0,630,60,615,68xm510,68l0,67,0,52,510,53,510,68xm540,68l510,68,510,53,540,53,540,68xm510,120l510,68,615,68,510,120xe">
                  <v:fill on="t" focussize="0,0"/>
                  <v:stroke on="f"/>
                  <v:imagedata o:title=""/>
                  <o:lock v:ext="edit" aspectratio="f"/>
                </v:shape>
                <v:shape id="_x0000_s1026" o:spid="_x0000_s1026" o:spt="100" style="position:absolute;left:5873;top:1367;height:482;width:1275;" fillcolor="#000000" filled="t" stroked="f" coordsize="1275,482" o:gfxdata="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qZSv9vQAA&#10;ANoAAAAPAAAAAAAAAAEAIAAAACIAAABkcnMvZG93bnJldi54bWxQSwECFAAUAAAACACHTuJAMy8F&#10;njsAAAA5AAAAEAAAAAAAAAABACAAAAAMAQAAZHJzL3NoYXBleG1sLnhtbFBLBQYAAAAABgAGAFsB&#10;AAC2AwAAAAA=&#10;" path="m1275,482l0,482,0,0,1275,0,1275,7,15,7,7,15,15,15,15,467,7,467,15,474,1275,474,1275,482xm15,15l7,15,15,7,15,15xm1260,15l15,15,15,7,1260,7,1260,15xm1260,474l1260,7,1267,15,1275,15,1275,467,1267,467,1260,474xm1275,15l1267,15,1260,7,1275,7,1275,15xm15,474l7,467,15,467,15,474xm1260,474l15,474,15,467,1260,467,1260,474xm1275,474l1260,474,1267,467,1275,467,1275,474xe">
                  <v:fill on="t" focussize="0,0"/>
                  <v:stroke on="f"/>
                  <v:imagedata o:title=""/>
                  <o:lock v:ext="edit" aspectratio="f"/>
                </v:shape>
                <v:shape id="_x0000_s1026" o:spid="_x0000_s1026" o:spt="100" style="position:absolute;left:7763;top:1352;height:482;width:1275;" fillcolor="#000000" filled="t" stroked="f" coordsize="1275,482" o:gfxdata="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at7WKvQAA&#10;ANoAAAAPAAAAAAAAAAEAIAAAACIAAABkcnMvZG93bnJldi54bWxQSwECFAAUAAAACACHTuJAMy8F&#10;njsAAAA5AAAAEAAAAAAAAAABACAAAAAMAQAAZHJzL3NoYXBleG1sLnhtbFBLBQYAAAAABgAGAFsB&#10;AAC2AwAAAAA=&#10;" path="m1275,482l0,482,0,0,1275,0,1275,7,15,7,7,15,15,15,15,467,7,467,15,474,1275,474,1275,482xm15,15l7,15,15,7,15,15xm1260,15l15,15,15,7,1260,7,1260,15xm1260,474l1260,7,1267,15,1275,15,1275,467,1267,467,1260,474xm1275,15l1267,15,1260,7,1275,7,1275,15xm15,474l7,467,15,467,15,474xm1260,474l15,474,15,467,1260,467,1260,474xm1275,474l1260,474,1267,467,1275,467,1275,474xe">
                  <v:fill on="t" focussize="0,0"/>
                  <v:stroke on="f"/>
                  <v:imagedata o:title=""/>
                  <o:lock v:ext="edit" aspectratio="f"/>
                </v:shape>
                <v:shape id="_x0000_s1026" o:spid="_x0000_s1026" o:spt="100" style="position:absolute;left:7155;top:1523;height:120;width:631;" fillcolor="#000000" filled="t" stroked="f" coordsize="631,120" o:gfxdata="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5RCFqb4A&#10;AADaAAAADwAAAAAAAAABACAAAAAiAAAAZHJzL2Rvd25yZXYueG1sUEsBAhQAFAAAAAgAh07iQDMv&#10;BZ47AAAAOQAAABAAAAAAAAAAAQAgAAAADQEAAGRycy9zaGFwZXhtbC54bWxQSwUGAAAAAAYABgBb&#10;AQAAtwMAAAAA&#10;" path="m615,68l540,68,540,53,510,53,510,0,630,60,615,68xm510,68l0,67,0,52,510,53,510,68xm540,68l510,68,510,53,540,53,540,68xm510,120l510,68,615,68,510,120xe">
                  <v:fill on="t" focussize="0,0"/>
                  <v:stroke on="f"/>
                  <v:imagedata o:title=""/>
                  <o:lock v:ext="edit" aspectratio="f"/>
                </v:shape>
                <v:shape id="图片 14" o:spid="_x0000_s1026" o:spt="75" type="#_x0000_t75" style="position:absolute;left:4666;top:1018;height:378;width:120;" filled="f" o:preferrelative="t" stroked="f" coordsize="21600,21600" o:gfxdata="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guY8e5AAAA2gAA&#10;AA8AAAAAAAAAAQAgAAAAIgAAAGRycy9kb3ducmV2LnhtbFBLAQIUABQAAAAIAIdO4kAzLwWeOwAA&#10;ADkAAAAQAAAAAAAAAAEAIAAAAAgBAABkcnMvc2hhcGV4bWwueG1sUEsFBgAAAAAGAAYAWwEAALID&#10;AAAAAA==&#10;">
                  <v:fill on="f" focussize="0,0"/>
                  <v:stroke on="f"/>
                  <v:imagedata r:id="rId5" o:title=""/>
                  <o:lock v:ext="edit" aspectratio="t"/>
                </v:shape>
                <v:shape id="图片 15" o:spid="_x0000_s1026" o:spt="75" type="#_x0000_t75" style="position:absolute;left:6451;top:1018;height:378;width:120;" filled="f" o:preferrelative="t" stroked="f" coordsize="21600,21600" o:gfxdata="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2LGXL4A&#10;AADaAAAADwAAAAAAAAABACAAAAAiAAAAZHJzL2Rvd25yZXYueG1sUEsBAhQAFAAAAAgAh07iQDMv&#10;BZ47AAAAOQAAABAAAAAAAAAAAQAgAAAADQEAAGRycy9zaGFwZXhtbC54bWxQSwUGAAAAAAYABgBb&#10;AQAAtwMAAAAA&#10;">
                  <v:fill on="f" focussize="0,0"/>
                  <v:stroke on="f"/>
                  <v:imagedata r:id="rId5" o:title=""/>
                  <o:lock v:ext="edit" aspectratio="t"/>
                </v:shape>
                <v:shape id="图片 16" o:spid="_x0000_s1026" o:spt="75" type="#_x0000_t75" style="position:absolute;left:8236;top:973;height:378;width:120;" filled="f" o:preferrelative="t" stroked="f" coordsize="21600,21600" o:gfxdata="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1zhufb4A&#10;AADbAAAADwAAAAAAAAABACAAAAAiAAAAZHJzL2Rvd25yZXYueG1sUEsBAhQAFAAAAAgAh07iQDMv&#10;BZ47AAAAOQAAABAAAAAAAAAAAQAgAAAADQEAAGRycy9zaGFwZXhtbC54bWxQSwUGAAAAAAYABgBb&#10;AQAAtwMAAAAA&#10;">
                  <v:fill on="f" focussize="0,0"/>
                  <v:stroke on="f"/>
                  <v:imagedata r:id="rId5" o:title=""/>
                  <o:lock v:ext="edit" aspectratio="t"/>
                </v:shape>
                <v:shape id="_x0000_s1026" o:spid="_x0000_s1026" o:spt="100" style="position:absolute;left:8341;top:1813;height:936;width:120;" fillcolor="#000000" filled="t" stroked="f" coordsize="120,936" o:gfxdata="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1Q0DU7UAAADbAAAADwAA&#10;AAAAAAABACAAAAAiAAAAZHJzL2Rvd25yZXYueG1sUEsBAhQAFAAAAAgAh07iQDMvBZ47AAAAOQAA&#10;ABAAAAAAAAAAAQAgAAAABAEAAGRycy9zaGFwZXhtbC54bWxQSwUGAAAAAAYABgBbAQAArgMAAAAA&#10;" path="m52,816l52,0,67,0,67,816,52,816xm105,846l67,846,67,816,120,816,105,846xm67,846l52,846,52,816,67,816,67,846xm60,936l0,816,52,816,52,846,105,846,60,936xe">
                  <v:fill on="t" focussize="0,0"/>
                  <v:stroke on="f"/>
                  <v:imagedata o:title=""/>
                  <o:lock v:ext="edit" aspectratio="f"/>
                </v:shape>
                <v:shape id="_x0000_s1026" o:spid="_x0000_s1026" o:spt="100" style="position:absolute;left:7763;top:2726;height:482;width:1275;" fillcolor="#000000" filled="t" stroked="f" coordsize="1275,482" o:gfxdata="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Q1HmLsAAADb&#10;AAAADwAAAAAAAAABACAAAAAiAAAAZHJzL2Rvd25yZXYueG1sUEsBAhQAFAAAAAgAh07iQDMvBZ47&#10;AAAAOQAAABAAAAAAAAAAAQAgAAAACgEAAGRycy9zaGFwZXhtbC54bWxQSwUGAAAAAAYABgBbAQAA&#10;tAMAAAAA&#10;" path="m1275,482l0,482,0,0,1275,0,1275,7,15,7,7,15,15,15,15,467,7,467,15,474,1275,474,1275,482xm15,15l7,15,15,7,15,15xm1260,15l15,15,15,7,1260,7,1260,15xm1260,474l1260,7,1267,15,1275,15,1275,467,1267,467,1260,474xm1275,15l1267,15,1260,7,1275,7,1275,15xm15,474l7,467,15,467,15,474xm1260,474l15,474,15,467,1260,467,1260,474xm1275,474l1260,474,1267,467,1275,467,1275,474xe">
                  <v:fill on="t" focussize="0,0"/>
                  <v:stroke on="f"/>
                  <v:imagedata o:title=""/>
                  <o:lock v:ext="edit" aspectratio="f"/>
                </v:shape>
                <v:shape id="_x0000_s1026" o:spid="_x0000_s1026" o:spt="100" style="position:absolute;left:7141;top:2906;height:120;width:631;" fillcolor="#000000" filled="t" stroked="f" coordsize="631,120" o:gfxdata="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kGiYW8AAAA&#10;2wAAAA8AAAAAAAAAAQAgAAAAIgAAAGRycy9kb3ducmV2LnhtbFBLAQIUABQAAAAIAIdO4kAzLwWe&#10;OwAAADkAAAAQAAAAAAAAAAEAIAAAAAsBAABkcnMvc2hhcGV4bWwueG1sUEsFBgAAAAAGAAYAWwEA&#10;ALUDAAAAAA==&#10;" path="m120,120l0,60,120,0,120,53,90,53,90,68,120,68,120,120xm120,68l120,53,630,52,630,67,120,68xm90,68l90,53,120,53,120,68,90,68xm120,68l90,68,120,68,120,68xe">
                  <v:fill on="t" focussize="0,0"/>
                  <v:stroke on="f"/>
                  <v:imagedata o:title=""/>
                  <o:lock v:ext="edit" aspectratio="f"/>
                </v:shape>
                <v:shape id="_x0000_s1026" o:spid="_x0000_s1026" o:spt="100" style="position:absolute;left:5873;top:2726;height:482;width:1275;" fillcolor="#000000" filled="t" stroked="f" coordsize="1275,482" o:gfxdata="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ah6d7sAAADb&#10;AAAADwAAAAAAAAABACAAAAAiAAAAZHJzL2Rvd25yZXYueG1sUEsBAhQAFAAAAAgAh07iQDMvBZ47&#10;AAAAOQAAABAAAAAAAAAAAQAgAAAACgEAAGRycy9zaGFwZXhtbC54bWxQSwUGAAAAAAYABgBbAQAA&#10;tAMAAAAA&#10;" path="m1275,482l0,482,0,0,1275,0,1275,7,15,7,7,15,15,15,15,467,7,467,15,474,1275,474,1275,482xm15,15l7,15,15,7,15,15xm1260,15l15,15,15,7,1260,7,1260,15xm1260,474l1260,7,1267,15,1275,15,1275,467,1267,467,1260,474xm1275,15l1267,15,1260,7,1275,7,1275,15xm15,474l7,467,15,467,15,474xm1260,474l15,474,15,467,1260,467,1260,474xm1275,474l1260,474,1267,467,1275,467,1275,474xe">
                  <v:fill on="t" focussize="0,0"/>
                  <v:stroke on="f"/>
                  <v:imagedata o:title=""/>
                  <o:lock v:ext="edit" aspectratio="f"/>
                </v:shape>
                <v:shape id="_x0000_s1026" o:spid="_x0000_s1026" o:spt="100" style="position:absolute;left:5146;top:2906;height:120;width:631;" fillcolor="#000000" filled="t" stroked="f" coordsize="631,120" o:gfxdata="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mjtGq8AAAA&#10;2wAAAA8AAAAAAAAAAQAgAAAAIgAAAGRycy9kb3ducmV2LnhtbFBLAQIUABQAAAAIAIdO4kAzLwWe&#10;OwAAADkAAAAQAAAAAAAAAAEAIAAAAAsBAABkcnMvc2hhcGV4bWwueG1sUEsFBgAAAAAGAAYAWwEA&#10;ALUDAAAAAA==&#10;" path="m120,120l0,60,120,0,120,53,90,53,90,68,120,68,120,120xm120,68l120,53,630,52,630,67,120,68xm90,68l90,53,120,53,120,68,90,68xm120,68l90,68,120,68,120,68xe">
                  <v:fill on="t" focussize="0,0"/>
                  <v:stroke on="f"/>
                  <v:imagedata o:title=""/>
                  <o:lock v:ext="edit" aspectratio="f"/>
                </v:shape>
                <v:shape id="图片 22" o:spid="_x0000_s1026" o:spt="75" type="#_x0000_t75" style="position:absolute;left:7921;top:1813;height:313;width:120;" filled="f" o:preferrelative="t" stroked="f" coordsize="21600,21600" o:gfxdata="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HQe3LsAAADb&#10;AAAADwAAAAAAAAABACAAAAAiAAAAZHJzL2Rvd25yZXYueG1sUEsBAhQAFAAAAAgAh07iQDMvBZ47&#10;AAAAOQAAABAAAAAAAAAAAQAgAAAACgEAAGRycy9zaGFwZXhtbC54bWxQSwUGAAAAAAYABgBbAQAA&#10;tAMAAAAA&#10;">
                  <v:fill on="f" focussize="0,0"/>
                  <v:stroke on="f"/>
                  <v:imagedata r:id="rId6" o:title=""/>
                  <o:lock v:ext="edit" aspectratio="t"/>
                </v:shape>
                <v:shape id="图片 23" o:spid="_x0000_s1026" o:spt="75" type="#_x0000_t75" style="position:absolute;left:8656;top:2347;height:378;width:120;" filled="f" o:preferrelative="t" stroked="f" coordsize="21600,21600" o:gfxdata="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jR9gm8AAAA&#10;2wAAAA8AAAAAAAAAAQAgAAAAIgAAAGRycy9kb3ducmV2LnhtbFBLAQIUABQAAAAIAIdO4kAzLwWe&#10;OwAAADkAAAAQAAAAAAAAAAEAIAAAAAsBAABkcnMvc2hhcGV4bWwueG1sUEsFBgAAAAAGAAYAWwEA&#10;ALUDAAAAAA==&#10;">
                  <v:fill on="f" focussize="0,0"/>
                  <v:stroke on="f"/>
                  <v:imagedata r:id="rId5" o:title=""/>
                  <o:lock v:ext="edit" aspectratio="t"/>
                </v:shape>
                <v:shape id="_x0000_s1026" o:spid="_x0000_s1026" o:spt="100" style="position:absolute;left:2618;top:1130;height:1017;width:1065;" fillcolor="#000000" filled="t" stroked="f" coordsize="1065,1017" o:gfxdata="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zhEhXvQAA&#10;ANsAAAAPAAAAAAAAAAEAIAAAACIAAABkcnMvZG93bnJldi54bWxQSwECFAAUAAAACACHTuJAMy8F&#10;njsAAAA5AAAAEAAAAAAAAAABACAAAAAMAQAAZHJzL3NoYXBleG1sLnhtbFBLBQYAAAAABgAGAFsB&#10;AAC2AwAAAAA=&#10;" path="m1065,1017l0,1017,0,0,1065,0,1065,7,15,7,7,15,15,15,15,1002,7,1002,15,1009,1065,1009,1065,1017xm15,15l7,15,15,7,15,15xm1050,15l15,15,15,7,1050,7,1050,15xm1050,1009l1050,7,1057,15,1065,15,1065,1002,1057,1002,1050,1009xm1065,15l1057,15,1050,7,1065,7,1065,15xm15,1009l7,1002,15,1002,15,1009xm1050,1009l15,1009,15,1002,1050,1002,1050,1009xm1065,1009l1050,1009,1057,1002,1065,1002,1065,1009xe">
                  <v:fill on="t" focussize="0,0"/>
                  <v:stroke on="f"/>
                  <v:imagedata o:title=""/>
                  <o:lock v:ext="edit" aspectratio="f"/>
                </v:shape>
                <v:shape id="_x0000_s1026" o:spid="_x0000_s1026" o:spt="100" style="position:absolute;left:3136;top:364;height:780;width:120;" fillcolor="#000000" filled="t" stroked="f" coordsize="120,780" o:gfxdata="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dxfNLsAAADb&#10;AAAADwAAAAAAAAABACAAAAAiAAAAZHJzL2Rvd25yZXYueG1sUEsBAhQAFAAAAAgAh07iQDMvBZ47&#10;AAAAOQAAABAAAAAAAAAAAQAgAAAACgEAAGRycy9zaGFwZXhtbC54bWxQSwUGAAAAAAYABgBbAQAA&#10;tAMAAAAA&#10;" path="m52,660l52,0,67,0,67,660,52,660xm105,690l52,690,67,690,67,660,120,660,105,690xm52,690l52,660,67,660,67,690,52,690xm60,780l0,660,52,660,52,690,105,690,60,780xe">
                  <v:fill on="t" focussize="0,0"/>
                  <v:stroke on="f"/>
                  <v:imagedata o:title=""/>
                  <o:lock v:ext="edit" aspectratio="f"/>
                </v:shape>
                <v:shape id="_x0000_s1026" o:spid="_x0000_s1026" o:spt="202" type="#_x0000_t202" style="position:absolute;left:4358;top:810;height:209;width:858;" filled="f" stroked="f" coordsize="21600,21600" o:gfxdata="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MRmOwW5AAAA2wAA&#10;AA8AAAAAAAAAAQAgAAAAIgAAAGRycy9kb3ducmV2LnhtbFBLAQIUABQAAAAIAIdO4kAzLwWeOwAA&#10;ADkAAAAQAAAAAAAAAAEAIAAAAAgBAABkcnMvc2hhcGV4bWwueG1sUEsFBgAAAAAGAAYAWwEAALID&#10;AAAAAA==&#10;">
                  <v:fill on="f" focussize="0,0"/>
                  <v:stroke on="f"/>
                  <v:imagedata o:title=""/>
                  <o:lock v:ext="edit" aspectratio="f"/>
                  <v:textbox inset="0mm,0mm,0mm,0mm">
                    <w:txbxContent>
                      <w:p w14:paraId="0D92F0C8">
                        <w:pPr>
                          <w:spacing w:line="209" w:lineRule="exact"/>
                          <w:jc w:val="left"/>
                        </w:pPr>
                        <w:r>
                          <w:t>挥发废气</w:t>
                        </w:r>
                      </w:p>
                    </w:txbxContent>
                  </v:textbox>
                </v:shape>
                <v:shape id="_x0000_s1026" o:spid="_x0000_s1026" o:spt="202" type="#_x0000_t202" style="position:absolute;left:6352;top:810;height:209;width:438;" filled="f" stroked="f" coordsize="21600,21600" o:gfxdata="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yqenr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14:paraId="7B8043BC">
                        <w:pPr>
                          <w:spacing w:line="209" w:lineRule="exact"/>
                          <w:jc w:val="left"/>
                        </w:pPr>
                        <w:r>
                          <w:t>噪声</w:t>
                        </w:r>
                      </w:p>
                    </w:txbxContent>
                  </v:textbox>
                </v:shape>
                <v:shape id="_x0000_s1026" o:spid="_x0000_s1026" o:spt="202" type="#_x0000_t202" style="position:absolute;left:7927;top:779;height:209;width:858;" filled="f" stroked="f" coordsize="21600,21600" o:gfxdata="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b+ADp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14:paraId="08E4D2A1">
                        <w:pPr>
                          <w:spacing w:line="209" w:lineRule="exact"/>
                          <w:jc w:val="left"/>
                        </w:pPr>
                        <w:r>
                          <w:t>挥发废气</w:t>
                        </w:r>
                      </w:p>
                    </w:txbxContent>
                  </v:textbox>
                </v:shape>
                <v:shape id="_x0000_s1026" o:spid="_x0000_s1026" o:spt="202" type="#_x0000_t202" style="position:absolute;left:2836;top:1249;height:754;width:649;" filled="f" stroked="f" coordsize="21600,21600" o:gfxdata="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LSlcr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14:paraId="7C4366D8">
                        <w:pPr>
                          <w:spacing w:line="239" w:lineRule="exact"/>
                          <w:jc w:val="left"/>
                        </w:pPr>
                        <w:r>
                          <w:rPr>
                            <w:w w:val="95"/>
                          </w:rPr>
                          <w:t>产油企</w:t>
                        </w:r>
                      </w:p>
                      <w:p w14:paraId="42853782">
                        <w:pPr>
                          <w:spacing w:before="2"/>
                          <w:jc w:val="left"/>
                        </w:pPr>
                        <w:r>
                          <w:rPr>
                            <w:w w:val="95"/>
                          </w:rPr>
                          <w:t>业专用</w:t>
                        </w:r>
                      </w:p>
                      <w:p w14:paraId="4CE9BBF5">
                        <w:pPr>
                          <w:spacing w:before="4" w:line="239" w:lineRule="exact"/>
                          <w:jc w:val="left"/>
                        </w:pPr>
                        <w:r>
                          <w:rPr>
                            <w:w w:val="95"/>
                          </w:rPr>
                          <w:t>收集桶</w:t>
                        </w:r>
                      </w:p>
                    </w:txbxContent>
                  </v:textbox>
                </v:shape>
                <v:shape id="_x0000_s1026" o:spid="_x0000_s1026" o:spt="202" type="#_x0000_t202" style="position:absolute;left:4411;top:1506;height:209;width:649;" filled="f" stroked="f" coordsize="21600,21600" o:gfxdata="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109Br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14:paraId="7C9368E7">
                        <w:pPr>
                          <w:spacing w:line="209" w:lineRule="exact"/>
                          <w:jc w:val="left"/>
                        </w:pPr>
                        <w:r>
                          <w:t>油罐车</w:t>
                        </w:r>
                      </w:p>
                    </w:txbxContent>
                  </v:textbox>
                </v:shape>
                <v:shape id="_x0000_s1026" o:spid="_x0000_s1026" o:spt="202" type="#_x0000_t202" style="position:absolute;left:6091;top:1487;height:209;width:858;" filled="f" stroked="f" coordsize="21600,21600" o:gfxdata="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1BGYnb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14:paraId="75CC176B">
                        <w:pPr>
                          <w:spacing w:line="209" w:lineRule="exact"/>
                          <w:jc w:val="left"/>
                        </w:pPr>
                        <w:r>
                          <w:t>油泵输送</w:t>
                        </w:r>
                      </w:p>
                    </w:txbxContent>
                  </v:textbox>
                </v:shape>
                <v:shape id="_x0000_s1026" o:spid="_x0000_s1026" o:spt="202" type="#_x0000_t202" style="position:absolute;left:8085;top:1470;height:209;width:649;" filled="f" stroked="f" coordsize="21600,21600" o:gfxdata="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kwwbq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14:paraId="510CDCA2">
                        <w:pPr>
                          <w:spacing w:line="209" w:lineRule="exact"/>
                          <w:jc w:val="left"/>
                        </w:pPr>
                        <w:r>
                          <w:t>储油罐</w:t>
                        </w:r>
                      </w:p>
                    </w:txbxContent>
                  </v:textbox>
                </v:shape>
                <v:shape id="_x0000_s1026" o:spid="_x0000_s1026" o:spt="202" type="#_x0000_t202" style="position:absolute;left:6667;top:2214;height:209;width:1698;" filled="f" stroked="f" coordsize="21600,21600" o:gfxdata="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Lj6Nx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14:paraId="23747221">
                        <w:pPr>
                          <w:spacing w:line="209" w:lineRule="exact"/>
                          <w:jc w:val="left"/>
                        </w:pPr>
                        <w:r>
                          <w:t>油污泥、环境风险</w:t>
                        </w:r>
                      </w:p>
                    </w:txbxContent>
                  </v:textbox>
                </v:shape>
                <v:shape id="_x0000_s1026" o:spid="_x0000_s1026" o:spt="202" type="#_x0000_t202" style="position:absolute;left:8498;top:2087;height:209;width:438;" filled="f" stroked="f" coordsize="21600,21600" o:gfxdata="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oQNwO5AAAA2wAA&#10;AA8AAAAAAAAAAQAgAAAAIgAAAGRycy9kb3ducmV2LnhtbFBLAQIUABQAAAAIAIdO4kAzLwWeOwAA&#10;ADkAAAAQAAAAAAAAAAEAIAAAAAgBAABkcnMvc2hhcGV4bWwueG1sUEsFBgAAAAAGAAYAWwEAALID&#10;AAAAAA==&#10;">
                  <v:fill on="f" focussize="0,0"/>
                  <v:stroke on="f"/>
                  <v:imagedata o:title=""/>
                  <o:lock v:ext="edit" aspectratio="f"/>
                  <v:textbox inset="0mm,0mm,0mm,0mm">
                    <w:txbxContent>
                      <w:p w14:paraId="72E03F79">
                        <w:pPr>
                          <w:spacing w:line="209" w:lineRule="exact"/>
                          <w:jc w:val="left"/>
                        </w:pPr>
                        <w:r>
                          <w:t>噪声</w:t>
                        </w:r>
                      </w:p>
                    </w:txbxContent>
                  </v:textbox>
                </v:shape>
                <v:shape id="_x0000_s1026" o:spid="_x0000_s1026" o:spt="202" type="#_x0000_t202" style="position:absolute;left:3938;top:2838;height:209;width:1069;" filled="f" stroked="f" coordsize="21600,21600" o:gfxdata="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VXJKY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14:paraId="2FAE5342">
                        <w:pPr>
                          <w:spacing w:line="209" w:lineRule="exact"/>
                          <w:jc w:val="left"/>
                        </w:pPr>
                        <w:r>
                          <w:t>废机油输出</w:t>
                        </w:r>
                      </w:p>
                    </w:txbxContent>
                  </v:textbox>
                </v:shape>
                <v:shape id="_x0000_s1026" o:spid="_x0000_s1026" o:spt="202" type="#_x0000_t202" style="position:absolute;left:6196;top:2845;height:209;width:649;" filled="f" stroked="f" coordsize="21600,21600" o:gfxdata="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Bv63YugAAANsA&#10;AAAPAAAAAAAAAAEAIAAAACIAAABkcnMvZG93bnJldi54bWxQSwECFAAUAAAACACHTuJAMy8FnjsA&#10;AAA5AAAAEAAAAAAAAAABACAAAAAJAQAAZHJzL3NoYXBleG1sLnhtbFBLBQYAAAAABgAGAFsBAACz&#10;AwAAAAA=&#10;">
                  <v:fill on="f" focussize="0,0"/>
                  <v:stroke on="f"/>
                  <v:imagedata o:title=""/>
                  <o:lock v:ext="edit" aspectratio="f"/>
                  <v:textbox inset="0mm,0mm,0mm,0mm">
                    <w:txbxContent>
                      <w:p w14:paraId="2E91489E">
                        <w:pPr>
                          <w:spacing w:line="209" w:lineRule="exact"/>
                          <w:jc w:val="left"/>
                        </w:pPr>
                        <w:r>
                          <w:t>油罐车</w:t>
                        </w:r>
                      </w:p>
                    </w:txbxContent>
                  </v:textbox>
                </v:shape>
                <v:shape id="_x0000_s1026" o:spid="_x0000_s1026" o:spt="202" type="#_x0000_t202" style="position:absolute;left:7980;top:2845;height:209;width:858;" filled="f" stroked="f" coordsize="21600,21600" o:gfxdata="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u8whD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14:paraId="232BAE2C">
                        <w:pPr>
                          <w:spacing w:line="209" w:lineRule="exact"/>
                          <w:jc w:val="left"/>
                        </w:pPr>
                        <w:r>
                          <w:t>油泵输送</w:t>
                        </w:r>
                      </w:p>
                    </w:txbxContent>
                  </v:textbox>
                </v:shape>
                <w10:wrap type="topAndBottom"/>
              </v:group>
            </w:pict>
          </mc:Fallback>
        </mc:AlternateContent>
      </w:r>
    </w:p>
    <w:p w14:paraId="56540150">
      <w:pPr>
        <w:spacing w:line="360" w:lineRule="auto"/>
        <w:jc w:val="center"/>
        <w:rPr>
          <w:rFonts w:ascii="Times New Roman" w:hAnsi="Times New Roman" w:eastAsia="宋体"/>
          <w:b/>
          <w:color w:val="0000FF"/>
          <w:sz w:val="24"/>
        </w:rPr>
      </w:pPr>
      <w:r>
        <w:rPr>
          <w:rFonts w:ascii="Times New Roman" w:hAnsi="Times New Roman" w:eastAsia="宋体"/>
          <w:b/>
          <w:color w:val="0000FF"/>
          <w:sz w:val="24"/>
        </w:rPr>
        <w:t>图3</w:t>
      </w:r>
      <w:r>
        <w:rPr>
          <w:rFonts w:hint="eastAsia" w:ascii="Times New Roman" w:hAnsi="Times New Roman" w:eastAsia="宋体"/>
          <w:b/>
          <w:color w:val="0000FF"/>
          <w:sz w:val="24"/>
          <w:lang w:val="en-US" w:eastAsia="zh-CN"/>
        </w:rPr>
        <w:t>-2</w:t>
      </w:r>
      <w:r>
        <w:rPr>
          <w:rFonts w:hint="eastAsia" w:ascii="Times New Roman" w:hAnsi="Times New Roman" w:eastAsia="宋体"/>
          <w:b/>
          <w:bCs/>
          <w:color w:val="0000FF"/>
          <w:sz w:val="24"/>
          <w:lang w:eastAsia="zh-CN"/>
        </w:rPr>
        <w:t>废机油回收</w:t>
      </w:r>
      <w:r>
        <w:rPr>
          <w:rFonts w:ascii="Times New Roman" w:hAnsi="Times New Roman" w:eastAsia="宋体"/>
          <w:b/>
          <w:bCs/>
          <w:color w:val="0000FF"/>
          <w:sz w:val="24"/>
        </w:rPr>
        <w:t>工艺</w:t>
      </w:r>
      <w:r>
        <w:rPr>
          <w:rFonts w:ascii="Times New Roman" w:hAnsi="Times New Roman" w:eastAsia="宋体"/>
          <w:b/>
          <w:color w:val="0000FF"/>
          <w:sz w:val="24"/>
        </w:rPr>
        <w:t>流程及产污环节图</w:t>
      </w:r>
    </w:p>
    <w:p w14:paraId="5CA19A59">
      <w:pPr>
        <w:spacing w:line="360" w:lineRule="auto"/>
        <w:ind w:firstLine="482" w:firstLineChars="200"/>
        <w:rPr>
          <w:rFonts w:ascii="Times New Roman" w:hAnsi="Times New Roman" w:eastAsia="宋体"/>
          <w:b/>
          <w:color w:val="0000FF"/>
        </w:rPr>
      </w:pPr>
      <w:r>
        <w:rPr>
          <w:rFonts w:ascii="Times New Roman" w:hAnsi="Times New Roman" w:eastAsia="宋体"/>
          <w:b/>
          <w:color w:val="0000FF"/>
          <w:sz w:val="24"/>
        </w:rPr>
        <w:t>工艺流程说明：</w:t>
      </w:r>
    </w:p>
    <w:p w14:paraId="378F5078">
      <w:pPr>
        <w:pStyle w:val="18"/>
        <w:numPr>
          <w:ilvl w:val="0"/>
          <w:numId w:val="1"/>
        </w:numPr>
        <w:ind w:firstLine="464"/>
        <w:rPr>
          <w:rFonts w:ascii="Times New Roman" w:hAnsi="Times New Roman"/>
          <w:color w:val="0000FF"/>
        </w:rPr>
      </w:pPr>
      <w:r>
        <w:rPr>
          <w:rFonts w:ascii="Times New Roman" w:hAnsi="Times New Roman"/>
          <w:color w:val="0000FF"/>
          <w:spacing w:val="-4"/>
        </w:rPr>
        <w:t>废油收储：收购方根据废油质量与废油供应商签订收购合同，然后通过</w:t>
      </w:r>
      <w:r>
        <w:rPr>
          <w:rFonts w:ascii="Times New Roman" w:hAnsi="Times New Roman"/>
          <w:color w:val="0000FF"/>
          <w:spacing w:val="-1"/>
        </w:rPr>
        <w:t>有运输资质的槽车将废油运至厂内卸油区，通过防爆油泵泵入废油存储罐内，同时登记危险废物收储台账。本项目临时收储的废油不经过任何形式的加工或处理</w:t>
      </w:r>
      <w:r>
        <w:rPr>
          <w:rFonts w:ascii="Times New Roman" w:hAnsi="Times New Roman"/>
          <w:color w:val="0000FF"/>
        </w:rPr>
        <w:t>工序。</w:t>
      </w:r>
    </w:p>
    <w:p w14:paraId="15319563">
      <w:pPr>
        <w:pStyle w:val="18"/>
        <w:numPr>
          <w:ilvl w:val="0"/>
          <w:numId w:val="1"/>
        </w:numPr>
        <w:ind w:firstLine="460"/>
        <w:rPr>
          <w:rFonts w:ascii="Times New Roman" w:hAnsi="Times New Roman"/>
          <w:color w:val="0000FF"/>
        </w:rPr>
      </w:pPr>
      <w:r>
        <w:rPr>
          <w:rFonts w:ascii="Times New Roman" w:hAnsi="Times New Roman"/>
          <w:color w:val="0000FF"/>
          <w:spacing w:val="-5"/>
        </w:rPr>
        <w:t>废油收集：本项目设计</w:t>
      </w:r>
      <w:r>
        <w:rPr>
          <w:rFonts w:ascii="Times New Roman" w:hAnsi="Times New Roman" w:eastAsia="Times New Roman"/>
          <w:color w:val="0000FF"/>
        </w:rPr>
        <w:t>3</w:t>
      </w:r>
      <w:r>
        <w:rPr>
          <w:rFonts w:ascii="Times New Roman" w:hAnsi="Times New Roman"/>
          <w:color w:val="0000FF"/>
          <w:spacing w:val="-24"/>
        </w:rPr>
        <w:t>个</w:t>
      </w:r>
      <w:r>
        <w:rPr>
          <w:rFonts w:ascii="Times New Roman" w:hAnsi="Times New Roman" w:eastAsia="Times New Roman"/>
          <w:color w:val="0000FF"/>
        </w:rPr>
        <w:t>50m</w:t>
      </w:r>
      <w:r>
        <w:rPr>
          <w:rFonts w:ascii="Times New Roman" w:hAnsi="Times New Roman" w:eastAsia="Times New Roman"/>
          <w:color w:val="0000FF"/>
          <w:position w:val="8"/>
          <w:sz w:val="15"/>
        </w:rPr>
        <w:t>3</w:t>
      </w:r>
      <w:r>
        <w:rPr>
          <w:rFonts w:ascii="Times New Roman" w:hAnsi="Times New Roman"/>
          <w:color w:val="0000FF"/>
        </w:rPr>
        <w:t>钢质卧式双层储油罐，根据项目废油</w:t>
      </w:r>
      <w:r>
        <w:rPr>
          <w:rFonts w:ascii="Times New Roman" w:hAnsi="Times New Roman"/>
          <w:color w:val="0000FF"/>
          <w:spacing w:val="-4"/>
        </w:rPr>
        <w:t>存储罐的设计要求，废油收集量不宜超过储罐荷载储存量的</w:t>
      </w:r>
      <w:r>
        <w:rPr>
          <w:rFonts w:ascii="Times New Roman" w:hAnsi="Times New Roman" w:eastAsia="Times New Roman"/>
          <w:color w:val="0000FF"/>
          <w:spacing w:val="-7"/>
        </w:rPr>
        <w:t>90%</w:t>
      </w:r>
      <w:r>
        <w:rPr>
          <w:rFonts w:ascii="Times New Roman" w:hAnsi="Times New Roman"/>
          <w:color w:val="0000FF"/>
          <w:spacing w:val="-5"/>
        </w:rPr>
        <w:t>，应及时对废油</w:t>
      </w:r>
      <w:r>
        <w:rPr>
          <w:rFonts w:ascii="Times New Roman" w:hAnsi="Times New Roman"/>
          <w:color w:val="0000FF"/>
        </w:rPr>
        <w:t>进行倒罐操作。</w:t>
      </w:r>
    </w:p>
    <w:p w14:paraId="19440502">
      <w:pPr>
        <w:pStyle w:val="19"/>
        <w:numPr>
          <w:ilvl w:val="0"/>
          <w:numId w:val="1"/>
        </w:numPr>
        <w:spacing w:after="0" w:line="360" w:lineRule="auto"/>
        <w:ind w:left="0" w:leftChars="0" w:firstLine="448" w:firstLineChars="200"/>
        <w:rPr>
          <w:rFonts w:ascii="Times New Roman" w:hAnsi="Times New Roman"/>
          <w:color w:val="0000FF"/>
          <w:sz w:val="24"/>
          <w:szCs w:val="24"/>
        </w:rPr>
      </w:pPr>
      <w:r>
        <w:rPr>
          <w:rFonts w:ascii="Times New Roman" w:hAnsi="Times New Roman"/>
          <w:color w:val="0000FF"/>
          <w:spacing w:val="-8"/>
          <w:sz w:val="24"/>
          <w:szCs w:val="24"/>
        </w:rPr>
        <w:t>中转物流：根据项目废油储罐的设计要求，本项目中转点临时收储废</w:t>
      </w:r>
      <w:r>
        <w:rPr>
          <w:rFonts w:ascii="Times New Roman" w:hAnsi="Times New Roman"/>
          <w:color w:val="0000FF"/>
          <w:spacing w:val="-4"/>
          <w:sz w:val="24"/>
          <w:szCs w:val="24"/>
        </w:rPr>
        <w:t>机油的极限存储量为</w:t>
      </w:r>
      <w:r>
        <w:rPr>
          <w:rFonts w:ascii="Times New Roman" w:hAnsi="Times New Roman" w:eastAsia="Times New Roman"/>
          <w:color w:val="0000FF"/>
          <w:sz w:val="24"/>
          <w:szCs w:val="24"/>
          <w:vertAlign w:val="baseline"/>
        </w:rPr>
        <w:t>1</w:t>
      </w:r>
      <w:r>
        <w:rPr>
          <w:rFonts w:hint="eastAsia" w:ascii="Times New Roman" w:hAnsi="Times New Roman" w:eastAsia="宋体"/>
          <w:color w:val="0000FF"/>
          <w:sz w:val="24"/>
          <w:szCs w:val="24"/>
          <w:vertAlign w:val="baseline"/>
          <w:lang w:eastAsia="zh-CN"/>
        </w:rPr>
        <w:t>20t</w:t>
      </w:r>
      <w:r>
        <w:rPr>
          <w:rFonts w:ascii="Times New Roman" w:hAnsi="Times New Roman"/>
          <w:color w:val="0000FF"/>
          <w:sz w:val="24"/>
          <w:szCs w:val="24"/>
          <w:vertAlign w:val="baseline"/>
        </w:rPr>
        <w:t>，</w:t>
      </w:r>
      <w:r>
        <w:rPr>
          <w:rFonts w:ascii="Times New Roman" w:hAnsi="Times New Roman"/>
          <w:color w:val="0000FF"/>
          <w:sz w:val="24"/>
          <w:szCs w:val="24"/>
        </w:rPr>
        <w:t>委托乌鲁木齐迪城运输有限公司，派出油罐车辆对本中转点收储的废机油进行拉运，填写危险废物转移联单，将废机油运输至下游</w:t>
      </w:r>
      <w:r>
        <w:rPr>
          <w:rFonts w:hint="eastAsia" w:ascii="Times New Roman" w:hAnsi="Times New Roman" w:eastAsia="宋体"/>
          <w:color w:val="0000FF"/>
          <w:sz w:val="24"/>
          <w:szCs w:val="24"/>
          <w:lang w:val="en-US" w:eastAsia="zh-CN"/>
        </w:rPr>
        <w:t>新疆海克新能源科技有限公司</w:t>
      </w:r>
      <w:r>
        <w:rPr>
          <w:rFonts w:ascii="Times New Roman" w:hAnsi="Times New Roman"/>
          <w:color w:val="0000FF"/>
          <w:sz w:val="24"/>
          <w:szCs w:val="24"/>
        </w:rPr>
        <w:t>进行回收再利用。</w:t>
      </w:r>
    </w:p>
    <w:p w14:paraId="7C245AEE">
      <w:pPr>
        <w:pStyle w:val="4"/>
        <w:adjustRightInd w:val="0"/>
        <w:snapToGrid w:val="0"/>
        <w:spacing w:line="360" w:lineRule="auto"/>
        <w:ind w:firstLine="482"/>
        <w:rPr>
          <w:rFonts w:ascii="Times New Roman" w:hAnsi="Times New Roman" w:eastAsia="宋体"/>
          <w:b/>
          <w:bCs/>
          <w:color w:val="0000FF"/>
          <w:sz w:val="24"/>
        </w:rPr>
      </w:pPr>
      <w:r>
        <w:rPr>
          <w:rFonts w:ascii="Times New Roman" w:hAnsi="Times New Roman" w:eastAsia="宋体"/>
          <w:b/>
          <w:bCs/>
          <w:color w:val="0000FF"/>
          <w:sz w:val="24"/>
        </w:rPr>
        <w:t>2.</w:t>
      </w:r>
      <w:r>
        <w:rPr>
          <w:rFonts w:hint="eastAsia" w:ascii="Times New Roman" w:hAnsi="Times New Roman" w:eastAsia="宋体"/>
          <w:b/>
          <w:bCs/>
          <w:color w:val="0000FF"/>
          <w:sz w:val="24"/>
          <w:lang w:val="en-US" w:eastAsia="zh-CN"/>
        </w:rPr>
        <w:t>2</w:t>
      </w:r>
      <w:r>
        <w:rPr>
          <w:rFonts w:hint="eastAsia" w:ascii="Times New Roman" w:hAnsi="Times New Roman" w:eastAsia="宋体"/>
          <w:b/>
          <w:bCs/>
          <w:color w:val="0000FF"/>
          <w:sz w:val="24"/>
          <w:lang w:eastAsia="zh-CN"/>
        </w:rPr>
        <w:t>废铅蓄电池回收</w:t>
      </w:r>
      <w:r>
        <w:rPr>
          <w:rFonts w:ascii="Times New Roman" w:hAnsi="Times New Roman" w:eastAsia="宋体"/>
          <w:b/>
          <w:bCs/>
          <w:color w:val="0000FF"/>
          <w:sz w:val="24"/>
        </w:rPr>
        <w:t>工艺</w:t>
      </w:r>
    </w:p>
    <w:p w14:paraId="1A72D79A">
      <w:pPr>
        <w:pStyle w:val="9"/>
        <w:adjustRightInd w:val="0"/>
        <w:snapToGrid w:val="0"/>
        <w:spacing w:before="156" w:beforeLines="50" w:line="360" w:lineRule="auto"/>
        <w:rPr>
          <w:rFonts w:hint="eastAsia" w:ascii="Times New Roman" w:hAnsi="Times New Roman" w:eastAsia="宋体"/>
          <w:b/>
          <w:color w:val="0000FF"/>
          <w:lang w:eastAsia="zh-CN"/>
        </w:rPr>
      </w:pPr>
      <w:r>
        <w:rPr>
          <w:color w:val="0000FF"/>
          <w:sz w:val="28"/>
        </w:rPr>
        <mc:AlternateContent>
          <mc:Choice Requires="wps">
            <w:drawing>
              <wp:anchor distT="0" distB="0" distL="114300" distR="114300" simplePos="0" relativeHeight="251662336" behindDoc="0" locked="0" layoutInCell="1" allowOverlap="1">
                <wp:simplePos x="0" y="0"/>
                <wp:positionH relativeFrom="column">
                  <wp:posOffset>25400</wp:posOffset>
                </wp:positionH>
                <wp:positionV relativeFrom="paragraph">
                  <wp:posOffset>1243330</wp:posOffset>
                </wp:positionV>
                <wp:extent cx="1513205" cy="323850"/>
                <wp:effectExtent l="4445" t="4445" r="6350" b="14605"/>
                <wp:wrapNone/>
                <wp:docPr id="38" name="文本框 38"/>
                <wp:cNvGraphicFramePr/>
                <a:graphic xmlns:a="http://schemas.openxmlformats.org/drawingml/2006/main">
                  <a:graphicData uri="http://schemas.microsoft.com/office/word/2010/wordprocessingShape">
                    <wps:wsp>
                      <wps:cNvSpPr txBox="1"/>
                      <wps:spPr>
                        <a:xfrm>
                          <a:off x="0" y="0"/>
                          <a:ext cx="1513205" cy="323850"/>
                        </a:xfrm>
                        <a:prstGeom prst="rect">
                          <a:avLst/>
                        </a:prstGeom>
                        <a:solidFill>
                          <a:srgbClr val="FFFFFF"/>
                        </a:solidFill>
                        <a:ln w="9525" cap="flat" cmpd="sng">
                          <a:solidFill>
                            <a:srgbClr val="000000"/>
                          </a:solidFill>
                          <a:prstDash val="dash"/>
                          <a:miter/>
                          <a:headEnd type="none" w="med" len="med"/>
                          <a:tailEnd type="none" w="med" len="med"/>
                        </a:ln>
                      </wps:spPr>
                      <wps:txbx>
                        <w:txbxContent>
                          <w:p w14:paraId="4FBD067A">
                            <w:pPr>
                              <w:jc w:val="center"/>
                              <w:rPr>
                                <w:rFonts w:hint="eastAsia" w:eastAsia="宋体"/>
                                <w:lang w:eastAsia="zh-CN"/>
                              </w:rPr>
                            </w:pPr>
                            <w:r>
                              <w:rPr>
                                <w:rFonts w:hint="eastAsia"/>
                                <w:lang w:eastAsia="zh-CN"/>
                              </w:rPr>
                              <w:t>硫酸雾</w:t>
                            </w:r>
                          </w:p>
                        </w:txbxContent>
                      </wps:txbx>
                      <wps:bodyPr upright="1"/>
                    </wps:wsp>
                  </a:graphicData>
                </a:graphic>
              </wp:anchor>
            </w:drawing>
          </mc:Choice>
          <mc:Fallback>
            <w:pict>
              <v:shape id="_x0000_s1026" o:spid="_x0000_s1026" o:spt="202" type="#_x0000_t202" style="position:absolute;left:0pt;margin-left:2pt;margin-top:97.9pt;height:25.5pt;width:119.15pt;z-index:251662336;mso-width-relative:page;mso-height-relative:page;" fillcolor="#FFFFFF" filled="t" stroked="t" coordsize="21600,21600" o:gfxdata="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KFjfF9cAAAAJAQAADwAAAAAAAAABACAA&#10;AAAiAAAAZHJzL2Rvd25yZXYueG1sUEsBAhQAFAAAAAgAh07iQCuJxRwOAgAANwQAAA4AAAAAAAAA&#10;AQAgAAAAJgEAAGRycy9lMm9Eb2MueG1sUEsFBgAAAAAGAAYAWQEAAKYFAAAAAA==&#10;">
                <v:fill on="t" focussize="0,0"/>
                <v:stroke color="#000000" joinstyle="miter" dashstyle="dash"/>
                <v:imagedata o:title=""/>
                <o:lock v:ext="edit" aspectratio="f"/>
                <v:textbox>
                  <w:txbxContent>
                    <w:p w14:paraId="4FBD067A">
                      <w:pPr>
                        <w:jc w:val="center"/>
                        <w:rPr>
                          <w:rFonts w:hint="eastAsia" w:eastAsia="宋体"/>
                          <w:lang w:eastAsia="zh-CN"/>
                        </w:rPr>
                      </w:pPr>
                      <w:r>
                        <w:rPr>
                          <w:rFonts w:hint="eastAsia"/>
                          <w:lang w:eastAsia="zh-CN"/>
                        </w:rPr>
                        <w:t>硫酸雾</w:t>
                      </w:r>
                    </w:p>
                  </w:txbxContent>
                </v:textbox>
              </v:shape>
            </w:pict>
          </mc:Fallback>
        </mc:AlternateContent>
      </w:r>
      <w:r>
        <w:rPr>
          <w:color w:val="0000FF"/>
        </w:rPr>
        <w:drawing>
          <wp:inline distT="0" distB="0" distL="114300" distR="114300">
            <wp:extent cx="5153025" cy="2047875"/>
            <wp:effectExtent l="0" t="0" r="9525" b="9525"/>
            <wp:docPr id="3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2"/>
                    <pic:cNvPicPr>
                      <a:picLocks noChangeAspect="1"/>
                    </pic:cNvPicPr>
                  </pic:nvPicPr>
                  <pic:blipFill>
                    <a:blip r:embed="rId7"/>
                    <a:stretch>
                      <a:fillRect/>
                    </a:stretch>
                  </pic:blipFill>
                  <pic:spPr>
                    <a:xfrm>
                      <a:off x="0" y="0"/>
                      <a:ext cx="5153025" cy="2047875"/>
                    </a:xfrm>
                    <a:prstGeom prst="rect">
                      <a:avLst/>
                    </a:prstGeom>
                    <a:noFill/>
                    <a:ln>
                      <a:noFill/>
                    </a:ln>
                  </pic:spPr>
                </pic:pic>
              </a:graphicData>
            </a:graphic>
          </wp:inline>
        </w:drawing>
      </w:r>
    </w:p>
    <w:p w14:paraId="7F9C3E4D">
      <w:pPr>
        <w:spacing w:line="360" w:lineRule="auto"/>
        <w:jc w:val="center"/>
        <w:rPr>
          <w:rFonts w:hint="eastAsia"/>
          <w:b/>
          <w:bCs/>
          <w:color w:val="0000FF"/>
          <w:sz w:val="24"/>
          <w:szCs w:val="24"/>
        </w:rPr>
      </w:pPr>
      <w:r>
        <w:rPr>
          <w:rFonts w:ascii="Times New Roman" w:hAnsi="Times New Roman" w:eastAsia="宋体"/>
          <w:b/>
          <w:color w:val="0000FF"/>
          <w:sz w:val="24"/>
        </w:rPr>
        <w:t>图3</w:t>
      </w:r>
      <w:r>
        <w:rPr>
          <w:rFonts w:hint="eastAsia" w:ascii="Times New Roman" w:hAnsi="Times New Roman" w:eastAsia="宋体"/>
          <w:b/>
          <w:color w:val="0000FF"/>
          <w:sz w:val="24"/>
          <w:lang w:val="en-US" w:eastAsia="zh-CN"/>
        </w:rPr>
        <w:t>-3</w:t>
      </w:r>
      <w:r>
        <w:rPr>
          <w:rFonts w:hint="eastAsia" w:ascii="Times New Roman" w:hAnsi="Times New Roman" w:eastAsia="宋体"/>
          <w:b/>
          <w:bCs/>
          <w:color w:val="0000FF"/>
          <w:sz w:val="24"/>
          <w:lang w:eastAsia="zh-CN"/>
        </w:rPr>
        <w:t>废铅蓄电池回收</w:t>
      </w:r>
      <w:r>
        <w:rPr>
          <w:rFonts w:ascii="Times New Roman" w:hAnsi="Times New Roman" w:eastAsia="宋体"/>
          <w:b/>
          <w:bCs/>
          <w:color w:val="0000FF"/>
          <w:sz w:val="24"/>
        </w:rPr>
        <w:t>工艺</w:t>
      </w:r>
      <w:r>
        <w:rPr>
          <w:rFonts w:ascii="Times New Roman" w:hAnsi="Times New Roman" w:eastAsia="宋体"/>
          <w:b/>
          <w:color w:val="0000FF"/>
          <w:sz w:val="24"/>
        </w:rPr>
        <w:t>流程及产污环节图</w:t>
      </w:r>
    </w:p>
    <w:p w14:paraId="03ECEBE9">
      <w:pPr>
        <w:pStyle w:val="20"/>
        <w:spacing w:line="360" w:lineRule="auto"/>
        <w:ind w:firstLine="480"/>
        <w:contextualSpacing/>
        <w:jc w:val="left"/>
        <w:rPr>
          <w:b/>
          <w:bCs/>
          <w:color w:val="0000FF"/>
          <w:sz w:val="24"/>
          <w:szCs w:val="24"/>
        </w:rPr>
      </w:pPr>
      <w:r>
        <w:rPr>
          <w:rFonts w:hint="eastAsia"/>
          <w:b/>
          <w:bCs/>
          <w:color w:val="0000FF"/>
          <w:sz w:val="24"/>
          <w:szCs w:val="24"/>
        </w:rPr>
        <w:t>工艺流程简述：</w:t>
      </w:r>
    </w:p>
    <w:p w14:paraId="38E78D99">
      <w:pPr>
        <w:pStyle w:val="16"/>
        <w:spacing w:line="360" w:lineRule="auto"/>
        <w:ind w:firstLine="480" w:firstLineChars="200"/>
        <w:contextualSpacing/>
        <w:jc w:val="left"/>
        <w:rPr>
          <w:rFonts w:hint="eastAsia"/>
          <w:color w:val="0000FF"/>
          <w:sz w:val="24"/>
          <w:szCs w:val="24"/>
        </w:rPr>
      </w:pPr>
      <w:r>
        <w:rPr>
          <w:rFonts w:hint="eastAsia"/>
          <w:color w:val="0000FF"/>
          <w:sz w:val="24"/>
          <w:szCs w:val="24"/>
        </w:rPr>
        <w:t>产生危废的各企业根据危险废物与收集容器材质的相容性，以及不同危险废物间的化学相容性，对危险废物进行分类收集，盛装危险废物的容器上必须粘贴符合《危险废物贮存污染控制标准》（GB18597-2001）要求的标签。废铅酸蓄电池有电解液渗漏的，其渗漏液贮存在耐酸容器中，废铅酸蓄电池收集、贮存、转运过程中不拆装。产生危废的各企业危废收集过程的环保责任主体，主要负责收集过程中危废包装满足相关规范及要求。</w:t>
      </w:r>
    </w:p>
    <w:p w14:paraId="62EEAC54">
      <w:pPr>
        <w:pStyle w:val="16"/>
        <w:spacing w:line="360" w:lineRule="auto"/>
        <w:ind w:firstLine="480" w:firstLineChars="200"/>
        <w:contextualSpacing/>
        <w:jc w:val="left"/>
        <w:rPr>
          <w:rFonts w:hint="eastAsia"/>
          <w:color w:val="0000FF"/>
          <w:sz w:val="24"/>
          <w:szCs w:val="24"/>
        </w:rPr>
      </w:pPr>
      <w:r>
        <w:rPr>
          <w:rFonts w:hint="eastAsia"/>
          <w:color w:val="0000FF"/>
          <w:sz w:val="24"/>
          <w:szCs w:val="24"/>
        </w:rPr>
        <w:t>根据各企业的收集情况，本项目委托具备危险废物运输资质的公司承担危险废物收运任务，通过专用车辆运输至本项目危废贮存车间，集中贮存后由具备危险废物运输资质的公司运送至下游有处置资质的公司处置。运输过程中尽可能避免车辆穿越学校、医院和居民小区等人口密集区域，并尽可能避开饮用水水源保护区、自然保护区等敏感区域。具备危险废物运输资质的公司为运输过程的主要环保责任主体。</w:t>
      </w:r>
    </w:p>
    <w:p w14:paraId="12D9523C">
      <w:pPr>
        <w:pStyle w:val="16"/>
        <w:spacing w:line="360" w:lineRule="auto"/>
        <w:ind w:firstLine="480" w:firstLineChars="200"/>
        <w:contextualSpacing/>
        <w:jc w:val="left"/>
        <w:rPr>
          <w:rFonts w:hint="eastAsia"/>
          <w:color w:val="0000FF"/>
          <w:sz w:val="24"/>
          <w:szCs w:val="24"/>
        </w:rPr>
      </w:pPr>
      <w:r>
        <w:rPr>
          <w:rFonts w:hint="eastAsia"/>
          <w:color w:val="0000FF"/>
          <w:sz w:val="24"/>
          <w:szCs w:val="24"/>
        </w:rPr>
        <w:t>危险废物经专用车辆运至项目贮存厂区，用叉车进行卸车，卸车前进行危险废物登记。在厂区卸车区域进行危废的转移，转移方式为直接将车上桶装的</w:t>
      </w:r>
      <w:r>
        <w:rPr>
          <w:rFonts w:hint="eastAsia"/>
          <w:color w:val="0000FF"/>
          <w:sz w:val="24"/>
          <w:szCs w:val="24"/>
          <w:lang w:eastAsia="zh-CN"/>
        </w:rPr>
        <w:t>废铅蓄电池</w:t>
      </w:r>
      <w:r>
        <w:rPr>
          <w:rFonts w:hint="eastAsia"/>
          <w:color w:val="0000FF"/>
          <w:sz w:val="24"/>
          <w:szCs w:val="24"/>
        </w:rPr>
        <w:t>转移至危废贮存车间。</w:t>
      </w:r>
    </w:p>
    <w:p w14:paraId="03BC0BBE">
      <w:pPr>
        <w:pStyle w:val="16"/>
        <w:spacing w:line="360" w:lineRule="auto"/>
        <w:ind w:firstLine="480" w:firstLineChars="200"/>
        <w:contextualSpacing/>
        <w:jc w:val="left"/>
        <w:rPr>
          <w:rFonts w:hint="eastAsia"/>
          <w:color w:val="0000FF"/>
          <w:sz w:val="24"/>
          <w:szCs w:val="24"/>
        </w:rPr>
      </w:pPr>
      <w:r>
        <w:rPr>
          <w:rFonts w:hint="eastAsia"/>
          <w:color w:val="0000FF"/>
          <w:sz w:val="24"/>
          <w:szCs w:val="24"/>
        </w:rPr>
        <w:t>项目危废贮存车间贮存的危险废物达到一定量后，委托具备危险废物运输资质的公司外运至下游有危险废物处理资质的单位处置。</w:t>
      </w:r>
    </w:p>
    <w:p w14:paraId="4FCAC85D">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0" w:firstLineChars="200"/>
        <w:contextualSpacing/>
        <w:jc w:val="both"/>
        <w:textAlignment w:val="auto"/>
        <w:outlineLvl w:val="9"/>
        <w:rPr>
          <w:rFonts w:hint="default" w:ascii="Times New Roman" w:hAnsi="Times New Roman" w:cs="Times New Roman"/>
          <w:color w:val="0000FF"/>
          <w:sz w:val="24"/>
          <w:lang w:val="en-US" w:eastAsia="zh-CN"/>
        </w:rPr>
      </w:pPr>
      <w:r>
        <w:rPr>
          <w:rFonts w:hint="eastAsia" w:ascii="Times New Roman" w:hAnsi="Times New Roman" w:cs="Times New Roman"/>
          <w:color w:val="0000FF"/>
          <w:sz w:val="24"/>
          <w:lang w:val="en-US" w:eastAsia="zh-CN"/>
        </w:rPr>
        <w:t>（4）</w:t>
      </w:r>
      <w:r>
        <w:rPr>
          <w:rFonts w:hint="default" w:ascii="Times New Roman" w:hAnsi="Times New Roman" w:cs="Times New Roman"/>
          <w:color w:val="0000FF"/>
          <w:sz w:val="24"/>
          <w:lang w:val="en-US" w:eastAsia="zh-CN"/>
        </w:rPr>
        <w:t>废活性炭</w:t>
      </w:r>
    </w:p>
    <w:p w14:paraId="763AF7B5">
      <w:pPr>
        <w:spacing w:line="360" w:lineRule="auto"/>
        <w:ind w:firstLine="480" w:firstLineChars="200"/>
        <w:rPr>
          <w:rFonts w:hint="eastAsia" w:ascii="Times New Roman" w:hAnsi="Times New Roman"/>
          <w:b/>
          <w:bCs/>
          <w:color w:val="0000FF"/>
          <w:sz w:val="24"/>
          <w:szCs w:val="24"/>
          <w:lang w:val="en-US" w:eastAsia="zh-CN"/>
        </w:rPr>
      </w:pPr>
      <w:r>
        <w:rPr>
          <w:rFonts w:hint="default" w:ascii="Times New Roman" w:hAnsi="Times New Roman" w:cs="Times New Roman"/>
          <w:color w:val="0000FF"/>
          <w:sz w:val="24"/>
          <w:lang w:val="en-US" w:eastAsia="zh-CN"/>
        </w:rPr>
        <w:t>本项目有机废气处理采用活性炭吸附装置，会产生废活性炭，1t的活性炭吸附300kg有机废气，本项目约产生废活性炭</w:t>
      </w:r>
      <w:r>
        <w:rPr>
          <w:rFonts w:hint="eastAsia" w:ascii="Times New Roman" w:hAnsi="Times New Roman" w:cs="Times New Roman"/>
          <w:color w:val="0000FF"/>
          <w:sz w:val="24"/>
          <w:lang w:val="en-US" w:eastAsia="zh-CN"/>
        </w:rPr>
        <w:t>1.02</w:t>
      </w:r>
      <w:r>
        <w:rPr>
          <w:rFonts w:hint="default" w:ascii="Times New Roman" w:hAnsi="Times New Roman" w:cs="Times New Roman"/>
          <w:color w:val="0000FF"/>
          <w:sz w:val="24"/>
          <w:lang w:val="en-US" w:eastAsia="zh-CN"/>
        </w:rPr>
        <w:t>t/a。活性炭根据实际初装量及使用情况，需定期更换</w:t>
      </w:r>
      <w:r>
        <w:rPr>
          <w:rFonts w:hint="eastAsia" w:ascii="Times New Roman" w:hAnsi="Times New Roman" w:cs="Times New Roman"/>
          <w:color w:val="0000FF"/>
          <w:sz w:val="24"/>
          <w:lang w:val="en-US" w:eastAsia="zh-CN"/>
        </w:rPr>
        <w:t>，更换次数为每年2次，每次为600kg</w:t>
      </w:r>
      <w:r>
        <w:rPr>
          <w:rFonts w:hint="default" w:ascii="Times New Roman" w:hAnsi="Times New Roman" w:cs="Times New Roman"/>
          <w:color w:val="0000FF"/>
          <w:sz w:val="24"/>
          <w:lang w:val="en-US" w:eastAsia="zh-CN"/>
        </w:rPr>
        <w:t>。核对《国家危险废物名录》（2016年），本项目有机废气处理产生的废活性炭属于HW49其他废物中，含有或沾染毒性、感染性危险废物的废弃包装物、容器、过滤吸附介质，故需按危废处置。暂存于</w:t>
      </w:r>
      <w:r>
        <w:rPr>
          <w:rFonts w:hint="eastAsia" w:ascii="Times New Roman" w:hAnsi="Times New Roman" w:cs="Times New Roman"/>
          <w:color w:val="0000FF"/>
          <w:sz w:val="24"/>
          <w:lang w:val="en-US" w:eastAsia="zh-CN"/>
        </w:rPr>
        <w:t>车间</w:t>
      </w:r>
      <w:r>
        <w:rPr>
          <w:rFonts w:hint="eastAsia" w:ascii="Times New Roman" w:hAnsi="Times New Roman" w:cs="Times New Roman"/>
          <w:color w:val="0000FF"/>
          <w:sz w:val="24"/>
          <w:highlight w:val="none"/>
          <w:lang w:val="en-US" w:eastAsia="zh-CN"/>
        </w:rPr>
        <w:t>内</w:t>
      </w:r>
      <w:r>
        <w:rPr>
          <w:rFonts w:hint="default" w:ascii="Times New Roman" w:hAnsi="Times New Roman" w:cs="Times New Roman"/>
          <w:color w:val="0000FF"/>
          <w:sz w:val="24"/>
          <w:highlight w:val="none"/>
          <w:lang w:val="en-US" w:eastAsia="zh-CN"/>
        </w:rPr>
        <w:t>危废暂存</w:t>
      </w:r>
      <w:r>
        <w:rPr>
          <w:rFonts w:hint="eastAsia" w:ascii="Times New Roman" w:hAnsi="Times New Roman" w:cs="Times New Roman"/>
          <w:color w:val="0000FF"/>
          <w:sz w:val="24"/>
          <w:highlight w:val="none"/>
          <w:lang w:val="en-US" w:eastAsia="zh-CN"/>
        </w:rPr>
        <w:t>点（15m</w:t>
      </w:r>
      <w:r>
        <w:rPr>
          <w:rFonts w:hint="eastAsia" w:ascii="Times New Roman" w:hAnsi="Times New Roman" w:cs="Times New Roman"/>
          <w:color w:val="0000FF"/>
          <w:sz w:val="24"/>
          <w:highlight w:val="none"/>
          <w:vertAlign w:val="superscript"/>
          <w:lang w:val="en-US" w:eastAsia="zh-CN"/>
        </w:rPr>
        <w:t>2</w:t>
      </w:r>
      <w:r>
        <w:rPr>
          <w:rFonts w:hint="eastAsia" w:ascii="Times New Roman" w:hAnsi="Times New Roman" w:cs="Times New Roman"/>
          <w:color w:val="0000FF"/>
          <w:sz w:val="24"/>
          <w:highlight w:val="none"/>
          <w:lang w:val="en-US" w:eastAsia="zh-CN"/>
        </w:rPr>
        <w:t>）</w:t>
      </w:r>
      <w:r>
        <w:rPr>
          <w:rFonts w:hint="default" w:ascii="Times New Roman" w:hAnsi="Times New Roman" w:cs="Times New Roman"/>
          <w:color w:val="0000FF"/>
          <w:sz w:val="24"/>
          <w:highlight w:val="none"/>
          <w:lang w:val="en-US" w:eastAsia="zh-CN"/>
        </w:rPr>
        <w:t>，委</w:t>
      </w:r>
      <w:r>
        <w:rPr>
          <w:rFonts w:hint="default" w:ascii="Times New Roman" w:hAnsi="Times New Roman" w:cs="Times New Roman"/>
          <w:color w:val="0000FF"/>
          <w:sz w:val="24"/>
          <w:lang w:val="en-US" w:eastAsia="zh-CN"/>
        </w:rPr>
        <w:t>托有资质单位处理。</w:t>
      </w:r>
    </w:p>
    <w:p w14:paraId="50C26731">
      <w:pPr>
        <w:pStyle w:val="2"/>
        <w:rPr>
          <w:rFonts w:hint="eastAsia" w:ascii="宋体" w:hAnsi="宋体" w:cs="宋体"/>
          <w:bCs/>
          <w:sz w:val="24"/>
          <w:szCs w:val="24"/>
          <w:lang w:val="zh-CN"/>
        </w:rPr>
      </w:pPr>
      <w:r>
        <w:rPr>
          <w:rFonts w:hint="eastAsia" w:ascii="宋体" w:hAnsi="宋体" w:cs="宋体"/>
          <w:bCs/>
          <w:sz w:val="24"/>
          <w:szCs w:val="24"/>
          <w:lang w:val="zh-CN"/>
        </w:rPr>
        <w:t>意见</w:t>
      </w:r>
      <w:r>
        <w:rPr>
          <w:rFonts w:hint="eastAsia" w:ascii="宋体" w:hAnsi="宋体" w:cs="宋体"/>
          <w:bCs/>
          <w:sz w:val="24"/>
          <w:szCs w:val="24"/>
          <w:lang w:val="en-US" w:eastAsia="zh-CN"/>
        </w:rPr>
        <w:t>5、</w:t>
      </w:r>
      <w:r>
        <w:rPr>
          <w:rFonts w:hint="eastAsia" w:ascii="宋体" w:hAnsi="宋体" w:cs="宋体"/>
          <w:bCs/>
          <w:sz w:val="24"/>
          <w:szCs w:val="24"/>
          <w:lang w:val="zh-CN"/>
        </w:rPr>
        <w:t>按大气导则要求，完善环境质量现状评价内容，补充特征污染物非甲烷总烃现状监测数据。</w:t>
      </w:r>
    </w:p>
    <w:p w14:paraId="1424E52C">
      <w:pPr>
        <w:pStyle w:val="2"/>
        <w:rPr>
          <w:rFonts w:hint="eastAsia" w:ascii="宋体" w:hAnsi="宋体" w:cs="宋体"/>
          <w:bCs/>
          <w:sz w:val="24"/>
          <w:szCs w:val="24"/>
          <w:vertAlign w:val="baseline"/>
          <w:lang w:val="en-US" w:eastAsia="zh-CN"/>
        </w:rPr>
      </w:pPr>
      <w:r>
        <w:rPr>
          <w:rFonts w:hint="eastAsia" w:ascii="宋体" w:hAnsi="宋体" w:cs="宋体"/>
          <w:bCs/>
          <w:sz w:val="24"/>
          <w:szCs w:val="24"/>
          <w:vertAlign w:val="baseline"/>
          <w:lang w:val="zh-CN"/>
        </w:rPr>
        <w:t>已修改，见报告</w:t>
      </w:r>
      <w:r>
        <w:rPr>
          <w:rFonts w:hint="eastAsia" w:ascii="宋体" w:hAnsi="宋体" w:cs="宋体"/>
          <w:bCs/>
          <w:sz w:val="24"/>
          <w:szCs w:val="24"/>
          <w:vertAlign w:val="baseline"/>
          <w:lang w:val="en-US" w:eastAsia="zh-CN"/>
        </w:rPr>
        <w:t>P31-32。</w:t>
      </w:r>
    </w:p>
    <w:p w14:paraId="6F8792A2">
      <w:pPr>
        <w:keepNext w:val="0"/>
        <w:keepLines w:val="0"/>
        <w:pageBreakBefore w:val="0"/>
        <w:widowControl/>
        <w:suppressLineNumbers w:val="0"/>
        <w:kinsoku/>
        <w:wordWrap/>
        <w:overflowPunct/>
        <w:topLinePunct w:val="0"/>
        <w:bidi w:val="0"/>
        <w:spacing w:line="360" w:lineRule="auto"/>
        <w:ind w:firstLine="482" w:firstLineChars="200"/>
        <w:jc w:val="left"/>
        <w:textAlignment w:val="auto"/>
        <w:rPr>
          <w:rFonts w:hint="default" w:ascii="Times New Roman" w:hAnsi="Times New Roman" w:eastAsia="宋体" w:cs="Times New Roman"/>
          <w:b/>
          <w:color w:val="0000FF"/>
          <w:kern w:val="0"/>
          <w:sz w:val="24"/>
          <w:szCs w:val="24"/>
          <w:lang w:val="en-US" w:eastAsia="zh-CN" w:bidi="ar"/>
        </w:rPr>
      </w:pPr>
      <w:r>
        <w:rPr>
          <w:rFonts w:hint="default" w:ascii="Times New Roman" w:hAnsi="Times New Roman" w:eastAsia="宋体" w:cs="Times New Roman"/>
          <w:b/>
          <w:color w:val="0000FF"/>
          <w:kern w:val="0"/>
          <w:sz w:val="24"/>
          <w:szCs w:val="24"/>
          <w:lang w:val="en-US" w:eastAsia="zh-CN" w:bidi="ar"/>
        </w:rPr>
        <w:t>1.2补充监测</w:t>
      </w:r>
    </w:p>
    <w:p w14:paraId="6E14B5C1">
      <w:pPr>
        <w:keepNext w:val="0"/>
        <w:keepLines w:val="0"/>
        <w:pageBreakBefore w:val="0"/>
        <w:widowControl/>
        <w:suppressLineNumbers w:val="0"/>
        <w:kinsoku/>
        <w:wordWrap/>
        <w:overflowPunct/>
        <w:topLinePunct w:val="0"/>
        <w:bidi w:val="0"/>
        <w:spacing w:line="360" w:lineRule="auto"/>
        <w:ind w:firstLine="480" w:firstLineChars="200"/>
        <w:jc w:val="left"/>
        <w:textAlignment w:val="auto"/>
        <w:rPr>
          <w:rFonts w:hint="default" w:ascii="Times New Roman" w:hAnsi="Times New Roman" w:eastAsia="宋体" w:cs="Times New Roman"/>
          <w:b w:val="0"/>
          <w:bCs w:val="0"/>
          <w:color w:val="0000FF"/>
          <w:sz w:val="24"/>
          <w:szCs w:val="24"/>
          <w:lang w:val="en-US" w:eastAsia="zh-CN"/>
        </w:rPr>
      </w:pPr>
      <w:r>
        <w:rPr>
          <w:rFonts w:hint="default" w:ascii="Times New Roman" w:hAnsi="Times New Roman" w:eastAsia="宋体" w:cs="Times New Roman"/>
          <w:b w:val="0"/>
          <w:bCs w:val="0"/>
          <w:color w:val="0000FF"/>
          <w:sz w:val="24"/>
          <w:szCs w:val="24"/>
          <w:lang w:val="en-US" w:eastAsia="zh-CN"/>
        </w:rPr>
        <w:t>为调查了解项目所在位置环境空气特征污染因子（非甲烷总烃）状况，本次评价引用2020年5月奇台县祥平塑业有限公司《奇台县祥平塑业有限公司年产一亿条特色包装袋生产线二期扩建项目》中非甲烷总烃的监测数据对项目区域非甲烷总烃现状进行评价。</w:t>
      </w:r>
    </w:p>
    <w:p w14:paraId="5D9644DF">
      <w:pPr>
        <w:keepNext w:val="0"/>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default" w:ascii="Times New Roman" w:hAnsi="Times New Roman" w:eastAsia="宋体" w:cs="Times New Roman"/>
          <w:b w:val="0"/>
          <w:bCs w:val="0"/>
          <w:color w:val="0000FF"/>
          <w:sz w:val="24"/>
          <w:szCs w:val="24"/>
          <w:lang w:val="en-US" w:eastAsia="zh-CN"/>
        </w:rPr>
      </w:pPr>
      <w:r>
        <w:rPr>
          <w:rFonts w:hint="default" w:ascii="Times New Roman" w:hAnsi="Times New Roman" w:eastAsia="宋体" w:cs="Times New Roman"/>
          <w:b w:val="0"/>
          <w:bCs w:val="0"/>
          <w:color w:val="0000FF"/>
          <w:sz w:val="24"/>
          <w:szCs w:val="24"/>
          <w:lang w:val="en-US" w:eastAsia="zh-CN"/>
        </w:rPr>
        <w:t>奇台县祥平塑业有限公司位于本项目西南侧2.7km处。在此期间，周围污染源基本无变化，所引用数据具有一定的代表性和时效性。监测时间为2020年5月25日～</w:t>
      </w:r>
      <w:r>
        <w:rPr>
          <w:rFonts w:hint="eastAsia" w:ascii="Times New Roman" w:hAnsi="Times New Roman" w:eastAsia="宋体" w:cs="Times New Roman"/>
          <w:b w:val="0"/>
          <w:bCs w:val="0"/>
          <w:color w:val="0000FF"/>
          <w:sz w:val="24"/>
          <w:szCs w:val="24"/>
          <w:lang w:val="en-US" w:eastAsia="zh-CN"/>
        </w:rPr>
        <w:t>5</w:t>
      </w:r>
      <w:r>
        <w:rPr>
          <w:rFonts w:hint="default" w:ascii="Times New Roman" w:hAnsi="Times New Roman" w:eastAsia="宋体" w:cs="Times New Roman"/>
          <w:b w:val="0"/>
          <w:bCs w:val="0"/>
          <w:color w:val="0000FF"/>
          <w:sz w:val="24"/>
          <w:szCs w:val="24"/>
          <w:lang w:val="en-US" w:eastAsia="zh-CN"/>
        </w:rPr>
        <w:t>月</w:t>
      </w:r>
      <w:r>
        <w:rPr>
          <w:rFonts w:hint="eastAsia" w:ascii="Times New Roman" w:hAnsi="Times New Roman" w:eastAsia="宋体" w:cs="Times New Roman"/>
          <w:b w:val="0"/>
          <w:bCs w:val="0"/>
          <w:color w:val="0000FF"/>
          <w:sz w:val="24"/>
          <w:szCs w:val="24"/>
          <w:lang w:val="en-US" w:eastAsia="zh-CN"/>
        </w:rPr>
        <w:t>37</w:t>
      </w:r>
      <w:r>
        <w:rPr>
          <w:rFonts w:hint="default" w:ascii="Times New Roman" w:hAnsi="Times New Roman" w:eastAsia="宋体" w:cs="Times New Roman"/>
          <w:b w:val="0"/>
          <w:bCs w:val="0"/>
          <w:color w:val="0000FF"/>
          <w:sz w:val="24"/>
          <w:szCs w:val="24"/>
          <w:lang w:val="en-US" w:eastAsia="zh-CN"/>
        </w:rPr>
        <w:t>日，连续监测7天，满足《环境影响评价技术导则大气环境》（HJ2.2-2008）第6章相关要求。</w:t>
      </w:r>
    </w:p>
    <w:p w14:paraId="059AF78B">
      <w:pPr>
        <w:spacing w:line="360" w:lineRule="auto"/>
        <w:jc w:val="center"/>
        <w:rPr>
          <w:rFonts w:hint="default"/>
          <w:color w:val="0000FF"/>
        </w:rPr>
      </w:pPr>
      <w:r>
        <w:rPr>
          <w:b/>
          <w:bCs/>
          <w:color w:val="0000FF"/>
          <w:szCs w:val="21"/>
        </w:rPr>
        <w:t>表</w:t>
      </w:r>
      <w:r>
        <w:rPr>
          <w:rFonts w:hint="eastAsia"/>
          <w:b/>
          <w:bCs/>
          <w:color w:val="0000FF"/>
          <w:szCs w:val="21"/>
          <w:lang w:val="en-US" w:eastAsia="zh-CN"/>
        </w:rPr>
        <w:t>2-2</w:t>
      </w:r>
      <w:r>
        <w:rPr>
          <w:b/>
          <w:bCs/>
          <w:color w:val="0000FF"/>
          <w:szCs w:val="21"/>
        </w:rPr>
        <w:t>大气环境质量现状评价结果（非甲烷总烃）单位：mg/m</w:t>
      </w:r>
      <w:r>
        <w:rPr>
          <w:b/>
          <w:bCs/>
          <w:color w:val="0000FF"/>
          <w:szCs w:val="21"/>
          <w:vertAlign w:val="superscript"/>
        </w:rPr>
        <w:t>3</w:t>
      </w:r>
    </w:p>
    <w:tbl>
      <w:tblPr>
        <w:tblStyle w:val="12"/>
        <w:tblW w:w="0" w:type="auto"/>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31"/>
        <w:gridCol w:w="2187"/>
        <w:gridCol w:w="1660"/>
        <w:gridCol w:w="1660"/>
        <w:gridCol w:w="1660"/>
      </w:tblGrid>
      <w:tr w14:paraId="0C96338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1" w:type="dxa"/>
            <w:tcBorders>
              <w:tl2br w:val="nil"/>
              <w:tr2bl w:val="nil"/>
            </w:tcBorders>
            <w:noWrap w:val="0"/>
            <w:vAlign w:val="center"/>
          </w:tcPr>
          <w:p w14:paraId="688FB4EF">
            <w:pPr>
              <w:spacing w:line="240" w:lineRule="atLeast"/>
              <w:jc w:val="center"/>
              <w:rPr>
                <w:rFonts w:ascii="Times New Roman" w:hAnsi="Times New Roman" w:eastAsia="宋体"/>
                <w:b/>
                <w:bCs/>
                <w:color w:val="0000FF"/>
                <w:sz w:val="21"/>
                <w:szCs w:val="21"/>
                <w:vertAlign w:val="baseline"/>
              </w:rPr>
            </w:pPr>
            <w:r>
              <w:rPr>
                <w:b/>
                <w:color w:val="0000FF"/>
                <w:sz w:val="21"/>
                <w:szCs w:val="21"/>
              </w:rPr>
              <w:t>采样点名称</w:t>
            </w:r>
          </w:p>
        </w:tc>
        <w:tc>
          <w:tcPr>
            <w:tcW w:w="2187" w:type="dxa"/>
            <w:tcBorders>
              <w:tl2br w:val="nil"/>
              <w:tr2bl w:val="nil"/>
            </w:tcBorders>
            <w:noWrap w:val="0"/>
            <w:vAlign w:val="center"/>
          </w:tcPr>
          <w:p w14:paraId="4454E11B">
            <w:pPr>
              <w:spacing w:line="240" w:lineRule="atLeast"/>
              <w:jc w:val="center"/>
              <w:rPr>
                <w:rFonts w:ascii="Times New Roman" w:hAnsi="Times New Roman" w:eastAsia="宋体"/>
                <w:b/>
                <w:bCs/>
                <w:color w:val="0000FF"/>
                <w:sz w:val="21"/>
                <w:szCs w:val="21"/>
                <w:vertAlign w:val="baseline"/>
              </w:rPr>
            </w:pPr>
            <w:r>
              <w:rPr>
                <w:b/>
                <w:color w:val="0000FF"/>
                <w:sz w:val="21"/>
                <w:szCs w:val="21"/>
              </w:rPr>
              <w:t>日期</w:t>
            </w:r>
          </w:p>
        </w:tc>
        <w:tc>
          <w:tcPr>
            <w:tcW w:w="1660" w:type="dxa"/>
            <w:tcBorders>
              <w:tl2br w:val="nil"/>
              <w:tr2bl w:val="nil"/>
            </w:tcBorders>
            <w:noWrap w:val="0"/>
            <w:vAlign w:val="center"/>
          </w:tcPr>
          <w:p w14:paraId="53BDF9EB">
            <w:pPr>
              <w:spacing w:line="240" w:lineRule="atLeast"/>
              <w:jc w:val="center"/>
              <w:rPr>
                <w:rFonts w:ascii="Times New Roman" w:hAnsi="Times New Roman" w:eastAsia="宋体"/>
                <w:b/>
                <w:bCs/>
                <w:color w:val="0000FF"/>
                <w:sz w:val="21"/>
                <w:szCs w:val="21"/>
                <w:vertAlign w:val="baseline"/>
              </w:rPr>
            </w:pPr>
            <w:r>
              <w:rPr>
                <w:b/>
                <w:color w:val="0000FF"/>
                <w:sz w:val="21"/>
                <w:szCs w:val="21"/>
              </w:rPr>
              <w:t>采样时间</w:t>
            </w:r>
          </w:p>
        </w:tc>
        <w:tc>
          <w:tcPr>
            <w:tcW w:w="1660" w:type="dxa"/>
            <w:tcBorders>
              <w:tl2br w:val="nil"/>
              <w:tr2bl w:val="nil"/>
            </w:tcBorders>
            <w:noWrap w:val="0"/>
            <w:vAlign w:val="center"/>
          </w:tcPr>
          <w:p w14:paraId="6ABEC3FD">
            <w:pPr>
              <w:spacing w:line="240" w:lineRule="atLeast"/>
              <w:jc w:val="center"/>
              <w:rPr>
                <w:rFonts w:ascii="Times New Roman" w:hAnsi="Times New Roman" w:eastAsia="宋体"/>
                <w:b/>
                <w:bCs/>
                <w:color w:val="0000FF"/>
                <w:sz w:val="21"/>
                <w:szCs w:val="21"/>
                <w:vertAlign w:val="baseline"/>
              </w:rPr>
            </w:pPr>
            <w:r>
              <w:rPr>
                <w:b/>
                <w:color w:val="0000FF"/>
                <w:sz w:val="21"/>
                <w:szCs w:val="21"/>
              </w:rPr>
              <w:t>非甲烷总烃</w:t>
            </w:r>
          </w:p>
        </w:tc>
        <w:tc>
          <w:tcPr>
            <w:tcW w:w="1660" w:type="dxa"/>
            <w:tcBorders>
              <w:tl2br w:val="nil"/>
              <w:tr2bl w:val="nil"/>
            </w:tcBorders>
            <w:noWrap w:val="0"/>
            <w:vAlign w:val="center"/>
          </w:tcPr>
          <w:p w14:paraId="0D90949D">
            <w:pPr>
              <w:spacing w:line="240" w:lineRule="atLeast"/>
              <w:jc w:val="center"/>
              <w:rPr>
                <w:rFonts w:hint="default" w:eastAsia="宋体"/>
                <w:b/>
                <w:color w:val="0000FF"/>
                <w:sz w:val="21"/>
                <w:szCs w:val="21"/>
                <w:lang w:val="en-US" w:eastAsia="zh-CN"/>
              </w:rPr>
            </w:pPr>
            <w:r>
              <w:rPr>
                <w:rFonts w:hint="eastAsia"/>
                <w:b/>
                <w:color w:val="0000FF"/>
                <w:sz w:val="21"/>
                <w:szCs w:val="21"/>
                <w:lang w:eastAsia="zh-CN"/>
              </w:rPr>
              <w:t>占标率</w:t>
            </w:r>
          </w:p>
        </w:tc>
      </w:tr>
      <w:tr w14:paraId="34A10EB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1" w:type="dxa"/>
            <w:vMerge w:val="restart"/>
            <w:tcBorders>
              <w:tl2br w:val="nil"/>
              <w:tr2bl w:val="nil"/>
            </w:tcBorders>
            <w:noWrap w:val="0"/>
            <w:vAlign w:val="center"/>
          </w:tcPr>
          <w:p w14:paraId="6D2F734A">
            <w:pPr>
              <w:autoSpaceDE w:val="0"/>
              <w:autoSpaceDN w:val="0"/>
              <w:adjustRightInd w:val="0"/>
              <w:snapToGrid w:val="0"/>
              <w:spacing w:line="360" w:lineRule="auto"/>
              <w:jc w:val="center"/>
              <w:rPr>
                <w:rFonts w:ascii="Times New Roman" w:hAnsi="Times New Roman" w:eastAsia="宋体"/>
                <w:b w:val="0"/>
                <w:bCs w:val="0"/>
                <w:color w:val="0000FF"/>
                <w:sz w:val="21"/>
                <w:szCs w:val="21"/>
                <w:vertAlign w:val="baseline"/>
              </w:rPr>
            </w:pPr>
            <w:r>
              <w:rPr>
                <w:rFonts w:hint="default" w:ascii="Times New Roman" w:hAnsi="Times New Roman" w:eastAsia="宋体" w:cs="Times New Roman"/>
                <w:b w:val="0"/>
                <w:bCs w:val="0"/>
                <w:color w:val="0000FF"/>
                <w:sz w:val="21"/>
                <w:szCs w:val="21"/>
                <w:lang w:val="en-US" w:eastAsia="zh-CN"/>
              </w:rPr>
              <w:t>奇台县祥平塑业有限公司</w:t>
            </w:r>
            <w:r>
              <w:rPr>
                <w:rFonts w:hint="eastAsia" w:ascii="Times New Roman" w:hAnsi="Times New Roman" w:eastAsia="宋体" w:cs="Times New Roman"/>
                <w:b w:val="0"/>
                <w:bCs w:val="0"/>
                <w:color w:val="0000FF"/>
                <w:sz w:val="21"/>
                <w:szCs w:val="21"/>
                <w:lang w:val="en-US" w:eastAsia="zh-CN"/>
              </w:rPr>
              <w:t>下风向</w:t>
            </w:r>
          </w:p>
        </w:tc>
        <w:tc>
          <w:tcPr>
            <w:tcW w:w="2187" w:type="dxa"/>
            <w:vMerge w:val="restart"/>
            <w:tcBorders>
              <w:tl2br w:val="nil"/>
              <w:tr2bl w:val="nil"/>
            </w:tcBorders>
            <w:noWrap w:val="0"/>
            <w:vAlign w:val="center"/>
          </w:tcPr>
          <w:p w14:paraId="08B0337A">
            <w:pPr>
              <w:autoSpaceDE w:val="0"/>
              <w:autoSpaceDN w:val="0"/>
              <w:adjustRightInd w:val="0"/>
              <w:snapToGrid w:val="0"/>
              <w:spacing w:line="360" w:lineRule="auto"/>
              <w:jc w:val="center"/>
              <w:rPr>
                <w:rFonts w:hint="default" w:ascii="Times New Roman" w:hAnsi="Times New Roman" w:eastAsia="宋体"/>
                <w:b w:val="0"/>
                <w:bCs w:val="0"/>
                <w:color w:val="0000FF"/>
                <w:sz w:val="21"/>
                <w:szCs w:val="21"/>
                <w:vertAlign w:val="baseline"/>
                <w:lang w:val="en-US" w:eastAsia="zh-CN"/>
              </w:rPr>
            </w:pPr>
            <w:r>
              <w:rPr>
                <w:rFonts w:hint="eastAsia" w:ascii="Times New Roman" w:hAnsi="Times New Roman" w:eastAsia="宋体"/>
                <w:b w:val="0"/>
                <w:bCs w:val="0"/>
                <w:color w:val="0000FF"/>
                <w:sz w:val="21"/>
                <w:szCs w:val="21"/>
                <w:vertAlign w:val="baseline"/>
                <w:lang w:val="en-US" w:eastAsia="zh-CN"/>
              </w:rPr>
              <w:t>05.25</w:t>
            </w:r>
          </w:p>
        </w:tc>
        <w:tc>
          <w:tcPr>
            <w:tcW w:w="1660" w:type="dxa"/>
            <w:tcBorders>
              <w:tl2br w:val="nil"/>
              <w:tr2bl w:val="nil"/>
            </w:tcBorders>
            <w:noWrap w:val="0"/>
            <w:vAlign w:val="center"/>
          </w:tcPr>
          <w:p w14:paraId="02D38597">
            <w:pPr>
              <w:autoSpaceDE w:val="0"/>
              <w:autoSpaceDN w:val="0"/>
              <w:adjustRightInd w:val="0"/>
              <w:snapToGrid w:val="0"/>
              <w:spacing w:line="360" w:lineRule="auto"/>
              <w:jc w:val="center"/>
              <w:rPr>
                <w:rFonts w:hint="default" w:ascii="Times New Roman" w:hAnsi="Times New Roman" w:eastAsia="宋体"/>
                <w:b w:val="0"/>
                <w:bCs w:val="0"/>
                <w:color w:val="0000FF"/>
                <w:sz w:val="21"/>
                <w:szCs w:val="21"/>
                <w:vertAlign w:val="baseline"/>
                <w:lang w:val="en-US" w:eastAsia="zh-CN"/>
              </w:rPr>
            </w:pPr>
            <w:r>
              <w:rPr>
                <w:rFonts w:hint="eastAsia" w:ascii="Times New Roman" w:hAnsi="Times New Roman" w:eastAsia="宋体"/>
                <w:b w:val="0"/>
                <w:bCs w:val="0"/>
                <w:color w:val="0000FF"/>
                <w:sz w:val="21"/>
                <w:szCs w:val="21"/>
                <w:vertAlign w:val="baseline"/>
                <w:lang w:val="en-US" w:eastAsia="zh-CN"/>
              </w:rPr>
              <w:t>02:00-03.00</w:t>
            </w:r>
          </w:p>
        </w:tc>
        <w:tc>
          <w:tcPr>
            <w:tcW w:w="1660" w:type="dxa"/>
            <w:tcBorders>
              <w:tl2br w:val="nil"/>
              <w:tr2bl w:val="nil"/>
            </w:tcBorders>
            <w:noWrap w:val="0"/>
            <w:vAlign w:val="center"/>
          </w:tcPr>
          <w:p w14:paraId="500C5949">
            <w:pPr>
              <w:autoSpaceDE w:val="0"/>
              <w:autoSpaceDN w:val="0"/>
              <w:adjustRightInd w:val="0"/>
              <w:snapToGrid w:val="0"/>
              <w:spacing w:line="360" w:lineRule="auto"/>
              <w:jc w:val="center"/>
              <w:rPr>
                <w:rFonts w:hint="default" w:ascii="Times New Roman" w:hAnsi="Times New Roman" w:eastAsia="宋体"/>
                <w:b w:val="0"/>
                <w:bCs w:val="0"/>
                <w:color w:val="0000FF"/>
                <w:sz w:val="21"/>
                <w:szCs w:val="21"/>
                <w:vertAlign w:val="baseline"/>
                <w:lang w:val="en-US" w:eastAsia="zh-CN"/>
              </w:rPr>
            </w:pPr>
            <w:r>
              <w:rPr>
                <w:rFonts w:hint="eastAsia" w:ascii="Times New Roman" w:hAnsi="Times New Roman" w:eastAsia="宋体"/>
                <w:b w:val="0"/>
                <w:bCs w:val="0"/>
                <w:color w:val="0000FF"/>
                <w:sz w:val="21"/>
                <w:szCs w:val="21"/>
                <w:vertAlign w:val="baseline"/>
                <w:lang w:val="en-US" w:eastAsia="zh-CN"/>
              </w:rPr>
              <w:t>0.25</w:t>
            </w:r>
          </w:p>
        </w:tc>
        <w:tc>
          <w:tcPr>
            <w:tcW w:w="1660" w:type="dxa"/>
            <w:tcBorders>
              <w:tl2br w:val="nil"/>
              <w:tr2bl w:val="nil"/>
            </w:tcBorders>
            <w:noWrap w:val="0"/>
            <w:vAlign w:val="center"/>
          </w:tcPr>
          <w:p w14:paraId="1F4A8DCA">
            <w:pPr>
              <w:autoSpaceDE w:val="0"/>
              <w:autoSpaceDN w:val="0"/>
              <w:adjustRightInd w:val="0"/>
              <w:snapToGrid w:val="0"/>
              <w:spacing w:line="360" w:lineRule="auto"/>
              <w:jc w:val="center"/>
              <w:rPr>
                <w:rFonts w:hint="default" w:ascii="Times New Roman" w:hAnsi="Times New Roman" w:eastAsia="宋体"/>
                <w:b w:val="0"/>
                <w:bCs w:val="0"/>
                <w:color w:val="0000FF"/>
                <w:sz w:val="21"/>
                <w:szCs w:val="21"/>
                <w:vertAlign w:val="baseline"/>
                <w:lang w:val="en-US" w:eastAsia="zh-CN"/>
              </w:rPr>
            </w:pPr>
            <w:r>
              <w:rPr>
                <w:rFonts w:hint="eastAsia" w:ascii="Times New Roman" w:hAnsi="Times New Roman" w:eastAsia="宋体"/>
                <w:b w:val="0"/>
                <w:bCs w:val="0"/>
                <w:color w:val="0000FF"/>
                <w:sz w:val="21"/>
                <w:szCs w:val="21"/>
                <w:vertAlign w:val="baseline"/>
                <w:lang w:val="en-US" w:eastAsia="zh-CN"/>
              </w:rPr>
              <w:t>0.125</w:t>
            </w:r>
          </w:p>
        </w:tc>
      </w:tr>
      <w:tr w14:paraId="0496C18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1" w:type="dxa"/>
            <w:vMerge w:val="continue"/>
            <w:tcBorders>
              <w:tl2br w:val="nil"/>
              <w:tr2bl w:val="nil"/>
            </w:tcBorders>
            <w:noWrap w:val="0"/>
            <w:vAlign w:val="center"/>
          </w:tcPr>
          <w:p w14:paraId="6D3175C8">
            <w:pPr>
              <w:autoSpaceDE w:val="0"/>
              <w:autoSpaceDN w:val="0"/>
              <w:adjustRightInd w:val="0"/>
              <w:snapToGrid w:val="0"/>
              <w:spacing w:line="360" w:lineRule="auto"/>
              <w:jc w:val="center"/>
              <w:rPr>
                <w:rFonts w:ascii="Times New Roman" w:hAnsi="Times New Roman" w:eastAsia="宋体"/>
                <w:b w:val="0"/>
                <w:bCs w:val="0"/>
                <w:color w:val="0000FF"/>
                <w:sz w:val="21"/>
                <w:szCs w:val="21"/>
                <w:vertAlign w:val="baseline"/>
              </w:rPr>
            </w:pPr>
          </w:p>
        </w:tc>
        <w:tc>
          <w:tcPr>
            <w:tcW w:w="2187" w:type="dxa"/>
            <w:vMerge w:val="continue"/>
            <w:tcBorders>
              <w:tl2br w:val="nil"/>
              <w:tr2bl w:val="nil"/>
            </w:tcBorders>
            <w:noWrap w:val="0"/>
            <w:vAlign w:val="center"/>
          </w:tcPr>
          <w:p w14:paraId="196A61E7">
            <w:pPr>
              <w:autoSpaceDE w:val="0"/>
              <w:autoSpaceDN w:val="0"/>
              <w:adjustRightInd w:val="0"/>
              <w:snapToGrid w:val="0"/>
              <w:spacing w:line="360" w:lineRule="auto"/>
              <w:jc w:val="center"/>
              <w:rPr>
                <w:rFonts w:ascii="Times New Roman" w:hAnsi="Times New Roman" w:eastAsia="宋体"/>
                <w:b w:val="0"/>
                <w:bCs w:val="0"/>
                <w:color w:val="0000FF"/>
                <w:sz w:val="21"/>
                <w:szCs w:val="21"/>
                <w:vertAlign w:val="baseline"/>
              </w:rPr>
            </w:pPr>
          </w:p>
        </w:tc>
        <w:tc>
          <w:tcPr>
            <w:tcW w:w="1660" w:type="dxa"/>
            <w:tcBorders>
              <w:tl2br w:val="nil"/>
              <w:tr2bl w:val="nil"/>
            </w:tcBorders>
            <w:noWrap w:val="0"/>
            <w:vAlign w:val="center"/>
          </w:tcPr>
          <w:p w14:paraId="06D760A5">
            <w:pPr>
              <w:autoSpaceDE w:val="0"/>
              <w:autoSpaceDN w:val="0"/>
              <w:adjustRightInd w:val="0"/>
              <w:snapToGrid w:val="0"/>
              <w:spacing w:line="360" w:lineRule="auto"/>
              <w:jc w:val="center"/>
              <w:rPr>
                <w:rFonts w:hint="default" w:ascii="Times New Roman" w:hAnsi="Times New Roman" w:eastAsia="宋体"/>
                <w:b w:val="0"/>
                <w:bCs w:val="0"/>
                <w:color w:val="0000FF"/>
                <w:sz w:val="21"/>
                <w:szCs w:val="21"/>
                <w:vertAlign w:val="baseline"/>
                <w:lang w:val="en-US" w:eastAsia="zh-CN"/>
              </w:rPr>
            </w:pPr>
            <w:r>
              <w:rPr>
                <w:rFonts w:hint="eastAsia" w:ascii="Times New Roman" w:hAnsi="Times New Roman" w:eastAsia="宋体"/>
                <w:b w:val="0"/>
                <w:bCs w:val="0"/>
                <w:color w:val="0000FF"/>
                <w:sz w:val="21"/>
                <w:szCs w:val="21"/>
                <w:vertAlign w:val="baseline"/>
                <w:lang w:val="en-US" w:eastAsia="zh-CN"/>
              </w:rPr>
              <w:t>08:00-09:00</w:t>
            </w:r>
          </w:p>
        </w:tc>
        <w:tc>
          <w:tcPr>
            <w:tcW w:w="1660" w:type="dxa"/>
            <w:tcBorders>
              <w:tl2br w:val="nil"/>
              <w:tr2bl w:val="nil"/>
            </w:tcBorders>
            <w:noWrap w:val="0"/>
            <w:vAlign w:val="center"/>
          </w:tcPr>
          <w:p w14:paraId="4389597B">
            <w:pPr>
              <w:autoSpaceDE w:val="0"/>
              <w:autoSpaceDN w:val="0"/>
              <w:adjustRightInd w:val="0"/>
              <w:snapToGrid w:val="0"/>
              <w:spacing w:line="360" w:lineRule="auto"/>
              <w:jc w:val="center"/>
              <w:rPr>
                <w:rFonts w:hint="default" w:ascii="Times New Roman" w:hAnsi="Times New Roman" w:eastAsia="宋体"/>
                <w:b w:val="0"/>
                <w:bCs w:val="0"/>
                <w:color w:val="0000FF"/>
                <w:kern w:val="2"/>
                <w:sz w:val="21"/>
                <w:szCs w:val="21"/>
                <w:vertAlign w:val="baseline"/>
                <w:lang w:val="en-US" w:eastAsia="zh-CN" w:bidi="ar-SA"/>
              </w:rPr>
            </w:pPr>
            <w:r>
              <w:rPr>
                <w:rFonts w:hint="eastAsia" w:ascii="Times New Roman" w:hAnsi="Times New Roman" w:eastAsia="宋体"/>
                <w:b w:val="0"/>
                <w:bCs w:val="0"/>
                <w:color w:val="0000FF"/>
                <w:sz w:val="21"/>
                <w:szCs w:val="21"/>
                <w:vertAlign w:val="baseline"/>
                <w:lang w:val="en-US" w:eastAsia="zh-CN"/>
              </w:rPr>
              <w:t>0.26</w:t>
            </w:r>
          </w:p>
        </w:tc>
        <w:tc>
          <w:tcPr>
            <w:tcW w:w="1660" w:type="dxa"/>
            <w:tcBorders>
              <w:tl2br w:val="nil"/>
              <w:tr2bl w:val="nil"/>
            </w:tcBorders>
            <w:noWrap w:val="0"/>
            <w:vAlign w:val="center"/>
          </w:tcPr>
          <w:p w14:paraId="6ECE2F48">
            <w:pPr>
              <w:autoSpaceDE w:val="0"/>
              <w:autoSpaceDN w:val="0"/>
              <w:adjustRightInd w:val="0"/>
              <w:snapToGrid w:val="0"/>
              <w:spacing w:line="360" w:lineRule="auto"/>
              <w:jc w:val="center"/>
              <w:rPr>
                <w:rFonts w:hint="default" w:ascii="Times New Roman" w:hAnsi="Times New Roman" w:eastAsia="宋体"/>
                <w:b w:val="0"/>
                <w:bCs w:val="0"/>
                <w:color w:val="0000FF"/>
                <w:sz w:val="21"/>
                <w:szCs w:val="21"/>
                <w:vertAlign w:val="baseline"/>
                <w:lang w:val="en-US" w:eastAsia="zh-CN"/>
              </w:rPr>
            </w:pPr>
            <w:r>
              <w:rPr>
                <w:rFonts w:hint="eastAsia" w:ascii="Times New Roman" w:hAnsi="Times New Roman" w:eastAsia="宋体"/>
                <w:b w:val="0"/>
                <w:bCs w:val="0"/>
                <w:color w:val="0000FF"/>
                <w:sz w:val="21"/>
                <w:szCs w:val="21"/>
                <w:vertAlign w:val="baseline"/>
                <w:lang w:val="en-US" w:eastAsia="zh-CN"/>
              </w:rPr>
              <w:t>0.13</w:t>
            </w:r>
          </w:p>
        </w:tc>
      </w:tr>
      <w:tr w14:paraId="3BA751D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31" w:type="dxa"/>
            <w:vMerge w:val="continue"/>
            <w:tcBorders>
              <w:tl2br w:val="nil"/>
              <w:tr2bl w:val="nil"/>
            </w:tcBorders>
            <w:noWrap w:val="0"/>
            <w:vAlign w:val="center"/>
          </w:tcPr>
          <w:p w14:paraId="12AB8513">
            <w:pPr>
              <w:autoSpaceDE w:val="0"/>
              <w:autoSpaceDN w:val="0"/>
              <w:adjustRightInd w:val="0"/>
              <w:snapToGrid w:val="0"/>
              <w:spacing w:line="360" w:lineRule="auto"/>
              <w:jc w:val="center"/>
              <w:rPr>
                <w:rFonts w:ascii="Times New Roman" w:hAnsi="Times New Roman" w:eastAsia="宋体"/>
                <w:b w:val="0"/>
                <w:bCs w:val="0"/>
                <w:color w:val="0000FF"/>
                <w:sz w:val="21"/>
                <w:szCs w:val="21"/>
                <w:vertAlign w:val="baseline"/>
              </w:rPr>
            </w:pPr>
          </w:p>
        </w:tc>
        <w:tc>
          <w:tcPr>
            <w:tcW w:w="2187" w:type="dxa"/>
            <w:vMerge w:val="continue"/>
            <w:tcBorders>
              <w:tl2br w:val="nil"/>
              <w:tr2bl w:val="nil"/>
            </w:tcBorders>
            <w:noWrap w:val="0"/>
            <w:vAlign w:val="center"/>
          </w:tcPr>
          <w:p w14:paraId="4ABF7DDE">
            <w:pPr>
              <w:autoSpaceDE w:val="0"/>
              <w:autoSpaceDN w:val="0"/>
              <w:adjustRightInd w:val="0"/>
              <w:snapToGrid w:val="0"/>
              <w:spacing w:line="360" w:lineRule="auto"/>
              <w:jc w:val="center"/>
              <w:rPr>
                <w:rFonts w:ascii="Times New Roman" w:hAnsi="Times New Roman" w:eastAsia="宋体"/>
                <w:b w:val="0"/>
                <w:bCs w:val="0"/>
                <w:color w:val="0000FF"/>
                <w:sz w:val="21"/>
                <w:szCs w:val="21"/>
                <w:vertAlign w:val="baseline"/>
              </w:rPr>
            </w:pPr>
          </w:p>
        </w:tc>
        <w:tc>
          <w:tcPr>
            <w:tcW w:w="1660" w:type="dxa"/>
            <w:tcBorders>
              <w:tl2br w:val="nil"/>
              <w:tr2bl w:val="nil"/>
            </w:tcBorders>
            <w:noWrap w:val="0"/>
            <w:vAlign w:val="center"/>
          </w:tcPr>
          <w:p w14:paraId="3694588E">
            <w:pPr>
              <w:autoSpaceDE w:val="0"/>
              <w:autoSpaceDN w:val="0"/>
              <w:adjustRightInd w:val="0"/>
              <w:snapToGrid w:val="0"/>
              <w:spacing w:line="360" w:lineRule="auto"/>
              <w:jc w:val="center"/>
              <w:rPr>
                <w:rFonts w:ascii="Times New Roman" w:hAnsi="Times New Roman" w:eastAsia="宋体"/>
                <w:b w:val="0"/>
                <w:bCs w:val="0"/>
                <w:color w:val="0000FF"/>
                <w:sz w:val="21"/>
                <w:szCs w:val="21"/>
                <w:vertAlign w:val="baseline"/>
              </w:rPr>
            </w:pPr>
            <w:r>
              <w:rPr>
                <w:rFonts w:hint="eastAsia" w:ascii="Times New Roman" w:hAnsi="Times New Roman" w:eastAsia="宋体"/>
                <w:b w:val="0"/>
                <w:bCs w:val="0"/>
                <w:color w:val="0000FF"/>
                <w:sz w:val="21"/>
                <w:szCs w:val="21"/>
                <w:vertAlign w:val="baseline"/>
                <w:lang w:val="en-US" w:eastAsia="zh-CN"/>
              </w:rPr>
              <w:t>14:00-15:00</w:t>
            </w:r>
          </w:p>
        </w:tc>
        <w:tc>
          <w:tcPr>
            <w:tcW w:w="1660" w:type="dxa"/>
            <w:tcBorders>
              <w:tl2br w:val="nil"/>
              <w:tr2bl w:val="nil"/>
            </w:tcBorders>
            <w:noWrap w:val="0"/>
            <w:vAlign w:val="center"/>
          </w:tcPr>
          <w:p w14:paraId="692E9C8B">
            <w:pPr>
              <w:autoSpaceDE w:val="0"/>
              <w:autoSpaceDN w:val="0"/>
              <w:adjustRightInd w:val="0"/>
              <w:snapToGrid w:val="0"/>
              <w:spacing w:line="360" w:lineRule="auto"/>
              <w:jc w:val="center"/>
              <w:rPr>
                <w:rFonts w:hint="default" w:ascii="Times New Roman" w:hAnsi="Times New Roman" w:eastAsia="宋体"/>
                <w:b w:val="0"/>
                <w:bCs w:val="0"/>
                <w:color w:val="0000FF"/>
                <w:kern w:val="2"/>
                <w:sz w:val="21"/>
                <w:szCs w:val="21"/>
                <w:vertAlign w:val="baseline"/>
                <w:lang w:val="en-US" w:eastAsia="zh-CN" w:bidi="ar-SA"/>
              </w:rPr>
            </w:pPr>
            <w:r>
              <w:rPr>
                <w:rFonts w:hint="eastAsia" w:ascii="Times New Roman" w:hAnsi="Times New Roman" w:eastAsia="宋体"/>
                <w:b w:val="0"/>
                <w:bCs w:val="0"/>
                <w:color w:val="0000FF"/>
                <w:sz w:val="21"/>
                <w:szCs w:val="21"/>
                <w:vertAlign w:val="baseline"/>
                <w:lang w:val="en-US" w:eastAsia="zh-CN"/>
              </w:rPr>
              <w:t>0.33</w:t>
            </w:r>
          </w:p>
        </w:tc>
        <w:tc>
          <w:tcPr>
            <w:tcW w:w="1660" w:type="dxa"/>
            <w:tcBorders>
              <w:tl2br w:val="nil"/>
              <w:tr2bl w:val="nil"/>
            </w:tcBorders>
            <w:noWrap w:val="0"/>
            <w:vAlign w:val="center"/>
          </w:tcPr>
          <w:p w14:paraId="67794437">
            <w:pPr>
              <w:autoSpaceDE w:val="0"/>
              <w:autoSpaceDN w:val="0"/>
              <w:adjustRightInd w:val="0"/>
              <w:snapToGrid w:val="0"/>
              <w:spacing w:line="360" w:lineRule="auto"/>
              <w:jc w:val="center"/>
              <w:rPr>
                <w:rFonts w:hint="default" w:ascii="Times New Roman" w:hAnsi="Times New Roman" w:eastAsia="宋体"/>
                <w:b w:val="0"/>
                <w:bCs w:val="0"/>
                <w:color w:val="0000FF"/>
                <w:sz w:val="21"/>
                <w:szCs w:val="21"/>
                <w:vertAlign w:val="baseline"/>
                <w:lang w:val="en-US" w:eastAsia="zh-CN"/>
              </w:rPr>
            </w:pPr>
            <w:r>
              <w:rPr>
                <w:rFonts w:hint="eastAsia" w:ascii="Times New Roman" w:hAnsi="Times New Roman" w:eastAsia="宋体"/>
                <w:b w:val="0"/>
                <w:bCs w:val="0"/>
                <w:color w:val="0000FF"/>
                <w:sz w:val="21"/>
                <w:szCs w:val="21"/>
                <w:vertAlign w:val="baseline"/>
                <w:lang w:val="en-US" w:eastAsia="zh-CN"/>
              </w:rPr>
              <w:t>0.165</w:t>
            </w:r>
          </w:p>
        </w:tc>
      </w:tr>
      <w:tr w14:paraId="498B1CA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1" w:type="dxa"/>
            <w:vMerge w:val="continue"/>
            <w:tcBorders>
              <w:tl2br w:val="nil"/>
              <w:tr2bl w:val="nil"/>
            </w:tcBorders>
            <w:noWrap w:val="0"/>
            <w:vAlign w:val="center"/>
          </w:tcPr>
          <w:p w14:paraId="3F3B1AE5">
            <w:pPr>
              <w:autoSpaceDE w:val="0"/>
              <w:autoSpaceDN w:val="0"/>
              <w:adjustRightInd w:val="0"/>
              <w:snapToGrid w:val="0"/>
              <w:spacing w:line="360" w:lineRule="auto"/>
              <w:jc w:val="center"/>
              <w:rPr>
                <w:rFonts w:ascii="Times New Roman" w:hAnsi="Times New Roman" w:eastAsia="宋体"/>
                <w:b w:val="0"/>
                <w:bCs w:val="0"/>
                <w:color w:val="0000FF"/>
                <w:sz w:val="21"/>
                <w:szCs w:val="21"/>
                <w:vertAlign w:val="baseline"/>
              </w:rPr>
            </w:pPr>
          </w:p>
        </w:tc>
        <w:tc>
          <w:tcPr>
            <w:tcW w:w="2187" w:type="dxa"/>
            <w:vMerge w:val="continue"/>
            <w:tcBorders>
              <w:tl2br w:val="nil"/>
              <w:tr2bl w:val="nil"/>
            </w:tcBorders>
            <w:noWrap w:val="0"/>
            <w:vAlign w:val="center"/>
          </w:tcPr>
          <w:p w14:paraId="1FD99734">
            <w:pPr>
              <w:autoSpaceDE w:val="0"/>
              <w:autoSpaceDN w:val="0"/>
              <w:adjustRightInd w:val="0"/>
              <w:snapToGrid w:val="0"/>
              <w:spacing w:line="360" w:lineRule="auto"/>
              <w:jc w:val="center"/>
              <w:rPr>
                <w:rFonts w:ascii="Times New Roman" w:hAnsi="Times New Roman" w:eastAsia="宋体"/>
                <w:b w:val="0"/>
                <w:bCs w:val="0"/>
                <w:color w:val="0000FF"/>
                <w:sz w:val="21"/>
                <w:szCs w:val="21"/>
                <w:vertAlign w:val="baseline"/>
              </w:rPr>
            </w:pPr>
          </w:p>
        </w:tc>
        <w:tc>
          <w:tcPr>
            <w:tcW w:w="1660" w:type="dxa"/>
            <w:tcBorders>
              <w:tl2br w:val="nil"/>
              <w:tr2bl w:val="nil"/>
            </w:tcBorders>
            <w:noWrap w:val="0"/>
            <w:vAlign w:val="center"/>
          </w:tcPr>
          <w:p w14:paraId="26C40F88">
            <w:pPr>
              <w:autoSpaceDE w:val="0"/>
              <w:autoSpaceDN w:val="0"/>
              <w:adjustRightInd w:val="0"/>
              <w:snapToGrid w:val="0"/>
              <w:spacing w:line="360" w:lineRule="auto"/>
              <w:jc w:val="center"/>
              <w:rPr>
                <w:rFonts w:ascii="Times New Roman" w:hAnsi="Times New Roman" w:eastAsia="宋体"/>
                <w:b w:val="0"/>
                <w:bCs w:val="0"/>
                <w:color w:val="0000FF"/>
                <w:sz w:val="21"/>
                <w:szCs w:val="21"/>
                <w:vertAlign w:val="baseline"/>
              </w:rPr>
            </w:pPr>
            <w:r>
              <w:rPr>
                <w:rFonts w:hint="eastAsia" w:ascii="Times New Roman" w:hAnsi="Times New Roman" w:eastAsia="宋体"/>
                <w:b w:val="0"/>
                <w:bCs w:val="0"/>
                <w:color w:val="0000FF"/>
                <w:sz w:val="21"/>
                <w:szCs w:val="21"/>
                <w:vertAlign w:val="baseline"/>
                <w:lang w:val="en-US" w:eastAsia="zh-CN"/>
              </w:rPr>
              <w:t>20:00-21:00</w:t>
            </w:r>
          </w:p>
        </w:tc>
        <w:tc>
          <w:tcPr>
            <w:tcW w:w="1660" w:type="dxa"/>
            <w:tcBorders>
              <w:tl2br w:val="nil"/>
              <w:tr2bl w:val="nil"/>
            </w:tcBorders>
            <w:noWrap w:val="0"/>
            <w:vAlign w:val="center"/>
          </w:tcPr>
          <w:p w14:paraId="459860C6">
            <w:pPr>
              <w:autoSpaceDE w:val="0"/>
              <w:autoSpaceDN w:val="0"/>
              <w:adjustRightInd w:val="0"/>
              <w:snapToGrid w:val="0"/>
              <w:spacing w:line="360" w:lineRule="auto"/>
              <w:jc w:val="center"/>
              <w:rPr>
                <w:rFonts w:hint="default" w:ascii="Times New Roman" w:hAnsi="Times New Roman" w:eastAsia="宋体"/>
                <w:b w:val="0"/>
                <w:bCs w:val="0"/>
                <w:color w:val="0000FF"/>
                <w:kern w:val="2"/>
                <w:sz w:val="21"/>
                <w:szCs w:val="21"/>
                <w:vertAlign w:val="baseline"/>
                <w:lang w:val="en-US" w:eastAsia="zh-CN" w:bidi="ar-SA"/>
              </w:rPr>
            </w:pPr>
            <w:r>
              <w:rPr>
                <w:rFonts w:hint="eastAsia" w:ascii="Times New Roman" w:hAnsi="Times New Roman" w:eastAsia="宋体"/>
                <w:b w:val="0"/>
                <w:bCs w:val="0"/>
                <w:color w:val="0000FF"/>
                <w:kern w:val="2"/>
                <w:sz w:val="21"/>
                <w:szCs w:val="21"/>
                <w:vertAlign w:val="baseline"/>
                <w:lang w:val="en-US" w:eastAsia="zh-CN" w:bidi="ar-SA"/>
              </w:rPr>
              <w:t>0.33</w:t>
            </w:r>
          </w:p>
        </w:tc>
        <w:tc>
          <w:tcPr>
            <w:tcW w:w="1660" w:type="dxa"/>
            <w:tcBorders>
              <w:tl2br w:val="nil"/>
              <w:tr2bl w:val="nil"/>
            </w:tcBorders>
            <w:noWrap w:val="0"/>
            <w:vAlign w:val="center"/>
          </w:tcPr>
          <w:p w14:paraId="00FAD2CC">
            <w:pPr>
              <w:autoSpaceDE w:val="0"/>
              <w:autoSpaceDN w:val="0"/>
              <w:adjustRightInd w:val="0"/>
              <w:snapToGrid w:val="0"/>
              <w:spacing w:line="360" w:lineRule="auto"/>
              <w:jc w:val="center"/>
              <w:rPr>
                <w:rFonts w:hint="default" w:ascii="Times New Roman" w:hAnsi="Times New Roman" w:eastAsia="宋体"/>
                <w:b w:val="0"/>
                <w:bCs w:val="0"/>
                <w:color w:val="0000FF"/>
                <w:sz w:val="21"/>
                <w:szCs w:val="21"/>
                <w:vertAlign w:val="baseline"/>
                <w:lang w:val="en-US" w:eastAsia="zh-CN"/>
              </w:rPr>
            </w:pPr>
            <w:r>
              <w:rPr>
                <w:rFonts w:hint="eastAsia" w:ascii="Times New Roman" w:hAnsi="Times New Roman" w:eastAsia="宋体"/>
                <w:b w:val="0"/>
                <w:bCs w:val="0"/>
                <w:color w:val="0000FF"/>
                <w:sz w:val="21"/>
                <w:szCs w:val="21"/>
                <w:vertAlign w:val="baseline"/>
                <w:lang w:val="en-US" w:eastAsia="zh-CN"/>
              </w:rPr>
              <w:t>0.165</w:t>
            </w:r>
          </w:p>
        </w:tc>
      </w:tr>
      <w:tr w14:paraId="2B27303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1" w:type="dxa"/>
            <w:vMerge w:val="continue"/>
            <w:tcBorders>
              <w:tl2br w:val="nil"/>
              <w:tr2bl w:val="nil"/>
            </w:tcBorders>
            <w:noWrap w:val="0"/>
            <w:vAlign w:val="center"/>
          </w:tcPr>
          <w:p w14:paraId="3BDA798A">
            <w:pPr>
              <w:autoSpaceDE w:val="0"/>
              <w:autoSpaceDN w:val="0"/>
              <w:adjustRightInd w:val="0"/>
              <w:snapToGrid w:val="0"/>
              <w:spacing w:line="360" w:lineRule="auto"/>
              <w:jc w:val="center"/>
              <w:rPr>
                <w:rFonts w:ascii="Times New Roman" w:hAnsi="Times New Roman" w:eastAsia="宋体"/>
                <w:b w:val="0"/>
                <w:bCs w:val="0"/>
                <w:color w:val="0000FF"/>
                <w:sz w:val="21"/>
                <w:szCs w:val="21"/>
                <w:vertAlign w:val="baseline"/>
              </w:rPr>
            </w:pPr>
          </w:p>
        </w:tc>
        <w:tc>
          <w:tcPr>
            <w:tcW w:w="2187" w:type="dxa"/>
            <w:vMerge w:val="restart"/>
            <w:tcBorders>
              <w:tl2br w:val="nil"/>
              <w:tr2bl w:val="nil"/>
            </w:tcBorders>
            <w:noWrap w:val="0"/>
            <w:vAlign w:val="center"/>
          </w:tcPr>
          <w:p w14:paraId="5242E1A9">
            <w:pPr>
              <w:autoSpaceDE w:val="0"/>
              <w:autoSpaceDN w:val="0"/>
              <w:adjustRightInd w:val="0"/>
              <w:snapToGrid w:val="0"/>
              <w:spacing w:line="360" w:lineRule="auto"/>
              <w:jc w:val="center"/>
              <w:rPr>
                <w:rFonts w:hint="default" w:ascii="Times New Roman" w:hAnsi="Times New Roman" w:eastAsia="宋体"/>
                <w:b w:val="0"/>
                <w:bCs w:val="0"/>
                <w:color w:val="0000FF"/>
                <w:sz w:val="21"/>
                <w:szCs w:val="21"/>
                <w:vertAlign w:val="baseline"/>
                <w:lang w:val="en-US" w:eastAsia="zh-CN"/>
              </w:rPr>
            </w:pPr>
            <w:r>
              <w:rPr>
                <w:rFonts w:hint="eastAsia" w:ascii="Times New Roman" w:hAnsi="Times New Roman" w:eastAsia="宋体"/>
                <w:b w:val="0"/>
                <w:bCs w:val="0"/>
                <w:color w:val="0000FF"/>
                <w:sz w:val="21"/>
                <w:szCs w:val="21"/>
                <w:vertAlign w:val="baseline"/>
                <w:lang w:val="en-US" w:eastAsia="zh-CN"/>
              </w:rPr>
              <w:t>05.26</w:t>
            </w:r>
          </w:p>
        </w:tc>
        <w:tc>
          <w:tcPr>
            <w:tcW w:w="1660" w:type="dxa"/>
            <w:tcBorders>
              <w:tl2br w:val="nil"/>
              <w:tr2bl w:val="nil"/>
            </w:tcBorders>
            <w:noWrap w:val="0"/>
            <w:vAlign w:val="center"/>
          </w:tcPr>
          <w:p w14:paraId="052F3118">
            <w:pPr>
              <w:autoSpaceDE w:val="0"/>
              <w:autoSpaceDN w:val="0"/>
              <w:adjustRightInd w:val="0"/>
              <w:snapToGrid w:val="0"/>
              <w:spacing w:line="360" w:lineRule="auto"/>
              <w:jc w:val="center"/>
              <w:rPr>
                <w:rFonts w:ascii="Times New Roman" w:hAnsi="Times New Roman" w:eastAsia="宋体"/>
                <w:b w:val="0"/>
                <w:bCs w:val="0"/>
                <w:color w:val="0000FF"/>
                <w:sz w:val="21"/>
                <w:szCs w:val="21"/>
                <w:vertAlign w:val="baseline"/>
              </w:rPr>
            </w:pPr>
            <w:r>
              <w:rPr>
                <w:rFonts w:hint="eastAsia" w:ascii="Times New Roman" w:hAnsi="Times New Roman" w:eastAsia="宋体"/>
                <w:b w:val="0"/>
                <w:bCs w:val="0"/>
                <w:color w:val="0000FF"/>
                <w:sz w:val="21"/>
                <w:szCs w:val="21"/>
                <w:vertAlign w:val="baseline"/>
                <w:lang w:val="en-US" w:eastAsia="zh-CN"/>
              </w:rPr>
              <w:t>02:00-03.00</w:t>
            </w:r>
          </w:p>
        </w:tc>
        <w:tc>
          <w:tcPr>
            <w:tcW w:w="1660" w:type="dxa"/>
            <w:tcBorders>
              <w:tl2br w:val="nil"/>
              <w:tr2bl w:val="nil"/>
            </w:tcBorders>
            <w:noWrap w:val="0"/>
            <w:vAlign w:val="center"/>
          </w:tcPr>
          <w:p w14:paraId="4FD2CE59">
            <w:pPr>
              <w:autoSpaceDE w:val="0"/>
              <w:autoSpaceDN w:val="0"/>
              <w:adjustRightInd w:val="0"/>
              <w:snapToGrid w:val="0"/>
              <w:spacing w:line="360" w:lineRule="auto"/>
              <w:jc w:val="center"/>
              <w:rPr>
                <w:rFonts w:hint="default" w:ascii="Times New Roman" w:hAnsi="Times New Roman" w:eastAsia="宋体"/>
                <w:b w:val="0"/>
                <w:bCs w:val="0"/>
                <w:color w:val="0000FF"/>
                <w:kern w:val="2"/>
                <w:sz w:val="21"/>
                <w:szCs w:val="21"/>
                <w:vertAlign w:val="baseline"/>
                <w:lang w:val="en-US" w:eastAsia="zh-CN" w:bidi="ar-SA"/>
              </w:rPr>
            </w:pPr>
            <w:r>
              <w:rPr>
                <w:rFonts w:hint="eastAsia" w:ascii="Times New Roman" w:hAnsi="Times New Roman" w:eastAsia="宋体"/>
                <w:b w:val="0"/>
                <w:bCs w:val="0"/>
                <w:color w:val="0000FF"/>
                <w:sz w:val="21"/>
                <w:szCs w:val="21"/>
                <w:vertAlign w:val="baseline"/>
                <w:lang w:val="en-US" w:eastAsia="zh-CN"/>
              </w:rPr>
              <w:t>0.32</w:t>
            </w:r>
          </w:p>
        </w:tc>
        <w:tc>
          <w:tcPr>
            <w:tcW w:w="1660" w:type="dxa"/>
            <w:tcBorders>
              <w:tl2br w:val="nil"/>
              <w:tr2bl w:val="nil"/>
            </w:tcBorders>
            <w:noWrap w:val="0"/>
            <w:vAlign w:val="center"/>
          </w:tcPr>
          <w:p w14:paraId="6D12B4AA">
            <w:pPr>
              <w:autoSpaceDE w:val="0"/>
              <w:autoSpaceDN w:val="0"/>
              <w:adjustRightInd w:val="0"/>
              <w:snapToGrid w:val="0"/>
              <w:spacing w:line="360" w:lineRule="auto"/>
              <w:jc w:val="center"/>
              <w:rPr>
                <w:rFonts w:hint="default" w:ascii="Times New Roman" w:hAnsi="Times New Roman" w:eastAsia="宋体"/>
                <w:b w:val="0"/>
                <w:bCs w:val="0"/>
                <w:color w:val="0000FF"/>
                <w:sz w:val="21"/>
                <w:szCs w:val="21"/>
                <w:vertAlign w:val="baseline"/>
                <w:lang w:val="en-US" w:eastAsia="zh-CN"/>
              </w:rPr>
            </w:pPr>
            <w:r>
              <w:rPr>
                <w:rFonts w:hint="eastAsia" w:ascii="Times New Roman" w:hAnsi="Times New Roman" w:eastAsia="宋体"/>
                <w:b w:val="0"/>
                <w:bCs w:val="0"/>
                <w:color w:val="0000FF"/>
                <w:sz w:val="21"/>
                <w:szCs w:val="21"/>
                <w:vertAlign w:val="baseline"/>
                <w:lang w:val="en-US" w:eastAsia="zh-CN"/>
              </w:rPr>
              <w:t>0.16</w:t>
            </w:r>
          </w:p>
        </w:tc>
      </w:tr>
      <w:tr w14:paraId="564C167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31" w:type="dxa"/>
            <w:vMerge w:val="continue"/>
            <w:tcBorders>
              <w:tl2br w:val="nil"/>
              <w:tr2bl w:val="nil"/>
            </w:tcBorders>
            <w:noWrap w:val="0"/>
            <w:vAlign w:val="center"/>
          </w:tcPr>
          <w:p w14:paraId="4AE35213">
            <w:pPr>
              <w:autoSpaceDE w:val="0"/>
              <w:autoSpaceDN w:val="0"/>
              <w:adjustRightInd w:val="0"/>
              <w:snapToGrid w:val="0"/>
              <w:spacing w:line="360" w:lineRule="auto"/>
              <w:jc w:val="center"/>
              <w:rPr>
                <w:rFonts w:ascii="Times New Roman" w:hAnsi="Times New Roman" w:eastAsia="宋体"/>
                <w:b w:val="0"/>
                <w:bCs w:val="0"/>
                <w:color w:val="0000FF"/>
                <w:sz w:val="21"/>
                <w:szCs w:val="21"/>
                <w:vertAlign w:val="baseline"/>
              </w:rPr>
            </w:pPr>
          </w:p>
        </w:tc>
        <w:tc>
          <w:tcPr>
            <w:tcW w:w="2187" w:type="dxa"/>
            <w:vMerge w:val="continue"/>
            <w:tcBorders>
              <w:tl2br w:val="nil"/>
              <w:tr2bl w:val="nil"/>
            </w:tcBorders>
            <w:noWrap w:val="0"/>
            <w:vAlign w:val="center"/>
          </w:tcPr>
          <w:p w14:paraId="0DEBF9A5">
            <w:pPr>
              <w:autoSpaceDE w:val="0"/>
              <w:autoSpaceDN w:val="0"/>
              <w:adjustRightInd w:val="0"/>
              <w:snapToGrid w:val="0"/>
              <w:spacing w:line="360" w:lineRule="auto"/>
              <w:jc w:val="center"/>
              <w:rPr>
                <w:rFonts w:ascii="Times New Roman" w:hAnsi="Times New Roman" w:eastAsia="宋体"/>
                <w:b w:val="0"/>
                <w:bCs w:val="0"/>
                <w:color w:val="0000FF"/>
                <w:sz w:val="21"/>
                <w:szCs w:val="21"/>
                <w:vertAlign w:val="baseline"/>
              </w:rPr>
            </w:pPr>
          </w:p>
        </w:tc>
        <w:tc>
          <w:tcPr>
            <w:tcW w:w="1660" w:type="dxa"/>
            <w:tcBorders>
              <w:tl2br w:val="nil"/>
              <w:tr2bl w:val="nil"/>
            </w:tcBorders>
            <w:noWrap w:val="0"/>
            <w:vAlign w:val="center"/>
          </w:tcPr>
          <w:p w14:paraId="05DF9345">
            <w:pPr>
              <w:autoSpaceDE w:val="0"/>
              <w:autoSpaceDN w:val="0"/>
              <w:adjustRightInd w:val="0"/>
              <w:snapToGrid w:val="0"/>
              <w:spacing w:line="360" w:lineRule="auto"/>
              <w:jc w:val="center"/>
              <w:rPr>
                <w:rFonts w:ascii="Times New Roman" w:hAnsi="Times New Roman" w:eastAsia="宋体"/>
                <w:b w:val="0"/>
                <w:bCs w:val="0"/>
                <w:color w:val="0000FF"/>
                <w:sz w:val="21"/>
                <w:szCs w:val="21"/>
                <w:vertAlign w:val="baseline"/>
              </w:rPr>
            </w:pPr>
            <w:r>
              <w:rPr>
                <w:rFonts w:hint="eastAsia" w:ascii="Times New Roman" w:hAnsi="Times New Roman" w:eastAsia="宋体"/>
                <w:b w:val="0"/>
                <w:bCs w:val="0"/>
                <w:color w:val="0000FF"/>
                <w:sz w:val="21"/>
                <w:szCs w:val="21"/>
                <w:vertAlign w:val="baseline"/>
                <w:lang w:val="en-US" w:eastAsia="zh-CN"/>
              </w:rPr>
              <w:t>08:00-09:00</w:t>
            </w:r>
          </w:p>
        </w:tc>
        <w:tc>
          <w:tcPr>
            <w:tcW w:w="1660" w:type="dxa"/>
            <w:tcBorders>
              <w:tl2br w:val="nil"/>
              <w:tr2bl w:val="nil"/>
            </w:tcBorders>
            <w:noWrap w:val="0"/>
            <w:vAlign w:val="center"/>
          </w:tcPr>
          <w:p w14:paraId="2FEB4E92">
            <w:pPr>
              <w:autoSpaceDE w:val="0"/>
              <w:autoSpaceDN w:val="0"/>
              <w:adjustRightInd w:val="0"/>
              <w:snapToGrid w:val="0"/>
              <w:spacing w:line="360" w:lineRule="auto"/>
              <w:jc w:val="center"/>
              <w:rPr>
                <w:rFonts w:hint="default" w:ascii="Times New Roman" w:hAnsi="Times New Roman" w:eastAsia="宋体"/>
                <w:b w:val="0"/>
                <w:bCs w:val="0"/>
                <w:color w:val="0000FF"/>
                <w:kern w:val="2"/>
                <w:sz w:val="21"/>
                <w:szCs w:val="21"/>
                <w:vertAlign w:val="baseline"/>
                <w:lang w:val="en-US" w:eastAsia="zh-CN" w:bidi="ar-SA"/>
              </w:rPr>
            </w:pPr>
            <w:r>
              <w:rPr>
                <w:rFonts w:hint="eastAsia" w:ascii="Times New Roman" w:hAnsi="Times New Roman" w:eastAsia="宋体"/>
                <w:b w:val="0"/>
                <w:bCs w:val="0"/>
                <w:color w:val="0000FF"/>
                <w:sz w:val="21"/>
                <w:szCs w:val="21"/>
                <w:vertAlign w:val="baseline"/>
                <w:lang w:val="en-US" w:eastAsia="zh-CN"/>
              </w:rPr>
              <w:t>0.34</w:t>
            </w:r>
          </w:p>
        </w:tc>
        <w:tc>
          <w:tcPr>
            <w:tcW w:w="1660" w:type="dxa"/>
            <w:tcBorders>
              <w:tl2br w:val="nil"/>
              <w:tr2bl w:val="nil"/>
            </w:tcBorders>
            <w:noWrap w:val="0"/>
            <w:vAlign w:val="center"/>
          </w:tcPr>
          <w:p w14:paraId="50B64FC6">
            <w:pPr>
              <w:autoSpaceDE w:val="0"/>
              <w:autoSpaceDN w:val="0"/>
              <w:adjustRightInd w:val="0"/>
              <w:snapToGrid w:val="0"/>
              <w:spacing w:line="360" w:lineRule="auto"/>
              <w:jc w:val="center"/>
              <w:rPr>
                <w:rFonts w:hint="default" w:ascii="Times New Roman" w:hAnsi="Times New Roman" w:eastAsia="宋体"/>
                <w:b w:val="0"/>
                <w:bCs w:val="0"/>
                <w:color w:val="0000FF"/>
                <w:sz w:val="21"/>
                <w:szCs w:val="21"/>
                <w:vertAlign w:val="baseline"/>
                <w:lang w:val="en-US" w:eastAsia="zh-CN"/>
              </w:rPr>
            </w:pPr>
            <w:r>
              <w:rPr>
                <w:rFonts w:hint="eastAsia" w:ascii="Times New Roman" w:hAnsi="Times New Roman" w:eastAsia="宋体"/>
                <w:b w:val="0"/>
                <w:bCs w:val="0"/>
                <w:color w:val="0000FF"/>
                <w:sz w:val="21"/>
                <w:szCs w:val="21"/>
                <w:vertAlign w:val="baseline"/>
                <w:lang w:val="en-US" w:eastAsia="zh-CN"/>
              </w:rPr>
              <w:t>0.17</w:t>
            </w:r>
          </w:p>
        </w:tc>
      </w:tr>
      <w:tr w14:paraId="4B88DCD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1" w:type="dxa"/>
            <w:vMerge w:val="continue"/>
            <w:tcBorders>
              <w:tl2br w:val="nil"/>
              <w:tr2bl w:val="nil"/>
            </w:tcBorders>
            <w:noWrap w:val="0"/>
            <w:vAlign w:val="center"/>
          </w:tcPr>
          <w:p w14:paraId="36A27BE1">
            <w:pPr>
              <w:autoSpaceDE w:val="0"/>
              <w:autoSpaceDN w:val="0"/>
              <w:adjustRightInd w:val="0"/>
              <w:snapToGrid w:val="0"/>
              <w:spacing w:line="360" w:lineRule="auto"/>
              <w:jc w:val="center"/>
              <w:rPr>
                <w:rFonts w:ascii="Times New Roman" w:hAnsi="Times New Roman" w:eastAsia="宋体"/>
                <w:b w:val="0"/>
                <w:bCs w:val="0"/>
                <w:color w:val="0000FF"/>
                <w:sz w:val="21"/>
                <w:szCs w:val="21"/>
                <w:vertAlign w:val="baseline"/>
              </w:rPr>
            </w:pPr>
          </w:p>
        </w:tc>
        <w:tc>
          <w:tcPr>
            <w:tcW w:w="2187" w:type="dxa"/>
            <w:vMerge w:val="continue"/>
            <w:tcBorders>
              <w:tl2br w:val="nil"/>
              <w:tr2bl w:val="nil"/>
            </w:tcBorders>
            <w:noWrap w:val="0"/>
            <w:vAlign w:val="center"/>
          </w:tcPr>
          <w:p w14:paraId="0E4CA55A">
            <w:pPr>
              <w:autoSpaceDE w:val="0"/>
              <w:autoSpaceDN w:val="0"/>
              <w:adjustRightInd w:val="0"/>
              <w:snapToGrid w:val="0"/>
              <w:spacing w:line="360" w:lineRule="auto"/>
              <w:jc w:val="center"/>
              <w:rPr>
                <w:rFonts w:ascii="Times New Roman" w:hAnsi="Times New Roman" w:eastAsia="宋体"/>
                <w:b w:val="0"/>
                <w:bCs w:val="0"/>
                <w:color w:val="0000FF"/>
                <w:sz w:val="21"/>
                <w:szCs w:val="21"/>
                <w:vertAlign w:val="baseline"/>
              </w:rPr>
            </w:pPr>
          </w:p>
        </w:tc>
        <w:tc>
          <w:tcPr>
            <w:tcW w:w="1660" w:type="dxa"/>
            <w:tcBorders>
              <w:tl2br w:val="nil"/>
              <w:tr2bl w:val="nil"/>
            </w:tcBorders>
            <w:noWrap w:val="0"/>
            <w:vAlign w:val="center"/>
          </w:tcPr>
          <w:p w14:paraId="2C119D85">
            <w:pPr>
              <w:autoSpaceDE w:val="0"/>
              <w:autoSpaceDN w:val="0"/>
              <w:adjustRightInd w:val="0"/>
              <w:snapToGrid w:val="0"/>
              <w:spacing w:line="360" w:lineRule="auto"/>
              <w:jc w:val="center"/>
              <w:rPr>
                <w:rFonts w:ascii="Times New Roman" w:hAnsi="Times New Roman" w:eastAsia="宋体"/>
                <w:b w:val="0"/>
                <w:bCs w:val="0"/>
                <w:color w:val="0000FF"/>
                <w:sz w:val="21"/>
                <w:szCs w:val="21"/>
                <w:vertAlign w:val="baseline"/>
              </w:rPr>
            </w:pPr>
            <w:r>
              <w:rPr>
                <w:rFonts w:hint="eastAsia" w:ascii="Times New Roman" w:hAnsi="Times New Roman" w:eastAsia="宋体"/>
                <w:b w:val="0"/>
                <w:bCs w:val="0"/>
                <w:color w:val="0000FF"/>
                <w:sz w:val="21"/>
                <w:szCs w:val="21"/>
                <w:vertAlign w:val="baseline"/>
                <w:lang w:val="en-US" w:eastAsia="zh-CN"/>
              </w:rPr>
              <w:t>14:00-15:00</w:t>
            </w:r>
          </w:p>
        </w:tc>
        <w:tc>
          <w:tcPr>
            <w:tcW w:w="1660" w:type="dxa"/>
            <w:tcBorders>
              <w:tl2br w:val="nil"/>
              <w:tr2bl w:val="nil"/>
            </w:tcBorders>
            <w:noWrap w:val="0"/>
            <w:vAlign w:val="center"/>
          </w:tcPr>
          <w:p w14:paraId="373B7E34">
            <w:pPr>
              <w:autoSpaceDE w:val="0"/>
              <w:autoSpaceDN w:val="0"/>
              <w:adjustRightInd w:val="0"/>
              <w:snapToGrid w:val="0"/>
              <w:spacing w:line="360" w:lineRule="auto"/>
              <w:jc w:val="center"/>
              <w:rPr>
                <w:rFonts w:hint="default" w:ascii="Times New Roman" w:hAnsi="Times New Roman" w:eastAsia="宋体"/>
                <w:b w:val="0"/>
                <w:bCs w:val="0"/>
                <w:color w:val="0000FF"/>
                <w:kern w:val="2"/>
                <w:sz w:val="21"/>
                <w:szCs w:val="21"/>
                <w:vertAlign w:val="baseline"/>
                <w:lang w:val="en-US" w:eastAsia="zh-CN" w:bidi="ar-SA"/>
              </w:rPr>
            </w:pPr>
            <w:r>
              <w:rPr>
                <w:rFonts w:hint="eastAsia" w:ascii="Times New Roman" w:hAnsi="Times New Roman" w:eastAsia="宋体"/>
                <w:b w:val="0"/>
                <w:bCs w:val="0"/>
                <w:color w:val="0000FF"/>
                <w:sz w:val="21"/>
                <w:szCs w:val="21"/>
                <w:vertAlign w:val="baseline"/>
                <w:lang w:val="en-US" w:eastAsia="zh-CN"/>
              </w:rPr>
              <w:t>0.33</w:t>
            </w:r>
          </w:p>
        </w:tc>
        <w:tc>
          <w:tcPr>
            <w:tcW w:w="1660" w:type="dxa"/>
            <w:tcBorders>
              <w:tl2br w:val="nil"/>
              <w:tr2bl w:val="nil"/>
            </w:tcBorders>
            <w:noWrap w:val="0"/>
            <w:vAlign w:val="center"/>
          </w:tcPr>
          <w:p w14:paraId="1D937B61">
            <w:pPr>
              <w:autoSpaceDE w:val="0"/>
              <w:autoSpaceDN w:val="0"/>
              <w:adjustRightInd w:val="0"/>
              <w:snapToGrid w:val="0"/>
              <w:spacing w:line="360" w:lineRule="auto"/>
              <w:jc w:val="center"/>
              <w:rPr>
                <w:rFonts w:ascii="Times New Roman" w:hAnsi="Times New Roman" w:eastAsia="宋体"/>
                <w:b w:val="0"/>
                <w:bCs w:val="0"/>
                <w:color w:val="0000FF"/>
                <w:sz w:val="21"/>
                <w:szCs w:val="21"/>
                <w:vertAlign w:val="baseline"/>
              </w:rPr>
            </w:pPr>
            <w:r>
              <w:rPr>
                <w:rFonts w:hint="eastAsia" w:ascii="Times New Roman" w:hAnsi="Times New Roman" w:eastAsia="宋体"/>
                <w:b w:val="0"/>
                <w:bCs w:val="0"/>
                <w:color w:val="0000FF"/>
                <w:sz w:val="21"/>
                <w:szCs w:val="21"/>
                <w:vertAlign w:val="baseline"/>
                <w:lang w:val="en-US" w:eastAsia="zh-CN"/>
              </w:rPr>
              <w:t>0.165</w:t>
            </w:r>
          </w:p>
        </w:tc>
      </w:tr>
      <w:tr w14:paraId="607B44E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1" w:type="dxa"/>
            <w:vMerge w:val="continue"/>
            <w:tcBorders>
              <w:tl2br w:val="nil"/>
              <w:tr2bl w:val="nil"/>
            </w:tcBorders>
            <w:noWrap w:val="0"/>
            <w:vAlign w:val="center"/>
          </w:tcPr>
          <w:p w14:paraId="329EC2D5">
            <w:pPr>
              <w:autoSpaceDE w:val="0"/>
              <w:autoSpaceDN w:val="0"/>
              <w:adjustRightInd w:val="0"/>
              <w:snapToGrid w:val="0"/>
              <w:spacing w:line="360" w:lineRule="auto"/>
              <w:jc w:val="center"/>
              <w:rPr>
                <w:rFonts w:ascii="Times New Roman" w:hAnsi="Times New Roman" w:eastAsia="宋体"/>
                <w:b w:val="0"/>
                <w:bCs w:val="0"/>
                <w:color w:val="0000FF"/>
                <w:sz w:val="21"/>
                <w:szCs w:val="21"/>
                <w:vertAlign w:val="baseline"/>
              </w:rPr>
            </w:pPr>
          </w:p>
        </w:tc>
        <w:tc>
          <w:tcPr>
            <w:tcW w:w="2187" w:type="dxa"/>
            <w:vMerge w:val="continue"/>
            <w:tcBorders>
              <w:tl2br w:val="nil"/>
              <w:tr2bl w:val="nil"/>
            </w:tcBorders>
            <w:noWrap w:val="0"/>
            <w:vAlign w:val="center"/>
          </w:tcPr>
          <w:p w14:paraId="5A8ED498">
            <w:pPr>
              <w:autoSpaceDE w:val="0"/>
              <w:autoSpaceDN w:val="0"/>
              <w:adjustRightInd w:val="0"/>
              <w:snapToGrid w:val="0"/>
              <w:spacing w:line="360" w:lineRule="auto"/>
              <w:jc w:val="center"/>
              <w:rPr>
                <w:rFonts w:ascii="Times New Roman" w:hAnsi="Times New Roman" w:eastAsia="宋体"/>
                <w:b w:val="0"/>
                <w:bCs w:val="0"/>
                <w:color w:val="0000FF"/>
                <w:sz w:val="21"/>
                <w:szCs w:val="21"/>
                <w:vertAlign w:val="baseline"/>
              </w:rPr>
            </w:pPr>
          </w:p>
        </w:tc>
        <w:tc>
          <w:tcPr>
            <w:tcW w:w="1660" w:type="dxa"/>
            <w:tcBorders>
              <w:tl2br w:val="nil"/>
              <w:tr2bl w:val="nil"/>
            </w:tcBorders>
            <w:noWrap w:val="0"/>
            <w:vAlign w:val="center"/>
          </w:tcPr>
          <w:p w14:paraId="518F7EAF">
            <w:pPr>
              <w:autoSpaceDE w:val="0"/>
              <w:autoSpaceDN w:val="0"/>
              <w:adjustRightInd w:val="0"/>
              <w:snapToGrid w:val="0"/>
              <w:spacing w:line="360" w:lineRule="auto"/>
              <w:jc w:val="center"/>
              <w:rPr>
                <w:rFonts w:ascii="Times New Roman" w:hAnsi="Times New Roman" w:eastAsia="宋体"/>
                <w:b w:val="0"/>
                <w:bCs w:val="0"/>
                <w:color w:val="0000FF"/>
                <w:sz w:val="21"/>
                <w:szCs w:val="21"/>
                <w:vertAlign w:val="baseline"/>
              </w:rPr>
            </w:pPr>
            <w:r>
              <w:rPr>
                <w:rFonts w:hint="eastAsia" w:ascii="Times New Roman" w:hAnsi="Times New Roman" w:eastAsia="宋体"/>
                <w:b w:val="0"/>
                <w:bCs w:val="0"/>
                <w:color w:val="0000FF"/>
                <w:sz w:val="21"/>
                <w:szCs w:val="21"/>
                <w:vertAlign w:val="baseline"/>
                <w:lang w:val="en-US" w:eastAsia="zh-CN"/>
              </w:rPr>
              <w:t>20:00-21:00</w:t>
            </w:r>
          </w:p>
        </w:tc>
        <w:tc>
          <w:tcPr>
            <w:tcW w:w="1660" w:type="dxa"/>
            <w:tcBorders>
              <w:tl2br w:val="nil"/>
              <w:tr2bl w:val="nil"/>
            </w:tcBorders>
            <w:noWrap w:val="0"/>
            <w:vAlign w:val="center"/>
          </w:tcPr>
          <w:p w14:paraId="14734D97">
            <w:pPr>
              <w:autoSpaceDE w:val="0"/>
              <w:autoSpaceDN w:val="0"/>
              <w:adjustRightInd w:val="0"/>
              <w:snapToGrid w:val="0"/>
              <w:spacing w:line="360" w:lineRule="auto"/>
              <w:jc w:val="center"/>
              <w:rPr>
                <w:rFonts w:hint="default" w:ascii="Times New Roman" w:hAnsi="Times New Roman" w:eastAsia="宋体"/>
                <w:b w:val="0"/>
                <w:bCs w:val="0"/>
                <w:color w:val="0000FF"/>
                <w:kern w:val="2"/>
                <w:sz w:val="21"/>
                <w:szCs w:val="21"/>
                <w:vertAlign w:val="baseline"/>
                <w:lang w:val="en-US" w:eastAsia="zh-CN" w:bidi="ar-SA"/>
              </w:rPr>
            </w:pPr>
            <w:r>
              <w:rPr>
                <w:rFonts w:hint="eastAsia" w:ascii="Times New Roman" w:hAnsi="Times New Roman" w:eastAsia="宋体"/>
                <w:b w:val="0"/>
                <w:bCs w:val="0"/>
                <w:color w:val="0000FF"/>
                <w:sz w:val="21"/>
                <w:szCs w:val="21"/>
                <w:vertAlign w:val="baseline"/>
                <w:lang w:val="en-US" w:eastAsia="zh-CN"/>
              </w:rPr>
              <w:t>0.32</w:t>
            </w:r>
          </w:p>
        </w:tc>
        <w:tc>
          <w:tcPr>
            <w:tcW w:w="1660" w:type="dxa"/>
            <w:tcBorders>
              <w:tl2br w:val="nil"/>
              <w:tr2bl w:val="nil"/>
            </w:tcBorders>
            <w:noWrap w:val="0"/>
            <w:vAlign w:val="center"/>
          </w:tcPr>
          <w:p w14:paraId="43E58740">
            <w:pPr>
              <w:autoSpaceDE w:val="0"/>
              <w:autoSpaceDN w:val="0"/>
              <w:adjustRightInd w:val="0"/>
              <w:snapToGrid w:val="0"/>
              <w:spacing w:line="360" w:lineRule="auto"/>
              <w:jc w:val="center"/>
              <w:rPr>
                <w:rFonts w:ascii="Times New Roman" w:hAnsi="Times New Roman" w:eastAsia="宋体"/>
                <w:b w:val="0"/>
                <w:bCs w:val="0"/>
                <w:color w:val="0000FF"/>
                <w:sz w:val="21"/>
                <w:szCs w:val="21"/>
                <w:vertAlign w:val="baseline"/>
              </w:rPr>
            </w:pPr>
            <w:r>
              <w:rPr>
                <w:rFonts w:hint="eastAsia" w:ascii="Times New Roman" w:hAnsi="Times New Roman" w:eastAsia="宋体"/>
                <w:b w:val="0"/>
                <w:bCs w:val="0"/>
                <w:color w:val="0000FF"/>
                <w:sz w:val="21"/>
                <w:szCs w:val="21"/>
                <w:vertAlign w:val="baseline"/>
                <w:lang w:val="en-US" w:eastAsia="zh-CN"/>
              </w:rPr>
              <w:t>0.16</w:t>
            </w:r>
          </w:p>
        </w:tc>
      </w:tr>
      <w:tr w14:paraId="15528D6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1" w:type="dxa"/>
            <w:vMerge w:val="continue"/>
            <w:tcBorders>
              <w:tl2br w:val="nil"/>
              <w:tr2bl w:val="nil"/>
            </w:tcBorders>
            <w:noWrap w:val="0"/>
            <w:vAlign w:val="center"/>
          </w:tcPr>
          <w:p w14:paraId="4CB63C5D">
            <w:pPr>
              <w:autoSpaceDE w:val="0"/>
              <w:autoSpaceDN w:val="0"/>
              <w:adjustRightInd w:val="0"/>
              <w:snapToGrid w:val="0"/>
              <w:spacing w:line="360" w:lineRule="auto"/>
              <w:jc w:val="center"/>
              <w:rPr>
                <w:rFonts w:ascii="Times New Roman" w:hAnsi="Times New Roman" w:eastAsia="宋体"/>
                <w:b w:val="0"/>
                <w:bCs w:val="0"/>
                <w:color w:val="0000FF"/>
                <w:sz w:val="21"/>
                <w:szCs w:val="21"/>
                <w:vertAlign w:val="baseline"/>
              </w:rPr>
            </w:pPr>
          </w:p>
        </w:tc>
        <w:tc>
          <w:tcPr>
            <w:tcW w:w="2187" w:type="dxa"/>
            <w:vMerge w:val="restart"/>
            <w:tcBorders>
              <w:tl2br w:val="nil"/>
              <w:tr2bl w:val="nil"/>
            </w:tcBorders>
            <w:noWrap w:val="0"/>
            <w:vAlign w:val="center"/>
          </w:tcPr>
          <w:p w14:paraId="7E1285BC">
            <w:pPr>
              <w:autoSpaceDE w:val="0"/>
              <w:autoSpaceDN w:val="0"/>
              <w:adjustRightInd w:val="0"/>
              <w:snapToGrid w:val="0"/>
              <w:spacing w:line="360" w:lineRule="auto"/>
              <w:jc w:val="center"/>
              <w:rPr>
                <w:rFonts w:hint="default" w:ascii="Times New Roman" w:hAnsi="Times New Roman" w:eastAsia="宋体"/>
                <w:b w:val="0"/>
                <w:bCs w:val="0"/>
                <w:color w:val="0000FF"/>
                <w:sz w:val="21"/>
                <w:szCs w:val="21"/>
                <w:vertAlign w:val="baseline"/>
                <w:lang w:val="en-US" w:eastAsia="zh-CN"/>
              </w:rPr>
            </w:pPr>
            <w:r>
              <w:rPr>
                <w:rFonts w:hint="eastAsia" w:ascii="Times New Roman" w:hAnsi="Times New Roman" w:eastAsia="宋体"/>
                <w:b w:val="0"/>
                <w:bCs w:val="0"/>
                <w:color w:val="0000FF"/>
                <w:sz w:val="21"/>
                <w:szCs w:val="21"/>
                <w:vertAlign w:val="baseline"/>
                <w:lang w:val="en-US" w:eastAsia="zh-CN"/>
              </w:rPr>
              <w:t>05.27</w:t>
            </w:r>
          </w:p>
        </w:tc>
        <w:tc>
          <w:tcPr>
            <w:tcW w:w="1660" w:type="dxa"/>
            <w:tcBorders>
              <w:tl2br w:val="nil"/>
              <w:tr2bl w:val="nil"/>
            </w:tcBorders>
            <w:noWrap w:val="0"/>
            <w:vAlign w:val="center"/>
          </w:tcPr>
          <w:p w14:paraId="6618B886">
            <w:pPr>
              <w:autoSpaceDE w:val="0"/>
              <w:autoSpaceDN w:val="0"/>
              <w:adjustRightInd w:val="0"/>
              <w:snapToGrid w:val="0"/>
              <w:spacing w:line="360" w:lineRule="auto"/>
              <w:jc w:val="center"/>
              <w:rPr>
                <w:rFonts w:hint="eastAsia" w:ascii="Times New Roman" w:hAnsi="Times New Roman" w:eastAsia="宋体"/>
                <w:b w:val="0"/>
                <w:bCs w:val="0"/>
                <w:color w:val="0000FF"/>
                <w:sz w:val="21"/>
                <w:szCs w:val="21"/>
                <w:vertAlign w:val="baseline"/>
                <w:lang w:val="en-US" w:eastAsia="zh-CN"/>
              </w:rPr>
            </w:pPr>
            <w:r>
              <w:rPr>
                <w:rFonts w:hint="eastAsia" w:ascii="Times New Roman" w:hAnsi="Times New Roman" w:eastAsia="宋体"/>
                <w:b w:val="0"/>
                <w:bCs w:val="0"/>
                <w:color w:val="0000FF"/>
                <w:sz w:val="21"/>
                <w:szCs w:val="21"/>
                <w:vertAlign w:val="baseline"/>
                <w:lang w:val="en-US" w:eastAsia="zh-CN"/>
              </w:rPr>
              <w:t>02:00-03.00</w:t>
            </w:r>
          </w:p>
        </w:tc>
        <w:tc>
          <w:tcPr>
            <w:tcW w:w="1660" w:type="dxa"/>
            <w:tcBorders>
              <w:tl2br w:val="nil"/>
              <w:tr2bl w:val="nil"/>
            </w:tcBorders>
            <w:noWrap w:val="0"/>
            <w:vAlign w:val="center"/>
          </w:tcPr>
          <w:p w14:paraId="69F38065">
            <w:pPr>
              <w:autoSpaceDE w:val="0"/>
              <w:autoSpaceDN w:val="0"/>
              <w:adjustRightInd w:val="0"/>
              <w:snapToGrid w:val="0"/>
              <w:spacing w:line="360" w:lineRule="auto"/>
              <w:jc w:val="center"/>
              <w:rPr>
                <w:rFonts w:hint="default" w:ascii="Times New Roman" w:hAnsi="Times New Roman" w:eastAsia="宋体"/>
                <w:b w:val="0"/>
                <w:bCs w:val="0"/>
                <w:color w:val="0000FF"/>
                <w:kern w:val="2"/>
                <w:sz w:val="21"/>
                <w:szCs w:val="21"/>
                <w:vertAlign w:val="baseline"/>
                <w:lang w:val="en-US" w:eastAsia="zh-CN" w:bidi="ar-SA"/>
              </w:rPr>
            </w:pPr>
            <w:r>
              <w:rPr>
                <w:rFonts w:hint="eastAsia" w:ascii="Times New Roman" w:hAnsi="Times New Roman" w:eastAsia="宋体"/>
                <w:b w:val="0"/>
                <w:bCs w:val="0"/>
                <w:color w:val="0000FF"/>
                <w:sz w:val="21"/>
                <w:szCs w:val="21"/>
                <w:vertAlign w:val="baseline"/>
                <w:lang w:val="en-US" w:eastAsia="zh-CN"/>
              </w:rPr>
              <w:t>0.33</w:t>
            </w:r>
          </w:p>
        </w:tc>
        <w:tc>
          <w:tcPr>
            <w:tcW w:w="1660" w:type="dxa"/>
            <w:tcBorders>
              <w:tl2br w:val="nil"/>
              <w:tr2bl w:val="nil"/>
            </w:tcBorders>
            <w:noWrap w:val="0"/>
            <w:vAlign w:val="center"/>
          </w:tcPr>
          <w:p w14:paraId="4338A19A">
            <w:pPr>
              <w:autoSpaceDE w:val="0"/>
              <w:autoSpaceDN w:val="0"/>
              <w:adjustRightInd w:val="0"/>
              <w:snapToGrid w:val="0"/>
              <w:spacing w:line="360" w:lineRule="auto"/>
              <w:jc w:val="center"/>
              <w:rPr>
                <w:rFonts w:ascii="Times New Roman" w:hAnsi="Times New Roman" w:eastAsia="宋体"/>
                <w:b w:val="0"/>
                <w:bCs w:val="0"/>
                <w:color w:val="0000FF"/>
                <w:sz w:val="21"/>
                <w:szCs w:val="21"/>
                <w:vertAlign w:val="baseline"/>
              </w:rPr>
            </w:pPr>
            <w:r>
              <w:rPr>
                <w:rFonts w:hint="eastAsia" w:ascii="Times New Roman" w:hAnsi="Times New Roman" w:eastAsia="宋体"/>
                <w:b w:val="0"/>
                <w:bCs w:val="0"/>
                <w:color w:val="0000FF"/>
                <w:sz w:val="21"/>
                <w:szCs w:val="21"/>
                <w:vertAlign w:val="baseline"/>
                <w:lang w:val="en-US" w:eastAsia="zh-CN"/>
              </w:rPr>
              <w:t>0.165</w:t>
            </w:r>
          </w:p>
        </w:tc>
      </w:tr>
      <w:tr w14:paraId="7F518E4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1" w:type="dxa"/>
            <w:vMerge w:val="continue"/>
            <w:tcBorders>
              <w:tl2br w:val="nil"/>
              <w:tr2bl w:val="nil"/>
            </w:tcBorders>
            <w:noWrap w:val="0"/>
            <w:vAlign w:val="center"/>
          </w:tcPr>
          <w:p w14:paraId="2E19B312">
            <w:pPr>
              <w:autoSpaceDE w:val="0"/>
              <w:autoSpaceDN w:val="0"/>
              <w:adjustRightInd w:val="0"/>
              <w:snapToGrid w:val="0"/>
              <w:spacing w:line="360" w:lineRule="auto"/>
              <w:jc w:val="center"/>
              <w:rPr>
                <w:rFonts w:ascii="Times New Roman" w:hAnsi="Times New Roman" w:eastAsia="宋体"/>
                <w:b w:val="0"/>
                <w:bCs w:val="0"/>
                <w:color w:val="0000FF"/>
                <w:sz w:val="21"/>
                <w:szCs w:val="21"/>
                <w:vertAlign w:val="baseline"/>
              </w:rPr>
            </w:pPr>
          </w:p>
        </w:tc>
        <w:tc>
          <w:tcPr>
            <w:tcW w:w="2187" w:type="dxa"/>
            <w:vMerge w:val="continue"/>
            <w:tcBorders>
              <w:tl2br w:val="nil"/>
              <w:tr2bl w:val="nil"/>
            </w:tcBorders>
            <w:noWrap w:val="0"/>
            <w:vAlign w:val="center"/>
          </w:tcPr>
          <w:p w14:paraId="56295DCF">
            <w:pPr>
              <w:autoSpaceDE w:val="0"/>
              <w:autoSpaceDN w:val="0"/>
              <w:adjustRightInd w:val="0"/>
              <w:snapToGrid w:val="0"/>
              <w:spacing w:line="360" w:lineRule="auto"/>
              <w:jc w:val="center"/>
              <w:rPr>
                <w:rFonts w:ascii="Times New Roman" w:hAnsi="Times New Roman" w:eastAsia="宋体"/>
                <w:b w:val="0"/>
                <w:bCs w:val="0"/>
                <w:color w:val="0000FF"/>
                <w:sz w:val="21"/>
                <w:szCs w:val="21"/>
                <w:vertAlign w:val="baseline"/>
              </w:rPr>
            </w:pPr>
          </w:p>
        </w:tc>
        <w:tc>
          <w:tcPr>
            <w:tcW w:w="1660" w:type="dxa"/>
            <w:tcBorders>
              <w:tl2br w:val="nil"/>
              <w:tr2bl w:val="nil"/>
            </w:tcBorders>
            <w:noWrap w:val="0"/>
            <w:vAlign w:val="center"/>
          </w:tcPr>
          <w:p w14:paraId="5D010DE4">
            <w:pPr>
              <w:autoSpaceDE w:val="0"/>
              <w:autoSpaceDN w:val="0"/>
              <w:adjustRightInd w:val="0"/>
              <w:snapToGrid w:val="0"/>
              <w:spacing w:line="360" w:lineRule="auto"/>
              <w:jc w:val="center"/>
              <w:rPr>
                <w:rFonts w:hint="eastAsia" w:ascii="Times New Roman" w:hAnsi="Times New Roman" w:eastAsia="宋体"/>
                <w:b w:val="0"/>
                <w:bCs w:val="0"/>
                <w:color w:val="0000FF"/>
                <w:sz w:val="21"/>
                <w:szCs w:val="21"/>
                <w:vertAlign w:val="baseline"/>
                <w:lang w:val="en-US" w:eastAsia="zh-CN"/>
              </w:rPr>
            </w:pPr>
            <w:r>
              <w:rPr>
                <w:rFonts w:hint="eastAsia" w:ascii="Times New Roman" w:hAnsi="Times New Roman" w:eastAsia="宋体"/>
                <w:b w:val="0"/>
                <w:bCs w:val="0"/>
                <w:color w:val="0000FF"/>
                <w:sz w:val="21"/>
                <w:szCs w:val="21"/>
                <w:vertAlign w:val="baseline"/>
                <w:lang w:val="en-US" w:eastAsia="zh-CN"/>
              </w:rPr>
              <w:t>08:00-09:00</w:t>
            </w:r>
          </w:p>
        </w:tc>
        <w:tc>
          <w:tcPr>
            <w:tcW w:w="1660" w:type="dxa"/>
            <w:tcBorders>
              <w:tl2br w:val="nil"/>
              <w:tr2bl w:val="nil"/>
            </w:tcBorders>
            <w:noWrap w:val="0"/>
            <w:vAlign w:val="center"/>
          </w:tcPr>
          <w:p w14:paraId="3992D024">
            <w:pPr>
              <w:autoSpaceDE w:val="0"/>
              <w:autoSpaceDN w:val="0"/>
              <w:adjustRightInd w:val="0"/>
              <w:snapToGrid w:val="0"/>
              <w:spacing w:line="360" w:lineRule="auto"/>
              <w:jc w:val="center"/>
              <w:rPr>
                <w:rFonts w:hint="default" w:ascii="Times New Roman" w:hAnsi="Times New Roman" w:eastAsia="宋体"/>
                <w:b w:val="0"/>
                <w:bCs w:val="0"/>
                <w:color w:val="0000FF"/>
                <w:kern w:val="2"/>
                <w:sz w:val="21"/>
                <w:szCs w:val="21"/>
                <w:vertAlign w:val="baseline"/>
                <w:lang w:val="en-US" w:eastAsia="zh-CN" w:bidi="ar-SA"/>
              </w:rPr>
            </w:pPr>
            <w:r>
              <w:rPr>
                <w:rFonts w:hint="eastAsia" w:ascii="Times New Roman" w:hAnsi="Times New Roman" w:eastAsia="宋体"/>
                <w:b w:val="0"/>
                <w:bCs w:val="0"/>
                <w:color w:val="0000FF"/>
                <w:sz w:val="21"/>
                <w:szCs w:val="21"/>
                <w:vertAlign w:val="baseline"/>
                <w:lang w:val="en-US" w:eastAsia="zh-CN"/>
              </w:rPr>
              <w:t>0.30</w:t>
            </w:r>
          </w:p>
        </w:tc>
        <w:tc>
          <w:tcPr>
            <w:tcW w:w="1660" w:type="dxa"/>
            <w:tcBorders>
              <w:tl2br w:val="nil"/>
              <w:tr2bl w:val="nil"/>
            </w:tcBorders>
            <w:noWrap w:val="0"/>
            <w:vAlign w:val="center"/>
          </w:tcPr>
          <w:p w14:paraId="05085801">
            <w:pPr>
              <w:autoSpaceDE w:val="0"/>
              <w:autoSpaceDN w:val="0"/>
              <w:adjustRightInd w:val="0"/>
              <w:snapToGrid w:val="0"/>
              <w:spacing w:line="360" w:lineRule="auto"/>
              <w:jc w:val="center"/>
              <w:rPr>
                <w:rFonts w:hint="default" w:ascii="Times New Roman" w:hAnsi="Times New Roman" w:eastAsia="宋体"/>
                <w:b w:val="0"/>
                <w:bCs w:val="0"/>
                <w:color w:val="0000FF"/>
                <w:sz w:val="21"/>
                <w:szCs w:val="21"/>
                <w:vertAlign w:val="baseline"/>
                <w:lang w:val="en-US" w:eastAsia="zh-CN"/>
              </w:rPr>
            </w:pPr>
            <w:r>
              <w:rPr>
                <w:rFonts w:hint="eastAsia" w:ascii="Times New Roman" w:hAnsi="Times New Roman" w:eastAsia="宋体"/>
                <w:b w:val="0"/>
                <w:bCs w:val="0"/>
                <w:color w:val="0000FF"/>
                <w:sz w:val="21"/>
                <w:szCs w:val="21"/>
                <w:vertAlign w:val="baseline"/>
                <w:lang w:val="en-US" w:eastAsia="zh-CN"/>
              </w:rPr>
              <w:t>0.15</w:t>
            </w:r>
          </w:p>
        </w:tc>
      </w:tr>
      <w:tr w14:paraId="5AE3C2F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1" w:type="dxa"/>
            <w:vMerge w:val="continue"/>
            <w:tcBorders>
              <w:tl2br w:val="nil"/>
              <w:tr2bl w:val="nil"/>
            </w:tcBorders>
            <w:noWrap w:val="0"/>
            <w:vAlign w:val="center"/>
          </w:tcPr>
          <w:p w14:paraId="0A2F7FE3">
            <w:pPr>
              <w:autoSpaceDE w:val="0"/>
              <w:autoSpaceDN w:val="0"/>
              <w:adjustRightInd w:val="0"/>
              <w:snapToGrid w:val="0"/>
              <w:spacing w:line="360" w:lineRule="auto"/>
              <w:jc w:val="center"/>
              <w:rPr>
                <w:rFonts w:ascii="Times New Roman" w:hAnsi="Times New Roman" w:eastAsia="宋体"/>
                <w:b w:val="0"/>
                <w:bCs w:val="0"/>
                <w:color w:val="0000FF"/>
                <w:sz w:val="21"/>
                <w:szCs w:val="21"/>
                <w:vertAlign w:val="baseline"/>
              </w:rPr>
            </w:pPr>
          </w:p>
        </w:tc>
        <w:tc>
          <w:tcPr>
            <w:tcW w:w="2187" w:type="dxa"/>
            <w:vMerge w:val="continue"/>
            <w:tcBorders>
              <w:tl2br w:val="nil"/>
              <w:tr2bl w:val="nil"/>
            </w:tcBorders>
            <w:noWrap w:val="0"/>
            <w:vAlign w:val="center"/>
          </w:tcPr>
          <w:p w14:paraId="00F3A901">
            <w:pPr>
              <w:autoSpaceDE w:val="0"/>
              <w:autoSpaceDN w:val="0"/>
              <w:adjustRightInd w:val="0"/>
              <w:snapToGrid w:val="0"/>
              <w:spacing w:line="360" w:lineRule="auto"/>
              <w:jc w:val="center"/>
              <w:rPr>
                <w:rFonts w:ascii="Times New Roman" w:hAnsi="Times New Roman" w:eastAsia="宋体"/>
                <w:b w:val="0"/>
                <w:bCs w:val="0"/>
                <w:color w:val="0000FF"/>
                <w:sz w:val="21"/>
                <w:szCs w:val="21"/>
                <w:vertAlign w:val="baseline"/>
              </w:rPr>
            </w:pPr>
          </w:p>
        </w:tc>
        <w:tc>
          <w:tcPr>
            <w:tcW w:w="1660" w:type="dxa"/>
            <w:tcBorders>
              <w:tl2br w:val="nil"/>
              <w:tr2bl w:val="nil"/>
            </w:tcBorders>
            <w:noWrap w:val="0"/>
            <w:vAlign w:val="center"/>
          </w:tcPr>
          <w:p w14:paraId="0F78ABEC">
            <w:pPr>
              <w:autoSpaceDE w:val="0"/>
              <w:autoSpaceDN w:val="0"/>
              <w:adjustRightInd w:val="0"/>
              <w:snapToGrid w:val="0"/>
              <w:spacing w:line="360" w:lineRule="auto"/>
              <w:jc w:val="center"/>
              <w:rPr>
                <w:rFonts w:hint="eastAsia" w:ascii="Times New Roman" w:hAnsi="Times New Roman" w:eastAsia="宋体"/>
                <w:b w:val="0"/>
                <w:bCs w:val="0"/>
                <w:color w:val="0000FF"/>
                <w:sz w:val="21"/>
                <w:szCs w:val="21"/>
                <w:vertAlign w:val="baseline"/>
                <w:lang w:val="en-US" w:eastAsia="zh-CN"/>
              </w:rPr>
            </w:pPr>
            <w:r>
              <w:rPr>
                <w:rFonts w:hint="eastAsia" w:ascii="Times New Roman" w:hAnsi="Times New Roman" w:eastAsia="宋体"/>
                <w:b w:val="0"/>
                <w:bCs w:val="0"/>
                <w:color w:val="0000FF"/>
                <w:sz w:val="21"/>
                <w:szCs w:val="21"/>
                <w:vertAlign w:val="baseline"/>
                <w:lang w:val="en-US" w:eastAsia="zh-CN"/>
              </w:rPr>
              <w:t>14:00-15:00</w:t>
            </w:r>
          </w:p>
        </w:tc>
        <w:tc>
          <w:tcPr>
            <w:tcW w:w="1660" w:type="dxa"/>
            <w:tcBorders>
              <w:tl2br w:val="nil"/>
              <w:tr2bl w:val="nil"/>
            </w:tcBorders>
            <w:noWrap w:val="0"/>
            <w:vAlign w:val="center"/>
          </w:tcPr>
          <w:p w14:paraId="1F945B3E">
            <w:pPr>
              <w:autoSpaceDE w:val="0"/>
              <w:autoSpaceDN w:val="0"/>
              <w:adjustRightInd w:val="0"/>
              <w:snapToGrid w:val="0"/>
              <w:spacing w:line="360" w:lineRule="auto"/>
              <w:jc w:val="center"/>
              <w:rPr>
                <w:rFonts w:hint="default" w:ascii="Times New Roman" w:hAnsi="Times New Roman" w:eastAsia="宋体"/>
                <w:b w:val="0"/>
                <w:bCs w:val="0"/>
                <w:color w:val="0000FF"/>
                <w:kern w:val="2"/>
                <w:sz w:val="21"/>
                <w:szCs w:val="21"/>
                <w:vertAlign w:val="baseline"/>
                <w:lang w:val="en-US" w:eastAsia="zh-CN" w:bidi="ar-SA"/>
              </w:rPr>
            </w:pPr>
            <w:r>
              <w:rPr>
                <w:rFonts w:hint="eastAsia" w:ascii="Times New Roman" w:hAnsi="Times New Roman" w:eastAsia="宋体"/>
                <w:b w:val="0"/>
                <w:bCs w:val="0"/>
                <w:color w:val="0000FF"/>
                <w:sz w:val="21"/>
                <w:szCs w:val="21"/>
                <w:vertAlign w:val="baseline"/>
                <w:lang w:val="en-US" w:eastAsia="zh-CN"/>
              </w:rPr>
              <w:t>0.31</w:t>
            </w:r>
          </w:p>
        </w:tc>
        <w:tc>
          <w:tcPr>
            <w:tcW w:w="1660" w:type="dxa"/>
            <w:tcBorders>
              <w:tl2br w:val="nil"/>
              <w:tr2bl w:val="nil"/>
            </w:tcBorders>
            <w:noWrap w:val="0"/>
            <w:vAlign w:val="center"/>
          </w:tcPr>
          <w:p w14:paraId="0545C198">
            <w:pPr>
              <w:autoSpaceDE w:val="0"/>
              <w:autoSpaceDN w:val="0"/>
              <w:adjustRightInd w:val="0"/>
              <w:snapToGrid w:val="0"/>
              <w:spacing w:line="360" w:lineRule="auto"/>
              <w:jc w:val="center"/>
              <w:rPr>
                <w:rFonts w:ascii="Times New Roman" w:hAnsi="Times New Roman" w:eastAsia="宋体"/>
                <w:b w:val="0"/>
                <w:bCs w:val="0"/>
                <w:color w:val="0000FF"/>
                <w:sz w:val="21"/>
                <w:szCs w:val="21"/>
                <w:vertAlign w:val="baseline"/>
              </w:rPr>
            </w:pPr>
            <w:r>
              <w:rPr>
                <w:rFonts w:hint="eastAsia" w:ascii="Times New Roman" w:hAnsi="Times New Roman" w:eastAsia="宋体"/>
                <w:b w:val="0"/>
                <w:bCs w:val="0"/>
                <w:color w:val="0000FF"/>
                <w:sz w:val="21"/>
                <w:szCs w:val="21"/>
                <w:vertAlign w:val="baseline"/>
                <w:lang w:val="en-US" w:eastAsia="zh-CN"/>
              </w:rPr>
              <w:t>0.155</w:t>
            </w:r>
          </w:p>
        </w:tc>
      </w:tr>
      <w:tr w14:paraId="52B100A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1" w:type="dxa"/>
            <w:vMerge w:val="continue"/>
            <w:tcBorders>
              <w:tl2br w:val="nil"/>
              <w:tr2bl w:val="nil"/>
            </w:tcBorders>
            <w:noWrap w:val="0"/>
            <w:vAlign w:val="center"/>
          </w:tcPr>
          <w:p w14:paraId="110C1F6A">
            <w:pPr>
              <w:autoSpaceDE w:val="0"/>
              <w:autoSpaceDN w:val="0"/>
              <w:adjustRightInd w:val="0"/>
              <w:snapToGrid w:val="0"/>
              <w:spacing w:line="360" w:lineRule="auto"/>
              <w:jc w:val="center"/>
              <w:rPr>
                <w:rFonts w:ascii="Times New Roman" w:hAnsi="Times New Roman" w:eastAsia="宋体"/>
                <w:b w:val="0"/>
                <w:bCs w:val="0"/>
                <w:color w:val="0000FF"/>
                <w:sz w:val="21"/>
                <w:szCs w:val="21"/>
                <w:vertAlign w:val="baseline"/>
              </w:rPr>
            </w:pPr>
          </w:p>
        </w:tc>
        <w:tc>
          <w:tcPr>
            <w:tcW w:w="2187" w:type="dxa"/>
            <w:vMerge w:val="continue"/>
            <w:tcBorders>
              <w:tl2br w:val="nil"/>
              <w:tr2bl w:val="nil"/>
            </w:tcBorders>
            <w:noWrap w:val="0"/>
            <w:vAlign w:val="center"/>
          </w:tcPr>
          <w:p w14:paraId="7DF80DCA">
            <w:pPr>
              <w:autoSpaceDE w:val="0"/>
              <w:autoSpaceDN w:val="0"/>
              <w:adjustRightInd w:val="0"/>
              <w:snapToGrid w:val="0"/>
              <w:spacing w:line="360" w:lineRule="auto"/>
              <w:jc w:val="center"/>
              <w:rPr>
                <w:rFonts w:ascii="Times New Roman" w:hAnsi="Times New Roman" w:eastAsia="宋体"/>
                <w:b w:val="0"/>
                <w:bCs w:val="0"/>
                <w:color w:val="0000FF"/>
                <w:sz w:val="21"/>
                <w:szCs w:val="21"/>
                <w:vertAlign w:val="baseline"/>
              </w:rPr>
            </w:pPr>
          </w:p>
        </w:tc>
        <w:tc>
          <w:tcPr>
            <w:tcW w:w="1660" w:type="dxa"/>
            <w:tcBorders>
              <w:tl2br w:val="nil"/>
              <w:tr2bl w:val="nil"/>
            </w:tcBorders>
            <w:noWrap w:val="0"/>
            <w:vAlign w:val="center"/>
          </w:tcPr>
          <w:p w14:paraId="1FFE3203">
            <w:pPr>
              <w:autoSpaceDE w:val="0"/>
              <w:autoSpaceDN w:val="0"/>
              <w:adjustRightInd w:val="0"/>
              <w:snapToGrid w:val="0"/>
              <w:spacing w:line="360" w:lineRule="auto"/>
              <w:jc w:val="center"/>
              <w:rPr>
                <w:rFonts w:hint="eastAsia" w:ascii="Times New Roman" w:hAnsi="Times New Roman" w:eastAsia="宋体"/>
                <w:b w:val="0"/>
                <w:bCs w:val="0"/>
                <w:color w:val="0000FF"/>
                <w:sz w:val="21"/>
                <w:szCs w:val="21"/>
                <w:vertAlign w:val="baseline"/>
                <w:lang w:val="en-US" w:eastAsia="zh-CN"/>
              </w:rPr>
            </w:pPr>
            <w:r>
              <w:rPr>
                <w:rFonts w:hint="eastAsia" w:ascii="Times New Roman" w:hAnsi="Times New Roman" w:eastAsia="宋体"/>
                <w:b w:val="0"/>
                <w:bCs w:val="0"/>
                <w:color w:val="0000FF"/>
                <w:sz w:val="21"/>
                <w:szCs w:val="21"/>
                <w:vertAlign w:val="baseline"/>
                <w:lang w:val="en-US" w:eastAsia="zh-CN"/>
              </w:rPr>
              <w:t>20:00-21:00</w:t>
            </w:r>
          </w:p>
        </w:tc>
        <w:tc>
          <w:tcPr>
            <w:tcW w:w="1660" w:type="dxa"/>
            <w:tcBorders>
              <w:tl2br w:val="nil"/>
              <w:tr2bl w:val="nil"/>
            </w:tcBorders>
            <w:noWrap w:val="0"/>
            <w:vAlign w:val="center"/>
          </w:tcPr>
          <w:p w14:paraId="6B66BBE1">
            <w:pPr>
              <w:autoSpaceDE w:val="0"/>
              <w:autoSpaceDN w:val="0"/>
              <w:adjustRightInd w:val="0"/>
              <w:snapToGrid w:val="0"/>
              <w:spacing w:line="360" w:lineRule="auto"/>
              <w:jc w:val="center"/>
              <w:rPr>
                <w:rFonts w:hint="default" w:ascii="Times New Roman" w:hAnsi="Times New Roman" w:eastAsia="宋体"/>
                <w:b w:val="0"/>
                <w:bCs w:val="0"/>
                <w:color w:val="0000FF"/>
                <w:kern w:val="2"/>
                <w:sz w:val="21"/>
                <w:szCs w:val="21"/>
                <w:vertAlign w:val="baseline"/>
                <w:lang w:val="en-US" w:eastAsia="zh-CN" w:bidi="ar-SA"/>
              </w:rPr>
            </w:pPr>
            <w:r>
              <w:rPr>
                <w:rFonts w:hint="eastAsia" w:ascii="Times New Roman" w:hAnsi="Times New Roman" w:eastAsia="宋体"/>
                <w:b w:val="0"/>
                <w:bCs w:val="0"/>
                <w:color w:val="0000FF"/>
                <w:sz w:val="21"/>
                <w:szCs w:val="21"/>
                <w:vertAlign w:val="baseline"/>
                <w:lang w:val="en-US" w:eastAsia="zh-CN"/>
              </w:rPr>
              <w:t>0.32</w:t>
            </w:r>
          </w:p>
        </w:tc>
        <w:tc>
          <w:tcPr>
            <w:tcW w:w="1660" w:type="dxa"/>
            <w:tcBorders>
              <w:tl2br w:val="nil"/>
              <w:tr2bl w:val="nil"/>
            </w:tcBorders>
            <w:noWrap w:val="0"/>
            <w:vAlign w:val="center"/>
          </w:tcPr>
          <w:p w14:paraId="7B1A909F">
            <w:pPr>
              <w:autoSpaceDE w:val="0"/>
              <w:autoSpaceDN w:val="0"/>
              <w:adjustRightInd w:val="0"/>
              <w:snapToGrid w:val="0"/>
              <w:spacing w:line="360" w:lineRule="auto"/>
              <w:jc w:val="center"/>
              <w:rPr>
                <w:rFonts w:ascii="Times New Roman" w:hAnsi="Times New Roman" w:eastAsia="宋体"/>
                <w:b w:val="0"/>
                <w:bCs w:val="0"/>
                <w:color w:val="0000FF"/>
                <w:sz w:val="21"/>
                <w:szCs w:val="21"/>
                <w:vertAlign w:val="baseline"/>
              </w:rPr>
            </w:pPr>
            <w:r>
              <w:rPr>
                <w:rFonts w:hint="eastAsia" w:ascii="Times New Roman" w:hAnsi="Times New Roman" w:eastAsia="宋体"/>
                <w:b w:val="0"/>
                <w:bCs w:val="0"/>
                <w:color w:val="0000FF"/>
                <w:sz w:val="21"/>
                <w:szCs w:val="21"/>
                <w:vertAlign w:val="baseline"/>
                <w:lang w:val="en-US" w:eastAsia="zh-CN"/>
              </w:rPr>
              <w:t>0.16</w:t>
            </w:r>
          </w:p>
        </w:tc>
      </w:tr>
      <w:tr w14:paraId="4B7B625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1" w:type="dxa"/>
            <w:vMerge w:val="continue"/>
            <w:tcBorders>
              <w:tl2br w:val="nil"/>
              <w:tr2bl w:val="nil"/>
            </w:tcBorders>
            <w:noWrap w:val="0"/>
            <w:vAlign w:val="center"/>
          </w:tcPr>
          <w:p w14:paraId="0DBC4CA4">
            <w:pPr>
              <w:autoSpaceDE w:val="0"/>
              <w:autoSpaceDN w:val="0"/>
              <w:adjustRightInd w:val="0"/>
              <w:snapToGrid w:val="0"/>
              <w:spacing w:line="360" w:lineRule="auto"/>
              <w:jc w:val="center"/>
              <w:rPr>
                <w:rFonts w:ascii="Times New Roman" w:hAnsi="Times New Roman" w:eastAsia="宋体"/>
                <w:b w:val="0"/>
                <w:bCs w:val="0"/>
                <w:color w:val="0000FF"/>
                <w:sz w:val="21"/>
                <w:szCs w:val="21"/>
                <w:vertAlign w:val="baseline"/>
              </w:rPr>
            </w:pPr>
          </w:p>
        </w:tc>
        <w:tc>
          <w:tcPr>
            <w:tcW w:w="2187" w:type="dxa"/>
            <w:vMerge w:val="restart"/>
            <w:tcBorders>
              <w:tl2br w:val="nil"/>
              <w:tr2bl w:val="nil"/>
            </w:tcBorders>
            <w:noWrap w:val="0"/>
            <w:vAlign w:val="center"/>
          </w:tcPr>
          <w:p w14:paraId="3D1006CA">
            <w:pPr>
              <w:autoSpaceDE w:val="0"/>
              <w:autoSpaceDN w:val="0"/>
              <w:adjustRightInd w:val="0"/>
              <w:snapToGrid w:val="0"/>
              <w:spacing w:line="360" w:lineRule="auto"/>
              <w:jc w:val="center"/>
              <w:rPr>
                <w:rFonts w:hint="default" w:ascii="Times New Roman" w:hAnsi="Times New Roman" w:eastAsia="宋体"/>
                <w:b w:val="0"/>
                <w:bCs w:val="0"/>
                <w:color w:val="0000FF"/>
                <w:sz w:val="21"/>
                <w:szCs w:val="21"/>
                <w:vertAlign w:val="baseline"/>
                <w:lang w:val="en-US" w:eastAsia="zh-CN"/>
              </w:rPr>
            </w:pPr>
            <w:r>
              <w:rPr>
                <w:rFonts w:hint="eastAsia" w:ascii="Times New Roman" w:hAnsi="Times New Roman" w:eastAsia="宋体"/>
                <w:b w:val="0"/>
                <w:bCs w:val="0"/>
                <w:color w:val="0000FF"/>
                <w:sz w:val="21"/>
                <w:szCs w:val="21"/>
                <w:vertAlign w:val="baseline"/>
                <w:lang w:val="en-US" w:eastAsia="zh-CN"/>
              </w:rPr>
              <w:t>05.28</w:t>
            </w:r>
          </w:p>
        </w:tc>
        <w:tc>
          <w:tcPr>
            <w:tcW w:w="1660" w:type="dxa"/>
            <w:tcBorders>
              <w:tl2br w:val="nil"/>
              <w:tr2bl w:val="nil"/>
            </w:tcBorders>
            <w:noWrap w:val="0"/>
            <w:vAlign w:val="center"/>
          </w:tcPr>
          <w:p w14:paraId="35179D70">
            <w:pPr>
              <w:autoSpaceDE w:val="0"/>
              <w:autoSpaceDN w:val="0"/>
              <w:adjustRightInd w:val="0"/>
              <w:snapToGrid w:val="0"/>
              <w:spacing w:line="360" w:lineRule="auto"/>
              <w:jc w:val="center"/>
              <w:rPr>
                <w:rFonts w:hint="eastAsia" w:ascii="Times New Roman" w:hAnsi="Times New Roman" w:eastAsia="宋体"/>
                <w:b w:val="0"/>
                <w:bCs w:val="0"/>
                <w:color w:val="0000FF"/>
                <w:sz w:val="21"/>
                <w:szCs w:val="21"/>
                <w:vertAlign w:val="baseline"/>
                <w:lang w:val="en-US" w:eastAsia="zh-CN"/>
              </w:rPr>
            </w:pPr>
            <w:r>
              <w:rPr>
                <w:rFonts w:hint="eastAsia" w:ascii="Times New Roman" w:hAnsi="Times New Roman" w:eastAsia="宋体"/>
                <w:b w:val="0"/>
                <w:bCs w:val="0"/>
                <w:color w:val="0000FF"/>
                <w:sz w:val="21"/>
                <w:szCs w:val="21"/>
                <w:vertAlign w:val="baseline"/>
                <w:lang w:val="en-US" w:eastAsia="zh-CN"/>
              </w:rPr>
              <w:t>02:00-03.00</w:t>
            </w:r>
          </w:p>
        </w:tc>
        <w:tc>
          <w:tcPr>
            <w:tcW w:w="1660" w:type="dxa"/>
            <w:tcBorders>
              <w:tl2br w:val="nil"/>
              <w:tr2bl w:val="nil"/>
            </w:tcBorders>
            <w:noWrap w:val="0"/>
            <w:vAlign w:val="center"/>
          </w:tcPr>
          <w:p w14:paraId="7D051C2A">
            <w:pPr>
              <w:autoSpaceDE w:val="0"/>
              <w:autoSpaceDN w:val="0"/>
              <w:adjustRightInd w:val="0"/>
              <w:snapToGrid w:val="0"/>
              <w:spacing w:line="360" w:lineRule="auto"/>
              <w:jc w:val="center"/>
              <w:rPr>
                <w:rFonts w:hint="default" w:ascii="Times New Roman" w:hAnsi="Times New Roman" w:eastAsia="宋体"/>
                <w:b w:val="0"/>
                <w:bCs w:val="0"/>
                <w:color w:val="0000FF"/>
                <w:kern w:val="2"/>
                <w:sz w:val="21"/>
                <w:szCs w:val="21"/>
                <w:vertAlign w:val="baseline"/>
                <w:lang w:val="en-US" w:eastAsia="zh-CN" w:bidi="ar-SA"/>
              </w:rPr>
            </w:pPr>
            <w:r>
              <w:rPr>
                <w:rFonts w:hint="eastAsia" w:ascii="Times New Roman" w:hAnsi="Times New Roman" w:eastAsia="宋体"/>
                <w:b w:val="0"/>
                <w:bCs w:val="0"/>
                <w:color w:val="0000FF"/>
                <w:sz w:val="21"/>
                <w:szCs w:val="21"/>
                <w:vertAlign w:val="baseline"/>
                <w:lang w:val="en-US" w:eastAsia="zh-CN"/>
              </w:rPr>
              <w:t>0.31</w:t>
            </w:r>
          </w:p>
        </w:tc>
        <w:tc>
          <w:tcPr>
            <w:tcW w:w="1660" w:type="dxa"/>
            <w:tcBorders>
              <w:tl2br w:val="nil"/>
              <w:tr2bl w:val="nil"/>
            </w:tcBorders>
            <w:noWrap w:val="0"/>
            <w:vAlign w:val="center"/>
          </w:tcPr>
          <w:p w14:paraId="5E0F8F74">
            <w:pPr>
              <w:autoSpaceDE w:val="0"/>
              <w:autoSpaceDN w:val="0"/>
              <w:adjustRightInd w:val="0"/>
              <w:snapToGrid w:val="0"/>
              <w:spacing w:line="360" w:lineRule="auto"/>
              <w:jc w:val="center"/>
              <w:rPr>
                <w:rFonts w:ascii="Times New Roman" w:hAnsi="Times New Roman" w:eastAsia="宋体"/>
                <w:b w:val="0"/>
                <w:bCs w:val="0"/>
                <w:color w:val="0000FF"/>
                <w:sz w:val="21"/>
                <w:szCs w:val="21"/>
                <w:vertAlign w:val="baseline"/>
              </w:rPr>
            </w:pPr>
            <w:r>
              <w:rPr>
                <w:rFonts w:hint="eastAsia" w:ascii="Times New Roman" w:hAnsi="Times New Roman" w:eastAsia="宋体"/>
                <w:b w:val="0"/>
                <w:bCs w:val="0"/>
                <w:color w:val="0000FF"/>
                <w:sz w:val="21"/>
                <w:szCs w:val="21"/>
                <w:vertAlign w:val="baseline"/>
                <w:lang w:val="en-US" w:eastAsia="zh-CN"/>
              </w:rPr>
              <w:t>0.155</w:t>
            </w:r>
          </w:p>
        </w:tc>
      </w:tr>
      <w:tr w14:paraId="5AA6100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1" w:type="dxa"/>
            <w:vMerge w:val="continue"/>
            <w:tcBorders>
              <w:tl2br w:val="nil"/>
              <w:tr2bl w:val="nil"/>
            </w:tcBorders>
            <w:noWrap w:val="0"/>
            <w:vAlign w:val="center"/>
          </w:tcPr>
          <w:p w14:paraId="0C5767ED">
            <w:pPr>
              <w:autoSpaceDE w:val="0"/>
              <w:autoSpaceDN w:val="0"/>
              <w:adjustRightInd w:val="0"/>
              <w:snapToGrid w:val="0"/>
              <w:spacing w:line="360" w:lineRule="auto"/>
              <w:jc w:val="center"/>
              <w:rPr>
                <w:rFonts w:ascii="Times New Roman" w:hAnsi="Times New Roman" w:eastAsia="宋体"/>
                <w:b w:val="0"/>
                <w:bCs w:val="0"/>
                <w:color w:val="0000FF"/>
                <w:sz w:val="21"/>
                <w:szCs w:val="21"/>
                <w:vertAlign w:val="baseline"/>
              </w:rPr>
            </w:pPr>
          </w:p>
        </w:tc>
        <w:tc>
          <w:tcPr>
            <w:tcW w:w="2187" w:type="dxa"/>
            <w:vMerge w:val="continue"/>
            <w:tcBorders>
              <w:tl2br w:val="nil"/>
              <w:tr2bl w:val="nil"/>
            </w:tcBorders>
            <w:noWrap w:val="0"/>
            <w:vAlign w:val="center"/>
          </w:tcPr>
          <w:p w14:paraId="225F30FF">
            <w:pPr>
              <w:autoSpaceDE w:val="0"/>
              <w:autoSpaceDN w:val="0"/>
              <w:adjustRightInd w:val="0"/>
              <w:snapToGrid w:val="0"/>
              <w:spacing w:line="360" w:lineRule="auto"/>
              <w:jc w:val="center"/>
              <w:rPr>
                <w:rFonts w:ascii="Times New Roman" w:hAnsi="Times New Roman" w:eastAsia="宋体"/>
                <w:b w:val="0"/>
                <w:bCs w:val="0"/>
                <w:color w:val="0000FF"/>
                <w:sz w:val="21"/>
                <w:szCs w:val="21"/>
                <w:vertAlign w:val="baseline"/>
              </w:rPr>
            </w:pPr>
          </w:p>
        </w:tc>
        <w:tc>
          <w:tcPr>
            <w:tcW w:w="1660" w:type="dxa"/>
            <w:tcBorders>
              <w:tl2br w:val="nil"/>
              <w:tr2bl w:val="nil"/>
            </w:tcBorders>
            <w:noWrap w:val="0"/>
            <w:vAlign w:val="center"/>
          </w:tcPr>
          <w:p w14:paraId="0DBAC8F2">
            <w:pPr>
              <w:autoSpaceDE w:val="0"/>
              <w:autoSpaceDN w:val="0"/>
              <w:adjustRightInd w:val="0"/>
              <w:snapToGrid w:val="0"/>
              <w:spacing w:line="360" w:lineRule="auto"/>
              <w:jc w:val="center"/>
              <w:rPr>
                <w:rFonts w:hint="eastAsia" w:ascii="Times New Roman" w:hAnsi="Times New Roman" w:eastAsia="宋体"/>
                <w:b w:val="0"/>
                <w:bCs w:val="0"/>
                <w:color w:val="0000FF"/>
                <w:sz w:val="21"/>
                <w:szCs w:val="21"/>
                <w:vertAlign w:val="baseline"/>
                <w:lang w:val="en-US" w:eastAsia="zh-CN"/>
              </w:rPr>
            </w:pPr>
            <w:r>
              <w:rPr>
                <w:rFonts w:hint="eastAsia" w:ascii="Times New Roman" w:hAnsi="Times New Roman" w:eastAsia="宋体"/>
                <w:b w:val="0"/>
                <w:bCs w:val="0"/>
                <w:color w:val="0000FF"/>
                <w:sz w:val="21"/>
                <w:szCs w:val="21"/>
                <w:vertAlign w:val="baseline"/>
                <w:lang w:val="en-US" w:eastAsia="zh-CN"/>
              </w:rPr>
              <w:t>08:00-09:00</w:t>
            </w:r>
          </w:p>
        </w:tc>
        <w:tc>
          <w:tcPr>
            <w:tcW w:w="1660" w:type="dxa"/>
            <w:tcBorders>
              <w:tl2br w:val="nil"/>
              <w:tr2bl w:val="nil"/>
            </w:tcBorders>
            <w:noWrap w:val="0"/>
            <w:vAlign w:val="center"/>
          </w:tcPr>
          <w:p w14:paraId="745F7010">
            <w:pPr>
              <w:autoSpaceDE w:val="0"/>
              <w:autoSpaceDN w:val="0"/>
              <w:adjustRightInd w:val="0"/>
              <w:snapToGrid w:val="0"/>
              <w:spacing w:line="360" w:lineRule="auto"/>
              <w:jc w:val="center"/>
              <w:rPr>
                <w:rFonts w:hint="default" w:ascii="Times New Roman" w:hAnsi="Times New Roman" w:eastAsia="宋体"/>
                <w:b w:val="0"/>
                <w:bCs w:val="0"/>
                <w:color w:val="0000FF"/>
                <w:kern w:val="2"/>
                <w:sz w:val="21"/>
                <w:szCs w:val="21"/>
                <w:vertAlign w:val="baseline"/>
                <w:lang w:val="en-US" w:eastAsia="zh-CN" w:bidi="ar-SA"/>
              </w:rPr>
            </w:pPr>
            <w:r>
              <w:rPr>
                <w:rFonts w:hint="eastAsia" w:ascii="Times New Roman" w:hAnsi="Times New Roman" w:eastAsia="宋体"/>
                <w:b w:val="0"/>
                <w:bCs w:val="0"/>
                <w:color w:val="0000FF"/>
                <w:sz w:val="21"/>
                <w:szCs w:val="21"/>
                <w:vertAlign w:val="baseline"/>
                <w:lang w:val="en-US" w:eastAsia="zh-CN"/>
              </w:rPr>
              <w:t>0.30</w:t>
            </w:r>
          </w:p>
        </w:tc>
        <w:tc>
          <w:tcPr>
            <w:tcW w:w="1660" w:type="dxa"/>
            <w:tcBorders>
              <w:tl2br w:val="nil"/>
              <w:tr2bl w:val="nil"/>
            </w:tcBorders>
            <w:noWrap w:val="0"/>
            <w:vAlign w:val="center"/>
          </w:tcPr>
          <w:p w14:paraId="7AE7A329">
            <w:pPr>
              <w:autoSpaceDE w:val="0"/>
              <w:autoSpaceDN w:val="0"/>
              <w:adjustRightInd w:val="0"/>
              <w:snapToGrid w:val="0"/>
              <w:spacing w:line="360" w:lineRule="auto"/>
              <w:jc w:val="center"/>
              <w:rPr>
                <w:rFonts w:hint="default" w:ascii="Times New Roman" w:hAnsi="Times New Roman" w:eastAsia="宋体"/>
                <w:b w:val="0"/>
                <w:bCs w:val="0"/>
                <w:color w:val="0000FF"/>
                <w:sz w:val="21"/>
                <w:szCs w:val="21"/>
                <w:vertAlign w:val="baseline"/>
                <w:lang w:val="en-US" w:eastAsia="zh-CN"/>
              </w:rPr>
            </w:pPr>
            <w:r>
              <w:rPr>
                <w:rFonts w:hint="eastAsia" w:ascii="Times New Roman" w:hAnsi="Times New Roman" w:eastAsia="宋体"/>
                <w:b w:val="0"/>
                <w:bCs w:val="0"/>
                <w:color w:val="0000FF"/>
                <w:sz w:val="21"/>
                <w:szCs w:val="21"/>
                <w:vertAlign w:val="baseline"/>
                <w:lang w:val="en-US" w:eastAsia="zh-CN"/>
              </w:rPr>
              <w:t>0.15</w:t>
            </w:r>
          </w:p>
        </w:tc>
      </w:tr>
      <w:tr w14:paraId="404F1B1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1" w:type="dxa"/>
            <w:vMerge w:val="continue"/>
            <w:tcBorders>
              <w:tl2br w:val="nil"/>
              <w:tr2bl w:val="nil"/>
            </w:tcBorders>
            <w:noWrap w:val="0"/>
            <w:vAlign w:val="center"/>
          </w:tcPr>
          <w:p w14:paraId="64E64FC0">
            <w:pPr>
              <w:autoSpaceDE w:val="0"/>
              <w:autoSpaceDN w:val="0"/>
              <w:adjustRightInd w:val="0"/>
              <w:snapToGrid w:val="0"/>
              <w:spacing w:line="360" w:lineRule="auto"/>
              <w:jc w:val="center"/>
              <w:rPr>
                <w:rFonts w:ascii="Times New Roman" w:hAnsi="Times New Roman" w:eastAsia="宋体"/>
                <w:b w:val="0"/>
                <w:bCs w:val="0"/>
                <w:color w:val="0000FF"/>
                <w:sz w:val="21"/>
                <w:szCs w:val="21"/>
                <w:vertAlign w:val="baseline"/>
              </w:rPr>
            </w:pPr>
          </w:p>
        </w:tc>
        <w:tc>
          <w:tcPr>
            <w:tcW w:w="2187" w:type="dxa"/>
            <w:vMerge w:val="continue"/>
            <w:tcBorders>
              <w:tl2br w:val="nil"/>
              <w:tr2bl w:val="nil"/>
            </w:tcBorders>
            <w:noWrap w:val="0"/>
            <w:vAlign w:val="center"/>
          </w:tcPr>
          <w:p w14:paraId="18A4B740">
            <w:pPr>
              <w:autoSpaceDE w:val="0"/>
              <w:autoSpaceDN w:val="0"/>
              <w:adjustRightInd w:val="0"/>
              <w:snapToGrid w:val="0"/>
              <w:spacing w:line="360" w:lineRule="auto"/>
              <w:jc w:val="center"/>
              <w:rPr>
                <w:rFonts w:ascii="Times New Roman" w:hAnsi="Times New Roman" w:eastAsia="宋体"/>
                <w:b w:val="0"/>
                <w:bCs w:val="0"/>
                <w:color w:val="0000FF"/>
                <w:sz w:val="21"/>
                <w:szCs w:val="21"/>
                <w:vertAlign w:val="baseline"/>
              </w:rPr>
            </w:pPr>
          </w:p>
        </w:tc>
        <w:tc>
          <w:tcPr>
            <w:tcW w:w="1660" w:type="dxa"/>
            <w:tcBorders>
              <w:tl2br w:val="nil"/>
              <w:tr2bl w:val="nil"/>
            </w:tcBorders>
            <w:noWrap w:val="0"/>
            <w:vAlign w:val="center"/>
          </w:tcPr>
          <w:p w14:paraId="0CCB1903">
            <w:pPr>
              <w:autoSpaceDE w:val="0"/>
              <w:autoSpaceDN w:val="0"/>
              <w:adjustRightInd w:val="0"/>
              <w:snapToGrid w:val="0"/>
              <w:spacing w:line="360" w:lineRule="auto"/>
              <w:jc w:val="center"/>
              <w:rPr>
                <w:rFonts w:hint="eastAsia" w:ascii="Times New Roman" w:hAnsi="Times New Roman" w:eastAsia="宋体"/>
                <w:b w:val="0"/>
                <w:bCs w:val="0"/>
                <w:color w:val="0000FF"/>
                <w:sz w:val="21"/>
                <w:szCs w:val="21"/>
                <w:vertAlign w:val="baseline"/>
                <w:lang w:val="en-US" w:eastAsia="zh-CN"/>
              </w:rPr>
            </w:pPr>
            <w:r>
              <w:rPr>
                <w:rFonts w:hint="eastAsia" w:ascii="Times New Roman" w:hAnsi="Times New Roman" w:eastAsia="宋体"/>
                <w:b w:val="0"/>
                <w:bCs w:val="0"/>
                <w:color w:val="0000FF"/>
                <w:sz w:val="21"/>
                <w:szCs w:val="21"/>
                <w:vertAlign w:val="baseline"/>
                <w:lang w:val="en-US" w:eastAsia="zh-CN"/>
              </w:rPr>
              <w:t>14:00-15:00</w:t>
            </w:r>
          </w:p>
        </w:tc>
        <w:tc>
          <w:tcPr>
            <w:tcW w:w="1660" w:type="dxa"/>
            <w:tcBorders>
              <w:tl2br w:val="nil"/>
              <w:tr2bl w:val="nil"/>
            </w:tcBorders>
            <w:noWrap w:val="0"/>
            <w:vAlign w:val="center"/>
          </w:tcPr>
          <w:p w14:paraId="57E1EF10">
            <w:pPr>
              <w:autoSpaceDE w:val="0"/>
              <w:autoSpaceDN w:val="0"/>
              <w:adjustRightInd w:val="0"/>
              <w:snapToGrid w:val="0"/>
              <w:spacing w:line="360" w:lineRule="auto"/>
              <w:jc w:val="center"/>
              <w:rPr>
                <w:rFonts w:hint="default" w:ascii="Times New Roman" w:hAnsi="Times New Roman" w:eastAsia="宋体"/>
                <w:b w:val="0"/>
                <w:bCs w:val="0"/>
                <w:color w:val="0000FF"/>
                <w:kern w:val="2"/>
                <w:sz w:val="21"/>
                <w:szCs w:val="21"/>
                <w:vertAlign w:val="baseline"/>
                <w:lang w:val="en-US" w:eastAsia="zh-CN" w:bidi="ar-SA"/>
              </w:rPr>
            </w:pPr>
            <w:r>
              <w:rPr>
                <w:rFonts w:hint="eastAsia" w:ascii="Times New Roman" w:hAnsi="Times New Roman" w:eastAsia="宋体"/>
                <w:b w:val="0"/>
                <w:bCs w:val="0"/>
                <w:color w:val="0000FF"/>
                <w:sz w:val="21"/>
                <w:szCs w:val="21"/>
                <w:vertAlign w:val="baseline"/>
                <w:lang w:val="en-US" w:eastAsia="zh-CN"/>
              </w:rPr>
              <w:t>0.31</w:t>
            </w:r>
          </w:p>
        </w:tc>
        <w:tc>
          <w:tcPr>
            <w:tcW w:w="1660" w:type="dxa"/>
            <w:tcBorders>
              <w:tl2br w:val="nil"/>
              <w:tr2bl w:val="nil"/>
            </w:tcBorders>
            <w:noWrap w:val="0"/>
            <w:vAlign w:val="center"/>
          </w:tcPr>
          <w:p w14:paraId="305897A3">
            <w:pPr>
              <w:autoSpaceDE w:val="0"/>
              <w:autoSpaceDN w:val="0"/>
              <w:adjustRightInd w:val="0"/>
              <w:snapToGrid w:val="0"/>
              <w:spacing w:line="360" w:lineRule="auto"/>
              <w:jc w:val="center"/>
              <w:rPr>
                <w:rFonts w:ascii="Times New Roman" w:hAnsi="Times New Roman" w:eastAsia="宋体"/>
                <w:b w:val="0"/>
                <w:bCs w:val="0"/>
                <w:color w:val="0000FF"/>
                <w:sz w:val="21"/>
                <w:szCs w:val="21"/>
                <w:vertAlign w:val="baseline"/>
              </w:rPr>
            </w:pPr>
            <w:r>
              <w:rPr>
                <w:rFonts w:hint="eastAsia" w:ascii="Times New Roman" w:hAnsi="Times New Roman" w:eastAsia="宋体"/>
                <w:b w:val="0"/>
                <w:bCs w:val="0"/>
                <w:color w:val="0000FF"/>
                <w:sz w:val="21"/>
                <w:szCs w:val="21"/>
                <w:vertAlign w:val="baseline"/>
                <w:lang w:val="en-US" w:eastAsia="zh-CN"/>
              </w:rPr>
              <w:t>0.155</w:t>
            </w:r>
          </w:p>
        </w:tc>
      </w:tr>
      <w:tr w14:paraId="4785116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1" w:type="dxa"/>
            <w:vMerge w:val="continue"/>
            <w:tcBorders>
              <w:tl2br w:val="nil"/>
              <w:tr2bl w:val="nil"/>
            </w:tcBorders>
            <w:noWrap w:val="0"/>
            <w:vAlign w:val="center"/>
          </w:tcPr>
          <w:p w14:paraId="2FB6C49C">
            <w:pPr>
              <w:autoSpaceDE w:val="0"/>
              <w:autoSpaceDN w:val="0"/>
              <w:adjustRightInd w:val="0"/>
              <w:snapToGrid w:val="0"/>
              <w:spacing w:line="360" w:lineRule="auto"/>
              <w:jc w:val="center"/>
              <w:rPr>
                <w:rFonts w:ascii="Times New Roman" w:hAnsi="Times New Roman" w:eastAsia="宋体"/>
                <w:b w:val="0"/>
                <w:bCs w:val="0"/>
                <w:color w:val="0000FF"/>
                <w:sz w:val="21"/>
                <w:szCs w:val="21"/>
                <w:vertAlign w:val="baseline"/>
              </w:rPr>
            </w:pPr>
          </w:p>
        </w:tc>
        <w:tc>
          <w:tcPr>
            <w:tcW w:w="2187" w:type="dxa"/>
            <w:vMerge w:val="continue"/>
            <w:tcBorders>
              <w:tl2br w:val="nil"/>
              <w:tr2bl w:val="nil"/>
            </w:tcBorders>
            <w:noWrap w:val="0"/>
            <w:vAlign w:val="center"/>
          </w:tcPr>
          <w:p w14:paraId="144CA07F">
            <w:pPr>
              <w:autoSpaceDE w:val="0"/>
              <w:autoSpaceDN w:val="0"/>
              <w:adjustRightInd w:val="0"/>
              <w:snapToGrid w:val="0"/>
              <w:spacing w:line="360" w:lineRule="auto"/>
              <w:jc w:val="center"/>
              <w:rPr>
                <w:rFonts w:ascii="Times New Roman" w:hAnsi="Times New Roman" w:eastAsia="宋体"/>
                <w:b w:val="0"/>
                <w:bCs w:val="0"/>
                <w:color w:val="0000FF"/>
                <w:sz w:val="21"/>
                <w:szCs w:val="21"/>
                <w:vertAlign w:val="baseline"/>
              </w:rPr>
            </w:pPr>
          </w:p>
        </w:tc>
        <w:tc>
          <w:tcPr>
            <w:tcW w:w="1660" w:type="dxa"/>
            <w:tcBorders>
              <w:tl2br w:val="nil"/>
              <w:tr2bl w:val="nil"/>
            </w:tcBorders>
            <w:noWrap w:val="0"/>
            <w:vAlign w:val="center"/>
          </w:tcPr>
          <w:p w14:paraId="01DF3A5C">
            <w:pPr>
              <w:autoSpaceDE w:val="0"/>
              <w:autoSpaceDN w:val="0"/>
              <w:adjustRightInd w:val="0"/>
              <w:snapToGrid w:val="0"/>
              <w:spacing w:line="360" w:lineRule="auto"/>
              <w:jc w:val="center"/>
              <w:rPr>
                <w:rFonts w:hint="eastAsia" w:ascii="Times New Roman" w:hAnsi="Times New Roman" w:eastAsia="宋体"/>
                <w:b w:val="0"/>
                <w:bCs w:val="0"/>
                <w:color w:val="0000FF"/>
                <w:sz w:val="21"/>
                <w:szCs w:val="21"/>
                <w:vertAlign w:val="baseline"/>
                <w:lang w:val="en-US" w:eastAsia="zh-CN"/>
              </w:rPr>
            </w:pPr>
            <w:r>
              <w:rPr>
                <w:rFonts w:hint="eastAsia" w:ascii="Times New Roman" w:hAnsi="Times New Roman" w:eastAsia="宋体"/>
                <w:b w:val="0"/>
                <w:bCs w:val="0"/>
                <w:color w:val="0000FF"/>
                <w:sz w:val="21"/>
                <w:szCs w:val="21"/>
                <w:vertAlign w:val="baseline"/>
                <w:lang w:val="en-US" w:eastAsia="zh-CN"/>
              </w:rPr>
              <w:t>20:00-21:00</w:t>
            </w:r>
          </w:p>
        </w:tc>
        <w:tc>
          <w:tcPr>
            <w:tcW w:w="1660" w:type="dxa"/>
            <w:tcBorders>
              <w:tl2br w:val="nil"/>
              <w:tr2bl w:val="nil"/>
            </w:tcBorders>
            <w:noWrap w:val="0"/>
            <w:vAlign w:val="center"/>
          </w:tcPr>
          <w:p w14:paraId="752F435F">
            <w:pPr>
              <w:autoSpaceDE w:val="0"/>
              <w:autoSpaceDN w:val="0"/>
              <w:adjustRightInd w:val="0"/>
              <w:snapToGrid w:val="0"/>
              <w:spacing w:line="360" w:lineRule="auto"/>
              <w:jc w:val="center"/>
              <w:rPr>
                <w:rFonts w:hint="default" w:ascii="Times New Roman" w:hAnsi="Times New Roman" w:eastAsia="宋体"/>
                <w:b w:val="0"/>
                <w:bCs w:val="0"/>
                <w:color w:val="0000FF"/>
                <w:kern w:val="2"/>
                <w:sz w:val="21"/>
                <w:szCs w:val="21"/>
                <w:vertAlign w:val="baseline"/>
                <w:lang w:val="en-US" w:eastAsia="zh-CN" w:bidi="ar-SA"/>
              </w:rPr>
            </w:pPr>
            <w:r>
              <w:rPr>
                <w:rFonts w:hint="eastAsia" w:ascii="Times New Roman" w:hAnsi="Times New Roman" w:eastAsia="宋体"/>
                <w:b w:val="0"/>
                <w:bCs w:val="0"/>
                <w:color w:val="0000FF"/>
                <w:sz w:val="21"/>
                <w:szCs w:val="21"/>
                <w:vertAlign w:val="baseline"/>
                <w:lang w:val="en-US" w:eastAsia="zh-CN"/>
              </w:rPr>
              <w:t>0.29</w:t>
            </w:r>
          </w:p>
        </w:tc>
        <w:tc>
          <w:tcPr>
            <w:tcW w:w="1660" w:type="dxa"/>
            <w:tcBorders>
              <w:tl2br w:val="nil"/>
              <w:tr2bl w:val="nil"/>
            </w:tcBorders>
            <w:noWrap w:val="0"/>
            <w:vAlign w:val="center"/>
          </w:tcPr>
          <w:p w14:paraId="6DD7E042">
            <w:pPr>
              <w:autoSpaceDE w:val="0"/>
              <w:autoSpaceDN w:val="0"/>
              <w:adjustRightInd w:val="0"/>
              <w:snapToGrid w:val="0"/>
              <w:spacing w:line="360" w:lineRule="auto"/>
              <w:jc w:val="center"/>
              <w:rPr>
                <w:rFonts w:hint="default" w:ascii="Times New Roman" w:hAnsi="Times New Roman" w:eastAsia="宋体"/>
                <w:b w:val="0"/>
                <w:bCs w:val="0"/>
                <w:color w:val="0000FF"/>
                <w:sz w:val="21"/>
                <w:szCs w:val="21"/>
                <w:vertAlign w:val="baseline"/>
                <w:lang w:val="en-US" w:eastAsia="zh-CN"/>
              </w:rPr>
            </w:pPr>
            <w:r>
              <w:rPr>
                <w:rFonts w:hint="eastAsia" w:ascii="Times New Roman" w:hAnsi="Times New Roman" w:eastAsia="宋体"/>
                <w:b w:val="0"/>
                <w:bCs w:val="0"/>
                <w:color w:val="0000FF"/>
                <w:sz w:val="21"/>
                <w:szCs w:val="21"/>
                <w:vertAlign w:val="baseline"/>
                <w:lang w:val="en-US" w:eastAsia="zh-CN"/>
              </w:rPr>
              <w:t>0.145</w:t>
            </w:r>
          </w:p>
        </w:tc>
      </w:tr>
      <w:tr w14:paraId="25232A9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1" w:type="dxa"/>
            <w:vMerge w:val="continue"/>
            <w:tcBorders>
              <w:tl2br w:val="nil"/>
              <w:tr2bl w:val="nil"/>
            </w:tcBorders>
            <w:noWrap w:val="0"/>
            <w:vAlign w:val="center"/>
          </w:tcPr>
          <w:p w14:paraId="2A6F9DE9">
            <w:pPr>
              <w:autoSpaceDE w:val="0"/>
              <w:autoSpaceDN w:val="0"/>
              <w:adjustRightInd w:val="0"/>
              <w:snapToGrid w:val="0"/>
              <w:spacing w:line="360" w:lineRule="auto"/>
              <w:jc w:val="center"/>
              <w:rPr>
                <w:rFonts w:ascii="Times New Roman" w:hAnsi="Times New Roman" w:eastAsia="宋体"/>
                <w:b w:val="0"/>
                <w:bCs w:val="0"/>
                <w:color w:val="0000FF"/>
                <w:sz w:val="21"/>
                <w:szCs w:val="21"/>
                <w:vertAlign w:val="baseline"/>
              </w:rPr>
            </w:pPr>
          </w:p>
        </w:tc>
        <w:tc>
          <w:tcPr>
            <w:tcW w:w="2187" w:type="dxa"/>
            <w:vMerge w:val="restart"/>
            <w:tcBorders>
              <w:tl2br w:val="nil"/>
              <w:tr2bl w:val="nil"/>
            </w:tcBorders>
            <w:noWrap w:val="0"/>
            <w:vAlign w:val="center"/>
          </w:tcPr>
          <w:p w14:paraId="5BE0C0BC">
            <w:pPr>
              <w:autoSpaceDE w:val="0"/>
              <w:autoSpaceDN w:val="0"/>
              <w:adjustRightInd w:val="0"/>
              <w:snapToGrid w:val="0"/>
              <w:spacing w:line="360" w:lineRule="auto"/>
              <w:jc w:val="center"/>
              <w:rPr>
                <w:rFonts w:hint="default" w:ascii="Times New Roman" w:hAnsi="Times New Roman" w:eastAsia="宋体"/>
                <w:b w:val="0"/>
                <w:bCs w:val="0"/>
                <w:color w:val="0000FF"/>
                <w:sz w:val="21"/>
                <w:szCs w:val="21"/>
                <w:vertAlign w:val="baseline"/>
                <w:lang w:val="en-US" w:eastAsia="zh-CN"/>
              </w:rPr>
            </w:pPr>
            <w:r>
              <w:rPr>
                <w:rFonts w:hint="eastAsia" w:ascii="Times New Roman" w:hAnsi="Times New Roman" w:eastAsia="宋体"/>
                <w:b w:val="0"/>
                <w:bCs w:val="0"/>
                <w:color w:val="0000FF"/>
                <w:sz w:val="21"/>
                <w:szCs w:val="21"/>
                <w:vertAlign w:val="baseline"/>
                <w:lang w:val="en-US" w:eastAsia="zh-CN"/>
              </w:rPr>
              <w:t>05.29</w:t>
            </w:r>
          </w:p>
        </w:tc>
        <w:tc>
          <w:tcPr>
            <w:tcW w:w="1660" w:type="dxa"/>
            <w:tcBorders>
              <w:tl2br w:val="nil"/>
              <w:tr2bl w:val="nil"/>
            </w:tcBorders>
            <w:noWrap w:val="0"/>
            <w:vAlign w:val="center"/>
          </w:tcPr>
          <w:p w14:paraId="3D704E82">
            <w:pPr>
              <w:autoSpaceDE w:val="0"/>
              <w:autoSpaceDN w:val="0"/>
              <w:adjustRightInd w:val="0"/>
              <w:snapToGrid w:val="0"/>
              <w:spacing w:line="360" w:lineRule="auto"/>
              <w:jc w:val="center"/>
              <w:rPr>
                <w:rFonts w:hint="eastAsia" w:ascii="Times New Roman" w:hAnsi="Times New Roman" w:eastAsia="宋体"/>
                <w:b w:val="0"/>
                <w:bCs w:val="0"/>
                <w:color w:val="0000FF"/>
                <w:sz w:val="21"/>
                <w:szCs w:val="21"/>
                <w:vertAlign w:val="baseline"/>
                <w:lang w:val="en-US" w:eastAsia="zh-CN"/>
              </w:rPr>
            </w:pPr>
            <w:r>
              <w:rPr>
                <w:rFonts w:hint="eastAsia" w:ascii="Times New Roman" w:hAnsi="Times New Roman" w:eastAsia="宋体"/>
                <w:b w:val="0"/>
                <w:bCs w:val="0"/>
                <w:color w:val="0000FF"/>
                <w:sz w:val="21"/>
                <w:szCs w:val="21"/>
                <w:vertAlign w:val="baseline"/>
                <w:lang w:val="en-US" w:eastAsia="zh-CN"/>
              </w:rPr>
              <w:t>02:00-03.00</w:t>
            </w:r>
          </w:p>
        </w:tc>
        <w:tc>
          <w:tcPr>
            <w:tcW w:w="1660" w:type="dxa"/>
            <w:tcBorders>
              <w:tl2br w:val="nil"/>
              <w:tr2bl w:val="nil"/>
            </w:tcBorders>
            <w:noWrap w:val="0"/>
            <w:vAlign w:val="center"/>
          </w:tcPr>
          <w:p w14:paraId="56BCF79B">
            <w:pPr>
              <w:autoSpaceDE w:val="0"/>
              <w:autoSpaceDN w:val="0"/>
              <w:adjustRightInd w:val="0"/>
              <w:snapToGrid w:val="0"/>
              <w:spacing w:line="360" w:lineRule="auto"/>
              <w:jc w:val="center"/>
              <w:rPr>
                <w:rFonts w:hint="default" w:ascii="Times New Roman" w:hAnsi="Times New Roman" w:eastAsia="宋体"/>
                <w:b w:val="0"/>
                <w:bCs w:val="0"/>
                <w:color w:val="0000FF"/>
                <w:kern w:val="2"/>
                <w:sz w:val="21"/>
                <w:szCs w:val="21"/>
                <w:vertAlign w:val="baseline"/>
                <w:lang w:val="en-US" w:eastAsia="zh-CN" w:bidi="ar-SA"/>
              </w:rPr>
            </w:pPr>
            <w:r>
              <w:rPr>
                <w:rFonts w:hint="eastAsia" w:ascii="Times New Roman" w:hAnsi="Times New Roman" w:eastAsia="宋体"/>
                <w:b w:val="0"/>
                <w:bCs w:val="0"/>
                <w:color w:val="0000FF"/>
                <w:kern w:val="2"/>
                <w:sz w:val="21"/>
                <w:szCs w:val="21"/>
                <w:vertAlign w:val="baseline"/>
                <w:lang w:val="en-US" w:eastAsia="zh-CN" w:bidi="ar-SA"/>
              </w:rPr>
              <w:t>0.29</w:t>
            </w:r>
          </w:p>
        </w:tc>
        <w:tc>
          <w:tcPr>
            <w:tcW w:w="1660" w:type="dxa"/>
            <w:tcBorders>
              <w:tl2br w:val="nil"/>
              <w:tr2bl w:val="nil"/>
            </w:tcBorders>
            <w:noWrap w:val="0"/>
            <w:vAlign w:val="center"/>
          </w:tcPr>
          <w:p w14:paraId="21D17151">
            <w:pPr>
              <w:autoSpaceDE w:val="0"/>
              <w:autoSpaceDN w:val="0"/>
              <w:adjustRightInd w:val="0"/>
              <w:snapToGrid w:val="0"/>
              <w:spacing w:line="360" w:lineRule="auto"/>
              <w:jc w:val="center"/>
              <w:rPr>
                <w:rFonts w:hint="default" w:ascii="Times New Roman" w:hAnsi="Times New Roman" w:eastAsia="宋体"/>
                <w:b w:val="0"/>
                <w:bCs w:val="0"/>
                <w:color w:val="0000FF"/>
                <w:sz w:val="21"/>
                <w:szCs w:val="21"/>
                <w:vertAlign w:val="baseline"/>
                <w:lang w:val="en-US" w:eastAsia="zh-CN"/>
              </w:rPr>
            </w:pPr>
            <w:r>
              <w:rPr>
                <w:rFonts w:hint="eastAsia" w:ascii="Times New Roman" w:hAnsi="Times New Roman" w:eastAsia="宋体"/>
                <w:b w:val="0"/>
                <w:bCs w:val="0"/>
                <w:color w:val="0000FF"/>
                <w:sz w:val="21"/>
                <w:szCs w:val="21"/>
                <w:vertAlign w:val="baseline"/>
                <w:lang w:val="en-US" w:eastAsia="zh-CN"/>
              </w:rPr>
              <w:t>0.145</w:t>
            </w:r>
          </w:p>
        </w:tc>
      </w:tr>
      <w:tr w14:paraId="0A365CD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1" w:type="dxa"/>
            <w:vMerge w:val="continue"/>
            <w:tcBorders>
              <w:tl2br w:val="nil"/>
              <w:tr2bl w:val="nil"/>
            </w:tcBorders>
            <w:noWrap w:val="0"/>
            <w:vAlign w:val="center"/>
          </w:tcPr>
          <w:p w14:paraId="45A4D109">
            <w:pPr>
              <w:autoSpaceDE w:val="0"/>
              <w:autoSpaceDN w:val="0"/>
              <w:adjustRightInd w:val="0"/>
              <w:snapToGrid w:val="0"/>
              <w:spacing w:line="360" w:lineRule="auto"/>
              <w:jc w:val="center"/>
              <w:rPr>
                <w:rFonts w:ascii="Times New Roman" w:hAnsi="Times New Roman" w:eastAsia="宋体"/>
                <w:b w:val="0"/>
                <w:bCs w:val="0"/>
                <w:color w:val="0000FF"/>
                <w:sz w:val="21"/>
                <w:szCs w:val="21"/>
                <w:vertAlign w:val="baseline"/>
              </w:rPr>
            </w:pPr>
          </w:p>
        </w:tc>
        <w:tc>
          <w:tcPr>
            <w:tcW w:w="2187" w:type="dxa"/>
            <w:vMerge w:val="continue"/>
            <w:tcBorders>
              <w:tl2br w:val="nil"/>
              <w:tr2bl w:val="nil"/>
            </w:tcBorders>
            <w:noWrap w:val="0"/>
            <w:vAlign w:val="center"/>
          </w:tcPr>
          <w:p w14:paraId="253DFF34">
            <w:pPr>
              <w:autoSpaceDE w:val="0"/>
              <w:autoSpaceDN w:val="0"/>
              <w:adjustRightInd w:val="0"/>
              <w:snapToGrid w:val="0"/>
              <w:spacing w:line="360" w:lineRule="auto"/>
              <w:jc w:val="center"/>
              <w:rPr>
                <w:rFonts w:ascii="Times New Roman" w:hAnsi="Times New Roman" w:eastAsia="宋体"/>
                <w:b w:val="0"/>
                <w:bCs w:val="0"/>
                <w:color w:val="0000FF"/>
                <w:sz w:val="21"/>
                <w:szCs w:val="21"/>
                <w:vertAlign w:val="baseline"/>
              </w:rPr>
            </w:pPr>
          </w:p>
        </w:tc>
        <w:tc>
          <w:tcPr>
            <w:tcW w:w="1660" w:type="dxa"/>
            <w:tcBorders>
              <w:tl2br w:val="nil"/>
              <w:tr2bl w:val="nil"/>
            </w:tcBorders>
            <w:noWrap w:val="0"/>
            <w:vAlign w:val="center"/>
          </w:tcPr>
          <w:p w14:paraId="4C422397">
            <w:pPr>
              <w:autoSpaceDE w:val="0"/>
              <w:autoSpaceDN w:val="0"/>
              <w:adjustRightInd w:val="0"/>
              <w:snapToGrid w:val="0"/>
              <w:spacing w:line="360" w:lineRule="auto"/>
              <w:jc w:val="center"/>
              <w:rPr>
                <w:rFonts w:hint="eastAsia" w:ascii="Times New Roman" w:hAnsi="Times New Roman" w:eastAsia="宋体"/>
                <w:b w:val="0"/>
                <w:bCs w:val="0"/>
                <w:color w:val="0000FF"/>
                <w:sz w:val="21"/>
                <w:szCs w:val="21"/>
                <w:vertAlign w:val="baseline"/>
                <w:lang w:val="en-US" w:eastAsia="zh-CN"/>
              </w:rPr>
            </w:pPr>
            <w:r>
              <w:rPr>
                <w:rFonts w:hint="eastAsia" w:ascii="Times New Roman" w:hAnsi="Times New Roman" w:eastAsia="宋体"/>
                <w:b w:val="0"/>
                <w:bCs w:val="0"/>
                <w:color w:val="0000FF"/>
                <w:sz w:val="21"/>
                <w:szCs w:val="21"/>
                <w:vertAlign w:val="baseline"/>
                <w:lang w:val="en-US" w:eastAsia="zh-CN"/>
              </w:rPr>
              <w:t>08:00-09:00</w:t>
            </w:r>
          </w:p>
        </w:tc>
        <w:tc>
          <w:tcPr>
            <w:tcW w:w="1660" w:type="dxa"/>
            <w:tcBorders>
              <w:tl2br w:val="nil"/>
              <w:tr2bl w:val="nil"/>
            </w:tcBorders>
            <w:noWrap w:val="0"/>
            <w:vAlign w:val="center"/>
          </w:tcPr>
          <w:p w14:paraId="1313FA80">
            <w:pPr>
              <w:autoSpaceDE w:val="0"/>
              <w:autoSpaceDN w:val="0"/>
              <w:adjustRightInd w:val="0"/>
              <w:snapToGrid w:val="0"/>
              <w:spacing w:line="360" w:lineRule="auto"/>
              <w:jc w:val="center"/>
              <w:rPr>
                <w:rFonts w:hint="default" w:ascii="Times New Roman" w:hAnsi="Times New Roman" w:eastAsia="宋体"/>
                <w:b w:val="0"/>
                <w:bCs w:val="0"/>
                <w:color w:val="0000FF"/>
                <w:kern w:val="2"/>
                <w:sz w:val="21"/>
                <w:szCs w:val="21"/>
                <w:vertAlign w:val="baseline"/>
                <w:lang w:val="en-US" w:eastAsia="zh-CN" w:bidi="ar-SA"/>
              </w:rPr>
            </w:pPr>
            <w:r>
              <w:rPr>
                <w:rFonts w:hint="eastAsia" w:ascii="Times New Roman" w:hAnsi="Times New Roman" w:eastAsia="宋体"/>
                <w:b w:val="0"/>
                <w:bCs w:val="0"/>
                <w:color w:val="0000FF"/>
                <w:kern w:val="2"/>
                <w:sz w:val="21"/>
                <w:szCs w:val="21"/>
                <w:vertAlign w:val="baseline"/>
                <w:lang w:val="en-US" w:eastAsia="zh-CN" w:bidi="ar-SA"/>
              </w:rPr>
              <w:t>0.32</w:t>
            </w:r>
          </w:p>
        </w:tc>
        <w:tc>
          <w:tcPr>
            <w:tcW w:w="1660" w:type="dxa"/>
            <w:tcBorders>
              <w:tl2br w:val="nil"/>
              <w:tr2bl w:val="nil"/>
            </w:tcBorders>
            <w:noWrap w:val="0"/>
            <w:vAlign w:val="center"/>
          </w:tcPr>
          <w:p w14:paraId="76E1F3CB">
            <w:pPr>
              <w:autoSpaceDE w:val="0"/>
              <w:autoSpaceDN w:val="0"/>
              <w:adjustRightInd w:val="0"/>
              <w:snapToGrid w:val="0"/>
              <w:spacing w:line="360" w:lineRule="auto"/>
              <w:jc w:val="center"/>
              <w:rPr>
                <w:rFonts w:ascii="Times New Roman" w:hAnsi="Times New Roman" w:eastAsia="宋体"/>
                <w:b w:val="0"/>
                <w:bCs w:val="0"/>
                <w:color w:val="0000FF"/>
                <w:sz w:val="21"/>
                <w:szCs w:val="21"/>
                <w:vertAlign w:val="baseline"/>
              </w:rPr>
            </w:pPr>
            <w:r>
              <w:rPr>
                <w:rFonts w:hint="eastAsia" w:ascii="Times New Roman" w:hAnsi="Times New Roman" w:eastAsia="宋体"/>
                <w:b w:val="0"/>
                <w:bCs w:val="0"/>
                <w:color w:val="0000FF"/>
                <w:sz w:val="21"/>
                <w:szCs w:val="21"/>
                <w:vertAlign w:val="baseline"/>
                <w:lang w:val="en-US" w:eastAsia="zh-CN"/>
              </w:rPr>
              <w:t>0.16</w:t>
            </w:r>
          </w:p>
        </w:tc>
      </w:tr>
      <w:tr w14:paraId="6F8D88C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1" w:type="dxa"/>
            <w:vMerge w:val="continue"/>
            <w:tcBorders>
              <w:tl2br w:val="nil"/>
              <w:tr2bl w:val="nil"/>
            </w:tcBorders>
            <w:noWrap w:val="0"/>
            <w:vAlign w:val="center"/>
          </w:tcPr>
          <w:p w14:paraId="3B856648">
            <w:pPr>
              <w:autoSpaceDE w:val="0"/>
              <w:autoSpaceDN w:val="0"/>
              <w:adjustRightInd w:val="0"/>
              <w:snapToGrid w:val="0"/>
              <w:spacing w:line="360" w:lineRule="auto"/>
              <w:jc w:val="center"/>
              <w:rPr>
                <w:rFonts w:ascii="Times New Roman" w:hAnsi="Times New Roman" w:eastAsia="宋体"/>
                <w:b w:val="0"/>
                <w:bCs w:val="0"/>
                <w:color w:val="0000FF"/>
                <w:sz w:val="21"/>
                <w:szCs w:val="21"/>
                <w:vertAlign w:val="baseline"/>
              </w:rPr>
            </w:pPr>
          </w:p>
        </w:tc>
        <w:tc>
          <w:tcPr>
            <w:tcW w:w="2187" w:type="dxa"/>
            <w:vMerge w:val="continue"/>
            <w:tcBorders>
              <w:tl2br w:val="nil"/>
              <w:tr2bl w:val="nil"/>
            </w:tcBorders>
            <w:noWrap w:val="0"/>
            <w:vAlign w:val="center"/>
          </w:tcPr>
          <w:p w14:paraId="25FC913B">
            <w:pPr>
              <w:autoSpaceDE w:val="0"/>
              <w:autoSpaceDN w:val="0"/>
              <w:adjustRightInd w:val="0"/>
              <w:snapToGrid w:val="0"/>
              <w:spacing w:line="360" w:lineRule="auto"/>
              <w:jc w:val="center"/>
              <w:rPr>
                <w:rFonts w:ascii="Times New Roman" w:hAnsi="Times New Roman" w:eastAsia="宋体"/>
                <w:b w:val="0"/>
                <w:bCs w:val="0"/>
                <w:color w:val="0000FF"/>
                <w:sz w:val="21"/>
                <w:szCs w:val="21"/>
                <w:vertAlign w:val="baseline"/>
              </w:rPr>
            </w:pPr>
          </w:p>
        </w:tc>
        <w:tc>
          <w:tcPr>
            <w:tcW w:w="1660" w:type="dxa"/>
            <w:tcBorders>
              <w:tl2br w:val="nil"/>
              <w:tr2bl w:val="nil"/>
            </w:tcBorders>
            <w:noWrap w:val="0"/>
            <w:vAlign w:val="center"/>
          </w:tcPr>
          <w:p w14:paraId="66CF6A46">
            <w:pPr>
              <w:autoSpaceDE w:val="0"/>
              <w:autoSpaceDN w:val="0"/>
              <w:adjustRightInd w:val="0"/>
              <w:snapToGrid w:val="0"/>
              <w:spacing w:line="360" w:lineRule="auto"/>
              <w:jc w:val="center"/>
              <w:rPr>
                <w:rFonts w:hint="eastAsia" w:ascii="Times New Roman" w:hAnsi="Times New Roman" w:eastAsia="宋体"/>
                <w:b w:val="0"/>
                <w:bCs w:val="0"/>
                <w:color w:val="0000FF"/>
                <w:sz w:val="21"/>
                <w:szCs w:val="21"/>
                <w:vertAlign w:val="baseline"/>
                <w:lang w:val="en-US" w:eastAsia="zh-CN"/>
              </w:rPr>
            </w:pPr>
            <w:r>
              <w:rPr>
                <w:rFonts w:hint="eastAsia" w:ascii="Times New Roman" w:hAnsi="Times New Roman" w:eastAsia="宋体"/>
                <w:b w:val="0"/>
                <w:bCs w:val="0"/>
                <w:color w:val="0000FF"/>
                <w:sz w:val="21"/>
                <w:szCs w:val="21"/>
                <w:vertAlign w:val="baseline"/>
                <w:lang w:val="en-US" w:eastAsia="zh-CN"/>
              </w:rPr>
              <w:t>14:00-15:00</w:t>
            </w:r>
          </w:p>
        </w:tc>
        <w:tc>
          <w:tcPr>
            <w:tcW w:w="1660" w:type="dxa"/>
            <w:tcBorders>
              <w:tl2br w:val="nil"/>
              <w:tr2bl w:val="nil"/>
            </w:tcBorders>
            <w:noWrap w:val="0"/>
            <w:vAlign w:val="center"/>
          </w:tcPr>
          <w:p w14:paraId="01E5784A">
            <w:pPr>
              <w:autoSpaceDE w:val="0"/>
              <w:autoSpaceDN w:val="0"/>
              <w:adjustRightInd w:val="0"/>
              <w:snapToGrid w:val="0"/>
              <w:spacing w:line="360" w:lineRule="auto"/>
              <w:jc w:val="center"/>
              <w:rPr>
                <w:rFonts w:hint="default" w:ascii="Times New Roman" w:hAnsi="Times New Roman" w:eastAsia="宋体"/>
                <w:b w:val="0"/>
                <w:bCs w:val="0"/>
                <w:color w:val="0000FF"/>
                <w:kern w:val="2"/>
                <w:sz w:val="21"/>
                <w:szCs w:val="21"/>
                <w:vertAlign w:val="baseline"/>
                <w:lang w:val="en-US" w:eastAsia="zh-CN" w:bidi="ar-SA"/>
              </w:rPr>
            </w:pPr>
            <w:r>
              <w:rPr>
                <w:rFonts w:hint="eastAsia" w:ascii="Times New Roman" w:hAnsi="Times New Roman" w:eastAsia="宋体"/>
                <w:b w:val="0"/>
                <w:bCs w:val="0"/>
                <w:color w:val="0000FF"/>
                <w:kern w:val="2"/>
                <w:sz w:val="21"/>
                <w:szCs w:val="21"/>
                <w:vertAlign w:val="baseline"/>
                <w:lang w:val="en-US" w:eastAsia="zh-CN" w:bidi="ar-SA"/>
              </w:rPr>
              <w:t>0.32</w:t>
            </w:r>
          </w:p>
        </w:tc>
        <w:tc>
          <w:tcPr>
            <w:tcW w:w="1660" w:type="dxa"/>
            <w:tcBorders>
              <w:tl2br w:val="nil"/>
              <w:tr2bl w:val="nil"/>
            </w:tcBorders>
            <w:noWrap w:val="0"/>
            <w:vAlign w:val="center"/>
          </w:tcPr>
          <w:p w14:paraId="11BC806F">
            <w:pPr>
              <w:autoSpaceDE w:val="0"/>
              <w:autoSpaceDN w:val="0"/>
              <w:adjustRightInd w:val="0"/>
              <w:snapToGrid w:val="0"/>
              <w:spacing w:line="360" w:lineRule="auto"/>
              <w:jc w:val="center"/>
              <w:rPr>
                <w:rFonts w:ascii="Times New Roman" w:hAnsi="Times New Roman" w:eastAsia="宋体"/>
                <w:b w:val="0"/>
                <w:bCs w:val="0"/>
                <w:color w:val="0000FF"/>
                <w:sz w:val="21"/>
                <w:szCs w:val="21"/>
                <w:vertAlign w:val="baseline"/>
              </w:rPr>
            </w:pPr>
            <w:r>
              <w:rPr>
                <w:rFonts w:hint="eastAsia" w:ascii="Times New Roman" w:hAnsi="Times New Roman" w:eastAsia="宋体"/>
                <w:b w:val="0"/>
                <w:bCs w:val="0"/>
                <w:color w:val="0000FF"/>
                <w:sz w:val="21"/>
                <w:szCs w:val="21"/>
                <w:vertAlign w:val="baseline"/>
                <w:lang w:val="en-US" w:eastAsia="zh-CN"/>
              </w:rPr>
              <w:t>0.16</w:t>
            </w:r>
          </w:p>
        </w:tc>
      </w:tr>
      <w:tr w14:paraId="3927348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1" w:type="dxa"/>
            <w:vMerge w:val="continue"/>
            <w:tcBorders>
              <w:tl2br w:val="nil"/>
              <w:tr2bl w:val="nil"/>
            </w:tcBorders>
            <w:noWrap w:val="0"/>
            <w:vAlign w:val="center"/>
          </w:tcPr>
          <w:p w14:paraId="163118B1">
            <w:pPr>
              <w:autoSpaceDE w:val="0"/>
              <w:autoSpaceDN w:val="0"/>
              <w:adjustRightInd w:val="0"/>
              <w:snapToGrid w:val="0"/>
              <w:spacing w:line="360" w:lineRule="auto"/>
              <w:jc w:val="center"/>
              <w:rPr>
                <w:rFonts w:ascii="Times New Roman" w:hAnsi="Times New Roman" w:eastAsia="宋体"/>
                <w:b w:val="0"/>
                <w:bCs w:val="0"/>
                <w:color w:val="0000FF"/>
                <w:sz w:val="21"/>
                <w:szCs w:val="21"/>
                <w:vertAlign w:val="baseline"/>
              </w:rPr>
            </w:pPr>
          </w:p>
        </w:tc>
        <w:tc>
          <w:tcPr>
            <w:tcW w:w="2187" w:type="dxa"/>
            <w:vMerge w:val="continue"/>
            <w:tcBorders>
              <w:tl2br w:val="nil"/>
              <w:tr2bl w:val="nil"/>
            </w:tcBorders>
            <w:noWrap w:val="0"/>
            <w:vAlign w:val="center"/>
          </w:tcPr>
          <w:p w14:paraId="7FB10A9A">
            <w:pPr>
              <w:autoSpaceDE w:val="0"/>
              <w:autoSpaceDN w:val="0"/>
              <w:adjustRightInd w:val="0"/>
              <w:snapToGrid w:val="0"/>
              <w:spacing w:line="360" w:lineRule="auto"/>
              <w:jc w:val="center"/>
              <w:rPr>
                <w:rFonts w:ascii="Times New Roman" w:hAnsi="Times New Roman" w:eastAsia="宋体"/>
                <w:b w:val="0"/>
                <w:bCs w:val="0"/>
                <w:color w:val="0000FF"/>
                <w:sz w:val="21"/>
                <w:szCs w:val="21"/>
                <w:vertAlign w:val="baseline"/>
              </w:rPr>
            </w:pPr>
          </w:p>
        </w:tc>
        <w:tc>
          <w:tcPr>
            <w:tcW w:w="1660" w:type="dxa"/>
            <w:tcBorders>
              <w:tl2br w:val="nil"/>
              <w:tr2bl w:val="nil"/>
            </w:tcBorders>
            <w:noWrap w:val="0"/>
            <w:vAlign w:val="center"/>
          </w:tcPr>
          <w:p w14:paraId="3372C0D5">
            <w:pPr>
              <w:autoSpaceDE w:val="0"/>
              <w:autoSpaceDN w:val="0"/>
              <w:adjustRightInd w:val="0"/>
              <w:snapToGrid w:val="0"/>
              <w:spacing w:line="360" w:lineRule="auto"/>
              <w:jc w:val="center"/>
              <w:rPr>
                <w:rFonts w:hint="eastAsia" w:ascii="Times New Roman" w:hAnsi="Times New Roman" w:eastAsia="宋体"/>
                <w:b w:val="0"/>
                <w:bCs w:val="0"/>
                <w:color w:val="0000FF"/>
                <w:sz w:val="21"/>
                <w:szCs w:val="21"/>
                <w:vertAlign w:val="baseline"/>
                <w:lang w:val="en-US" w:eastAsia="zh-CN"/>
              </w:rPr>
            </w:pPr>
            <w:r>
              <w:rPr>
                <w:rFonts w:hint="eastAsia" w:ascii="Times New Roman" w:hAnsi="Times New Roman" w:eastAsia="宋体"/>
                <w:b w:val="0"/>
                <w:bCs w:val="0"/>
                <w:color w:val="0000FF"/>
                <w:sz w:val="21"/>
                <w:szCs w:val="21"/>
                <w:vertAlign w:val="baseline"/>
                <w:lang w:val="en-US" w:eastAsia="zh-CN"/>
              </w:rPr>
              <w:t>20:00-21:00</w:t>
            </w:r>
          </w:p>
        </w:tc>
        <w:tc>
          <w:tcPr>
            <w:tcW w:w="1660" w:type="dxa"/>
            <w:tcBorders>
              <w:tl2br w:val="nil"/>
              <w:tr2bl w:val="nil"/>
            </w:tcBorders>
            <w:noWrap w:val="0"/>
            <w:vAlign w:val="center"/>
          </w:tcPr>
          <w:p w14:paraId="65459C3C">
            <w:pPr>
              <w:autoSpaceDE w:val="0"/>
              <w:autoSpaceDN w:val="0"/>
              <w:adjustRightInd w:val="0"/>
              <w:snapToGrid w:val="0"/>
              <w:spacing w:line="360" w:lineRule="auto"/>
              <w:jc w:val="center"/>
              <w:rPr>
                <w:rFonts w:hint="default" w:ascii="Times New Roman" w:hAnsi="Times New Roman" w:eastAsia="宋体"/>
                <w:b w:val="0"/>
                <w:bCs w:val="0"/>
                <w:color w:val="0000FF"/>
                <w:kern w:val="2"/>
                <w:sz w:val="21"/>
                <w:szCs w:val="21"/>
                <w:vertAlign w:val="baseline"/>
                <w:lang w:val="en-US" w:eastAsia="zh-CN" w:bidi="ar-SA"/>
              </w:rPr>
            </w:pPr>
            <w:r>
              <w:rPr>
                <w:rFonts w:hint="eastAsia" w:ascii="Times New Roman" w:hAnsi="Times New Roman" w:eastAsia="宋体"/>
                <w:b w:val="0"/>
                <w:bCs w:val="0"/>
                <w:color w:val="0000FF"/>
                <w:kern w:val="2"/>
                <w:sz w:val="21"/>
                <w:szCs w:val="21"/>
                <w:vertAlign w:val="baseline"/>
                <w:lang w:val="en-US" w:eastAsia="zh-CN" w:bidi="ar-SA"/>
              </w:rPr>
              <w:t>0.32</w:t>
            </w:r>
          </w:p>
        </w:tc>
        <w:tc>
          <w:tcPr>
            <w:tcW w:w="1660" w:type="dxa"/>
            <w:tcBorders>
              <w:tl2br w:val="nil"/>
              <w:tr2bl w:val="nil"/>
            </w:tcBorders>
            <w:noWrap w:val="0"/>
            <w:vAlign w:val="center"/>
          </w:tcPr>
          <w:p w14:paraId="12FD34F0">
            <w:pPr>
              <w:autoSpaceDE w:val="0"/>
              <w:autoSpaceDN w:val="0"/>
              <w:adjustRightInd w:val="0"/>
              <w:snapToGrid w:val="0"/>
              <w:spacing w:line="360" w:lineRule="auto"/>
              <w:jc w:val="center"/>
              <w:rPr>
                <w:rFonts w:ascii="Times New Roman" w:hAnsi="Times New Roman" w:eastAsia="宋体"/>
                <w:b w:val="0"/>
                <w:bCs w:val="0"/>
                <w:color w:val="0000FF"/>
                <w:sz w:val="21"/>
                <w:szCs w:val="21"/>
                <w:vertAlign w:val="baseline"/>
              </w:rPr>
            </w:pPr>
            <w:r>
              <w:rPr>
                <w:rFonts w:hint="eastAsia" w:ascii="Times New Roman" w:hAnsi="Times New Roman" w:eastAsia="宋体"/>
                <w:b w:val="0"/>
                <w:bCs w:val="0"/>
                <w:color w:val="0000FF"/>
                <w:sz w:val="21"/>
                <w:szCs w:val="21"/>
                <w:vertAlign w:val="baseline"/>
                <w:lang w:val="en-US" w:eastAsia="zh-CN"/>
              </w:rPr>
              <w:t>0.16</w:t>
            </w:r>
          </w:p>
        </w:tc>
      </w:tr>
      <w:tr w14:paraId="385FA96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1" w:type="dxa"/>
            <w:vMerge w:val="continue"/>
            <w:tcBorders>
              <w:tl2br w:val="nil"/>
              <w:tr2bl w:val="nil"/>
            </w:tcBorders>
            <w:noWrap w:val="0"/>
            <w:vAlign w:val="center"/>
          </w:tcPr>
          <w:p w14:paraId="2FB0C6AF">
            <w:pPr>
              <w:autoSpaceDE w:val="0"/>
              <w:autoSpaceDN w:val="0"/>
              <w:adjustRightInd w:val="0"/>
              <w:snapToGrid w:val="0"/>
              <w:spacing w:line="360" w:lineRule="auto"/>
              <w:jc w:val="center"/>
              <w:rPr>
                <w:rFonts w:ascii="Times New Roman" w:hAnsi="Times New Roman" w:eastAsia="宋体"/>
                <w:b w:val="0"/>
                <w:bCs w:val="0"/>
                <w:color w:val="0000FF"/>
                <w:sz w:val="21"/>
                <w:szCs w:val="21"/>
                <w:vertAlign w:val="baseline"/>
              </w:rPr>
            </w:pPr>
          </w:p>
        </w:tc>
        <w:tc>
          <w:tcPr>
            <w:tcW w:w="2187" w:type="dxa"/>
            <w:vMerge w:val="restart"/>
            <w:tcBorders>
              <w:tl2br w:val="nil"/>
              <w:tr2bl w:val="nil"/>
            </w:tcBorders>
            <w:noWrap w:val="0"/>
            <w:vAlign w:val="center"/>
          </w:tcPr>
          <w:p w14:paraId="5A7354D6">
            <w:pPr>
              <w:autoSpaceDE w:val="0"/>
              <w:autoSpaceDN w:val="0"/>
              <w:adjustRightInd w:val="0"/>
              <w:snapToGrid w:val="0"/>
              <w:spacing w:line="360" w:lineRule="auto"/>
              <w:jc w:val="center"/>
              <w:rPr>
                <w:rFonts w:hint="default"/>
                <w:b w:val="0"/>
                <w:bCs w:val="0"/>
                <w:color w:val="0000FF"/>
                <w:sz w:val="21"/>
                <w:szCs w:val="21"/>
                <w:lang w:val="en-US" w:eastAsia="zh-CN"/>
              </w:rPr>
            </w:pPr>
            <w:r>
              <w:rPr>
                <w:rFonts w:hint="eastAsia"/>
                <w:b w:val="0"/>
                <w:bCs w:val="0"/>
                <w:color w:val="0000FF"/>
                <w:sz w:val="21"/>
                <w:szCs w:val="21"/>
                <w:lang w:val="en-US" w:eastAsia="zh-CN"/>
              </w:rPr>
              <w:t>05.30</w:t>
            </w:r>
          </w:p>
        </w:tc>
        <w:tc>
          <w:tcPr>
            <w:tcW w:w="1660" w:type="dxa"/>
            <w:tcBorders>
              <w:tl2br w:val="nil"/>
              <w:tr2bl w:val="nil"/>
            </w:tcBorders>
            <w:noWrap w:val="0"/>
            <w:vAlign w:val="center"/>
          </w:tcPr>
          <w:p w14:paraId="5DF443E1">
            <w:pPr>
              <w:autoSpaceDE w:val="0"/>
              <w:autoSpaceDN w:val="0"/>
              <w:adjustRightInd w:val="0"/>
              <w:snapToGrid w:val="0"/>
              <w:spacing w:line="360" w:lineRule="auto"/>
              <w:jc w:val="center"/>
              <w:rPr>
                <w:rFonts w:hint="eastAsia" w:ascii="Times New Roman" w:hAnsi="Times New Roman" w:eastAsia="宋体"/>
                <w:b w:val="0"/>
                <w:bCs w:val="0"/>
                <w:color w:val="0000FF"/>
                <w:sz w:val="21"/>
                <w:szCs w:val="21"/>
                <w:vertAlign w:val="baseline"/>
                <w:lang w:val="en-US" w:eastAsia="zh-CN"/>
              </w:rPr>
            </w:pPr>
            <w:r>
              <w:rPr>
                <w:rFonts w:hint="eastAsia" w:ascii="Times New Roman" w:hAnsi="Times New Roman" w:eastAsia="宋体"/>
                <w:b w:val="0"/>
                <w:bCs w:val="0"/>
                <w:color w:val="0000FF"/>
                <w:sz w:val="21"/>
                <w:szCs w:val="21"/>
                <w:vertAlign w:val="baseline"/>
                <w:lang w:val="en-US" w:eastAsia="zh-CN"/>
              </w:rPr>
              <w:t>02:00-03.00</w:t>
            </w:r>
          </w:p>
        </w:tc>
        <w:tc>
          <w:tcPr>
            <w:tcW w:w="1660" w:type="dxa"/>
            <w:tcBorders>
              <w:tl2br w:val="nil"/>
              <w:tr2bl w:val="nil"/>
            </w:tcBorders>
            <w:noWrap w:val="0"/>
            <w:vAlign w:val="center"/>
          </w:tcPr>
          <w:p w14:paraId="32947274">
            <w:pPr>
              <w:autoSpaceDE w:val="0"/>
              <w:autoSpaceDN w:val="0"/>
              <w:adjustRightInd w:val="0"/>
              <w:snapToGrid w:val="0"/>
              <w:spacing w:line="360" w:lineRule="auto"/>
              <w:jc w:val="center"/>
              <w:rPr>
                <w:rFonts w:hint="default" w:ascii="Times New Roman" w:hAnsi="Times New Roman" w:eastAsia="宋体"/>
                <w:b w:val="0"/>
                <w:bCs w:val="0"/>
                <w:color w:val="0000FF"/>
                <w:kern w:val="2"/>
                <w:sz w:val="21"/>
                <w:szCs w:val="21"/>
                <w:vertAlign w:val="baseline"/>
                <w:lang w:val="en-US" w:eastAsia="zh-CN" w:bidi="ar-SA"/>
              </w:rPr>
            </w:pPr>
            <w:r>
              <w:rPr>
                <w:rFonts w:hint="eastAsia" w:ascii="Times New Roman" w:hAnsi="Times New Roman" w:eastAsia="宋体"/>
                <w:b w:val="0"/>
                <w:bCs w:val="0"/>
                <w:color w:val="0000FF"/>
                <w:kern w:val="2"/>
                <w:sz w:val="21"/>
                <w:szCs w:val="21"/>
                <w:vertAlign w:val="baseline"/>
                <w:lang w:val="en-US" w:eastAsia="zh-CN" w:bidi="ar-SA"/>
              </w:rPr>
              <w:t>0.33</w:t>
            </w:r>
          </w:p>
        </w:tc>
        <w:tc>
          <w:tcPr>
            <w:tcW w:w="1660" w:type="dxa"/>
            <w:tcBorders>
              <w:tl2br w:val="nil"/>
              <w:tr2bl w:val="nil"/>
            </w:tcBorders>
            <w:noWrap w:val="0"/>
            <w:vAlign w:val="center"/>
          </w:tcPr>
          <w:p w14:paraId="0834A1D5">
            <w:pPr>
              <w:autoSpaceDE w:val="0"/>
              <w:autoSpaceDN w:val="0"/>
              <w:adjustRightInd w:val="0"/>
              <w:snapToGrid w:val="0"/>
              <w:spacing w:line="360" w:lineRule="auto"/>
              <w:jc w:val="center"/>
              <w:rPr>
                <w:rFonts w:ascii="Times New Roman" w:hAnsi="Times New Roman" w:eastAsia="宋体"/>
                <w:b w:val="0"/>
                <w:bCs w:val="0"/>
                <w:color w:val="0000FF"/>
                <w:sz w:val="21"/>
                <w:szCs w:val="21"/>
                <w:vertAlign w:val="baseline"/>
              </w:rPr>
            </w:pPr>
            <w:r>
              <w:rPr>
                <w:rFonts w:hint="eastAsia" w:ascii="Times New Roman" w:hAnsi="Times New Roman" w:eastAsia="宋体"/>
                <w:b w:val="0"/>
                <w:bCs w:val="0"/>
                <w:color w:val="0000FF"/>
                <w:sz w:val="21"/>
                <w:szCs w:val="21"/>
                <w:vertAlign w:val="baseline"/>
                <w:lang w:val="en-US" w:eastAsia="zh-CN"/>
              </w:rPr>
              <w:t>0.165</w:t>
            </w:r>
          </w:p>
        </w:tc>
      </w:tr>
      <w:tr w14:paraId="581DFE7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1" w:type="dxa"/>
            <w:vMerge w:val="continue"/>
            <w:tcBorders>
              <w:tl2br w:val="nil"/>
              <w:tr2bl w:val="nil"/>
            </w:tcBorders>
            <w:noWrap w:val="0"/>
            <w:vAlign w:val="center"/>
          </w:tcPr>
          <w:p w14:paraId="08A69449">
            <w:pPr>
              <w:autoSpaceDE w:val="0"/>
              <w:autoSpaceDN w:val="0"/>
              <w:adjustRightInd w:val="0"/>
              <w:snapToGrid w:val="0"/>
              <w:spacing w:line="360" w:lineRule="auto"/>
              <w:jc w:val="center"/>
              <w:rPr>
                <w:rFonts w:ascii="Times New Roman" w:hAnsi="Times New Roman" w:eastAsia="宋体"/>
                <w:b w:val="0"/>
                <w:bCs w:val="0"/>
                <w:color w:val="0000FF"/>
                <w:sz w:val="21"/>
                <w:szCs w:val="21"/>
                <w:vertAlign w:val="baseline"/>
              </w:rPr>
            </w:pPr>
          </w:p>
        </w:tc>
        <w:tc>
          <w:tcPr>
            <w:tcW w:w="2187" w:type="dxa"/>
            <w:vMerge w:val="continue"/>
            <w:tcBorders>
              <w:tl2br w:val="nil"/>
              <w:tr2bl w:val="nil"/>
            </w:tcBorders>
            <w:noWrap w:val="0"/>
            <w:vAlign w:val="center"/>
          </w:tcPr>
          <w:p w14:paraId="262CA31A">
            <w:pPr>
              <w:autoSpaceDE w:val="0"/>
              <w:autoSpaceDN w:val="0"/>
              <w:adjustRightInd w:val="0"/>
              <w:snapToGrid w:val="0"/>
              <w:spacing w:line="360" w:lineRule="auto"/>
              <w:jc w:val="center"/>
              <w:rPr>
                <w:rFonts w:ascii="Times New Roman" w:hAnsi="Times New Roman" w:eastAsia="宋体"/>
                <w:b w:val="0"/>
                <w:bCs w:val="0"/>
                <w:color w:val="0000FF"/>
                <w:sz w:val="21"/>
                <w:szCs w:val="21"/>
                <w:vertAlign w:val="baseline"/>
              </w:rPr>
            </w:pPr>
          </w:p>
        </w:tc>
        <w:tc>
          <w:tcPr>
            <w:tcW w:w="1660" w:type="dxa"/>
            <w:tcBorders>
              <w:tl2br w:val="nil"/>
              <w:tr2bl w:val="nil"/>
            </w:tcBorders>
            <w:noWrap w:val="0"/>
            <w:vAlign w:val="center"/>
          </w:tcPr>
          <w:p w14:paraId="1A26BB21">
            <w:pPr>
              <w:autoSpaceDE w:val="0"/>
              <w:autoSpaceDN w:val="0"/>
              <w:adjustRightInd w:val="0"/>
              <w:snapToGrid w:val="0"/>
              <w:spacing w:line="360" w:lineRule="auto"/>
              <w:jc w:val="center"/>
              <w:rPr>
                <w:rFonts w:hint="eastAsia" w:ascii="Times New Roman" w:hAnsi="Times New Roman" w:eastAsia="宋体"/>
                <w:b w:val="0"/>
                <w:bCs w:val="0"/>
                <w:color w:val="0000FF"/>
                <w:sz w:val="21"/>
                <w:szCs w:val="21"/>
                <w:vertAlign w:val="baseline"/>
                <w:lang w:val="en-US" w:eastAsia="zh-CN"/>
              </w:rPr>
            </w:pPr>
            <w:r>
              <w:rPr>
                <w:rFonts w:hint="eastAsia" w:ascii="Times New Roman" w:hAnsi="Times New Roman" w:eastAsia="宋体"/>
                <w:b w:val="0"/>
                <w:bCs w:val="0"/>
                <w:color w:val="0000FF"/>
                <w:sz w:val="21"/>
                <w:szCs w:val="21"/>
                <w:vertAlign w:val="baseline"/>
                <w:lang w:val="en-US" w:eastAsia="zh-CN"/>
              </w:rPr>
              <w:t>08:00-09:00</w:t>
            </w:r>
          </w:p>
        </w:tc>
        <w:tc>
          <w:tcPr>
            <w:tcW w:w="1660" w:type="dxa"/>
            <w:tcBorders>
              <w:tl2br w:val="nil"/>
              <w:tr2bl w:val="nil"/>
            </w:tcBorders>
            <w:noWrap w:val="0"/>
            <w:vAlign w:val="center"/>
          </w:tcPr>
          <w:p w14:paraId="7134A168">
            <w:pPr>
              <w:autoSpaceDE w:val="0"/>
              <w:autoSpaceDN w:val="0"/>
              <w:adjustRightInd w:val="0"/>
              <w:snapToGrid w:val="0"/>
              <w:spacing w:line="360" w:lineRule="auto"/>
              <w:jc w:val="center"/>
              <w:rPr>
                <w:rFonts w:hint="default" w:ascii="Times New Roman" w:hAnsi="Times New Roman" w:eastAsia="宋体"/>
                <w:b w:val="0"/>
                <w:bCs w:val="0"/>
                <w:color w:val="0000FF"/>
                <w:kern w:val="2"/>
                <w:sz w:val="21"/>
                <w:szCs w:val="21"/>
                <w:vertAlign w:val="baseline"/>
                <w:lang w:val="en-US" w:eastAsia="zh-CN" w:bidi="ar-SA"/>
              </w:rPr>
            </w:pPr>
            <w:r>
              <w:rPr>
                <w:rFonts w:hint="eastAsia" w:ascii="Times New Roman" w:hAnsi="Times New Roman" w:eastAsia="宋体"/>
                <w:b w:val="0"/>
                <w:bCs w:val="0"/>
                <w:color w:val="0000FF"/>
                <w:kern w:val="2"/>
                <w:sz w:val="21"/>
                <w:szCs w:val="21"/>
                <w:vertAlign w:val="baseline"/>
                <w:lang w:val="en-US" w:eastAsia="zh-CN" w:bidi="ar-SA"/>
              </w:rPr>
              <w:t>0.32</w:t>
            </w:r>
          </w:p>
        </w:tc>
        <w:tc>
          <w:tcPr>
            <w:tcW w:w="1660" w:type="dxa"/>
            <w:tcBorders>
              <w:tl2br w:val="nil"/>
              <w:tr2bl w:val="nil"/>
            </w:tcBorders>
            <w:noWrap w:val="0"/>
            <w:vAlign w:val="center"/>
          </w:tcPr>
          <w:p w14:paraId="56293D59">
            <w:pPr>
              <w:autoSpaceDE w:val="0"/>
              <w:autoSpaceDN w:val="0"/>
              <w:adjustRightInd w:val="0"/>
              <w:snapToGrid w:val="0"/>
              <w:spacing w:line="360" w:lineRule="auto"/>
              <w:jc w:val="center"/>
              <w:rPr>
                <w:rFonts w:ascii="Times New Roman" w:hAnsi="Times New Roman" w:eastAsia="宋体"/>
                <w:b w:val="0"/>
                <w:bCs w:val="0"/>
                <w:color w:val="0000FF"/>
                <w:sz w:val="21"/>
                <w:szCs w:val="21"/>
                <w:vertAlign w:val="baseline"/>
              </w:rPr>
            </w:pPr>
            <w:r>
              <w:rPr>
                <w:rFonts w:hint="eastAsia" w:ascii="Times New Roman" w:hAnsi="Times New Roman" w:eastAsia="宋体"/>
                <w:b w:val="0"/>
                <w:bCs w:val="0"/>
                <w:color w:val="0000FF"/>
                <w:sz w:val="21"/>
                <w:szCs w:val="21"/>
                <w:vertAlign w:val="baseline"/>
                <w:lang w:val="en-US" w:eastAsia="zh-CN"/>
              </w:rPr>
              <w:t>0.16</w:t>
            </w:r>
          </w:p>
        </w:tc>
      </w:tr>
      <w:tr w14:paraId="1B6FBC0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1" w:type="dxa"/>
            <w:vMerge w:val="continue"/>
            <w:tcBorders>
              <w:tl2br w:val="nil"/>
              <w:tr2bl w:val="nil"/>
            </w:tcBorders>
            <w:noWrap w:val="0"/>
            <w:vAlign w:val="center"/>
          </w:tcPr>
          <w:p w14:paraId="612CAA42">
            <w:pPr>
              <w:autoSpaceDE w:val="0"/>
              <w:autoSpaceDN w:val="0"/>
              <w:adjustRightInd w:val="0"/>
              <w:snapToGrid w:val="0"/>
              <w:spacing w:line="360" w:lineRule="auto"/>
              <w:jc w:val="center"/>
              <w:rPr>
                <w:rFonts w:ascii="Times New Roman" w:hAnsi="Times New Roman" w:eastAsia="宋体"/>
                <w:b w:val="0"/>
                <w:bCs w:val="0"/>
                <w:color w:val="0000FF"/>
                <w:sz w:val="21"/>
                <w:szCs w:val="21"/>
                <w:vertAlign w:val="baseline"/>
              </w:rPr>
            </w:pPr>
          </w:p>
        </w:tc>
        <w:tc>
          <w:tcPr>
            <w:tcW w:w="2187" w:type="dxa"/>
            <w:vMerge w:val="continue"/>
            <w:tcBorders>
              <w:tl2br w:val="nil"/>
              <w:tr2bl w:val="nil"/>
            </w:tcBorders>
            <w:noWrap w:val="0"/>
            <w:vAlign w:val="center"/>
          </w:tcPr>
          <w:p w14:paraId="64549CF8">
            <w:pPr>
              <w:autoSpaceDE w:val="0"/>
              <w:autoSpaceDN w:val="0"/>
              <w:adjustRightInd w:val="0"/>
              <w:snapToGrid w:val="0"/>
              <w:spacing w:line="360" w:lineRule="auto"/>
              <w:jc w:val="center"/>
              <w:rPr>
                <w:rFonts w:ascii="Times New Roman" w:hAnsi="Times New Roman" w:eastAsia="宋体"/>
                <w:b w:val="0"/>
                <w:bCs w:val="0"/>
                <w:color w:val="0000FF"/>
                <w:sz w:val="21"/>
                <w:szCs w:val="21"/>
                <w:vertAlign w:val="baseline"/>
              </w:rPr>
            </w:pPr>
          </w:p>
        </w:tc>
        <w:tc>
          <w:tcPr>
            <w:tcW w:w="1660" w:type="dxa"/>
            <w:tcBorders>
              <w:tl2br w:val="nil"/>
              <w:tr2bl w:val="nil"/>
            </w:tcBorders>
            <w:noWrap w:val="0"/>
            <w:vAlign w:val="center"/>
          </w:tcPr>
          <w:p w14:paraId="036A986A">
            <w:pPr>
              <w:autoSpaceDE w:val="0"/>
              <w:autoSpaceDN w:val="0"/>
              <w:adjustRightInd w:val="0"/>
              <w:snapToGrid w:val="0"/>
              <w:spacing w:line="360" w:lineRule="auto"/>
              <w:jc w:val="center"/>
              <w:rPr>
                <w:rFonts w:hint="eastAsia" w:ascii="Times New Roman" w:hAnsi="Times New Roman" w:eastAsia="宋体"/>
                <w:b w:val="0"/>
                <w:bCs w:val="0"/>
                <w:color w:val="0000FF"/>
                <w:sz w:val="21"/>
                <w:szCs w:val="21"/>
                <w:vertAlign w:val="baseline"/>
                <w:lang w:val="en-US" w:eastAsia="zh-CN"/>
              </w:rPr>
            </w:pPr>
            <w:r>
              <w:rPr>
                <w:rFonts w:hint="eastAsia" w:ascii="Times New Roman" w:hAnsi="Times New Roman" w:eastAsia="宋体"/>
                <w:b w:val="0"/>
                <w:bCs w:val="0"/>
                <w:color w:val="0000FF"/>
                <w:sz w:val="21"/>
                <w:szCs w:val="21"/>
                <w:vertAlign w:val="baseline"/>
                <w:lang w:val="en-US" w:eastAsia="zh-CN"/>
              </w:rPr>
              <w:t>14:00-15:00</w:t>
            </w:r>
          </w:p>
        </w:tc>
        <w:tc>
          <w:tcPr>
            <w:tcW w:w="1660" w:type="dxa"/>
            <w:tcBorders>
              <w:tl2br w:val="nil"/>
              <w:tr2bl w:val="nil"/>
            </w:tcBorders>
            <w:noWrap w:val="0"/>
            <w:vAlign w:val="center"/>
          </w:tcPr>
          <w:p w14:paraId="5D268527">
            <w:pPr>
              <w:autoSpaceDE w:val="0"/>
              <w:autoSpaceDN w:val="0"/>
              <w:adjustRightInd w:val="0"/>
              <w:snapToGrid w:val="0"/>
              <w:spacing w:line="360" w:lineRule="auto"/>
              <w:jc w:val="center"/>
              <w:rPr>
                <w:rFonts w:hint="default" w:ascii="Times New Roman" w:hAnsi="Times New Roman" w:eastAsia="宋体"/>
                <w:b w:val="0"/>
                <w:bCs w:val="0"/>
                <w:color w:val="0000FF"/>
                <w:kern w:val="2"/>
                <w:sz w:val="21"/>
                <w:szCs w:val="21"/>
                <w:vertAlign w:val="baseline"/>
                <w:lang w:val="en-US" w:eastAsia="zh-CN" w:bidi="ar-SA"/>
              </w:rPr>
            </w:pPr>
            <w:r>
              <w:rPr>
                <w:rFonts w:hint="eastAsia" w:ascii="Times New Roman" w:hAnsi="Times New Roman" w:eastAsia="宋体"/>
                <w:b w:val="0"/>
                <w:bCs w:val="0"/>
                <w:color w:val="0000FF"/>
                <w:kern w:val="2"/>
                <w:sz w:val="21"/>
                <w:szCs w:val="21"/>
                <w:vertAlign w:val="baseline"/>
                <w:lang w:val="en-US" w:eastAsia="zh-CN" w:bidi="ar-SA"/>
              </w:rPr>
              <w:t>0.34</w:t>
            </w:r>
          </w:p>
        </w:tc>
        <w:tc>
          <w:tcPr>
            <w:tcW w:w="1660" w:type="dxa"/>
            <w:tcBorders>
              <w:tl2br w:val="nil"/>
              <w:tr2bl w:val="nil"/>
            </w:tcBorders>
            <w:noWrap w:val="0"/>
            <w:vAlign w:val="center"/>
          </w:tcPr>
          <w:p w14:paraId="61FF2BA6">
            <w:pPr>
              <w:autoSpaceDE w:val="0"/>
              <w:autoSpaceDN w:val="0"/>
              <w:adjustRightInd w:val="0"/>
              <w:snapToGrid w:val="0"/>
              <w:spacing w:line="360" w:lineRule="auto"/>
              <w:jc w:val="center"/>
              <w:rPr>
                <w:rFonts w:hint="default" w:ascii="Times New Roman" w:hAnsi="Times New Roman" w:eastAsia="宋体"/>
                <w:b w:val="0"/>
                <w:bCs w:val="0"/>
                <w:color w:val="0000FF"/>
                <w:sz w:val="21"/>
                <w:szCs w:val="21"/>
                <w:vertAlign w:val="baseline"/>
                <w:lang w:val="en-US" w:eastAsia="zh-CN"/>
              </w:rPr>
            </w:pPr>
            <w:r>
              <w:rPr>
                <w:rFonts w:hint="eastAsia" w:ascii="Times New Roman" w:hAnsi="Times New Roman" w:eastAsia="宋体"/>
                <w:b w:val="0"/>
                <w:bCs w:val="0"/>
                <w:color w:val="0000FF"/>
                <w:sz w:val="21"/>
                <w:szCs w:val="21"/>
                <w:vertAlign w:val="baseline"/>
                <w:lang w:val="en-US" w:eastAsia="zh-CN"/>
              </w:rPr>
              <w:t>0.17</w:t>
            </w:r>
          </w:p>
        </w:tc>
      </w:tr>
      <w:tr w14:paraId="40E78C9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1" w:type="dxa"/>
            <w:vMerge w:val="continue"/>
            <w:tcBorders>
              <w:tl2br w:val="nil"/>
              <w:tr2bl w:val="nil"/>
            </w:tcBorders>
            <w:noWrap w:val="0"/>
            <w:vAlign w:val="center"/>
          </w:tcPr>
          <w:p w14:paraId="40BCD2DE">
            <w:pPr>
              <w:autoSpaceDE w:val="0"/>
              <w:autoSpaceDN w:val="0"/>
              <w:adjustRightInd w:val="0"/>
              <w:snapToGrid w:val="0"/>
              <w:spacing w:line="360" w:lineRule="auto"/>
              <w:jc w:val="center"/>
              <w:rPr>
                <w:rFonts w:ascii="Times New Roman" w:hAnsi="Times New Roman" w:eastAsia="宋体"/>
                <w:b w:val="0"/>
                <w:bCs w:val="0"/>
                <w:color w:val="0000FF"/>
                <w:sz w:val="21"/>
                <w:szCs w:val="21"/>
                <w:vertAlign w:val="baseline"/>
              </w:rPr>
            </w:pPr>
          </w:p>
        </w:tc>
        <w:tc>
          <w:tcPr>
            <w:tcW w:w="2187" w:type="dxa"/>
            <w:vMerge w:val="continue"/>
            <w:tcBorders>
              <w:tl2br w:val="nil"/>
              <w:tr2bl w:val="nil"/>
            </w:tcBorders>
            <w:noWrap w:val="0"/>
            <w:vAlign w:val="center"/>
          </w:tcPr>
          <w:p w14:paraId="562C35DA">
            <w:pPr>
              <w:autoSpaceDE w:val="0"/>
              <w:autoSpaceDN w:val="0"/>
              <w:adjustRightInd w:val="0"/>
              <w:snapToGrid w:val="0"/>
              <w:spacing w:line="360" w:lineRule="auto"/>
              <w:jc w:val="center"/>
              <w:rPr>
                <w:rFonts w:ascii="Times New Roman" w:hAnsi="Times New Roman" w:eastAsia="宋体"/>
                <w:b w:val="0"/>
                <w:bCs w:val="0"/>
                <w:color w:val="0000FF"/>
                <w:sz w:val="21"/>
                <w:szCs w:val="21"/>
                <w:vertAlign w:val="baseline"/>
              </w:rPr>
            </w:pPr>
          </w:p>
        </w:tc>
        <w:tc>
          <w:tcPr>
            <w:tcW w:w="1660" w:type="dxa"/>
            <w:tcBorders>
              <w:tl2br w:val="nil"/>
              <w:tr2bl w:val="nil"/>
            </w:tcBorders>
            <w:noWrap w:val="0"/>
            <w:vAlign w:val="center"/>
          </w:tcPr>
          <w:p w14:paraId="33423432">
            <w:pPr>
              <w:autoSpaceDE w:val="0"/>
              <w:autoSpaceDN w:val="0"/>
              <w:adjustRightInd w:val="0"/>
              <w:snapToGrid w:val="0"/>
              <w:spacing w:line="360" w:lineRule="auto"/>
              <w:jc w:val="center"/>
              <w:rPr>
                <w:rFonts w:hint="eastAsia" w:ascii="Times New Roman" w:hAnsi="Times New Roman" w:eastAsia="宋体"/>
                <w:b w:val="0"/>
                <w:bCs w:val="0"/>
                <w:color w:val="0000FF"/>
                <w:sz w:val="21"/>
                <w:szCs w:val="21"/>
                <w:vertAlign w:val="baseline"/>
                <w:lang w:val="en-US" w:eastAsia="zh-CN"/>
              </w:rPr>
            </w:pPr>
            <w:r>
              <w:rPr>
                <w:rFonts w:hint="eastAsia" w:ascii="Times New Roman" w:hAnsi="Times New Roman" w:eastAsia="宋体"/>
                <w:b w:val="0"/>
                <w:bCs w:val="0"/>
                <w:color w:val="0000FF"/>
                <w:sz w:val="21"/>
                <w:szCs w:val="21"/>
                <w:vertAlign w:val="baseline"/>
                <w:lang w:val="en-US" w:eastAsia="zh-CN"/>
              </w:rPr>
              <w:t>20:00-21:00</w:t>
            </w:r>
          </w:p>
        </w:tc>
        <w:tc>
          <w:tcPr>
            <w:tcW w:w="1660" w:type="dxa"/>
            <w:tcBorders>
              <w:tl2br w:val="nil"/>
              <w:tr2bl w:val="nil"/>
            </w:tcBorders>
            <w:noWrap w:val="0"/>
            <w:vAlign w:val="center"/>
          </w:tcPr>
          <w:p w14:paraId="59ECF01B">
            <w:pPr>
              <w:autoSpaceDE w:val="0"/>
              <w:autoSpaceDN w:val="0"/>
              <w:adjustRightInd w:val="0"/>
              <w:snapToGrid w:val="0"/>
              <w:spacing w:line="360" w:lineRule="auto"/>
              <w:jc w:val="center"/>
              <w:rPr>
                <w:rFonts w:hint="default" w:ascii="Times New Roman" w:hAnsi="Times New Roman" w:eastAsia="宋体"/>
                <w:b w:val="0"/>
                <w:bCs w:val="0"/>
                <w:color w:val="0000FF"/>
                <w:kern w:val="2"/>
                <w:sz w:val="21"/>
                <w:szCs w:val="21"/>
                <w:vertAlign w:val="baseline"/>
                <w:lang w:val="en-US" w:eastAsia="zh-CN" w:bidi="ar-SA"/>
              </w:rPr>
            </w:pPr>
            <w:r>
              <w:rPr>
                <w:rFonts w:hint="eastAsia" w:ascii="Times New Roman" w:hAnsi="Times New Roman" w:eastAsia="宋体"/>
                <w:b w:val="0"/>
                <w:bCs w:val="0"/>
                <w:color w:val="0000FF"/>
                <w:kern w:val="2"/>
                <w:sz w:val="21"/>
                <w:szCs w:val="21"/>
                <w:vertAlign w:val="baseline"/>
                <w:lang w:val="en-US" w:eastAsia="zh-CN" w:bidi="ar-SA"/>
              </w:rPr>
              <w:t>0.33</w:t>
            </w:r>
          </w:p>
        </w:tc>
        <w:tc>
          <w:tcPr>
            <w:tcW w:w="1660" w:type="dxa"/>
            <w:tcBorders>
              <w:tl2br w:val="nil"/>
              <w:tr2bl w:val="nil"/>
            </w:tcBorders>
            <w:noWrap w:val="0"/>
            <w:vAlign w:val="center"/>
          </w:tcPr>
          <w:p w14:paraId="5E0DFE4A">
            <w:pPr>
              <w:autoSpaceDE w:val="0"/>
              <w:autoSpaceDN w:val="0"/>
              <w:adjustRightInd w:val="0"/>
              <w:snapToGrid w:val="0"/>
              <w:spacing w:line="360" w:lineRule="auto"/>
              <w:jc w:val="center"/>
              <w:rPr>
                <w:rFonts w:ascii="Times New Roman" w:hAnsi="Times New Roman" w:eastAsia="宋体"/>
                <w:b w:val="0"/>
                <w:bCs w:val="0"/>
                <w:color w:val="0000FF"/>
                <w:sz w:val="21"/>
                <w:szCs w:val="21"/>
                <w:vertAlign w:val="baseline"/>
              </w:rPr>
            </w:pPr>
            <w:r>
              <w:rPr>
                <w:rFonts w:hint="eastAsia" w:ascii="Times New Roman" w:hAnsi="Times New Roman" w:eastAsia="宋体"/>
                <w:b w:val="0"/>
                <w:bCs w:val="0"/>
                <w:color w:val="0000FF"/>
                <w:sz w:val="21"/>
                <w:szCs w:val="21"/>
                <w:vertAlign w:val="baseline"/>
                <w:lang w:val="en-US" w:eastAsia="zh-CN"/>
              </w:rPr>
              <w:t>0.165</w:t>
            </w:r>
          </w:p>
        </w:tc>
      </w:tr>
      <w:tr w14:paraId="583E149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1" w:type="dxa"/>
            <w:vMerge w:val="continue"/>
            <w:tcBorders>
              <w:tl2br w:val="nil"/>
              <w:tr2bl w:val="nil"/>
            </w:tcBorders>
            <w:noWrap w:val="0"/>
            <w:vAlign w:val="center"/>
          </w:tcPr>
          <w:p w14:paraId="6CBCB3D8">
            <w:pPr>
              <w:autoSpaceDE w:val="0"/>
              <w:autoSpaceDN w:val="0"/>
              <w:adjustRightInd w:val="0"/>
              <w:snapToGrid w:val="0"/>
              <w:spacing w:line="360" w:lineRule="auto"/>
              <w:jc w:val="center"/>
              <w:rPr>
                <w:rFonts w:ascii="Times New Roman" w:hAnsi="Times New Roman" w:eastAsia="宋体"/>
                <w:b w:val="0"/>
                <w:bCs w:val="0"/>
                <w:color w:val="0000FF"/>
                <w:sz w:val="21"/>
                <w:szCs w:val="21"/>
                <w:vertAlign w:val="baseline"/>
              </w:rPr>
            </w:pPr>
          </w:p>
        </w:tc>
        <w:tc>
          <w:tcPr>
            <w:tcW w:w="2187" w:type="dxa"/>
            <w:vMerge w:val="restart"/>
            <w:tcBorders>
              <w:tl2br w:val="nil"/>
              <w:tr2bl w:val="nil"/>
            </w:tcBorders>
            <w:noWrap w:val="0"/>
            <w:vAlign w:val="center"/>
          </w:tcPr>
          <w:p w14:paraId="0AC6E46D">
            <w:pPr>
              <w:autoSpaceDE w:val="0"/>
              <w:autoSpaceDN w:val="0"/>
              <w:adjustRightInd w:val="0"/>
              <w:snapToGrid w:val="0"/>
              <w:spacing w:line="360" w:lineRule="auto"/>
              <w:jc w:val="center"/>
              <w:rPr>
                <w:rFonts w:hint="default" w:ascii="Times New Roman" w:hAnsi="Times New Roman" w:eastAsia="宋体"/>
                <w:b w:val="0"/>
                <w:bCs w:val="0"/>
                <w:color w:val="0000FF"/>
                <w:sz w:val="21"/>
                <w:szCs w:val="21"/>
                <w:vertAlign w:val="baseline"/>
                <w:lang w:val="en-US" w:eastAsia="zh-CN"/>
              </w:rPr>
            </w:pPr>
            <w:r>
              <w:rPr>
                <w:rFonts w:hint="eastAsia" w:ascii="Times New Roman" w:hAnsi="Times New Roman" w:eastAsia="宋体"/>
                <w:b w:val="0"/>
                <w:bCs w:val="0"/>
                <w:color w:val="0000FF"/>
                <w:sz w:val="21"/>
                <w:szCs w:val="21"/>
                <w:vertAlign w:val="baseline"/>
                <w:lang w:val="en-US" w:eastAsia="zh-CN"/>
              </w:rPr>
              <w:t>05.31</w:t>
            </w:r>
          </w:p>
        </w:tc>
        <w:tc>
          <w:tcPr>
            <w:tcW w:w="1660" w:type="dxa"/>
            <w:tcBorders>
              <w:tl2br w:val="nil"/>
              <w:tr2bl w:val="nil"/>
            </w:tcBorders>
            <w:noWrap w:val="0"/>
            <w:vAlign w:val="center"/>
          </w:tcPr>
          <w:p w14:paraId="11761EE8">
            <w:pPr>
              <w:autoSpaceDE w:val="0"/>
              <w:autoSpaceDN w:val="0"/>
              <w:adjustRightInd w:val="0"/>
              <w:snapToGrid w:val="0"/>
              <w:spacing w:line="360" w:lineRule="auto"/>
              <w:jc w:val="center"/>
              <w:rPr>
                <w:rFonts w:hint="eastAsia" w:ascii="Times New Roman" w:hAnsi="Times New Roman" w:eastAsia="宋体"/>
                <w:b w:val="0"/>
                <w:bCs w:val="0"/>
                <w:color w:val="0000FF"/>
                <w:sz w:val="21"/>
                <w:szCs w:val="21"/>
                <w:vertAlign w:val="baseline"/>
                <w:lang w:val="en-US" w:eastAsia="zh-CN"/>
              </w:rPr>
            </w:pPr>
            <w:r>
              <w:rPr>
                <w:rFonts w:hint="eastAsia" w:ascii="Times New Roman" w:hAnsi="Times New Roman" w:eastAsia="宋体"/>
                <w:b w:val="0"/>
                <w:bCs w:val="0"/>
                <w:color w:val="0000FF"/>
                <w:sz w:val="21"/>
                <w:szCs w:val="21"/>
                <w:vertAlign w:val="baseline"/>
                <w:lang w:val="en-US" w:eastAsia="zh-CN"/>
              </w:rPr>
              <w:t>02:00-03.00</w:t>
            </w:r>
          </w:p>
        </w:tc>
        <w:tc>
          <w:tcPr>
            <w:tcW w:w="0" w:type="auto"/>
            <w:tcBorders>
              <w:tl2br w:val="nil"/>
              <w:tr2bl w:val="nil"/>
            </w:tcBorders>
            <w:noWrap w:val="0"/>
            <w:vAlign w:val="center"/>
          </w:tcPr>
          <w:p w14:paraId="49E25876">
            <w:pPr>
              <w:autoSpaceDE w:val="0"/>
              <w:autoSpaceDN w:val="0"/>
              <w:adjustRightInd w:val="0"/>
              <w:snapToGrid w:val="0"/>
              <w:spacing w:line="360" w:lineRule="auto"/>
              <w:jc w:val="center"/>
              <w:rPr>
                <w:rFonts w:hint="default" w:ascii="Times New Roman" w:hAnsi="Times New Roman" w:eastAsia="宋体"/>
                <w:b w:val="0"/>
                <w:bCs w:val="0"/>
                <w:color w:val="0000FF"/>
                <w:kern w:val="2"/>
                <w:sz w:val="21"/>
                <w:szCs w:val="21"/>
                <w:vertAlign w:val="baseline"/>
                <w:lang w:val="en-US" w:eastAsia="zh-CN" w:bidi="ar-SA"/>
              </w:rPr>
            </w:pPr>
            <w:r>
              <w:rPr>
                <w:rFonts w:hint="eastAsia" w:ascii="Times New Roman" w:hAnsi="Times New Roman" w:eastAsia="宋体"/>
                <w:b w:val="0"/>
                <w:bCs w:val="0"/>
                <w:color w:val="0000FF"/>
                <w:kern w:val="2"/>
                <w:sz w:val="21"/>
                <w:szCs w:val="21"/>
                <w:vertAlign w:val="baseline"/>
                <w:lang w:val="en-US" w:eastAsia="zh-CN" w:bidi="ar-SA"/>
              </w:rPr>
              <w:t>0.30</w:t>
            </w:r>
          </w:p>
        </w:tc>
        <w:tc>
          <w:tcPr>
            <w:tcW w:w="0" w:type="auto"/>
            <w:tcBorders>
              <w:tl2br w:val="nil"/>
              <w:tr2bl w:val="nil"/>
            </w:tcBorders>
            <w:noWrap w:val="0"/>
            <w:vAlign w:val="center"/>
          </w:tcPr>
          <w:p w14:paraId="69EC101E">
            <w:pPr>
              <w:autoSpaceDE w:val="0"/>
              <w:autoSpaceDN w:val="0"/>
              <w:adjustRightInd w:val="0"/>
              <w:snapToGrid w:val="0"/>
              <w:spacing w:line="360" w:lineRule="auto"/>
              <w:jc w:val="center"/>
              <w:rPr>
                <w:rFonts w:hint="default" w:ascii="Times New Roman" w:hAnsi="Times New Roman" w:eastAsia="宋体"/>
                <w:b w:val="0"/>
                <w:bCs w:val="0"/>
                <w:color w:val="0000FF"/>
                <w:sz w:val="21"/>
                <w:szCs w:val="21"/>
                <w:vertAlign w:val="baseline"/>
                <w:lang w:val="en-US" w:eastAsia="zh-CN"/>
              </w:rPr>
            </w:pPr>
            <w:r>
              <w:rPr>
                <w:rFonts w:hint="eastAsia" w:ascii="Times New Roman" w:hAnsi="Times New Roman" w:eastAsia="宋体"/>
                <w:b w:val="0"/>
                <w:bCs w:val="0"/>
                <w:color w:val="0000FF"/>
                <w:sz w:val="21"/>
                <w:szCs w:val="21"/>
                <w:vertAlign w:val="baseline"/>
                <w:lang w:val="en-US" w:eastAsia="zh-CN"/>
              </w:rPr>
              <w:t>0.15</w:t>
            </w:r>
          </w:p>
        </w:tc>
      </w:tr>
      <w:tr w14:paraId="1C23D04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1" w:type="dxa"/>
            <w:vMerge w:val="continue"/>
            <w:tcBorders>
              <w:tl2br w:val="nil"/>
              <w:tr2bl w:val="nil"/>
            </w:tcBorders>
            <w:noWrap w:val="0"/>
            <w:vAlign w:val="center"/>
          </w:tcPr>
          <w:p w14:paraId="1E736B06">
            <w:pPr>
              <w:autoSpaceDE w:val="0"/>
              <w:autoSpaceDN w:val="0"/>
              <w:adjustRightInd w:val="0"/>
              <w:snapToGrid w:val="0"/>
              <w:spacing w:line="360" w:lineRule="auto"/>
              <w:jc w:val="center"/>
              <w:rPr>
                <w:rFonts w:ascii="Times New Roman" w:hAnsi="Times New Roman" w:eastAsia="宋体"/>
                <w:b w:val="0"/>
                <w:bCs w:val="0"/>
                <w:color w:val="0000FF"/>
                <w:sz w:val="21"/>
                <w:szCs w:val="21"/>
                <w:vertAlign w:val="baseline"/>
              </w:rPr>
            </w:pPr>
          </w:p>
        </w:tc>
        <w:tc>
          <w:tcPr>
            <w:tcW w:w="2187" w:type="dxa"/>
            <w:vMerge w:val="continue"/>
            <w:tcBorders>
              <w:tl2br w:val="nil"/>
              <w:tr2bl w:val="nil"/>
            </w:tcBorders>
            <w:noWrap w:val="0"/>
            <w:vAlign w:val="center"/>
          </w:tcPr>
          <w:p w14:paraId="55285FE6">
            <w:pPr>
              <w:autoSpaceDE w:val="0"/>
              <w:autoSpaceDN w:val="0"/>
              <w:adjustRightInd w:val="0"/>
              <w:snapToGrid w:val="0"/>
              <w:spacing w:line="360" w:lineRule="auto"/>
              <w:jc w:val="center"/>
              <w:rPr>
                <w:rFonts w:ascii="Times New Roman" w:hAnsi="Times New Roman" w:eastAsia="宋体"/>
                <w:b w:val="0"/>
                <w:bCs w:val="0"/>
                <w:color w:val="0000FF"/>
                <w:sz w:val="21"/>
                <w:szCs w:val="21"/>
                <w:vertAlign w:val="baseline"/>
              </w:rPr>
            </w:pPr>
          </w:p>
        </w:tc>
        <w:tc>
          <w:tcPr>
            <w:tcW w:w="1660" w:type="dxa"/>
            <w:tcBorders>
              <w:tl2br w:val="nil"/>
              <w:tr2bl w:val="nil"/>
            </w:tcBorders>
            <w:noWrap w:val="0"/>
            <w:vAlign w:val="center"/>
          </w:tcPr>
          <w:p w14:paraId="15D00385">
            <w:pPr>
              <w:autoSpaceDE w:val="0"/>
              <w:autoSpaceDN w:val="0"/>
              <w:adjustRightInd w:val="0"/>
              <w:snapToGrid w:val="0"/>
              <w:spacing w:line="360" w:lineRule="auto"/>
              <w:jc w:val="center"/>
              <w:rPr>
                <w:rFonts w:hint="eastAsia" w:ascii="Times New Roman" w:hAnsi="Times New Roman" w:eastAsia="宋体"/>
                <w:b w:val="0"/>
                <w:bCs w:val="0"/>
                <w:color w:val="0000FF"/>
                <w:sz w:val="21"/>
                <w:szCs w:val="21"/>
                <w:vertAlign w:val="baseline"/>
                <w:lang w:val="en-US" w:eastAsia="zh-CN"/>
              </w:rPr>
            </w:pPr>
            <w:r>
              <w:rPr>
                <w:rFonts w:hint="eastAsia" w:ascii="Times New Roman" w:hAnsi="Times New Roman" w:eastAsia="宋体"/>
                <w:b w:val="0"/>
                <w:bCs w:val="0"/>
                <w:color w:val="0000FF"/>
                <w:sz w:val="21"/>
                <w:szCs w:val="21"/>
                <w:vertAlign w:val="baseline"/>
                <w:lang w:val="en-US" w:eastAsia="zh-CN"/>
              </w:rPr>
              <w:t>08:00-09:00</w:t>
            </w:r>
          </w:p>
        </w:tc>
        <w:tc>
          <w:tcPr>
            <w:tcW w:w="0" w:type="auto"/>
            <w:tcBorders>
              <w:tl2br w:val="nil"/>
              <w:tr2bl w:val="nil"/>
            </w:tcBorders>
            <w:noWrap w:val="0"/>
            <w:vAlign w:val="center"/>
          </w:tcPr>
          <w:p w14:paraId="112D60E5">
            <w:pPr>
              <w:autoSpaceDE w:val="0"/>
              <w:autoSpaceDN w:val="0"/>
              <w:adjustRightInd w:val="0"/>
              <w:snapToGrid w:val="0"/>
              <w:spacing w:line="360" w:lineRule="auto"/>
              <w:jc w:val="center"/>
              <w:rPr>
                <w:rFonts w:hint="default" w:ascii="Times New Roman" w:hAnsi="Times New Roman" w:eastAsia="宋体"/>
                <w:b w:val="0"/>
                <w:bCs w:val="0"/>
                <w:color w:val="0000FF"/>
                <w:kern w:val="2"/>
                <w:sz w:val="21"/>
                <w:szCs w:val="21"/>
                <w:vertAlign w:val="baseline"/>
                <w:lang w:val="en-US" w:eastAsia="zh-CN" w:bidi="ar-SA"/>
              </w:rPr>
            </w:pPr>
            <w:r>
              <w:rPr>
                <w:rFonts w:hint="eastAsia" w:ascii="Times New Roman" w:hAnsi="Times New Roman" w:eastAsia="宋体"/>
                <w:b w:val="0"/>
                <w:bCs w:val="0"/>
                <w:color w:val="0000FF"/>
                <w:kern w:val="2"/>
                <w:sz w:val="21"/>
                <w:szCs w:val="21"/>
                <w:vertAlign w:val="baseline"/>
                <w:lang w:val="en-US" w:eastAsia="zh-CN" w:bidi="ar-SA"/>
              </w:rPr>
              <w:t>0.31</w:t>
            </w:r>
          </w:p>
        </w:tc>
        <w:tc>
          <w:tcPr>
            <w:tcW w:w="0" w:type="auto"/>
            <w:tcBorders>
              <w:tl2br w:val="nil"/>
              <w:tr2bl w:val="nil"/>
            </w:tcBorders>
            <w:noWrap w:val="0"/>
            <w:vAlign w:val="center"/>
          </w:tcPr>
          <w:p w14:paraId="5DDE650F">
            <w:pPr>
              <w:autoSpaceDE w:val="0"/>
              <w:autoSpaceDN w:val="0"/>
              <w:adjustRightInd w:val="0"/>
              <w:snapToGrid w:val="0"/>
              <w:spacing w:line="360" w:lineRule="auto"/>
              <w:jc w:val="center"/>
              <w:rPr>
                <w:rFonts w:ascii="Times New Roman" w:hAnsi="Times New Roman" w:eastAsia="宋体"/>
                <w:b w:val="0"/>
                <w:bCs w:val="0"/>
                <w:color w:val="0000FF"/>
                <w:sz w:val="21"/>
                <w:szCs w:val="21"/>
                <w:vertAlign w:val="baseline"/>
              </w:rPr>
            </w:pPr>
            <w:r>
              <w:rPr>
                <w:rFonts w:hint="eastAsia" w:ascii="Times New Roman" w:hAnsi="Times New Roman" w:eastAsia="宋体"/>
                <w:b w:val="0"/>
                <w:bCs w:val="0"/>
                <w:color w:val="0000FF"/>
                <w:sz w:val="21"/>
                <w:szCs w:val="21"/>
                <w:vertAlign w:val="baseline"/>
                <w:lang w:val="en-US" w:eastAsia="zh-CN"/>
              </w:rPr>
              <w:t>0.155</w:t>
            </w:r>
          </w:p>
        </w:tc>
      </w:tr>
      <w:tr w14:paraId="6ADC4E7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1" w:type="dxa"/>
            <w:vMerge w:val="continue"/>
            <w:tcBorders>
              <w:tl2br w:val="nil"/>
              <w:tr2bl w:val="nil"/>
            </w:tcBorders>
            <w:noWrap w:val="0"/>
            <w:vAlign w:val="center"/>
          </w:tcPr>
          <w:p w14:paraId="6AEDBE9E">
            <w:pPr>
              <w:autoSpaceDE w:val="0"/>
              <w:autoSpaceDN w:val="0"/>
              <w:adjustRightInd w:val="0"/>
              <w:snapToGrid w:val="0"/>
              <w:spacing w:line="360" w:lineRule="auto"/>
              <w:jc w:val="center"/>
              <w:rPr>
                <w:rFonts w:ascii="Times New Roman" w:hAnsi="Times New Roman" w:eastAsia="宋体"/>
                <w:b w:val="0"/>
                <w:bCs w:val="0"/>
                <w:color w:val="0000FF"/>
                <w:sz w:val="21"/>
                <w:szCs w:val="21"/>
                <w:vertAlign w:val="baseline"/>
              </w:rPr>
            </w:pPr>
          </w:p>
        </w:tc>
        <w:tc>
          <w:tcPr>
            <w:tcW w:w="2187" w:type="dxa"/>
            <w:vMerge w:val="continue"/>
            <w:tcBorders>
              <w:tl2br w:val="nil"/>
              <w:tr2bl w:val="nil"/>
            </w:tcBorders>
            <w:noWrap w:val="0"/>
            <w:vAlign w:val="center"/>
          </w:tcPr>
          <w:p w14:paraId="2F2F67A1">
            <w:pPr>
              <w:autoSpaceDE w:val="0"/>
              <w:autoSpaceDN w:val="0"/>
              <w:adjustRightInd w:val="0"/>
              <w:snapToGrid w:val="0"/>
              <w:spacing w:line="360" w:lineRule="auto"/>
              <w:jc w:val="center"/>
              <w:rPr>
                <w:rFonts w:ascii="Times New Roman" w:hAnsi="Times New Roman" w:eastAsia="宋体"/>
                <w:b w:val="0"/>
                <w:bCs w:val="0"/>
                <w:color w:val="0000FF"/>
                <w:sz w:val="21"/>
                <w:szCs w:val="21"/>
                <w:vertAlign w:val="baseline"/>
              </w:rPr>
            </w:pPr>
          </w:p>
        </w:tc>
        <w:tc>
          <w:tcPr>
            <w:tcW w:w="1660" w:type="dxa"/>
            <w:tcBorders>
              <w:tl2br w:val="nil"/>
              <w:tr2bl w:val="nil"/>
            </w:tcBorders>
            <w:noWrap w:val="0"/>
            <w:vAlign w:val="center"/>
          </w:tcPr>
          <w:p w14:paraId="57CFE1C8">
            <w:pPr>
              <w:autoSpaceDE w:val="0"/>
              <w:autoSpaceDN w:val="0"/>
              <w:adjustRightInd w:val="0"/>
              <w:snapToGrid w:val="0"/>
              <w:spacing w:line="360" w:lineRule="auto"/>
              <w:jc w:val="center"/>
              <w:rPr>
                <w:rFonts w:hint="eastAsia" w:ascii="Times New Roman" w:hAnsi="Times New Roman" w:eastAsia="宋体"/>
                <w:b w:val="0"/>
                <w:bCs w:val="0"/>
                <w:color w:val="0000FF"/>
                <w:sz w:val="21"/>
                <w:szCs w:val="21"/>
                <w:vertAlign w:val="baseline"/>
                <w:lang w:val="en-US" w:eastAsia="zh-CN"/>
              </w:rPr>
            </w:pPr>
            <w:r>
              <w:rPr>
                <w:rFonts w:hint="eastAsia" w:ascii="Times New Roman" w:hAnsi="Times New Roman" w:eastAsia="宋体"/>
                <w:b w:val="0"/>
                <w:bCs w:val="0"/>
                <w:color w:val="0000FF"/>
                <w:sz w:val="21"/>
                <w:szCs w:val="21"/>
                <w:vertAlign w:val="baseline"/>
                <w:lang w:val="en-US" w:eastAsia="zh-CN"/>
              </w:rPr>
              <w:t>14:00-15:00</w:t>
            </w:r>
          </w:p>
        </w:tc>
        <w:tc>
          <w:tcPr>
            <w:tcW w:w="0" w:type="auto"/>
            <w:tcBorders>
              <w:tl2br w:val="nil"/>
              <w:tr2bl w:val="nil"/>
            </w:tcBorders>
            <w:noWrap w:val="0"/>
            <w:vAlign w:val="center"/>
          </w:tcPr>
          <w:p w14:paraId="79F10FDC">
            <w:pPr>
              <w:autoSpaceDE w:val="0"/>
              <w:autoSpaceDN w:val="0"/>
              <w:adjustRightInd w:val="0"/>
              <w:snapToGrid w:val="0"/>
              <w:spacing w:line="360" w:lineRule="auto"/>
              <w:jc w:val="center"/>
              <w:rPr>
                <w:rFonts w:hint="default" w:ascii="Times New Roman" w:hAnsi="Times New Roman" w:eastAsia="宋体"/>
                <w:b w:val="0"/>
                <w:bCs w:val="0"/>
                <w:color w:val="0000FF"/>
                <w:kern w:val="2"/>
                <w:sz w:val="21"/>
                <w:szCs w:val="21"/>
                <w:vertAlign w:val="baseline"/>
                <w:lang w:val="en-US" w:eastAsia="zh-CN" w:bidi="ar-SA"/>
              </w:rPr>
            </w:pPr>
            <w:r>
              <w:rPr>
                <w:rFonts w:hint="eastAsia" w:ascii="Times New Roman" w:hAnsi="Times New Roman" w:eastAsia="宋体"/>
                <w:b w:val="0"/>
                <w:bCs w:val="0"/>
                <w:color w:val="0000FF"/>
                <w:kern w:val="2"/>
                <w:sz w:val="21"/>
                <w:szCs w:val="21"/>
                <w:vertAlign w:val="baseline"/>
                <w:lang w:val="en-US" w:eastAsia="zh-CN" w:bidi="ar-SA"/>
              </w:rPr>
              <w:t>0.31</w:t>
            </w:r>
          </w:p>
        </w:tc>
        <w:tc>
          <w:tcPr>
            <w:tcW w:w="0" w:type="auto"/>
            <w:tcBorders>
              <w:tl2br w:val="nil"/>
              <w:tr2bl w:val="nil"/>
            </w:tcBorders>
            <w:noWrap w:val="0"/>
            <w:vAlign w:val="center"/>
          </w:tcPr>
          <w:p w14:paraId="61A3F40E">
            <w:pPr>
              <w:autoSpaceDE w:val="0"/>
              <w:autoSpaceDN w:val="0"/>
              <w:adjustRightInd w:val="0"/>
              <w:snapToGrid w:val="0"/>
              <w:spacing w:line="360" w:lineRule="auto"/>
              <w:jc w:val="center"/>
              <w:rPr>
                <w:rFonts w:hint="default" w:ascii="Times New Roman" w:hAnsi="Times New Roman" w:eastAsia="宋体"/>
                <w:b w:val="0"/>
                <w:bCs w:val="0"/>
                <w:color w:val="0000FF"/>
                <w:sz w:val="21"/>
                <w:szCs w:val="21"/>
                <w:vertAlign w:val="baseline"/>
                <w:lang w:val="en-US" w:eastAsia="zh-CN"/>
              </w:rPr>
            </w:pPr>
            <w:r>
              <w:rPr>
                <w:rFonts w:hint="eastAsia" w:ascii="Times New Roman" w:hAnsi="Times New Roman" w:eastAsia="宋体"/>
                <w:b w:val="0"/>
                <w:bCs w:val="0"/>
                <w:color w:val="0000FF"/>
                <w:sz w:val="21"/>
                <w:szCs w:val="21"/>
                <w:vertAlign w:val="baseline"/>
                <w:lang w:val="en-US" w:eastAsia="zh-CN"/>
              </w:rPr>
              <w:t>0.155</w:t>
            </w:r>
          </w:p>
        </w:tc>
      </w:tr>
      <w:tr w14:paraId="4C8135A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1" w:type="dxa"/>
            <w:vMerge w:val="continue"/>
            <w:tcBorders>
              <w:tl2br w:val="nil"/>
              <w:tr2bl w:val="nil"/>
            </w:tcBorders>
            <w:noWrap w:val="0"/>
            <w:vAlign w:val="center"/>
          </w:tcPr>
          <w:p w14:paraId="49BEA97A">
            <w:pPr>
              <w:autoSpaceDE w:val="0"/>
              <w:autoSpaceDN w:val="0"/>
              <w:adjustRightInd w:val="0"/>
              <w:snapToGrid w:val="0"/>
              <w:spacing w:line="360" w:lineRule="auto"/>
              <w:jc w:val="center"/>
              <w:rPr>
                <w:rFonts w:ascii="Times New Roman" w:hAnsi="Times New Roman" w:eastAsia="宋体"/>
                <w:b w:val="0"/>
                <w:bCs w:val="0"/>
                <w:color w:val="0000FF"/>
                <w:sz w:val="21"/>
                <w:szCs w:val="21"/>
                <w:vertAlign w:val="baseline"/>
              </w:rPr>
            </w:pPr>
          </w:p>
        </w:tc>
        <w:tc>
          <w:tcPr>
            <w:tcW w:w="2187" w:type="dxa"/>
            <w:vMerge w:val="continue"/>
            <w:tcBorders>
              <w:tl2br w:val="nil"/>
              <w:tr2bl w:val="nil"/>
            </w:tcBorders>
            <w:noWrap w:val="0"/>
            <w:vAlign w:val="center"/>
          </w:tcPr>
          <w:p w14:paraId="26567BD3">
            <w:pPr>
              <w:autoSpaceDE w:val="0"/>
              <w:autoSpaceDN w:val="0"/>
              <w:adjustRightInd w:val="0"/>
              <w:snapToGrid w:val="0"/>
              <w:spacing w:line="360" w:lineRule="auto"/>
              <w:jc w:val="center"/>
              <w:rPr>
                <w:rFonts w:ascii="Times New Roman" w:hAnsi="Times New Roman" w:eastAsia="宋体"/>
                <w:b w:val="0"/>
                <w:bCs w:val="0"/>
                <w:color w:val="0000FF"/>
                <w:sz w:val="21"/>
                <w:szCs w:val="21"/>
                <w:vertAlign w:val="baseline"/>
              </w:rPr>
            </w:pPr>
          </w:p>
        </w:tc>
        <w:tc>
          <w:tcPr>
            <w:tcW w:w="1660" w:type="dxa"/>
            <w:tcBorders>
              <w:tl2br w:val="nil"/>
              <w:tr2bl w:val="nil"/>
            </w:tcBorders>
            <w:noWrap w:val="0"/>
            <w:vAlign w:val="center"/>
          </w:tcPr>
          <w:p w14:paraId="0C1A2B33">
            <w:pPr>
              <w:autoSpaceDE w:val="0"/>
              <w:autoSpaceDN w:val="0"/>
              <w:adjustRightInd w:val="0"/>
              <w:snapToGrid w:val="0"/>
              <w:spacing w:line="360" w:lineRule="auto"/>
              <w:jc w:val="center"/>
              <w:rPr>
                <w:rFonts w:hint="eastAsia" w:ascii="Times New Roman" w:hAnsi="Times New Roman" w:eastAsia="宋体"/>
                <w:b w:val="0"/>
                <w:bCs w:val="0"/>
                <w:color w:val="0000FF"/>
                <w:sz w:val="21"/>
                <w:szCs w:val="21"/>
                <w:vertAlign w:val="baseline"/>
                <w:lang w:val="en-US" w:eastAsia="zh-CN"/>
              </w:rPr>
            </w:pPr>
            <w:r>
              <w:rPr>
                <w:rFonts w:hint="eastAsia" w:ascii="Times New Roman" w:hAnsi="Times New Roman" w:eastAsia="宋体"/>
                <w:b w:val="0"/>
                <w:bCs w:val="0"/>
                <w:color w:val="0000FF"/>
                <w:sz w:val="21"/>
                <w:szCs w:val="21"/>
                <w:vertAlign w:val="baseline"/>
                <w:lang w:val="en-US" w:eastAsia="zh-CN"/>
              </w:rPr>
              <w:t>20:00-21:00</w:t>
            </w:r>
          </w:p>
        </w:tc>
        <w:tc>
          <w:tcPr>
            <w:tcW w:w="0" w:type="auto"/>
            <w:tcBorders>
              <w:tl2br w:val="nil"/>
              <w:tr2bl w:val="nil"/>
            </w:tcBorders>
            <w:noWrap w:val="0"/>
            <w:vAlign w:val="center"/>
          </w:tcPr>
          <w:p w14:paraId="707AFD40">
            <w:pPr>
              <w:autoSpaceDE w:val="0"/>
              <w:autoSpaceDN w:val="0"/>
              <w:adjustRightInd w:val="0"/>
              <w:snapToGrid w:val="0"/>
              <w:spacing w:line="360" w:lineRule="auto"/>
              <w:jc w:val="center"/>
              <w:rPr>
                <w:rFonts w:hint="default"/>
                <w:b w:val="0"/>
                <w:bCs w:val="0"/>
                <w:color w:val="0000FF"/>
                <w:sz w:val="21"/>
                <w:szCs w:val="21"/>
                <w:lang w:val="en-US" w:eastAsia="zh-CN"/>
              </w:rPr>
            </w:pPr>
            <w:r>
              <w:rPr>
                <w:rFonts w:hint="eastAsia"/>
                <w:b w:val="0"/>
                <w:bCs w:val="0"/>
                <w:color w:val="0000FF"/>
                <w:sz w:val="21"/>
                <w:szCs w:val="21"/>
                <w:lang w:val="en-US" w:eastAsia="zh-CN"/>
              </w:rPr>
              <w:t>0.30</w:t>
            </w:r>
          </w:p>
        </w:tc>
        <w:tc>
          <w:tcPr>
            <w:tcW w:w="0" w:type="auto"/>
            <w:tcBorders>
              <w:tl2br w:val="nil"/>
              <w:tr2bl w:val="nil"/>
            </w:tcBorders>
            <w:noWrap w:val="0"/>
            <w:vAlign w:val="center"/>
          </w:tcPr>
          <w:p w14:paraId="0861FD44">
            <w:pPr>
              <w:autoSpaceDE w:val="0"/>
              <w:autoSpaceDN w:val="0"/>
              <w:adjustRightInd w:val="0"/>
              <w:snapToGrid w:val="0"/>
              <w:spacing w:line="360" w:lineRule="auto"/>
              <w:jc w:val="center"/>
              <w:rPr>
                <w:rFonts w:hint="default" w:ascii="Times New Roman" w:hAnsi="Times New Roman" w:eastAsia="宋体"/>
                <w:b w:val="0"/>
                <w:bCs w:val="0"/>
                <w:color w:val="0000FF"/>
                <w:sz w:val="21"/>
                <w:szCs w:val="21"/>
                <w:vertAlign w:val="baseline"/>
                <w:lang w:val="en-US" w:eastAsia="zh-CN"/>
              </w:rPr>
            </w:pPr>
            <w:r>
              <w:rPr>
                <w:rFonts w:hint="eastAsia" w:ascii="Times New Roman" w:hAnsi="Times New Roman" w:eastAsia="宋体"/>
                <w:b w:val="0"/>
                <w:bCs w:val="0"/>
                <w:color w:val="0000FF"/>
                <w:sz w:val="21"/>
                <w:szCs w:val="21"/>
                <w:vertAlign w:val="baseline"/>
                <w:lang w:val="en-US" w:eastAsia="zh-CN"/>
              </w:rPr>
              <w:t>0.15</w:t>
            </w:r>
          </w:p>
        </w:tc>
      </w:tr>
    </w:tbl>
    <w:p w14:paraId="1285B84C">
      <w:pPr>
        <w:adjustRightInd w:val="0"/>
        <w:snapToGrid w:val="0"/>
        <w:spacing w:before="156" w:beforeLines="50" w:line="360" w:lineRule="auto"/>
        <w:ind w:firstLine="480" w:firstLineChars="200"/>
        <w:jc w:val="left"/>
        <w:rPr>
          <w:color w:val="0000FF"/>
          <w:sz w:val="24"/>
          <w:szCs w:val="24"/>
        </w:rPr>
      </w:pPr>
      <w:r>
        <w:rPr>
          <w:color w:val="0000FF"/>
          <w:sz w:val="24"/>
          <w:szCs w:val="22"/>
        </w:rPr>
        <w:t>由上表可见</w:t>
      </w:r>
      <w:r>
        <w:rPr>
          <w:color w:val="0000FF"/>
          <w:sz w:val="24"/>
          <w:szCs w:val="24"/>
        </w:rPr>
        <w:t>，评价区域大气环境中非甲烷总烃污染物小时值最大占标率小于100%，说明监测点非甲烷总烃在监测期间的小时值浓度全部满足</w:t>
      </w:r>
      <w:r>
        <w:rPr>
          <w:rFonts w:hint="eastAsia"/>
          <w:color w:val="0000FF"/>
          <w:sz w:val="24"/>
          <w:szCs w:val="22"/>
        </w:rPr>
        <w:t>《大气污染物综合排放标准》（GB16297-1996）中《大气污染物综合排放标准详解》，第244页中2mg/m</w:t>
      </w:r>
      <w:r>
        <w:rPr>
          <w:rFonts w:hint="eastAsia"/>
          <w:color w:val="0000FF"/>
          <w:sz w:val="24"/>
          <w:szCs w:val="22"/>
          <w:vertAlign w:val="superscript"/>
        </w:rPr>
        <w:t>3</w:t>
      </w:r>
      <w:r>
        <w:rPr>
          <w:rFonts w:hint="eastAsia"/>
          <w:color w:val="0000FF"/>
          <w:sz w:val="24"/>
          <w:szCs w:val="22"/>
        </w:rPr>
        <w:t>值</w:t>
      </w:r>
      <w:r>
        <w:rPr>
          <w:color w:val="0000FF"/>
          <w:sz w:val="24"/>
          <w:szCs w:val="24"/>
        </w:rPr>
        <w:t>。由此可见，拟建项目区周围大气环境质量良好。</w:t>
      </w:r>
    </w:p>
    <w:p w14:paraId="6A8247D0">
      <w:pPr>
        <w:adjustRightInd w:val="0"/>
        <w:snapToGrid w:val="0"/>
        <w:spacing w:before="156" w:beforeLines="50" w:line="360" w:lineRule="auto"/>
        <w:jc w:val="left"/>
        <w:rPr>
          <w:color w:val="0000FF"/>
          <w:sz w:val="24"/>
          <w:szCs w:val="24"/>
        </w:rPr>
      </w:pPr>
    </w:p>
    <w:p w14:paraId="48BD721F">
      <w:pPr>
        <w:adjustRightInd w:val="0"/>
        <w:snapToGrid w:val="0"/>
        <w:spacing w:before="156" w:beforeLines="50" w:line="360" w:lineRule="auto"/>
        <w:jc w:val="left"/>
        <w:rPr>
          <w:color w:val="0000FF"/>
          <w:sz w:val="24"/>
          <w:szCs w:val="24"/>
        </w:rPr>
      </w:pPr>
    </w:p>
    <w:p w14:paraId="153164E9">
      <w:pPr>
        <w:adjustRightInd w:val="0"/>
        <w:snapToGrid w:val="0"/>
        <w:spacing w:before="156" w:beforeLines="50" w:line="360" w:lineRule="auto"/>
        <w:jc w:val="left"/>
        <w:rPr>
          <w:color w:val="0000FF"/>
          <w:sz w:val="24"/>
          <w:szCs w:val="24"/>
        </w:rPr>
      </w:pPr>
    </w:p>
    <w:p w14:paraId="039CEEDE">
      <w:pPr>
        <w:adjustRightInd w:val="0"/>
        <w:snapToGrid w:val="0"/>
        <w:spacing w:before="156" w:beforeLines="50" w:line="360" w:lineRule="auto"/>
        <w:jc w:val="left"/>
        <w:rPr>
          <w:rFonts w:hint="eastAsia" w:ascii="宋体" w:hAnsi="宋体" w:cs="宋体"/>
          <w:b/>
          <w:bCs w:val="0"/>
          <w:sz w:val="24"/>
          <w:szCs w:val="24"/>
          <w:lang w:val="zh-CN"/>
        </w:rPr>
      </w:pPr>
      <w:r>
        <w:rPr>
          <w:rFonts w:hint="eastAsia" w:ascii="宋体" w:hAnsi="宋体" w:cs="宋体"/>
          <w:b/>
          <w:bCs w:val="0"/>
          <w:sz w:val="24"/>
          <w:szCs w:val="24"/>
          <w:lang w:val="zh-CN"/>
        </w:rPr>
        <w:t>意见</w:t>
      </w:r>
      <w:r>
        <w:rPr>
          <w:rFonts w:hint="eastAsia" w:ascii="宋体" w:hAnsi="宋体" w:cs="宋体"/>
          <w:b/>
          <w:bCs w:val="0"/>
          <w:sz w:val="24"/>
          <w:szCs w:val="24"/>
          <w:lang w:val="en-US" w:eastAsia="zh-CN"/>
        </w:rPr>
        <w:t>6、</w:t>
      </w:r>
      <w:r>
        <w:rPr>
          <w:rFonts w:hint="eastAsia" w:ascii="宋体" w:hAnsi="宋体" w:cs="宋体"/>
          <w:b/>
          <w:bCs w:val="0"/>
          <w:sz w:val="24"/>
          <w:szCs w:val="24"/>
          <w:lang w:val="zh-CN"/>
        </w:rPr>
        <w:t>完善大气环境影响预测内容，分析大气污染防治措施有效性。</w:t>
      </w:r>
    </w:p>
    <w:p w14:paraId="5DED4CC0">
      <w:pPr>
        <w:adjustRightInd w:val="0"/>
        <w:snapToGrid w:val="0"/>
        <w:spacing w:before="156" w:beforeLines="50" w:line="360" w:lineRule="auto"/>
        <w:jc w:val="left"/>
        <w:rPr>
          <w:rFonts w:hint="eastAsia" w:ascii="宋体" w:hAnsi="宋体" w:cs="宋体"/>
          <w:b/>
          <w:bCs w:val="0"/>
          <w:sz w:val="24"/>
          <w:szCs w:val="24"/>
          <w:vertAlign w:val="baseline"/>
          <w:lang w:val="en-US" w:eastAsia="zh-CN"/>
        </w:rPr>
      </w:pPr>
      <w:r>
        <w:rPr>
          <w:rFonts w:hint="eastAsia" w:ascii="宋体" w:hAnsi="宋体" w:cs="宋体"/>
          <w:b/>
          <w:bCs w:val="0"/>
          <w:sz w:val="24"/>
          <w:szCs w:val="24"/>
          <w:vertAlign w:val="baseline"/>
          <w:lang w:val="zh-CN"/>
        </w:rPr>
        <w:t>已修改，见报告</w:t>
      </w:r>
      <w:r>
        <w:rPr>
          <w:rFonts w:hint="eastAsia" w:ascii="宋体" w:hAnsi="宋体" w:cs="宋体"/>
          <w:b/>
          <w:bCs w:val="0"/>
          <w:sz w:val="24"/>
          <w:szCs w:val="24"/>
          <w:vertAlign w:val="baseline"/>
          <w:lang w:val="en-US" w:eastAsia="zh-CN"/>
        </w:rPr>
        <w:t>P34-61。</w:t>
      </w:r>
    </w:p>
    <w:p w14:paraId="4F3EFE82">
      <w:pPr>
        <w:adjustRightInd w:val="0"/>
        <w:snapToGrid w:val="0"/>
        <w:spacing w:line="360" w:lineRule="auto"/>
        <w:ind w:firstLine="482" w:firstLineChars="200"/>
        <w:rPr>
          <w:rFonts w:ascii="Times New Roman" w:hAnsi="Times New Roman" w:eastAsia="宋体"/>
          <w:b/>
          <w:bCs/>
          <w:color w:val="0000FF"/>
          <w:sz w:val="24"/>
          <w:szCs w:val="24"/>
        </w:rPr>
      </w:pPr>
      <w:r>
        <w:rPr>
          <w:rFonts w:ascii="Times New Roman" w:hAnsi="Times New Roman" w:eastAsia="宋体"/>
          <w:b/>
          <w:bCs/>
          <w:color w:val="0000FF"/>
          <w:sz w:val="24"/>
          <w:szCs w:val="24"/>
        </w:rPr>
        <w:t>1.1污染物排放预测分析</w:t>
      </w:r>
    </w:p>
    <w:p w14:paraId="54017C5C">
      <w:pPr>
        <w:adjustRightInd w:val="0"/>
        <w:snapToGrid w:val="0"/>
        <w:spacing w:line="360" w:lineRule="auto"/>
        <w:ind w:firstLine="480" w:firstLineChars="200"/>
        <w:rPr>
          <w:rFonts w:ascii="Times New Roman" w:hAnsi="Times New Roman" w:eastAsia="宋体"/>
          <w:color w:val="0000FF"/>
          <w:sz w:val="24"/>
          <w:szCs w:val="24"/>
        </w:rPr>
      </w:pPr>
      <w:r>
        <w:rPr>
          <w:rFonts w:ascii="Times New Roman" w:hAnsi="Times New Roman" w:eastAsia="宋体"/>
          <w:color w:val="0000FF"/>
          <w:sz w:val="24"/>
          <w:szCs w:val="24"/>
        </w:rPr>
        <w:t>（1）评价基准年</w:t>
      </w:r>
    </w:p>
    <w:p w14:paraId="38BAF094">
      <w:pPr>
        <w:adjustRightInd w:val="0"/>
        <w:snapToGrid w:val="0"/>
        <w:spacing w:line="360" w:lineRule="auto"/>
        <w:ind w:firstLine="480" w:firstLineChars="200"/>
        <w:rPr>
          <w:rFonts w:ascii="Times New Roman" w:hAnsi="Times New Roman" w:eastAsia="宋体"/>
          <w:color w:val="0000FF"/>
          <w:sz w:val="24"/>
          <w:szCs w:val="24"/>
        </w:rPr>
      </w:pPr>
      <w:r>
        <w:rPr>
          <w:rFonts w:ascii="Times New Roman" w:hAnsi="Times New Roman" w:eastAsia="宋体"/>
          <w:color w:val="0000FF"/>
          <w:sz w:val="24"/>
          <w:szCs w:val="24"/>
        </w:rPr>
        <w:t>根据《环境影响评价技术导则大气环境》（HJ2.2-2018），选取201</w:t>
      </w:r>
      <w:r>
        <w:rPr>
          <w:rFonts w:hint="eastAsia" w:ascii="Times New Roman" w:hAnsi="Times New Roman" w:eastAsia="宋体"/>
          <w:color w:val="0000FF"/>
          <w:sz w:val="24"/>
          <w:szCs w:val="24"/>
          <w:lang w:val="en-US" w:eastAsia="zh-CN"/>
        </w:rPr>
        <w:t>9</w:t>
      </w:r>
      <w:r>
        <w:rPr>
          <w:rFonts w:ascii="Times New Roman" w:hAnsi="Times New Roman" w:eastAsia="宋体"/>
          <w:color w:val="0000FF"/>
          <w:sz w:val="24"/>
          <w:szCs w:val="24"/>
        </w:rPr>
        <w:t>年为本项目大气环境影响评价的基准年。</w:t>
      </w:r>
    </w:p>
    <w:p w14:paraId="1C85E302">
      <w:pPr>
        <w:adjustRightInd w:val="0"/>
        <w:snapToGrid w:val="0"/>
        <w:spacing w:line="360" w:lineRule="auto"/>
        <w:ind w:firstLine="480" w:firstLineChars="200"/>
        <w:rPr>
          <w:rFonts w:ascii="Times New Roman" w:hAnsi="Times New Roman" w:eastAsia="宋体"/>
          <w:color w:val="0000FF"/>
          <w:sz w:val="24"/>
          <w:szCs w:val="24"/>
        </w:rPr>
      </w:pPr>
      <w:r>
        <w:rPr>
          <w:rFonts w:ascii="Times New Roman" w:hAnsi="Times New Roman" w:eastAsia="宋体"/>
          <w:color w:val="0000FF"/>
          <w:sz w:val="24"/>
          <w:szCs w:val="24"/>
        </w:rPr>
        <w:t>（2）评价因子和评价标准</w:t>
      </w:r>
    </w:p>
    <w:p w14:paraId="34749316">
      <w:pPr>
        <w:adjustRightInd w:val="0"/>
        <w:snapToGrid w:val="0"/>
        <w:spacing w:line="360" w:lineRule="auto"/>
        <w:ind w:firstLine="480" w:firstLineChars="200"/>
        <w:rPr>
          <w:rFonts w:ascii="Times New Roman" w:hAnsi="Times New Roman" w:eastAsia="宋体"/>
          <w:color w:val="0000FF"/>
          <w:sz w:val="24"/>
          <w:szCs w:val="24"/>
        </w:rPr>
      </w:pPr>
      <w:r>
        <w:rPr>
          <w:rFonts w:ascii="Times New Roman" w:hAnsi="Times New Roman" w:eastAsia="宋体"/>
          <w:color w:val="0000FF"/>
          <w:sz w:val="24"/>
          <w:szCs w:val="24"/>
          <w:lang w:val="en-GB"/>
        </w:rPr>
        <w:t>根据工程分析，</w:t>
      </w:r>
      <w:r>
        <w:rPr>
          <w:rFonts w:ascii="Times New Roman" w:hAnsi="Times New Roman" w:eastAsia="宋体"/>
          <w:color w:val="0000FF"/>
          <w:sz w:val="24"/>
          <w:szCs w:val="24"/>
        </w:rPr>
        <w:t>结合《环境影响评价技术导则大气环境》（HJ2.2-2018）的要求</w:t>
      </w:r>
      <w:r>
        <w:rPr>
          <w:rFonts w:ascii="Times New Roman" w:hAnsi="Times New Roman" w:eastAsia="宋体"/>
          <w:color w:val="0000FF"/>
          <w:sz w:val="24"/>
          <w:szCs w:val="24"/>
          <w:lang w:val="en-GB"/>
        </w:rPr>
        <w:t>，</w:t>
      </w:r>
      <w:r>
        <w:rPr>
          <w:rFonts w:ascii="Times New Roman" w:hAnsi="Times New Roman" w:eastAsia="宋体"/>
          <w:color w:val="0000FF"/>
          <w:sz w:val="24"/>
          <w:szCs w:val="24"/>
        </w:rPr>
        <w:t>将项目有机废气（以非甲烷总烃计）作为评价因子，评价因子的评价标准见下表</w:t>
      </w:r>
      <w:r>
        <w:rPr>
          <w:rFonts w:hint="eastAsia" w:ascii="Times New Roman" w:hAnsi="Times New Roman" w:eastAsia="宋体"/>
          <w:color w:val="0000FF"/>
          <w:sz w:val="24"/>
          <w:szCs w:val="24"/>
          <w:lang w:val="en-US" w:eastAsia="zh-CN"/>
        </w:rPr>
        <w:t>4-1</w:t>
      </w:r>
      <w:r>
        <w:rPr>
          <w:rFonts w:ascii="Times New Roman" w:hAnsi="Times New Roman" w:eastAsia="宋体"/>
          <w:color w:val="0000FF"/>
          <w:sz w:val="24"/>
          <w:szCs w:val="24"/>
        </w:rPr>
        <w:t>。</w:t>
      </w:r>
    </w:p>
    <w:p w14:paraId="2C1081BD">
      <w:pPr>
        <w:ind w:firstLine="422"/>
        <w:jc w:val="center"/>
        <w:rPr>
          <w:rFonts w:ascii="Times New Roman" w:hAnsi="Times New Roman" w:eastAsia="宋体"/>
          <w:b/>
          <w:color w:val="0000FF"/>
          <w:szCs w:val="21"/>
        </w:rPr>
      </w:pPr>
      <w:r>
        <w:rPr>
          <w:rFonts w:ascii="Times New Roman" w:hAnsi="Times New Roman" w:eastAsia="宋体"/>
          <w:b/>
          <w:color w:val="0000FF"/>
          <w:szCs w:val="21"/>
        </w:rPr>
        <w:t>表</w:t>
      </w:r>
      <w:r>
        <w:rPr>
          <w:rFonts w:hint="eastAsia" w:ascii="Times New Roman" w:hAnsi="Times New Roman" w:eastAsia="宋体"/>
          <w:b/>
          <w:color w:val="0000FF"/>
          <w:szCs w:val="21"/>
          <w:lang w:val="en-US" w:eastAsia="zh-CN"/>
        </w:rPr>
        <w:t>4-1</w:t>
      </w:r>
      <w:r>
        <w:rPr>
          <w:rFonts w:ascii="Times New Roman" w:hAnsi="Times New Roman" w:eastAsia="宋体"/>
          <w:b/>
          <w:color w:val="0000FF"/>
          <w:szCs w:val="21"/>
        </w:rPr>
        <w:t>评价因子和评价标准表</w:t>
      </w:r>
    </w:p>
    <w:tbl>
      <w:tblPr>
        <w:tblStyle w:val="11"/>
        <w:tblW w:w="0" w:type="auto"/>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3306"/>
        <w:gridCol w:w="2304"/>
        <w:gridCol w:w="2702"/>
      </w:tblGrid>
      <w:tr w14:paraId="37BDFCD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80" w:hRule="atLeast"/>
          <w:jc w:val="center"/>
        </w:trPr>
        <w:tc>
          <w:tcPr>
            <w:tcW w:w="3306" w:type="dxa"/>
            <w:noWrap w:val="0"/>
            <w:vAlign w:val="center"/>
          </w:tcPr>
          <w:p w14:paraId="19EF8F01">
            <w:pPr>
              <w:contextualSpacing/>
              <w:jc w:val="center"/>
              <w:rPr>
                <w:rFonts w:ascii="Times New Roman" w:hAnsi="Times New Roman" w:eastAsia="宋体"/>
                <w:b/>
                <w:bCs/>
                <w:color w:val="0000FF"/>
                <w:kern w:val="0"/>
                <w:szCs w:val="21"/>
              </w:rPr>
            </w:pPr>
            <w:r>
              <w:rPr>
                <w:rFonts w:ascii="Times New Roman" w:hAnsi="Times New Roman" w:eastAsia="宋体"/>
                <w:b/>
                <w:bCs/>
                <w:color w:val="0000FF"/>
                <w:kern w:val="0"/>
                <w:szCs w:val="21"/>
              </w:rPr>
              <w:t>评价因子</w:t>
            </w:r>
          </w:p>
        </w:tc>
        <w:tc>
          <w:tcPr>
            <w:tcW w:w="2304" w:type="dxa"/>
            <w:noWrap w:val="0"/>
            <w:vAlign w:val="center"/>
          </w:tcPr>
          <w:p w14:paraId="5BE381B6">
            <w:pPr>
              <w:contextualSpacing/>
              <w:jc w:val="center"/>
              <w:rPr>
                <w:rFonts w:ascii="Times New Roman" w:hAnsi="Times New Roman" w:eastAsia="宋体"/>
                <w:b/>
                <w:bCs/>
                <w:color w:val="0000FF"/>
                <w:kern w:val="0"/>
                <w:szCs w:val="21"/>
              </w:rPr>
            </w:pPr>
            <w:r>
              <w:rPr>
                <w:rFonts w:ascii="Times New Roman" w:hAnsi="Times New Roman" w:eastAsia="宋体"/>
                <w:b/>
                <w:bCs/>
                <w:color w:val="0000FF"/>
                <w:kern w:val="0"/>
                <w:szCs w:val="21"/>
              </w:rPr>
              <w:t>平均时段</w:t>
            </w:r>
          </w:p>
        </w:tc>
        <w:tc>
          <w:tcPr>
            <w:tcW w:w="2702" w:type="dxa"/>
            <w:noWrap w:val="0"/>
            <w:vAlign w:val="center"/>
          </w:tcPr>
          <w:p w14:paraId="439E4489">
            <w:pPr>
              <w:contextualSpacing/>
              <w:jc w:val="center"/>
              <w:rPr>
                <w:rFonts w:ascii="Times New Roman" w:hAnsi="Times New Roman" w:eastAsia="宋体"/>
                <w:b/>
                <w:bCs/>
                <w:color w:val="0000FF"/>
                <w:kern w:val="0"/>
                <w:szCs w:val="21"/>
              </w:rPr>
            </w:pPr>
            <w:r>
              <w:rPr>
                <w:rFonts w:ascii="Times New Roman" w:hAnsi="Times New Roman" w:eastAsia="宋体"/>
                <w:b/>
                <w:bCs/>
                <w:color w:val="0000FF"/>
                <w:kern w:val="0"/>
                <w:szCs w:val="21"/>
              </w:rPr>
              <w:t>标准值（μg/m</w:t>
            </w:r>
            <w:r>
              <w:rPr>
                <w:rFonts w:ascii="Times New Roman" w:hAnsi="Times New Roman" w:eastAsia="宋体"/>
                <w:b/>
                <w:bCs/>
                <w:color w:val="0000FF"/>
                <w:kern w:val="0"/>
                <w:szCs w:val="21"/>
                <w:vertAlign w:val="superscript"/>
              </w:rPr>
              <w:t>3</w:t>
            </w:r>
            <w:r>
              <w:rPr>
                <w:rFonts w:ascii="Times New Roman" w:hAnsi="Times New Roman" w:eastAsia="宋体"/>
                <w:b/>
                <w:bCs/>
                <w:color w:val="0000FF"/>
                <w:kern w:val="0"/>
                <w:szCs w:val="21"/>
              </w:rPr>
              <w:t>）</w:t>
            </w:r>
          </w:p>
        </w:tc>
      </w:tr>
      <w:tr w14:paraId="3FB54BD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3306" w:type="dxa"/>
            <w:noWrap w:val="0"/>
            <w:vAlign w:val="center"/>
          </w:tcPr>
          <w:p w14:paraId="32C92931">
            <w:pPr>
              <w:contextualSpacing/>
              <w:jc w:val="center"/>
              <w:rPr>
                <w:rFonts w:ascii="Times New Roman" w:hAnsi="Times New Roman" w:eastAsia="宋体"/>
                <w:color w:val="0000FF"/>
                <w:kern w:val="0"/>
                <w:szCs w:val="21"/>
              </w:rPr>
            </w:pPr>
            <w:r>
              <w:rPr>
                <w:rFonts w:ascii="Times New Roman" w:hAnsi="Times New Roman" w:eastAsia="宋体"/>
                <w:color w:val="0000FF"/>
                <w:sz w:val="24"/>
                <w:szCs w:val="24"/>
              </w:rPr>
              <w:t>NMHC</w:t>
            </w:r>
          </w:p>
        </w:tc>
        <w:tc>
          <w:tcPr>
            <w:tcW w:w="2304" w:type="dxa"/>
            <w:noWrap w:val="0"/>
            <w:vAlign w:val="center"/>
          </w:tcPr>
          <w:p w14:paraId="6BE4D43C">
            <w:pPr>
              <w:contextualSpacing/>
              <w:jc w:val="center"/>
              <w:rPr>
                <w:rFonts w:ascii="Times New Roman" w:hAnsi="Times New Roman" w:eastAsia="宋体"/>
                <w:color w:val="0000FF"/>
                <w:kern w:val="0"/>
                <w:szCs w:val="21"/>
              </w:rPr>
            </w:pPr>
            <w:r>
              <w:rPr>
                <w:rFonts w:ascii="Times New Roman" w:hAnsi="Times New Roman" w:eastAsia="宋体"/>
                <w:color w:val="0000FF"/>
                <w:kern w:val="0"/>
                <w:szCs w:val="21"/>
              </w:rPr>
              <w:t>1小时平均</w:t>
            </w:r>
          </w:p>
        </w:tc>
        <w:tc>
          <w:tcPr>
            <w:tcW w:w="2702" w:type="dxa"/>
            <w:noWrap w:val="0"/>
            <w:vAlign w:val="center"/>
          </w:tcPr>
          <w:p w14:paraId="7C857F78">
            <w:pPr>
              <w:contextualSpacing/>
              <w:jc w:val="center"/>
              <w:rPr>
                <w:rFonts w:ascii="Times New Roman" w:hAnsi="Times New Roman" w:eastAsia="宋体"/>
                <w:color w:val="0000FF"/>
                <w:kern w:val="0"/>
                <w:szCs w:val="21"/>
              </w:rPr>
            </w:pPr>
            <w:r>
              <w:rPr>
                <w:rFonts w:ascii="Times New Roman" w:hAnsi="Times New Roman" w:eastAsia="宋体"/>
                <w:color w:val="0000FF"/>
                <w:kern w:val="0"/>
                <w:szCs w:val="21"/>
              </w:rPr>
              <w:t>1200</w:t>
            </w:r>
          </w:p>
        </w:tc>
      </w:tr>
      <w:tr w14:paraId="75C146D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3306" w:type="dxa"/>
            <w:noWrap w:val="0"/>
            <w:vAlign w:val="center"/>
          </w:tcPr>
          <w:p w14:paraId="40DDCC93">
            <w:pPr>
              <w:contextualSpacing/>
              <w:jc w:val="center"/>
              <w:rPr>
                <w:rFonts w:hint="eastAsia" w:ascii="Times New Roman" w:hAnsi="Times New Roman" w:eastAsia="宋体"/>
                <w:color w:val="0000FF"/>
                <w:sz w:val="24"/>
                <w:szCs w:val="24"/>
                <w:lang w:eastAsia="zh-CN"/>
              </w:rPr>
            </w:pPr>
            <w:r>
              <w:rPr>
                <w:rFonts w:hint="eastAsia" w:ascii="Times New Roman" w:hAnsi="Times New Roman" w:eastAsia="宋体"/>
                <w:color w:val="0000FF"/>
                <w:sz w:val="24"/>
                <w:szCs w:val="24"/>
                <w:lang w:eastAsia="zh-CN"/>
              </w:rPr>
              <w:t>硫酸雾</w:t>
            </w:r>
          </w:p>
        </w:tc>
        <w:tc>
          <w:tcPr>
            <w:tcW w:w="2304" w:type="dxa"/>
            <w:noWrap w:val="0"/>
            <w:vAlign w:val="center"/>
          </w:tcPr>
          <w:p w14:paraId="49A13640">
            <w:pPr>
              <w:contextualSpacing/>
              <w:jc w:val="center"/>
              <w:rPr>
                <w:rFonts w:ascii="Times New Roman" w:hAnsi="Times New Roman" w:eastAsia="宋体"/>
                <w:color w:val="0000FF"/>
                <w:kern w:val="0"/>
                <w:szCs w:val="21"/>
              </w:rPr>
            </w:pPr>
            <w:r>
              <w:rPr>
                <w:rFonts w:ascii="Times New Roman" w:hAnsi="Times New Roman" w:eastAsia="宋体"/>
                <w:color w:val="0000FF"/>
                <w:kern w:val="0"/>
                <w:szCs w:val="21"/>
              </w:rPr>
              <w:t>1小时平均</w:t>
            </w:r>
          </w:p>
        </w:tc>
        <w:tc>
          <w:tcPr>
            <w:tcW w:w="2702" w:type="dxa"/>
            <w:noWrap w:val="0"/>
            <w:vAlign w:val="center"/>
          </w:tcPr>
          <w:p w14:paraId="08E23089">
            <w:pPr>
              <w:contextualSpacing/>
              <w:jc w:val="center"/>
              <w:rPr>
                <w:rFonts w:ascii="Times New Roman" w:hAnsi="Times New Roman" w:eastAsia="宋体"/>
                <w:color w:val="0000FF"/>
                <w:kern w:val="0"/>
                <w:szCs w:val="21"/>
              </w:rPr>
            </w:pPr>
            <w:r>
              <w:rPr>
                <w:rFonts w:hint="eastAsia" w:ascii="Times New Roman" w:hAnsi="Times New Roman" w:eastAsia="宋体"/>
                <w:color w:val="0000FF"/>
                <w:kern w:val="0"/>
                <w:szCs w:val="21"/>
                <w:lang w:val="en-US" w:eastAsia="zh-CN"/>
              </w:rPr>
              <w:t>300</w:t>
            </w:r>
          </w:p>
        </w:tc>
      </w:tr>
    </w:tbl>
    <w:p w14:paraId="4C1E7725">
      <w:pPr>
        <w:spacing w:line="360" w:lineRule="auto"/>
        <w:ind w:firstLine="480"/>
        <w:rPr>
          <w:rFonts w:ascii="Times New Roman" w:hAnsi="Times New Roman" w:eastAsia="宋体"/>
          <w:color w:val="0000FF"/>
          <w:sz w:val="24"/>
          <w:szCs w:val="24"/>
        </w:rPr>
      </w:pPr>
      <w:r>
        <w:rPr>
          <w:rFonts w:ascii="Times New Roman" w:hAnsi="Times New Roman" w:eastAsia="宋体"/>
          <w:color w:val="0000FF"/>
          <w:sz w:val="24"/>
          <w:szCs w:val="24"/>
        </w:rPr>
        <w:t>（3）估算模型参数表</w:t>
      </w:r>
    </w:p>
    <w:p w14:paraId="05E0C206">
      <w:pPr>
        <w:ind w:firstLine="438"/>
        <w:jc w:val="center"/>
        <w:rPr>
          <w:rFonts w:ascii="Times New Roman" w:hAnsi="Times New Roman" w:eastAsia="宋体"/>
          <w:b/>
          <w:color w:val="0000FF"/>
          <w:spacing w:val="4"/>
          <w:szCs w:val="21"/>
        </w:rPr>
      </w:pPr>
      <w:r>
        <w:rPr>
          <w:rFonts w:ascii="Times New Roman" w:hAnsi="Times New Roman" w:eastAsia="宋体"/>
          <w:b/>
          <w:color w:val="0000FF"/>
          <w:spacing w:val="4"/>
          <w:szCs w:val="21"/>
        </w:rPr>
        <w:t>表</w:t>
      </w:r>
      <w:r>
        <w:rPr>
          <w:rFonts w:hint="eastAsia" w:ascii="Times New Roman" w:hAnsi="Times New Roman" w:eastAsia="宋体"/>
          <w:b/>
          <w:color w:val="0000FF"/>
          <w:spacing w:val="4"/>
          <w:szCs w:val="21"/>
          <w:lang w:val="en-US" w:eastAsia="zh-CN"/>
        </w:rPr>
        <w:t>4-2</w:t>
      </w:r>
      <w:r>
        <w:rPr>
          <w:rFonts w:ascii="Times New Roman" w:hAnsi="Times New Roman" w:eastAsia="宋体"/>
          <w:b/>
          <w:color w:val="0000FF"/>
          <w:spacing w:val="4"/>
          <w:szCs w:val="21"/>
        </w:rPr>
        <w:t>模型参数表</w:t>
      </w:r>
    </w:p>
    <w:tbl>
      <w:tblPr>
        <w:tblStyle w:val="11"/>
        <w:tblW w:w="4999"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836"/>
        <w:gridCol w:w="2841"/>
        <w:gridCol w:w="2843"/>
      </w:tblGrid>
      <w:tr w14:paraId="688FD89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98" w:hRule="atLeast"/>
          <w:jc w:val="center"/>
        </w:trPr>
        <w:tc>
          <w:tcPr>
            <w:tcW w:w="3331" w:type="pct"/>
            <w:gridSpan w:val="2"/>
            <w:noWrap w:val="0"/>
            <w:vAlign w:val="top"/>
          </w:tcPr>
          <w:p w14:paraId="0880BB9B">
            <w:pPr>
              <w:ind w:firstLine="420"/>
              <w:contextualSpacing/>
              <w:jc w:val="center"/>
              <w:rPr>
                <w:rFonts w:ascii="Times New Roman" w:hAnsi="Times New Roman" w:eastAsia="宋体"/>
                <w:b/>
                <w:bCs/>
                <w:color w:val="0000FF"/>
                <w:szCs w:val="21"/>
              </w:rPr>
            </w:pPr>
            <w:r>
              <w:rPr>
                <w:rFonts w:ascii="Times New Roman" w:hAnsi="Times New Roman" w:eastAsia="宋体"/>
                <w:b/>
                <w:bCs/>
                <w:color w:val="0000FF"/>
                <w:szCs w:val="21"/>
              </w:rPr>
              <w:t>参数</w:t>
            </w:r>
          </w:p>
        </w:tc>
        <w:tc>
          <w:tcPr>
            <w:tcW w:w="1668" w:type="pct"/>
            <w:noWrap w:val="0"/>
            <w:vAlign w:val="top"/>
          </w:tcPr>
          <w:p w14:paraId="262ABD16">
            <w:pPr>
              <w:ind w:firstLine="420"/>
              <w:contextualSpacing/>
              <w:jc w:val="center"/>
              <w:rPr>
                <w:rFonts w:ascii="Times New Roman" w:hAnsi="Times New Roman" w:eastAsia="宋体"/>
                <w:b/>
                <w:bCs/>
                <w:color w:val="0000FF"/>
                <w:szCs w:val="21"/>
              </w:rPr>
            </w:pPr>
            <w:r>
              <w:rPr>
                <w:rFonts w:ascii="Times New Roman" w:hAnsi="Times New Roman" w:eastAsia="宋体"/>
                <w:b/>
                <w:bCs/>
                <w:color w:val="0000FF"/>
                <w:szCs w:val="21"/>
              </w:rPr>
              <w:t>取值</w:t>
            </w:r>
          </w:p>
        </w:tc>
      </w:tr>
      <w:tr w14:paraId="0B2D5BB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1664" w:type="pct"/>
            <w:vMerge w:val="restart"/>
            <w:noWrap w:val="0"/>
            <w:vAlign w:val="center"/>
          </w:tcPr>
          <w:p w14:paraId="5D93F6B5">
            <w:pPr>
              <w:ind w:firstLine="420"/>
              <w:contextualSpacing/>
              <w:jc w:val="center"/>
              <w:rPr>
                <w:rFonts w:ascii="Times New Roman" w:hAnsi="Times New Roman" w:eastAsia="宋体"/>
                <w:color w:val="0000FF"/>
                <w:szCs w:val="21"/>
              </w:rPr>
            </w:pPr>
            <w:r>
              <w:rPr>
                <w:rFonts w:ascii="Times New Roman" w:hAnsi="Times New Roman" w:eastAsia="宋体"/>
                <w:color w:val="0000FF"/>
                <w:szCs w:val="21"/>
              </w:rPr>
              <w:t>城市/农村选项</w:t>
            </w:r>
          </w:p>
        </w:tc>
        <w:tc>
          <w:tcPr>
            <w:tcW w:w="1667" w:type="pct"/>
            <w:noWrap w:val="0"/>
            <w:vAlign w:val="top"/>
          </w:tcPr>
          <w:p w14:paraId="420CEC0B">
            <w:pPr>
              <w:contextualSpacing/>
              <w:jc w:val="center"/>
              <w:rPr>
                <w:rFonts w:ascii="Times New Roman" w:hAnsi="Times New Roman" w:eastAsia="宋体"/>
                <w:color w:val="0000FF"/>
                <w:szCs w:val="21"/>
              </w:rPr>
            </w:pPr>
            <w:r>
              <w:rPr>
                <w:rFonts w:ascii="Times New Roman" w:hAnsi="Times New Roman" w:eastAsia="宋体"/>
                <w:color w:val="0000FF"/>
                <w:szCs w:val="21"/>
              </w:rPr>
              <w:t>城市/农村</w:t>
            </w:r>
          </w:p>
        </w:tc>
        <w:tc>
          <w:tcPr>
            <w:tcW w:w="1668" w:type="pct"/>
            <w:noWrap w:val="0"/>
            <w:vAlign w:val="top"/>
          </w:tcPr>
          <w:p w14:paraId="5EC6DCF6">
            <w:pPr>
              <w:ind w:firstLine="420"/>
              <w:contextualSpacing/>
              <w:jc w:val="center"/>
              <w:rPr>
                <w:rFonts w:ascii="Times New Roman" w:hAnsi="Times New Roman" w:eastAsia="宋体"/>
                <w:color w:val="0000FF"/>
                <w:szCs w:val="21"/>
              </w:rPr>
            </w:pPr>
            <w:r>
              <w:rPr>
                <w:rFonts w:ascii="Times New Roman" w:hAnsi="Times New Roman" w:eastAsia="宋体"/>
                <w:color w:val="0000FF"/>
                <w:szCs w:val="21"/>
              </w:rPr>
              <w:t>城市</w:t>
            </w:r>
          </w:p>
        </w:tc>
      </w:tr>
      <w:tr w14:paraId="2A86776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1664" w:type="pct"/>
            <w:vMerge w:val="continue"/>
            <w:noWrap w:val="0"/>
            <w:vAlign w:val="top"/>
          </w:tcPr>
          <w:p w14:paraId="09796685">
            <w:pPr>
              <w:ind w:firstLine="420"/>
              <w:contextualSpacing/>
              <w:jc w:val="center"/>
              <w:rPr>
                <w:rFonts w:ascii="Times New Roman" w:hAnsi="Times New Roman" w:eastAsia="宋体"/>
                <w:color w:val="0000FF"/>
                <w:szCs w:val="21"/>
              </w:rPr>
            </w:pPr>
          </w:p>
        </w:tc>
        <w:tc>
          <w:tcPr>
            <w:tcW w:w="1667" w:type="pct"/>
            <w:noWrap w:val="0"/>
            <w:vAlign w:val="top"/>
          </w:tcPr>
          <w:p w14:paraId="224A9AE7">
            <w:pPr>
              <w:contextualSpacing/>
              <w:jc w:val="center"/>
              <w:rPr>
                <w:rFonts w:ascii="Times New Roman" w:hAnsi="Times New Roman" w:eastAsia="宋体"/>
                <w:color w:val="0000FF"/>
                <w:szCs w:val="21"/>
              </w:rPr>
            </w:pPr>
            <w:r>
              <w:rPr>
                <w:rFonts w:ascii="Times New Roman" w:hAnsi="Times New Roman" w:eastAsia="宋体"/>
                <w:color w:val="0000FF"/>
                <w:szCs w:val="21"/>
              </w:rPr>
              <w:t>人口数（城市选项时）</w:t>
            </w:r>
          </w:p>
        </w:tc>
        <w:tc>
          <w:tcPr>
            <w:tcW w:w="1668" w:type="pct"/>
            <w:noWrap w:val="0"/>
            <w:vAlign w:val="top"/>
          </w:tcPr>
          <w:p w14:paraId="138D8AC1">
            <w:pPr>
              <w:ind w:firstLine="420"/>
              <w:contextualSpacing/>
              <w:jc w:val="center"/>
              <w:rPr>
                <w:rFonts w:hint="default" w:ascii="Times New Roman" w:hAnsi="Times New Roman" w:eastAsia="宋体"/>
                <w:color w:val="0000FF"/>
                <w:szCs w:val="21"/>
                <w:lang w:val="en-US" w:eastAsia="zh-CN"/>
              </w:rPr>
            </w:pPr>
            <w:r>
              <w:rPr>
                <w:rFonts w:hint="eastAsia" w:ascii="Times New Roman" w:hAnsi="Times New Roman" w:eastAsia="宋体"/>
                <w:color w:val="0000FF"/>
                <w:szCs w:val="21"/>
                <w:lang w:val="en-US" w:eastAsia="zh-CN"/>
              </w:rPr>
              <w:t>100000</w:t>
            </w:r>
          </w:p>
        </w:tc>
      </w:tr>
      <w:tr w14:paraId="6770807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3331" w:type="pct"/>
            <w:gridSpan w:val="2"/>
            <w:noWrap w:val="0"/>
            <w:vAlign w:val="top"/>
          </w:tcPr>
          <w:p w14:paraId="6E98897F">
            <w:pPr>
              <w:ind w:firstLine="420"/>
              <w:contextualSpacing/>
              <w:jc w:val="center"/>
              <w:rPr>
                <w:rFonts w:ascii="Times New Roman" w:hAnsi="Times New Roman" w:eastAsia="宋体"/>
                <w:color w:val="0000FF"/>
                <w:szCs w:val="21"/>
              </w:rPr>
            </w:pPr>
            <w:r>
              <w:rPr>
                <w:rFonts w:ascii="Times New Roman" w:hAnsi="Times New Roman" w:eastAsia="宋体"/>
                <w:color w:val="0000FF"/>
                <w:szCs w:val="21"/>
              </w:rPr>
              <w:t>最高环境温度/℃</w:t>
            </w:r>
          </w:p>
        </w:tc>
        <w:tc>
          <w:tcPr>
            <w:tcW w:w="1668" w:type="pct"/>
            <w:noWrap w:val="0"/>
            <w:vAlign w:val="top"/>
          </w:tcPr>
          <w:p w14:paraId="6294D010">
            <w:pPr>
              <w:ind w:firstLine="420"/>
              <w:contextualSpacing/>
              <w:jc w:val="center"/>
              <w:rPr>
                <w:rFonts w:ascii="Times New Roman" w:hAnsi="Times New Roman" w:eastAsia="宋体"/>
                <w:color w:val="0000FF"/>
                <w:szCs w:val="21"/>
              </w:rPr>
            </w:pPr>
            <w:r>
              <w:rPr>
                <w:rFonts w:ascii="Times New Roman" w:hAnsi="Times New Roman" w:eastAsia="宋体"/>
                <w:color w:val="0000FF"/>
                <w:szCs w:val="21"/>
              </w:rPr>
              <w:t>40.5</w:t>
            </w:r>
          </w:p>
        </w:tc>
      </w:tr>
      <w:tr w14:paraId="395F08C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3331" w:type="pct"/>
            <w:gridSpan w:val="2"/>
            <w:noWrap w:val="0"/>
            <w:vAlign w:val="top"/>
          </w:tcPr>
          <w:p w14:paraId="57660219">
            <w:pPr>
              <w:ind w:firstLine="420"/>
              <w:contextualSpacing/>
              <w:jc w:val="center"/>
              <w:rPr>
                <w:rFonts w:ascii="Times New Roman" w:hAnsi="Times New Roman" w:eastAsia="宋体"/>
                <w:color w:val="0000FF"/>
                <w:szCs w:val="21"/>
              </w:rPr>
            </w:pPr>
            <w:r>
              <w:rPr>
                <w:rFonts w:ascii="Times New Roman" w:hAnsi="Times New Roman" w:eastAsia="宋体"/>
                <w:color w:val="0000FF"/>
                <w:szCs w:val="21"/>
              </w:rPr>
              <w:t>最低环境温度/℃</w:t>
            </w:r>
          </w:p>
        </w:tc>
        <w:tc>
          <w:tcPr>
            <w:tcW w:w="1668" w:type="pct"/>
            <w:noWrap w:val="0"/>
            <w:vAlign w:val="top"/>
          </w:tcPr>
          <w:p w14:paraId="3E5027AA">
            <w:pPr>
              <w:ind w:firstLine="420"/>
              <w:contextualSpacing/>
              <w:jc w:val="center"/>
              <w:rPr>
                <w:rFonts w:ascii="Times New Roman" w:hAnsi="Times New Roman" w:eastAsia="宋体"/>
                <w:color w:val="0000FF"/>
                <w:szCs w:val="21"/>
              </w:rPr>
            </w:pPr>
            <w:r>
              <w:rPr>
                <w:rFonts w:ascii="Times New Roman" w:hAnsi="Times New Roman" w:eastAsia="宋体"/>
                <w:color w:val="0000FF"/>
                <w:szCs w:val="21"/>
              </w:rPr>
              <w:t>-37</w:t>
            </w:r>
          </w:p>
        </w:tc>
      </w:tr>
      <w:tr w14:paraId="28931D1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3331" w:type="pct"/>
            <w:gridSpan w:val="2"/>
            <w:noWrap w:val="0"/>
            <w:vAlign w:val="top"/>
          </w:tcPr>
          <w:p w14:paraId="68E7470D">
            <w:pPr>
              <w:ind w:firstLine="420"/>
              <w:contextualSpacing/>
              <w:jc w:val="center"/>
              <w:rPr>
                <w:rFonts w:ascii="Times New Roman" w:hAnsi="Times New Roman" w:eastAsia="宋体"/>
                <w:color w:val="0000FF"/>
                <w:szCs w:val="21"/>
              </w:rPr>
            </w:pPr>
            <w:r>
              <w:rPr>
                <w:rFonts w:ascii="Times New Roman" w:hAnsi="Times New Roman" w:eastAsia="宋体"/>
                <w:color w:val="0000FF"/>
                <w:szCs w:val="21"/>
              </w:rPr>
              <w:t>土地利用类型</w:t>
            </w:r>
          </w:p>
        </w:tc>
        <w:tc>
          <w:tcPr>
            <w:tcW w:w="1668" w:type="pct"/>
            <w:noWrap w:val="0"/>
            <w:vAlign w:val="top"/>
          </w:tcPr>
          <w:p w14:paraId="4CD4A739">
            <w:pPr>
              <w:ind w:firstLine="420"/>
              <w:contextualSpacing/>
              <w:jc w:val="center"/>
              <w:rPr>
                <w:rFonts w:ascii="Times New Roman" w:hAnsi="Times New Roman" w:eastAsia="宋体"/>
                <w:color w:val="0000FF"/>
                <w:szCs w:val="21"/>
              </w:rPr>
            </w:pPr>
            <w:r>
              <w:rPr>
                <w:rFonts w:ascii="Times New Roman" w:hAnsi="Times New Roman" w:eastAsia="宋体"/>
                <w:color w:val="0000FF"/>
                <w:szCs w:val="21"/>
              </w:rPr>
              <w:t>工业用地</w:t>
            </w:r>
          </w:p>
        </w:tc>
      </w:tr>
      <w:tr w14:paraId="6C11B90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3331" w:type="pct"/>
            <w:gridSpan w:val="2"/>
            <w:noWrap w:val="0"/>
            <w:vAlign w:val="top"/>
          </w:tcPr>
          <w:p w14:paraId="4922190C">
            <w:pPr>
              <w:ind w:firstLine="420"/>
              <w:contextualSpacing/>
              <w:jc w:val="center"/>
              <w:rPr>
                <w:rFonts w:ascii="Times New Roman" w:hAnsi="Times New Roman" w:eastAsia="宋体"/>
                <w:color w:val="0000FF"/>
                <w:szCs w:val="21"/>
              </w:rPr>
            </w:pPr>
            <w:r>
              <w:rPr>
                <w:rFonts w:ascii="Times New Roman" w:hAnsi="Times New Roman" w:eastAsia="宋体"/>
                <w:color w:val="0000FF"/>
                <w:szCs w:val="21"/>
              </w:rPr>
              <w:t>区域湿度条件</w:t>
            </w:r>
          </w:p>
        </w:tc>
        <w:tc>
          <w:tcPr>
            <w:tcW w:w="1668" w:type="pct"/>
            <w:noWrap w:val="0"/>
            <w:vAlign w:val="top"/>
          </w:tcPr>
          <w:p w14:paraId="46151A98">
            <w:pPr>
              <w:ind w:firstLine="420"/>
              <w:contextualSpacing/>
              <w:jc w:val="center"/>
              <w:rPr>
                <w:rFonts w:ascii="Times New Roman" w:hAnsi="Times New Roman" w:eastAsia="宋体"/>
                <w:color w:val="0000FF"/>
                <w:szCs w:val="21"/>
              </w:rPr>
            </w:pPr>
            <w:r>
              <w:rPr>
                <w:rFonts w:ascii="Times New Roman" w:hAnsi="Times New Roman" w:eastAsia="宋体"/>
                <w:color w:val="0000FF"/>
                <w:szCs w:val="21"/>
              </w:rPr>
              <w:t>干</w:t>
            </w:r>
          </w:p>
        </w:tc>
      </w:tr>
      <w:tr w14:paraId="00B15A6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1664" w:type="pct"/>
            <w:vMerge w:val="restart"/>
            <w:noWrap w:val="0"/>
            <w:vAlign w:val="center"/>
          </w:tcPr>
          <w:p w14:paraId="2EBF25C1">
            <w:pPr>
              <w:ind w:firstLine="420"/>
              <w:contextualSpacing/>
              <w:jc w:val="center"/>
              <w:rPr>
                <w:rFonts w:ascii="Times New Roman" w:hAnsi="Times New Roman" w:eastAsia="宋体"/>
                <w:color w:val="0000FF"/>
                <w:szCs w:val="21"/>
              </w:rPr>
            </w:pPr>
            <w:r>
              <w:rPr>
                <w:rFonts w:ascii="Times New Roman" w:hAnsi="Times New Roman" w:eastAsia="宋体"/>
                <w:color w:val="0000FF"/>
                <w:szCs w:val="21"/>
              </w:rPr>
              <w:t>是否考虑地形</w:t>
            </w:r>
          </w:p>
        </w:tc>
        <w:tc>
          <w:tcPr>
            <w:tcW w:w="1667" w:type="pct"/>
            <w:noWrap w:val="0"/>
            <w:vAlign w:val="center"/>
          </w:tcPr>
          <w:p w14:paraId="457B3C69">
            <w:pPr>
              <w:ind w:firstLine="420"/>
              <w:contextualSpacing/>
              <w:jc w:val="center"/>
              <w:rPr>
                <w:rFonts w:ascii="Times New Roman" w:hAnsi="Times New Roman" w:eastAsia="宋体"/>
                <w:color w:val="0000FF"/>
                <w:szCs w:val="21"/>
              </w:rPr>
            </w:pPr>
            <w:r>
              <w:rPr>
                <w:rFonts w:ascii="Times New Roman" w:hAnsi="Times New Roman" w:eastAsia="宋体"/>
                <w:color w:val="0000FF"/>
                <w:szCs w:val="21"/>
              </w:rPr>
              <w:t>考虑地形</w:t>
            </w:r>
          </w:p>
        </w:tc>
        <w:tc>
          <w:tcPr>
            <w:tcW w:w="1668" w:type="pct"/>
            <w:noWrap w:val="0"/>
            <w:vAlign w:val="top"/>
          </w:tcPr>
          <w:p w14:paraId="4D2C8AE2">
            <w:pPr>
              <w:ind w:firstLine="420"/>
              <w:contextualSpacing/>
              <w:jc w:val="center"/>
              <w:rPr>
                <w:rFonts w:ascii="Times New Roman" w:hAnsi="Times New Roman" w:eastAsia="宋体"/>
                <w:color w:val="0000FF"/>
                <w:szCs w:val="21"/>
              </w:rPr>
            </w:pPr>
            <w:r>
              <w:rPr>
                <w:rFonts w:ascii="Times New Roman" w:hAnsi="Times New Roman" w:eastAsia="宋体"/>
                <w:color w:val="0000FF"/>
                <w:szCs w:val="21"/>
              </w:rPr>
              <w:t>否</w:t>
            </w:r>
          </w:p>
        </w:tc>
      </w:tr>
      <w:tr w14:paraId="7FDC59D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1664" w:type="pct"/>
            <w:vMerge w:val="continue"/>
            <w:noWrap w:val="0"/>
            <w:vAlign w:val="center"/>
          </w:tcPr>
          <w:p w14:paraId="206231FB">
            <w:pPr>
              <w:ind w:firstLine="420"/>
              <w:contextualSpacing/>
              <w:jc w:val="center"/>
              <w:rPr>
                <w:rFonts w:ascii="Times New Roman" w:hAnsi="Times New Roman" w:eastAsia="宋体"/>
                <w:color w:val="0000FF"/>
                <w:szCs w:val="21"/>
              </w:rPr>
            </w:pPr>
          </w:p>
        </w:tc>
        <w:tc>
          <w:tcPr>
            <w:tcW w:w="1667" w:type="pct"/>
            <w:noWrap w:val="0"/>
            <w:vAlign w:val="center"/>
          </w:tcPr>
          <w:p w14:paraId="0ED5C70A">
            <w:pPr>
              <w:ind w:firstLine="420"/>
              <w:contextualSpacing/>
              <w:jc w:val="center"/>
              <w:rPr>
                <w:rFonts w:ascii="Times New Roman" w:hAnsi="Times New Roman" w:eastAsia="宋体"/>
                <w:color w:val="0000FF"/>
                <w:szCs w:val="21"/>
              </w:rPr>
            </w:pPr>
            <w:r>
              <w:rPr>
                <w:rFonts w:ascii="Times New Roman" w:hAnsi="Times New Roman" w:eastAsia="宋体"/>
                <w:color w:val="0000FF"/>
                <w:szCs w:val="21"/>
              </w:rPr>
              <w:t>地形数据分辨率</w:t>
            </w:r>
          </w:p>
        </w:tc>
        <w:tc>
          <w:tcPr>
            <w:tcW w:w="1668" w:type="pct"/>
            <w:noWrap w:val="0"/>
            <w:vAlign w:val="top"/>
          </w:tcPr>
          <w:p w14:paraId="5DA9A0CB">
            <w:pPr>
              <w:ind w:firstLine="420"/>
              <w:contextualSpacing/>
              <w:jc w:val="center"/>
              <w:rPr>
                <w:rFonts w:ascii="Times New Roman" w:hAnsi="Times New Roman" w:eastAsia="宋体"/>
                <w:color w:val="0000FF"/>
                <w:szCs w:val="21"/>
              </w:rPr>
            </w:pPr>
            <w:r>
              <w:rPr>
                <w:rFonts w:ascii="Times New Roman" w:hAnsi="Times New Roman" w:eastAsia="宋体"/>
                <w:color w:val="0000FF"/>
                <w:szCs w:val="21"/>
              </w:rPr>
              <w:t>/</w:t>
            </w:r>
          </w:p>
        </w:tc>
      </w:tr>
      <w:tr w14:paraId="15D4916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1664" w:type="pct"/>
            <w:vMerge w:val="restart"/>
            <w:noWrap w:val="0"/>
            <w:vAlign w:val="center"/>
          </w:tcPr>
          <w:p w14:paraId="7FB4A348">
            <w:pPr>
              <w:ind w:firstLine="420"/>
              <w:contextualSpacing/>
              <w:jc w:val="center"/>
              <w:rPr>
                <w:rFonts w:ascii="Times New Roman" w:hAnsi="Times New Roman" w:eastAsia="宋体"/>
                <w:color w:val="0000FF"/>
                <w:szCs w:val="21"/>
              </w:rPr>
            </w:pPr>
            <w:r>
              <w:rPr>
                <w:rFonts w:ascii="Times New Roman" w:hAnsi="Times New Roman" w:eastAsia="宋体"/>
                <w:color w:val="0000FF"/>
                <w:szCs w:val="21"/>
              </w:rPr>
              <w:t>是否考虑岸线熏烟</w:t>
            </w:r>
          </w:p>
        </w:tc>
        <w:tc>
          <w:tcPr>
            <w:tcW w:w="1667" w:type="pct"/>
            <w:noWrap w:val="0"/>
            <w:vAlign w:val="center"/>
          </w:tcPr>
          <w:p w14:paraId="0F6887A8">
            <w:pPr>
              <w:ind w:firstLine="420"/>
              <w:contextualSpacing/>
              <w:jc w:val="center"/>
              <w:rPr>
                <w:rFonts w:ascii="Times New Roman" w:hAnsi="Times New Roman" w:eastAsia="宋体"/>
                <w:color w:val="0000FF"/>
                <w:szCs w:val="21"/>
              </w:rPr>
            </w:pPr>
            <w:r>
              <w:rPr>
                <w:rFonts w:ascii="Times New Roman" w:hAnsi="Times New Roman" w:eastAsia="宋体"/>
                <w:color w:val="0000FF"/>
                <w:szCs w:val="21"/>
              </w:rPr>
              <w:t>考虑岸线熏烟</w:t>
            </w:r>
          </w:p>
        </w:tc>
        <w:tc>
          <w:tcPr>
            <w:tcW w:w="1668" w:type="pct"/>
            <w:noWrap w:val="0"/>
            <w:vAlign w:val="top"/>
          </w:tcPr>
          <w:p w14:paraId="59B3AAF6">
            <w:pPr>
              <w:ind w:firstLine="420"/>
              <w:contextualSpacing/>
              <w:jc w:val="center"/>
              <w:rPr>
                <w:rFonts w:ascii="Times New Roman" w:hAnsi="Times New Roman" w:eastAsia="宋体"/>
                <w:color w:val="0000FF"/>
                <w:szCs w:val="21"/>
              </w:rPr>
            </w:pPr>
            <w:r>
              <w:rPr>
                <w:rFonts w:ascii="Times New Roman" w:hAnsi="Times New Roman" w:eastAsia="宋体"/>
                <w:color w:val="0000FF"/>
                <w:szCs w:val="21"/>
              </w:rPr>
              <w:t>否</w:t>
            </w:r>
          </w:p>
        </w:tc>
      </w:tr>
      <w:tr w14:paraId="2DCF1C9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1664" w:type="pct"/>
            <w:vMerge w:val="continue"/>
            <w:noWrap w:val="0"/>
            <w:vAlign w:val="top"/>
          </w:tcPr>
          <w:p w14:paraId="73A62A38">
            <w:pPr>
              <w:ind w:firstLine="420"/>
              <w:contextualSpacing/>
              <w:jc w:val="center"/>
              <w:rPr>
                <w:rFonts w:ascii="Times New Roman" w:hAnsi="Times New Roman" w:eastAsia="宋体"/>
                <w:color w:val="0000FF"/>
                <w:szCs w:val="21"/>
              </w:rPr>
            </w:pPr>
          </w:p>
        </w:tc>
        <w:tc>
          <w:tcPr>
            <w:tcW w:w="1667" w:type="pct"/>
            <w:noWrap w:val="0"/>
            <w:vAlign w:val="top"/>
          </w:tcPr>
          <w:p w14:paraId="53B918F5">
            <w:pPr>
              <w:ind w:firstLine="420"/>
              <w:contextualSpacing/>
              <w:jc w:val="center"/>
              <w:rPr>
                <w:rFonts w:ascii="Times New Roman" w:hAnsi="Times New Roman" w:eastAsia="宋体"/>
                <w:color w:val="0000FF"/>
                <w:szCs w:val="21"/>
              </w:rPr>
            </w:pPr>
            <w:r>
              <w:rPr>
                <w:rFonts w:ascii="Times New Roman" w:hAnsi="Times New Roman" w:eastAsia="宋体"/>
                <w:color w:val="0000FF"/>
                <w:szCs w:val="21"/>
              </w:rPr>
              <w:t>岸线距离/km</w:t>
            </w:r>
          </w:p>
        </w:tc>
        <w:tc>
          <w:tcPr>
            <w:tcW w:w="1668" w:type="pct"/>
            <w:noWrap w:val="0"/>
            <w:vAlign w:val="center"/>
          </w:tcPr>
          <w:p w14:paraId="45AADFDC">
            <w:pPr>
              <w:ind w:firstLine="420"/>
              <w:contextualSpacing/>
              <w:jc w:val="center"/>
              <w:rPr>
                <w:rFonts w:ascii="Times New Roman" w:hAnsi="Times New Roman" w:eastAsia="宋体"/>
                <w:color w:val="0000FF"/>
                <w:szCs w:val="21"/>
              </w:rPr>
            </w:pPr>
            <w:r>
              <w:rPr>
                <w:rFonts w:ascii="Times New Roman" w:hAnsi="Times New Roman" w:eastAsia="宋体"/>
                <w:color w:val="0000FF"/>
                <w:szCs w:val="21"/>
              </w:rPr>
              <w:t>/</w:t>
            </w:r>
          </w:p>
        </w:tc>
      </w:tr>
      <w:tr w14:paraId="7BBD5AF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1664" w:type="pct"/>
            <w:vMerge w:val="continue"/>
            <w:noWrap w:val="0"/>
            <w:vAlign w:val="top"/>
          </w:tcPr>
          <w:p w14:paraId="36FFC548">
            <w:pPr>
              <w:ind w:firstLine="420"/>
              <w:contextualSpacing/>
              <w:jc w:val="center"/>
              <w:rPr>
                <w:rFonts w:ascii="Times New Roman" w:hAnsi="Times New Roman" w:eastAsia="宋体"/>
                <w:color w:val="0000FF"/>
                <w:szCs w:val="21"/>
              </w:rPr>
            </w:pPr>
          </w:p>
        </w:tc>
        <w:tc>
          <w:tcPr>
            <w:tcW w:w="1667" w:type="pct"/>
            <w:noWrap w:val="0"/>
            <w:vAlign w:val="top"/>
          </w:tcPr>
          <w:p w14:paraId="53CD4B9A">
            <w:pPr>
              <w:ind w:firstLine="420"/>
              <w:contextualSpacing/>
              <w:jc w:val="center"/>
              <w:rPr>
                <w:rFonts w:ascii="Times New Roman" w:hAnsi="Times New Roman" w:eastAsia="宋体"/>
                <w:color w:val="0000FF"/>
                <w:szCs w:val="21"/>
              </w:rPr>
            </w:pPr>
            <w:r>
              <w:rPr>
                <w:rFonts w:ascii="Times New Roman" w:hAnsi="Times New Roman" w:eastAsia="宋体"/>
                <w:color w:val="0000FF"/>
                <w:szCs w:val="21"/>
              </w:rPr>
              <w:t>岸线方向/</w:t>
            </w:r>
            <w:r>
              <w:rPr>
                <w:rFonts w:ascii="Times New Roman" w:hAnsi="Times New Roman" w:eastAsia="宋体"/>
                <w:color w:val="0000FF"/>
                <w:szCs w:val="21"/>
                <w:rtl/>
              </w:rPr>
              <w:t>ﹾ</w:t>
            </w:r>
          </w:p>
        </w:tc>
        <w:tc>
          <w:tcPr>
            <w:tcW w:w="1668" w:type="pct"/>
            <w:noWrap w:val="0"/>
            <w:vAlign w:val="center"/>
          </w:tcPr>
          <w:p w14:paraId="376E366C">
            <w:pPr>
              <w:ind w:firstLine="420"/>
              <w:contextualSpacing/>
              <w:jc w:val="center"/>
              <w:rPr>
                <w:rFonts w:ascii="Times New Roman" w:hAnsi="Times New Roman" w:eastAsia="宋体"/>
                <w:color w:val="0000FF"/>
                <w:szCs w:val="21"/>
              </w:rPr>
            </w:pPr>
            <w:r>
              <w:rPr>
                <w:rFonts w:ascii="Times New Roman" w:hAnsi="Times New Roman" w:eastAsia="宋体"/>
                <w:color w:val="0000FF"/>
                <w:szCs w:val="21"/>
              </w:rPr>
              <w:t>/</w:t>
            </w:r>
          </w:p>
        </w:tc>
      </w:tr>
    </w:tbl>
    <w:p w14:paraId="419A029A">
      <w:pPr>
        <w:spacing w:line="360" w:lineRule="auto"/>
        <w:ind w:firstLine="480"/>
        <w:rPr>
          <w:rFonts w:hint="default" w:ascii="Times New Roman" w:hAnsi="Times New Roman" w:cs="Times New Roman"/>
          <w:color w:val="0000FF"/>
          <w:sz w:val="24"/>
          <w:szCs w:val="24"/>
        </w:rPr>
      </w:pPr>
      <w:r>
        <w:rPr>
          <w:rFonts w:hint="default" w:ascii="Times New Roman" w:hAnsi="Times New Roman" w:cs="Times New Roman"/>
          <w:color w:val="0000FF"/>
          <w:sz w:val="24"/>
          <w:szCs w:val="24"/>
        </w:rPr>
        <w:t>对本项目产生的废气进行预测。</w:t>
      </w:r>
    </w:p>
    <w:p w14:paraId="4CCAA2C2">
      <w:pPr>
        <w:spacing w:line="360" w:lineRule="auto"/>
        <w:ind w:firstLine="480"/>
        <w:rPr>
          <w:rFonts w:hint="default" w:ascii="Times New Roman" w:hAnsi="Times New Roman" w:cs="Times New Roman"/>
          <w:color w:val="0000FF"/>
          <w:sz w:val="24"/>
          <w:szCs w:val="24"/>
        </w:rPr>
      </w:pPr>
      <w:r>
        <w:rPr>
          <w:rFonts w:hint="eastAsia" w:ascii="Times New Roman" w:hAnsi="Times New Roman" w:cs="Times New Roman"/>
          <w:color w:val="0000FF"/>
          <w:sz w:val="24"/>
          <w:szCs w:val="24"/>
          <w:lang w:eastAsia="zh-CN"/>
        </w:rPr>
        <w:t>（</w:t>
      </w:r>
      <w:r>
        <w:rPr>
          <w:rFonts w:hint="eastAsia" w:ascii="Times New Roman" w:hAnsi="Times New Roman" w:cs="Times New Roman"/>
          <w:color w:val="0000FF"/>
          <w:sz w:val="24"/>
          <w:szCs w:val="24"/>
          <w:lang w:val="en-US" w:eastAsia="zh-CN"/>
        </w:rPr>
        <w:t>4</w:t>
      </w:r>
      <w:r>
        <w:rPr>
          <w:rFonts w:hint="eastAsia" w:ascii="Times New Roman" w:hAnsi="Times New Roman" w:cs="Times New Roman"/>
          <w:color w:val="0000FF"/>
          <w:sz w:val="24"/>
          <w:szCs w:val="24"/>
          <w:lang w:eastAsia="zh-CN"/>
        </w:rPr>
        <w:t>）</w:t>
      </w:r>
      <w:r>
        <w:rPr>
          <w:rFonts w:hint="default" w:ascii="Times New Roman" w:hAnsi="Times New Roman" w:cs="Times New Roman"/>
          <w:color w:val="0000FF"/>
          <w:sz w:val="24"/>
          <w:szCs w:val="24"/>
        </w:rPr>
        <w:t>有组织废气源强见下表。</w:t>
      </w:r>
    </w:p>
    <w:p w14:paraId="1E03CDC1">
      <w:pPr>
        <w:ind w:firstLine="438"/>
        <w:jc w:val="center"/>
        <w:rPr>
          <w:rFonts w:hint="default" w:ascii="Times New Roman" w:hAnsi="Times New Roman" w:cs="Times New Roman"/>
          <w:b/>
          <w:color w:val="0000FF"/>
          <w:spacing w:val="4"/>
          <w:szCs w:val="21"/>
        </w:rPr>
      </w:pPr>
      <w:r>
        <w:rPr>
          <w:rFonts w:hint="default" w:ascii="Times New Roman" w:hAnsi="Times New Roman" w:cs="Times New Roman"/>
          <w:b/>
          <w:color w:val="0000FF"/>
          <w:spacing w:val="4"/>
          <w:szCs w:val="21"/>
        </w:rPr>
        <w:t>表</w:t>
      </w:r>
      <w:r>
        <w:rPr>
          <w:rFonts w:hint="eastAsia" w:ascii="Times New Roman" w:hAnsi="Times New Roman" w:cs="Times New Roman"/>
          <w:b/>
          <w:color w:val="0000FF"/>
          <w:spacing w:val="4"/>
          <w:szCs w:val="21"/>
          <w:lang w:val="en-US" w:eastAsia="zh-CN"/>
        </w:rPr>
        <w:t>4-3</w:t>
      </w:r>
      <w:r>
        <w:rPr>
          <w:rFonts w:hint="default" w:ascii="Times New Roman" w:hAnsi="Times New Roman" w:cs="Times New Roman"/>
          <w:b/>
          <w:color w:val="0000FF"/>
          <w:spacing w:val="4"/>
          <w:szCs w:val="21"/>
        </w:rPr>
        <w:t>点源参数</w:t>
      </w:r>
    </w:p>
    <w:tbl>
      <w:tblPr>
        <w:tblStyle w:val="11"/>
        <w:tblW w:w="4998"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5071"/>
        <w:gridCol w:w="3448"/>
      </w:tblGrid>
      <w:tr w14:paraId="77EF8CE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2976" w:type="pct"/>
            <w:noWrap w:val="0"/>
            <w:vAlign w:val="center"/>
          </w:tcPr>
          <w:p w14:paraId="66DC2C5E">
            <w:pPr>
              <w:pStyle w:val="23"/>
              <w:contextualSpacing/>
              <w:rPr>
                <w:rFonts w:hint="default" w:ascii="Times New Roman" w:hAnsi="Times New Roman" w:cs="Times New Roman"/>
                <w:b/>
                <w:bCs/>
                <w:color w:val="0000FF"/>
                <w:sz w:val="21"/>
                <w:szCs w:val="21"/>
                <w:lang w:eastAsia="zh-CN"/>
              </w:rPr>
            </w:pPr>
            <w:r>
              <w:rPr>
                <w:rFonts w:hint="default" w:ascii="Times New Roman" w:hAnsi="Times New Roman" w:cs="Times New Roman"/>
                <w:b/>
                <w:bCs/>
                <w:color w:val="0000FF"/>
                <w:sz w:val="21"/>
                <w:szCs w:val="21"/>
                <w:lang w:eastAsia="zh-CN"/>
              </w:rPr>
              <w:t>编号</w:t>
            </w:r>
          </w:p>
        </w:tc>
        <w:tc>
          <w:tcPr>
            <w:tcW w:w="2023" w:type="pct"/>
            <w:noWrap w:val="0"/>
            <w:vAlign w:val="center"/>
          </w:tcPr>
          <w:p w14:paraId="451C1B5C">
            <w:pPr>
              <w:pStyle w:val="23"/>
              <w:contextualSpacing/>
              <w:rPr>
                <w:rFonts w:hint="default" w:ascii="Times New Roman" w:hAnsi="Times New Roman" w:cs="Times New Roman"/>
                <w:b/>
                <w:bCs/>
                <w:color w:val="0000FF"/>
                <w:sz w:val="21"/>
                <w:szCs w:val="21"/>
                <w:lang w:eastAsia="zh-CN"/>
              </w:rPr>
            </w:pPr>
            <w:r>
              <w:rPr>
                <w:rFonts w:hint="default" w:ascii="Times New Roman" w:hAnsi="Times New Roman" w:cs="Times New Roman"/>
                <w:b/>
                <w:bCs/>
                <w:color w:val="0000FF"/>
                <w:sz w:val="21"/>
                <w:szCs w:val="21"/>
                <w:lang w:eastAsia="zh-CN"/>
              </w:rPr>
              <w:t>排气筒</w:t>
            </w:r>
          </w:p>
        </w:tc>
      </w:tr>
      <w:tr w14:paraId="2DF7687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2976" w:type="pct"/>
            <w:noWrap w:val="0"/>
            <w:vAlign w:val="center"/>
          </w:tcPr>
          <w:p w14:paraId="5E258F1A">
            <w:pPr>
              <w:pStyle w:val="23"/>
              <w:contextualSpacing/>
              <w:rPr>
                <w:rFonts w:hint="default" w:ascii="Times New Roman" w:hAnsi="Times New Roman" w:cs="Times New Roman"/>
                <w:color w:val="0000FF"/>
                <w:sz w:val="21"/>
                <w:szCs w:val="21"/>
                <w:lang w:eastAsia="zh-CN"/>
              </w:rPr>
            </w:pPr>
            <w:r>
              <w:rPr>
                <w:rFonts w:hint="default" w:ascii="Times New Roman" w:hAnsi="Times New Roman" w:cs="Times New Roman"/>
                <w:color w:val="0000FF"/>
                <w:sz w:val="21"/>
                <w:szCs w:val="21"/>
                <w:lang w:eastAsia="zh-CN"/>
              </w:rPr>
              <w:t>名称</w:t>
            </w:r>
          </w:p>
        </w:tc>
        <w:tc>
          <w:tcPr>
            <w:tcW w:w="2023" w:type="pct"/>
            <w:noWrap w:val="0"/>
            <w:vAlign w:val="center"/>
          </w:tcPr>
          <w:p w14:paraId="08B0C743">
            <w:pPr>
              <w:pStyle w:val="23"/>
              <w:contextualSpacing/>
              <w:rPr>
                <w:rFonts w:hint="default" w:ascii="Times New Roman" w:hAnsi="Times New Roman" w:cs="Times New Roman"/>
                <w:color w:val="0000FF"/>
                <w:sz w:val="21"/>
                <w:szCs w:val="21"/>
                <w:lang w:eastAsia="zh-CN"/>
              </w:rPr>
            </w:pPr>
            <w:r>
              <w:rPr>
                <w:rFonts w:hint="eastAsia" w:ascii="Times New Roman" w:hAnsi="Times New Roman" w:cs="Times New Roman"/>
                <w:color w:val="0000FF"/>
                <w:sz w:val="21"/>
                <w:szCs w:val="21"/>
                <w:lang w:eastAsia="zh-CN"/>
              </w:rPr>
              <w:t>非甲烷总烃</w:t>
            </w:r>
          </w:p>
        </w:tc>
      </w:tr>
      <w:tr w14:paraId="27FFF10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04" w:hRule="atLeast"/>
          <w:jc w:val="center"/>
        </w:trPr>
        <w:tc>
          <w:tcPr>
            <w:tcW w:w="2976" w:type="pct"/>
            <w:noWrap w:val="0"/>
            <w:vAlign w:val="center"/>
          </w:tcPr>
          <w:p w14:paraId="46AD1F2A">
            <w:pPr>
              <w:pStyle w:val="23"/>
              <w:contextualSpacing/>
              <w:rPr>
                <w:rFonts w:hint="default" w:ascii="Times New Roman" w:hAnsi="Times New Roman" w:cs="Times New Roman"/>
                <w:color w:val="0000FF"/>
                <w:sz w:val="21"/>
                <w:szCs w:val="21"/>
                <w:lang w:eastAsia="zh-CN"/>
              </w:rPr>
            </w:pPr>
            <w:r>
              <w:rPr>
                <w:rFonts w:hint="eastAsia" w:ascii="Times New Roman" w:hAnsi="Times New Roman" w:cs="Times New Roman"/>
                <w:color w:val="0000FF"/>
                <w:sz w:val="21"/>
                <w:szCs w:val="21"/>
                <w:lang w:eastAsia="zh-CN"/>
              </w:rPr>
              <w:t>坐标</w:t>
            </w:r>
          </w:p>
        </w:tc>
        <w:tc>
          <w:tcPr>
            <w:tcW w:w="2023" w:type="pct"/>
            <w:noWrap w:val="0"/>
            <w:vAlign w:val="center"/>
          </w:tcPr>
          <w:p w14:paraId="441420B0">
            <w:pPr>
              <w:pStyle w:val="23"/>
              <w:contextualSpacing/>
              <w:rPr>
                <w:rFonts w:hint="default" w:ascii="Times New Roman" w:hAnsi="Times New Roman" w:cs="Times New Roman"/>
                <w:color w:val="0000FF"/>
                <w:sz w:val="21"/>
                <w:szCs w:val="21"/>
                <w:lang w:eastAsia="zh-CN"/>
              </w:rPr>
            </w:pPr>
            <w:r>
              <w:rPr>
                <w:rFonts w:hint="eastAsia" w:ascii="Times New Roman" w:hAnsi="Times New Roman" w:cs="Times New Roman"/>
                <w:color w:val="0000FF"/>
                <w:sz w:val="21"/>
                <w:szCs w:val="21"/>
                <w:lang w:val="en-US" w:eastAsia="zh-CN"/>
              </w:rPr>
              <w:t>E</w:t>
            </w:r>
            <w:r>
              <w:rPr>
                <w:rFonts w:hint="default" w:ascii="Times New Roman" w:hAnsi="Times New Roman" w:cs="Times New Roman"/>
                <w:color w:val="0000FF"/>
                <w:sz w:val="21"/>
                <w:szCs w:val="21"/>
                <w:lang w:eastAsia="zh-CN"/>
              </w:rPr>
              <w:t>89°32′45.02822″,</w:t>
            </w:r>
            <w:r>
              <w:rPr>
                <w:rFonts w:hint="eastAsia" w:ascii="Times New Roman" w:hAnsi="Times New Roman" w:cs="Times New Roman"/>
                <w:color w:val="0000FF"/>
                <w:sz w:val="21"/>
                <w:szCs w:val="21"/>
                <w:lang w:val="en-US" w:eastAsia="zh-CN"/>
              </w:rPr>
              <w:t>N</w:t>
            </w:r>
            <w:r>
              <w:rPr>
                <w:rFonts w:hint="default" w:ascii="Times New Roman" w:hAnsi="Times New Roman" w:cs="Times New Roman"/>
                <w:color w:val="0000FF"/>
                <w:sz w:val="21"/>
                <w:szCs w:val="21"/>
                <w:lang w:eastAsia="zh-CN"/>
              </w:rPr>
              <w:t>44°1′23.48724″</w:t>
            </w:r>
          </w:p>
        </w:tc>
      </w:tr>
      <w:tr w14:paraId="29B862E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2976" w:type="pct"/>
            <w:noWrap w:val="0"/>
            <w:vAlign w:val="center"/>
          </w:tcPr>
          <w:p w14:paraId="4ED9DAAF">
            <w:pPr>
              <w:pStyle w:val="23"/>
              <w:contextualSpacing/>
              <w:rPr>
                <w:rFonts w:hint="default" w:ascii="Times New Roman" w:hAnsi="Times New Roman" w:cs="Times New Roman"/>
                <w:color w:val="0000FF"/>
                <w:sz w:val="21"/>
                <w:szCs w:val="21"/>
                <w:lang w:eastAsia="zh-CN"/>
              </w:rPr>
            </w:pPr>
            <w:r>
              <w:rPr>
                <w:rFonts w:hint="default" w:ascii="Times New Roman" w:hAnsi="Times New Roman" w:cs="Times New Roman"/>
                <w:color w:val="0000FF"/>
                <w:sz w:val="21"/>
                <w:szCs w:val="21"/>
                <w:lang w:eastAsia="zh-CN"/>
              </w:rPr>
              <w:t>排气筒底部海拔高度/m</w:t>
            </w:r>
          </w:p>
        </w:tc>
        <w:tc>
          <w:tcPr>
            <w:tcW w:w="2023" w:type="pct"/>
            <w:noWrap w:val="0"/>
            <w:vAlign w:val="center"/>
          </w:tcPr>
          <w:p w14:paraId="3871705E">
            <w:pPr>
              <w:pStyle w:val="23"/>
              <w:contextualSpacing/>
              <w:rPr>
                <w:rFonts w:hint="default" w:ascii="Times New Roman" w:hAnsi="Times New Roman" w:cs="Times New Roman"/>
                <w:color w:val="0000FF"/>
                <w:sz w:val="21"/>
                <w:szCs w:val="21"/>
                <w:lang w:eastAsia="zh-CN"/>
              </w:rPr>
            </w:pPr>
            <w:r>
              <w:rPr>
                <w:rFonts w:hint="default" w:ascii="Times New Roman" w:hAnsi="Times New Roman" w:cs="Times New Roman"/>
                <w:color w:val="0000FF"/>
                <w:sz w:val="21"/>
                <w:szCs w:val="21"/>
                <w:lang w:eastAsia="zh-CN"/>
              </w:rPr>
              <w:t>451</w:t>
            </w:r>
          </w:p>
        </w:tc>
      </w:tr>
      <w:tr w14:paraId="2CED264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2976" w:type="pct"/>
            <w:noWrap w:val="0"/>
            <w:vAlign w:val="center"/>
          </w:tcPr>
          <w:p w14:paraId="4563969B">
            <w:pPr>
              <w:pStyle w:val="23"/>
              <w:contextualSpacing/>
              <w:rPr>
                <w:rFonts w:hint="default" w:ascii="Times New Roman" w:hAnsi="Times New Roman" w:cs="Times New Roman"/>
                <w:color w:val="0000FF"/>
                <w:sz w:val="21"/>
                <w:szCs w:val="21"/>
                <w:lang w:eastAsia="zh-CN"/>
              </w:rPr>
            </w:pPr>
            <w:r>
              <w:rPr>
                <w:rFonts w:hint="default" w:ascii="Times New Roman" w:hAnsi="Times New Roman" w:cs="Times New Roman"/>
                <w:color w:val="0000FF"/>
                <w:sz w:val="21"/>
                <w:szCs w:val="21"/>
                <w:lang w:eastAsia="zh-CN"/>
              </w:rPr>
              <w:t>排气筒高度/m</w:t>
            </w:r>
          </w:p>
        </w:tc>
        <w:tc>
          <w:tcPr>
            <w:tcW w:w="2023" w:type="pct"/>
            <w:noWrap w:val="0"/>
            <w:vAlign w:val="center"/>
          </w:tcPr>
          <w:p w14:paraId="105551A8">
            <w:pPr>
              <w:pStyle w:val="23"/>
              <w:contextualSpacing/>
              <w:rPr>
                <w:rFonts w:hint="default" w:ascii="Times New Roman" w:hAnsi="Times New Roman" w:cs="Times New Roman"/>
                <w:color w:val="0000FF"/>
                <w:sz w:val="21"/>
                <w:szCs w:val="21"/>
                <w:lang w:eastAsia="zh-CN"/>
              </w:rPr>
            </w:pPr>
            <w:r>
              <w:rPr>
                <w:rFonts w:hint="default" w:ascii="Times New Roman" w:hAnsi="Times New Roman" w:cs="Times New Roman"/>
                <w:color w:val="0000FF"/>
                <w:sz w:val="21"/>
                <w:szCs w:val="21"/>
                <w:lang w:eastAsia="zh-CN"/>
              </w:rPr>
              <w:t>15</w:t>
            </w:r>
          </w:p>
        </w:tc>
      </w:tr>
      <w:tr w14:paraId="08B9957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2976" w:type="pct"/>
            <w:noWrap w:val="0"/>
            <w:vAlign w:val="center"/>
          </w:tcPr>
          <w:p w14:paraId="5EBD877E">
            <w:pPr>
              <w:pStyle w:val="23"/>
              <w:contextualSpacing/>
              <w:rPr>
                <w:rFonts w:hint="default" w:ascii="Times New Roman" w:hAnsi="Times New Roman" w:cs="Times New Roman"/>
                <w:color w:val="0000FF"/>
                <w:sz w:val="21"/>
                <w:szCs w:val="21"/>
                <w:lang w:eastAsia="zh-CN"/>
              </w:rPr>
            </w:pPr>
            <w:r>
              <w:rPr>
                <w:rFonts w:hint="default" w:ascii="Times New Roman" w:hAnsi="Times New Roman" w:cs="Times New Roman"/>
                <w:color w:val="0000FF"/>
                <w:sz w:val="21"/>
                <w:szCs w:val="21"/>
                <w:lang w:eastAsia="zh-CN"/>
              </w:rPr>
              <w:t>排气筒出口内径/m</w:t>
            </w:r>
          </w:p>
        </w:tc>
        <w:tc>
          <w:tcPr>
            <w:tcW w:w="2023" w:type="pct"/>
            <w:noWrap w:val="0"/>
            <w:vAlign w:val="center"/>
          </w:tcPr>
          <w:p w14:paraId="40D64925">
            <w:pPr>
              <w:pStyle w:val="23"/>
              <w:contextualSpacing/>
              <w:rPr>
                <w:rFonts w:hint="default" w:ascii="Times New Roman" w:hAnsi="Times New Roman" w:cs="Times New Roman"/>
                <w:color w:val="0000FF"/>
                <w:sz w:val="21"/>
                <w:szCs w:val="21"/>
                <w:lang w:eastAsia="zh-CN"/>
              </w:rPr>
            </w:pPr>
            <w:r>
              <w:rPr>
                <w:rFonts w:hint="default" w:ascii="Times New Roman" w:hAnsi="Times New Roman" w:cs="Times New Roman"/>
                <w:color w:val="0000FF"/>
                <w:sz w:val="21"/>
                <w:szCs w:val="21"/>
                <w:lang w:eastAsia="zh-CN"/>
              </w:rPr>
              <w:t>0.3</w:t>
            </w:r>
          </w:p>
        </w:tc>
      </w:tr>
      <w:tr w14:paraId="6CB0B65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2976" w:type="pct"/>
            <w:noWrap w:val="0"/>
            <w:vAlign w:val="center"/>
          </w:tcPr>
          <w:p w14:paraId="78B6D667">
            <w:pPr>
              <w:pStyle w:val="23"/>
              <w:contextualSpacing/>
              <w:rPr>
                <w:rFonts w:hint="default" w:ascii="Times New Roman" w:hAnsi="Times New Roman" w:cs="Times New Roman"/>
                <w:color w:val="0000FF"/>
                <w:sz w:val="21"/>
                <w:szCs w:val="21"/>
                <w:lang w:eastAsia="zh-CN"/>
              </w:rPr>
            </w:pPr>
            <w:r>
              <w:rPr>
                <w:rFonts w:hint="default" w:ascii="Times New Roman" w:hAnsi="Times New Roman" w:cs="Times New Roman"/>
                <w:color w:val="0000FF"/>
                <w:sz w:val="21"/>
                <w:szCs w:val="21"/>
                <w:lang w:eastAsia="zh-CN"/>
              </w:rPr>
              <w:t>烟气流量/(m</w:t>
            </w:r>
            <w:r>
              <w:rPr>
                <w:rFonts w:hint="default" w:ascii="Times New Roman" w:hAnsi="Times New Roman" w:cs="Times New Roman"/>
                <w:color w:val="0000FF"/>
                <w:sz w:val="21"/>
                <w:szCs w:val="21"/>
                <w:vertAlign w:val="superscript"/>
                <w:lang w:eastAsia="zh-CN"/>
              </w:rPr>
              <w:t>3</w:t>
            </w:r>
            <w:r>
              <w:rPr>
                <w:rFonts w:hint="default" w:ascii="Times New Roman" w:hAnsi="Times New Roman" w:cs="Times New Roman"/>
                <w:color w:val="0000FF"/>
                <w:sz w:val="21"/>
                <w:szCs w:val="21"/>
                <w:lang w:eastAsia="zh-CN"/>
              </w:rPr>
              <w:t>/h)</w:t>
            </w:r>
          </w:p>
        </w:tc>
        <w:tc>
          <w:tcPr>
            <w:tcW w:w="2023" w:type="pct"/>
            <w:noWrap w:val="0"/>
            <w:vAlign w:val="center"/>
          </w:tcPr>
          <w:p w14:paraId="209ED739">
            <w:pPr>
              <w:pStyle w:val="23"/>
              <w:contextualSpacing/>
              <w:rPr>
                <w:rFonts w:hint="default" w:ascii="Times New Roman" w:hAnsi="Times New Roman" w:cs="Times New Roman"/>
                <w:color w:val="0000FF"/>
                <w:sz w:val="21"/>
                <w:szCs w:val="21"/>
                <w:lang w:val="en-US" w:eastAsia="zh-CN"/>
              </w:rPr>
            </w:pPr>
            <w:r>
              <w:rPr>
                <w:rFonts w:hint="eastAsia" w:ascii="Times New Roman" w:hAnsi="Times New Roman" w:cs="Times New Roman"/>
                <w:color w:val="0000FF"/>
                <w:sz w:val="21"/>
                <w:szCs w:val="21"/>
                <w:lang w:val="en-US" w:eastAsia="zh-CN"/>
              </w:rPr>
              <w:t>2000</w:t>
            </w:r>
          </w:p>
        </w:tc>
      </w:tr>
      <w:tr w14:paraId="1B9D1A7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2976" w:type="pct"/>
            <w:noWrap w:val="0"/>
            <w:vAlign w:val="center"/>
          </w:tcPr>
          <w:p w14:paraId="791F83C2">
            <w:pPr>
              <w:pStyle w:val="23"/>
              <w:contextualSpacing/>
              <w:rPr>
                <w:rFonts w:hint="default" w:ascii="Times New Roman" w:hAnsi="Times New Roman" w:cs="Times New Roman"/>
                <w:color w:val="0000FF"/>
                <w:sz w:val="21"/>
                <w:szCs w:val="21"/>
                <w:lang w:eastAsia="zh-CN"/>
              </w:rPr>
            </w:pPr>
            <w:r>
              <w:rPr>
                <w:rFonts w:hint="default" w:ascii="Times New Roman" w:hAnsi="Times New Roman" w:cs="Times New Roman"/>
                <w:color w:val="0000FF"/>
                <w:sz w:val="21"/>
                <w:szCs w:val="21"/>
                <w:lang w:eastAsia="zh-CN"/>
              </w:rPr>
              <w:t>烟气温度/℃</w:t>
            </w:r>
          </w:p>
        </w:tc>
        <w:tc>
          <w:tcPr>
            <w:tcW w:w="2023" w:type="pct"/>
            <w:noWrap w:val="0"/>
            <w:vAlign w:val="center"/>
          </w:tcPr>
          <w:p w14:paraId="5C3DEAC8">
            <w:pPr>
              <w:pStyle w:val="23"/>
              <w:contextualSpacing/>
              <w:rPr>
                <w:rFonts w:hint="default" w:ascii="Times New Roman" w:hAnsi="Times New Roman" w:cs="Times New Roman"/>
                <w:color w:val="0000FF"/>
                <w:sz w:val="21"/>
                <w:szCs w:val="21"/>
                <w:lang w:eastAsia="zh-CN"/>
              </w:rPr>
            </w:pPr>
            <w:r>
              <w:rPr>
                <w:rFonts w:hint="default" w:ascii="Times New Roman" w:hAnsi="Times New Roman" w:cs="Times New Roman"/>
                <w:color w:val="0000FF"/>
                <w:sz w:val="21"/>
                <w:szCs w:val="21"/>
                <w:lang w:eastAsia="zh-CN"/>
              </w:rPr>
              <w:t>30</w:t>
            </w:r>
          </w:p>
        </w:tc>
      </w:tr>
      <w:tr w14:paraId="24F7598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2976" w:type="pct"/>
            <w:noWrap w:val="0"/>
            <w:vAlign w:val="center"/>
          </w:tcPr>
          <w:p w14:paraId="39FCF801">
            <w:pPr>
              <w:pStyle w:val="23"/>
              <w:contextualSpacing/>
              <w:rPr>
                <w:rFonts w:hint="default" w:ascii="Times New Roman" w:hAnsi="Times New Roman" w:cs="Times New Roman"/>
                <w:color w:val="0000FF"/>
                <w:sz w:val="21"/>
                <w:szCs w:val="21"/>
                <w:lang w:eastAsia="zh-CN"/>
              </w:rPr>
            </w:pPr>
            <w:r>
              <w:rPr>
                <w:rFonts w:hint="default" w:ascii="Times New Roman" w:hAnsi="Times New Roman" w:cs="Times New Roman"/>
                <w:color w:val="0000FF"/>
                <w:sz w:val="21"/>
                <w:szCs w:val="21"/>
                <w:lang w:eastAsia="zh-CN"/>
              </w:rPr>
              <w:t>年排放小时数/h</w:t>
            </w:r>
          </w:p>
        </w:tc>
        <w:tc>
          <w:tcPr>
            <w:tcW w:w="2023" w:type="pct"/>
            <w:noWrap w:val="0"/>
            <w:vAlign w:val="center"/>
          </w:tcPr>
          <w:p w14:paraId="3786BDAB">
            <w:pPr>
              <w:pStyle w:val="23"/>
              <w:contextualSpacing/>
              <w:rPr>
                <w:rFonts w:hint="default" w:ascii="Times New Roman" w:hAnsi="Times New Roman" w:cs="Times New Roman"/>
                <w:color w:val="0000FF"/>
                <w:sz w:val="21"/>
                <w:szCs w:val="21"/>
                <w:lang w:val="en-US" w:eastAsia="zh-CN"/>
              </w:rPr>
            </w:pPr>
            <w:r>
              <w:rPr>
                <w:rFonts w:hint="eastAsia" w:ascii="Times New Roman" w:hAnsi="Times New Roman" w:cs="Times New Roman"/>
                <w:color w:val="0000FF"/>
                <w:sz w:val="21"/>
                <w:szCs w:val="21"/>
                <w:lang w:val="en-US" w:eastAsia="zh-CN"/>
              </w:rPr>
              <w:t>8760</w:t>
            </w:r>
          </w:p>
        </w:tc>
      </w:tr>
      <w:tr w14:paraId="73C3A3E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2976" w:type="pct"/>
            <w:noWrap w:val="0"/>
            <w:vAlign w:val="center"/>
          </w:tcPr>
          <w:p w14:paraId="278AF71A">
            <w:pPr>
              <w:pStyle w:val="23"/>
              <w:contextualSpacing/>
              <w:rPr>
                <w:rFonts w:hint="default" w:ascii="Times New Roman" w:hAnsi="Times New Roman" w:cs="Times New Roman"/>
                <w:color w:val="0000FF"/>
                <w:sz w:val="21"/>
                <w:szCs w:val="21"/>
                <w:lang w:eastAsia="zh-CN"/>
              </w:rPr>
            </w:pPr>
            <w:r>
              <w:rPr>
                <w:rFonts w:hint="default" w:ascii="Times New Roman" w:hAnsi="Times New Roman" w:cs="Times New Roman"/>
                <w:color w:val="0000FF"/>
                <w:sz w:val="21"/>
                <w:szCs w:val="21"/>
                <w:lang w:eastAsia="zh-CN"/>
              </w:rPr>
              <w:t>排放工况</w:t>
            </w:r>
          </w:p>
        </w:tc>
        <w:tc>
          <w:tcPr>
            <w:tcW w:w="2023" w:type="pct"/>
            <w:noWrap w:val="0"/>
            <w:vAlign w:val="center"/>
          </w:tcPr>
          <w:p w14:paraId="46A22850">
            <w:pPr>
              <w:pStyle w:val="23"/>
              <w:contextualSpacing/>
              <w:rPr>
                <w:rFonts w:hint="default" w:ascii="Times New Roman" w:hAnsi="Times New Roman" w:cs="Times New Roman"/>
                <w:color w:val="0000FF"/>
                <w:sz w:val="21"/>
                <w:szCs w:val="21"/>
                <w:lang w:eastAsia="zh-CN"/>
              </w:rPr>
            </w:pPr>
            <w:r>
              <w:rPr>
                <w:rFonts w:hint="default" w:ascii="Times New Roman" w:hAnsi="Times New Roman" w:cs="Times New Roman"/>
                <w:color w:val="0000FF"/>
                <w:sz w:val="21"/>
                <w:szCs w:val="21"/>
                <w:lang w:eastAsia="zh-CN"/>
              </w:rPr>
              <w:t>正常</w:t>
            </w:r>
          </w:p>
        </w:tc>
      </w:tr>
      <w:tr w14:paraId="711188E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2976" w:type="pct"/>
            <w:noWrap w:val="0"/>
            <w:vAlign w:val="center"/>
          </w:tcPr>
          <w:p w14:paraId="1BF60D7D">
            <w:pPr>
              <w:pStyle w:val="24"/>
              <w:spacing w:line="240" w:lineRule="auto"/>
              <w:contextualSpacing/>
              <w:rPr>
                <w:rFonts w:hint="default" w:ascii="Times New Roman" w:hAnsi="Times New Roman" w:cs="Times New Roman"/>
                <w:color w:val="0000FF"/>
                <w:sz w:val="21"/>
                <w:szCs w:val="21"/>
              </w:rPr>
            </w:pPr>
            <w:r>
              <w:rPr>
                <w:rFonts w:hint="default" w:ascii="Times New Roman" w:hAnsi="Times New Roman" w:cs="Times New Roman"/>
                <w:color w:val="0000FF"/>
                <w:sz w:val="21"/>
                <w:szCs w:val="21"/>
              </w:rPr>
              <w:t>污染物排放速率/(kg/h)</w:t>
            </w:r>
          </w:p>
        </w:tc>
        <w:tc>
          <w:tcPr>
            <w:tcW w:w="2023" w:type="pct"/>
            <w:noWrap w:val="0"/>
            <w:vAlign w:val="center"/>
          </w:tcPr>
          <w:p w14:paraId="4CFDD780">
            <w:pPr>
              <w:pStyle w:val="23"/>
              <w:contextualSpacing/>
              <w:rPr>
                <w:rFonts w:hint="default" w:ascii="Times New Roman" w:hAnsi="Times New Roman" w:cs="Times New Roman"/>
                <w:color w:val="0000FF"/>
                <w:sz w:val="21"/>
                <w:szCs w:val="21"/>
                <w:lang w:eastAsia="zh-CN"/>
              </w:rPr>
            </w:pPr>
            <w:r>
              <w:rPr>
                <w:rFonts w:hint="eastAsia" w:ascii="Times New Roman" w:hAnsi="Times New Roman" w:eastAsia="宋体"/>
                <w:b w:val="0"/>
                <w:bCs w:val="0"/>
                <w:color w:val="0000FF"/>
                <w:sz w:val="21"/>
                <w:szCs w:val="21"/>
              </w:rPr>
              <w:t>0.0</w:t>
            </w:r>
            <w:r>
              <w:rPr>
                <w:rFonts w:hint="eastAsia" w:ascii="Times New Roman" w:hAnsi="Times New Roman" w:eastAsia="宋体"/>
                <w:b w:val="0"/>
                <w:bCs w:val="0"/>
                <w:color w:val="0000FF"/>
                <w:sz w:val="21"/>
                <w:szCs w:val="21"/>
                <w:lang w:val="en-US" w:eastAsia="zh-CN"/>
              </w:rPr>
              <w:t>039</w:t>
            </w:r>
          </w:p>
        </w:tc>
      </w:tr>
    </w:tbl>
    <w:p w14:paraId="5AD2246E">
      <w:pPr>
        <w:spacing w:before="156" w:beforeLines="50"/>
        <w:jc w:val="left"/>
        <w:rPr>
          <w:rFonts w:ascii="Times New Roman" w:hAnsi="Times New Roman" w:eastAsia="宋体"/>
          <w:color w:val="0000FF"/>
          <w:sz w:val="24"/>
          <w:szCs w:val="24"/>
        </w:rPr>
      </w:pPr>
    </w:p>
    <w:p w14:paraId="11CFADB8">
      <w:pPr>
        <w:spacing w:before="156" w:beforeLines="50"/>
        <w:ind w:firstLine="240" w:firstLineChars="100"/>
        <w:jc w:val="left"/>
        <w:rPr>
          <w:rFonts w:ascii="Times New Roman" w:hAnsi="Times New Roman" w:eastAsia="宋体"/>
          <w:color w:val="0000FF"/>
          <w:sz w:val="24"/>
          <w:szCs w:val="24"/>
        </w:rPr>
      </w:pPr>
      <w:r>
        <w:rPr>
          <w:rFonts w:ascii="Times New Roman" w:hAnsi="Times New Roman" w:eastAsia="宋体"/>
          <w:color w:val="0000FF"/>
          <w:sz w:val="24"/>
          <w:szCs w:val="24"/>
        </w:rPr>
        <w:t>（</w:t>
      </w:r>
      <w:r>
        <w:rPr>
          <w:rFonts w:hint="eastAsia" w:ascii="Times New Roman" w:hAnsi="Times New Roman" w:eastAsia="宋体"/>
          <w:color w:val="0000FF"/>
          <w:sz w:val="24"/>
          <w:szCs w:val="24"/>
          <w:lang w:val="en-US" w:eastAsia="zh-CN"/>
        </w:rPr>
        <w:t>5</w:t>
      </w:r>
      <w:r>
        <w:rPr>
          <w:rFonts w:ascii="Times New Roman" w:hAnsi="Times New Roman" w:eastAsia="宋体"/>
          <w:color w:val="0000FF"/>
          <w:sz w:val="24"/>
          <w:szCs w:val="24"/>
        </w:rPr>
        <w:t>）无组织排放</w:t>
      </w:r>
    </w:p>
    <w:p w14:paraId="689ED7AA">
      <w:pPr>
        <w:spacing w:line="360" w:lineRule="auto"/>
        <w:ind w:firstLine="480"/>
        <w:contextualSpacing/>
        <w:rPr>
          <w:rFonts w:ascii="Times New Roman" w:hAnsi="Times New Roman" w:eastAsia="宋体"/>
          <w:color w:val="0000FF"/>
          <w:sz w:val="24"/>
          <w:szCs w:val="24"/>
        </w:rPr>
      </w:pPr>
      <w:r>
        <w:rPr>
          <w:rFonts w:ascii="Times New Roman" w:hAnsi="Times New Roman" w:eastAsia="宋体"/>
          <w:color w:val="0000FF"/>
          <w:sz w:val="24"/>
          <w:szCs w:val="24"/>
        </w:rPr>
        <w:t>项目无组织废气</w:t>
      </w:r>
      <w:r>
        <w:rPr>
          <w:rFonts w:ascii="Times New Roman" w:hAnsi="Times New Roman" w:eastAsia="宋体"/>
          <w:color w:val="0000FF"/>
          <w:sz w:val="24"/>
          <w:szCs w:val="24"/>
          <w:lang w:bidi="ar"/>
        </w:rPr>
        <w:t>排放参数见下表</w:t>
      </w:r>
      <w:r>
        <w:rPr>
          <w:rFonts w:hint="eastAsia" w:ascii="Times New Roman" w:hAnsi="Times New Roman" w:eastAsia="宋体"/>
          <w:color w:val="0000FF"/>
          <w:sz w:val="24"/>
          <w:szCs w:val="24"/>
          <w:lang w:val="en-US" w:eastAsia="zh-CN" w:bidi="ar"/>
        </w:rPr>
        <w:t>4-4</w:t>
      </w:r>
      <w:r>
        <w:rPr>
          <w:rFonts w:ascii="Times New Roman" w:hAnsi="Times New Roman" w:eastAsia="宋体"/>
          <w:color w:val="0000FF"/>
          <w:sz w:val="24"/>
          <w:szCs w:val="24"/>
          <w:lang w:bidi="ar"/>
        </w:rPr>
        <w:t>。</w:t>
      </w:r>
    </w:p>
    <w:p w14:paraId="315A41F5">
      <w:pPr>
        <w:spacing w:line="360" w:lineRule="auto"/>
        <w:ind w:firstLine="438"/>
        <w:jc w:val="center"/>
        <w:rPr>
          <w:rFonts w:ascii="Times New Roman" w:hAnsi="Times New Roman" w:eastAsia="宋体"/>
          <w:b/>
          <w:color w:val="0000FF"/>
          <w:spacing w:val="4"/>
          <w:szCs w:val="21"/>
        </w:rPr>
      </w:pPr>
      <w:r>
        <w:rPr>
          <w:rFonts w:ascii="Times New Roman" w:hAnsi="Times New Roman" w:eastAsia="宋体"/>
          <w:b/>
          <w:color w:val="0000FF"/>
          <w:spacing w:val="4"/>
          <w:szCs w:val="21"/>
        </w:rPr>
        <w:t>表</w:t>
      </w:r>
      <w:r>
        <w:rPr>
          <w:rFonts w:hint="eastAsia" w:ascii="Times New Roman" w:hAnsi="Times New Roman" w:eastAsia="宋体"/>
          <w:b/>
          <w:color w:val="0000FF"/>
          <w:spacing w:val="4"/>
          <w:szCs w:val="21"/>
          <w:lang w:val="en-US" w:eastAsia="zh-CN"/>
        </w:rPr>
        <w:t>4-4</w:t>
      </w:r>
      <w:r>
        <w:rPr>
          <w:rFonts w:ascii="Times New Roman" w:hAnsi="Times New Roman" w:eastAsia="宋体"/>
          <w:b/>
          <w:color w:val="0000FF"/>
          <w:spacing w:val="4"/>
          <w:szCs w:val="21"/>
        </w:rPr>
        <w:t>面源参数</w:t>
      </w:r>
    </w:p>
    <w:tbl>
      <w:tblPr>
        <w:tblStyle w:val="11"/>
        <w:tblpPr w:leftFromText="180" w:rightFromText="180" w:vertAnchor="text" w:horzAnchor="page" w:tblpXSpec="center" w:tblpY="71"/>
        <w:tblOverlap w:val="never"/>
        <w:tblW w:w="0" w:type="auto"/>
        <w:tblInd w:w="0" w:type="dxa"/>
        <w:tblBorders>
          <w:top w:val="single" w:color="auto" w:sz="12" w:space="0"/>
          <w:left w:val="none" w:color="auto" w:sz="0" w:space="0"/>
          <w:bottom w:val="single" w:color="auto" w:sz="12" w:space="0"/>
          <w:right w:val="none" w:color="auto" w:sz="0" w:space="0"/>
          <w:insideH w:val="single" w:color="auto" w:sz="4" w:space="0"/>
          <w:insideV w:val="single" w:color="auto" w:sz="6" w:space="0"/>
        </w:tblBorders>
        <w:tblLayout w:type="autofit"/>
        <w:tblCellMar>
          <w:top w:w="0" w:type="dxa"/>
          <w:left w:w="108" w:type="dxa"/>
          <w:bottom w:w="0" w:type="dxa"/>
          <w:right w:w="108" w:type="dxa"/>
        </w:tblCellMar>
      </w:tblPr>
      <w:tblGrid>
        <w:gridCol w:w="2253"/>
        <w:gridCol w:w="2242"/>
        <w:gridCol w:w="1908"/>
        <w:gridCol w:w="1908"/>
      </w:tblGrid>
      <w:tr w14:paraId="43A088B8">
        <w:tblPrEx>
          <w:tblBorders>
            <w:top w:val="single" w:color="auto" w:sz="12" w:space="0"/>
            <w:left w:val="none" w:color="auto" w:sz="0" w:space="0"/>
            <w:bottom w:val="single" w:color="auto" w:sz="12" w:space="0"/>
            <w:right w:val="none" w:color="auto" w:sz="0" w:space="0"/>
            <w:insideH w:val="single" w:color="auto" w:sz="4" w:space="0"/>
            <w:insideV w:val="single" w:color="auto" w:sz="6" w:space="0"/>
          </w:tblBorders>
          <w:tblCellMar>
            <w:top w:w="0" w:type="dxa"/>
            <w:left w:w="108" w:type="dxa"/>
            <w:bottom w:w="0" w:type="dxa"/>
            <w:right w:w="108" w:type="dxa"/>
          </w:tblCellMar>
        </w:tblPrEx>
        <w:trPr>
          <w:trHeight w:val="255" w:hRule="atLeast"/>
        </w:trPr>
        <w:tc>
          <w:tcPr>
            <w:tcW w:w="4495" w:type="dxa"/>
            <w:gridSpan w:val="2"/>
            <w:noWrap w:val="0"/>
            <w:vAlign w:val="center"/>
          </w:tcPr>
          <w:p w14:paraId="17394C94">
            <w:pPr>
              <w:pStyle w:val="23"/>
              <w:rPr>
                <w:rFonts w:ascii="Times New Roman" w:hAnsi="Times New Roman" w:eastAsia="宋体"/>
                <w:b/>
                <w:bCs/>
                <w:color w:val="0000FF"/>
                <w:sz w:val="21"/>
                <w:szCs w:val="21"/>
                <w:lang w:eastAsia="zh-CN"/>
              </w:rPr>
            </w:pPr>
            <w:r>
              <w:rPr>
                <w:rFonts w:ascii="Times New Roman" w:hAnsi="Times New Roman" w:eastAsia="宋体"/>
                <w:b/>
                <w:bCs/>
                <w:color w:val="0000FF"/>
                <w:sz w:val="21"/>
                <w:szCs w:val="21"/>
                <w:lang w:eastAsia="zh-CN"/>
              </w:rPr>
              <w:t>编号</w:t>
            </w:r>
          </w:p>
        </w:tc>
        <w:tc>
          <w:tcPr>
            <w:tcW w:w="1908" w:type="dxa"/>
            <w:noWrap w:val="0"/>
            <w:vAlign w:val="center"/>
          </w:tcPr>
          <w:p w14:paraId="4104CF6C">
            <w:pPr>
              <w:pStyle w:val="23"/>
              <w:rPr>
                <w:rFonts w:ascii="Times New Roman" w:hAnsi="Times New Roman" w:eastAsia="宋体"/>
                <w:b/>
                <w:bCs/>
                <w:color w:val="0000FF"/>
                <w:sz w:val="21"/>
                <w:szCs w:val="21"/>
                <w:lang w:eastAsia="zh-CN"/>
              </w:rPr>
            </w:pPr>
            <w:r>
              <w:rPr>
                <w:rFonts w:hint="eastAsia" w:ascii="Times New Roman" w:hAnsi="Times New Roman" w:eastAsia="宋体"/>
                <w:b/>
                <w:bCs/>
                <w:color w:val="0000FF"/>
                <w:sz w:val="21"/>
                <w:szCs w:val="21"/>
                <w:lang w:val="en-US" w:eastAsia="zh-CN"/>
              </w:rPr>
              <w:t>1</w:t>
            </w:r>
          </w:p>
        </w:tc>
        <w:tc>
          <w:tcPr>
            <w:tcW w:w="1908" w:type="dxa"/>
            <w:noWrap w:val="0"/>
            <w:vAlign w:val="center"/>
          </w:tcPr>
          <w:p w14:paraId="548DAE76">
            <w:pPr>
              <w:pStyle w:val="23"/>
              <w:rPr>
                <w:rFonts w:hint="default" w:ascii="Times New Roman" w:hAnsi="Times New Roman" w:eastAsia="宋体"/>
                <w:b/>
                <w:bCs/>
                <w:color w:val="0000FF"/>
                <w:sz w:val="21"/>
                <w:szCs w:val="21"/>
                <w:lang w:val="en-US" w:eastAsia="zh-CN"/>
              </w:rPr>
            </w:pPr>
            <w:r>
              <w:rPr>
                <w:rFonts w:hint="eastAsia" w:ascii="Times New Roman" w:hAnsi="Times New Roman" w:eastAsia="宋体"/>
                <w:b/>
                <w:bCs/>
                <w:color w:val="0000FF"/>
                <w:sz w:val="21"/>
                <w:szCs w:val="21"/>
                <w:lang w:val="en-US" w:eastAsia="zh-CN"/>
              </w:rPr>
              <w:t>2</w:t>
            </w:r>
          </w:p>
        </w:tc>
      </w:tr>
      <w:tr w14:paraId="3FD0F2E3">
        <w:tblPrEx>
          <w:tblBorders>
            <w:top w:val="single" w:color="auto" w:sz="12" w:space="0"/>
            <w:left w:val="none" w:color="auto" w:sz="0" w:space="0"/>
            <w:bottom w:val="single" w:color="auto" w:sz="12" w:space="0"/>
            <w:right w:val="none" w:color="auto" w:sz="0" w:space="0"/>
            <w:insideH w:val="single" w:color="auto" w:sz="4" w:space="0"/>
            <w:insideV w:val="single" w:color="auto" w:sz="6" w:space="0"/>
          </w:tblBorders>
          <w:tblCellMar>
            <w:top w:w="0" w:type="dxa"/>
            <w:left w:w="108" w:type="dxa"/>
            <w:bottom w:w="0" w:type="dxa"/>
            <w:right w:w="108" w:type="dxa"/>
          </w:tblCellMar>
        </w:tblPrEx>
        <w:trPr>
          <w:trHeight w:val="240" w:hRule="atLeast"/>
        </w:trPr>
        <w:tc>
          <w:tcPr>
            <w:tcW w:w="4495" w:type="dxa"/>
            <w:gridSpan w:val="2"/>
            <w:noWrap w:val="0"/>
            <w:vAlign w:val="center"/>
          </w:tcPr>
          <w:p w14:paraId="26ADBCDB">
            <w:pPr>
              <w:pStyle w:val="23"/>
              <w:rPr>
                <w:rFonts w:ascii="Times New Roman" w:hAnsi="Times New Roman" w:eastAsia="宋体"/>
                <w:color w:val="0000FF"/>
                <w:sz w:val="21"/>
                <w:szCs w:val="21"/>
                <w:lang w:eastAsia="zh-CN"/>
              </w:rPr>
            </w:pPr>
            <w:r>
              <w:rPr>
                <w:rFonts w:ascii="Times New Roman" w:hAnsi="Times New Roman" w:eastAsia="宋体"/>
                <w:color w:val="0000FF"/>
                <w:sz w:val="21"/>
                <w:szCs w:val="21"/>
                <w:lang w:eastAsia="zh-CN"/>
              </w:rPr>
              <w:t>名称</w:t>
            </w:r>
          </w:p>
        </w:tc>
        <w:tc>
          <w:tcPr>
            <w:tcW w:w="1908" w:type="dxa"/>
            <w:noWrap w:val="0"/>
            <w:vAlign w:val="center"/>
          </w:tcPr>
          <w:p w14:paraId="35352F16">
            <w:pPr>
              <w:pStyle w:val="23"/>
              <w:rPr>
                <w:rFonts w:ascii="Times New Roman" w:hAnsi="Times New Roman" w:eastAsia="宋体"/>
                <w:color w:val="0000FF"/>
                <w:sz w:val="21"/>
                <w:szCs w:val="21"/>
                <w:lang w:eastAsia="zh-CN"/>
              </w:rPr>
            </w:pPr>
            <w:r>
              <w:rPr>
                <w:rFonts w:hint="eastAsia" w:ascii="Times New Roman" w:hAnsi="Times New Roman" w:eastAsia="宋体"/>
                <w:color w:val="0000FF"/>
                <w:sz w:val="21"/>
                <w:szCs w:val="21"/>
                <w:lang w:eastAsia="zh-CN"/>
              </w:rPr>
              <w:t>非甲烷总烃</w:t>
            </w:r>
          </w:p>
        </w:tc>
        <w:tc>
          <w:tcPr>
            <w:tcW w:w="1908" w:type="dxa"/>
            <w:noWrap w:val="0"/>
            <w:vAlign w:val="center"/>
          </w:tcPr>
          <w:p w14:paraId="04C8FCDD">
            <w:pPr>
              <w:pStyle w:val="23"/>
              <w:rPr>
                <w:rFonts w:ascii="Times New Roman" w:hAnsi="Times New Roman" w:eastAsia="宋体"/>
                <w:color w:val="0000FF"/>
                <w:sz w:val="21"/>
                <w:szCs w:val="21"/>
                <w:lang w:eastAsia="zh-CN"/>
              </w:rPr>
            </w:pPr>
            <w:r>
              <w:rPr>
                <w:rFonts w:hint="eastAsia" w:ascii="Times New Roman" w:hAnsi="Times New Roman" w:eastAsia="宋体"/>
                <w:color w:val="0000FF"/>
                <w:sz w:val="21"/>
                <w:szCs w:val="21"/>
                <w:lang w:eastAsia="zh-CN"/>
              </w:rPr>
              <w:t>硫酸雾</w:t>
            </w:r>
          </w:p>
        </w:tc>
      </w:tr>
      <w:tr w14:paraId="76BAA909">
        <w:tblPrEx>
          <w:tblBorders>
            <w:top w:val="single" w:color="auto" w:sz="12" w:space="0"/>
            <w:left w:val="none" w:color="auto" w:sz="0" w:space="0"/>
            <w:bottom w:val="single" w:color="auto" w:sz="12" w:space="0"/>
            <w:right w:val="none" w:color="auto" w:sz="0" w:space="0"/>
            <w:insideH w:val="single" w:color="auto" w:sz="4" w:space="0"/>
            <w:insideV w:val="single" w:color="auto" w:sz="6" w:space="0"/>
          </w:tblBorders>
          <w:tblCellMar>
            <w:top w:w="0" w:type="dxa"/>
            <w:left w:w="108" w:type="dxa"/>
            <w:bottom w:w="0" w:type="dxa"/>
            <w:right w:w="108" w:type="dxa"/>
          </w:tblCellMar>
        </w:tblPrEx>
        <w:trPr>
          <w:trHeight w:val="240" w:hRule="atLeast"/>
        </w:trPr>
        <w:tc>
          <w:tcPr>
            <w:tcW w:w="4495" w:type="dxa"/>
            <w:gridSpan w:val="2"/>
            <w:noWrap w:val="0"/>
            <w:vAlign w:val="center"/>
          </w:tcPr>
          <w:p w14:paraId="12D50109">
            <w:pPr>
              <w:pStyle w:val="23"/>
              <w:rPr>
                <w:rFonts w:ascii="Times New Roman" w:hAnsi="Times New Roman" w:eastAsia="宋体"/>
                <w:color w:val="0000FF"/>
                <w:sz w:val="21"/>
                <w:szCs w:val="21"/>
                <w:lang w:eastAsia="zh-CN"/>
              </w:rPr>
            </w:pPr>
            <w:r>
              <w:rPr>
                <w:rFonts w:ascii="Times New Roman" w:hAnsi="Times New Roman" w:eastAsia="宋体"/>
                <w:color w:val="0000FF"/>
                <w:sz w:val="21"/>
                <w:szCs w:val="21"/>
                <w:lang w:eastAsia="zh-CN"/>
              </w:rPr>
              <w:t>面源海拔高度/m</w:t>
            </w:r>
          </w:p>
        </w:tc>
        <w:tc>
          <w:tcPr>
            <w:tcW w:w="1908" w:type="dxa"/>
            <w:noWrap w:val="0"/>
            <w:vAlign w:val="center"/>
          </w:tcPr>
          <w:p w14:paraId="03448F08">
            <w:pPr>
              <w:pStyle w:val="23"/>
              <w:rPr>
                <w:rFonts w:ascii="Times New Roman" w:hAnsi="Times New Roman" w:eastAsia="宋体"/>
                <w:color w:val="0000FF"/>
                <w:sz w:val="21"/>
                <w:szCs w:val="21"/>
                <w:lang w:eastAsia="zh-CN"/>
              </w:rPr>
            </w:pPr>
            <w:r>
              <w:rPr>
                <w:rFonts w:ascii="Times New Roman" w:hAnsi="Times New Roman" w:eastAsia="宋体"/>
                <w:color w:val="0000FF"/>
                <w:sz w:val="21"/>
                <w:szCs w:val="21"/>
                <w:lang w:eastAsia="zh-CN"/>
              </w:rPr>
              <w:t>451</w:t>
            </w:r>
          </w:p>
        </w:tc>
        <w:tc>
          <w:tcPr>
            <w:tcW w:w="1908" w:type="dxa"/>
            <w:noWrap w:val="0"/>
            <w:vAlign w:val="center"/>
          </w:tcPr>
          <w:p w14:paraId="0E0B45E0">
            <w:pPr>
              <w:pStyle w:val="23"/>
              <w:ind w:firstLine="0" w:firstLineChars="0"/>
              <w:rPr>
                <w:rFonts w:ascii="Times New Roman" w:hAnsi="Times New Roman" w:eastAsia="宋体"/>
                <w:color w:val="0000FF"/>
                <w:sz w:val="21"/>
                <w:szCs w:val="21"/>
                <w:lang w:eastAsia="zh-CN"/>
              </w:rPr>
            </w:pPr>
            <w:r>
              <w:rPr>
                <w:rFonts w:ascii="Times New Roman" w:hAnsi="Times New Roman" w:eastAsia="宋体"/>
                <w:color w:val="0000FF"/>
                <w:sz w:val="21"/>
                <w:szCs w:val="21"/>
                <w:lang w:eastAsia="zh-CN"/>
              </w:rPr>
              <w:t>451</w:t>
            </w:r>
          </w:p>
        </w:tc>
      </w:tr>
      <w:tr w14:paraId="2BBDC611">
        <w:tblPrEx>
          <w:tblBorders>
            <w:top w:val="single" w:color="auto" w:sz="12" w:space="0"/>
            <w:left w:val="none" w:color="auto" w:sz="0" w:space="0"/>
            <w:bottom w:val="single" w:color="auto" w:sz="12" w:space="0"/>
            <w:right w:val="none" w:color="auto" w:sz="0" w:space="0"/>
            <w:insideH w:val="single" w:color="auto" w:sz="4" w:space="0"/>
            <w:insideV w:val="single" w:color="auto" w:sz="6" w:space="0"/>
          </w:tblBorders>
          <w:tblCellMar>
            <w:top w:w="0" w:type="dxa"/>
            <w:left w:w="108" w:type="dxa"/>
            <w:bottom w:w="0" w:type="dxa"/>
            <w:right w:w="108" w:type="dxa"/>
          </w:tblCellMar>
        </w:tblPrEx>
        <w:trPr>
          <w:trHeight w:val="240" w:hRule="atLeast"/>
        </w:trPr>
        <w:tc>
          <w:tcPr>
            <w:tcW w:w="4495" w:type="dxa"/>
            <w:gridSpan w:val="2"/>
            <w:noWrap w:val="0"/>
            <w:vAlign w:val="center"/>
          </w:tcPr>
          <w:p w14:paraId="155E7245">
            <w:pPr>
              <w:pStyle w:val="23"/>
              <w:rPr>
                <w:rFonts w:ascii="Times New Roman" w:hAnsi="Times New Roman" w:eastAsia="宋体"/>
                <w:color w:val="0000FF"/>
                <w:sz w:val="21"/>
                <w:szCs w:val="21"/>
                <w:lang w:eastAsia="zh-CN"/>
              </w:rPr>
            </w:pPr>
            <w:r>
              <w:rPr>
                <w:rFonts w:ascii="Times New Roman" w:hAnsi="Times New Roman" w:eastAsia="宋体"/>
                <w:color w:val="0000FF"/>
                <w:sz w:val="21"/>
                <w:szCs w:val="21"/>
                <w:lang w:eastAsia="zh-CN"/>
              </w:rPr>
              <w:t>面源长度/m</w:t>
            </w:r>
          </w:p>
        </w:tc>
        <w:tc>
          <w:tcPr>
            <w:tcW w:w="1908" w:type="dxa"/>
            <w:noWrap w:val="0"/>
            <w:vAlign w:val="center"/>
          </w:tcPr>
          <w:p w14:paraId="11A59A8D">
            <w:pPr>
              <w:pStyle w:val="23"/>
              <w:rPr>
                <w:rFonts w:ascii="Times New Roman" w:hAnsi="Times New Roman" w:eastAsia="宋体"/>
                <w:color w:val="0000FF"/>
                <w:sz w:val="21"/>
                <w:szCs w:val="21"/>
                <w:lang w:eastAsia="zh-CN"/>
              </w:rPr>
            </w:pPr>
            <w:r>
              <w:rPr>
                <w:rFonts w:hint="eastAsia" w:ascii="Times New Roman" w:hAnsi="Times New Roman" w:eastAsia="宋体"/>
                <w:color w:val="0000FF"/>
                <w:sz w:val="21"/>
                <w:szCs w:val="21"/>
                <w:lang w:val="en-US" w:eastAsia="zh-CN"/>
              </w:rPr>
              <w:t>28</w:t>
            </w:r>
          </w:p>
        </w:tc>
        <w:tc>
          <w:tcPr>
            <w:tcW w:w="1908" w:type="dxa"/>
            <w:noWrap w:val="0"/>
            <w:vAlign w:val="center"/>
          </w:tcPr>
          <w:p w14:paraId="7CBFFC5F">
            <w:pPr>
              <w:pStyle w:val="23"/>
              <w:ind w:firstLine="0" w:firstLineChars="0"/>
              <w:rPr>
                <w:rFonts w:hint="default" w:ascii="Times New Roman" w:hAnsi="Times New Roman" w:eastAsia="宋体"/>
                <w:color w:val="0000FF"/>
                <w:sz w:val="21"/>
                <w:szCs w:val="21"/>
                <w:lang w:val="en-US" w:eastAsia="zh-CN"/>
              </w:rPr>
            </w:pPr>
            <w:r>
              <w:rPr>
                <w:rFonts w:hint="eastAsia" w:ascii="Times New Roman" w:hAnsi="Times New Roman" w:eastAsia="宋体"/>
                <w:color w:val="0000FF"/>
                <w:sz w:val="21"/>
                <w:szCs w:val="21"/>
                <w:lang w:val="en-US" w:eastAsia="zh-CN"/>
              </w:rPr>
              <w:t>28</w:t>
            </w:r>
          </w:p>
        </w:tc>
      </w:tr>
      <w:tr w14:paraId="692495A3">
        <w:tblPrEx>
          <w:tblBorders>
            <w:top w:val="single" w:color="auto" w:sz="12" w:space="0"/>
            <w:left w:val="none" w:color="auto" w:sz="0" w:space="0"/>
            <w:bottom w:val="single" w:color="auto" w:sz="12" w:space="0"/>
            <w:right w:val="none" w:color="auto" w:sz="0" w:space="0"/>
            <w:insideH w:val="single" w:color="auto" w:sz="4" w:space="0"/>
            <w:insideV w:val="single" w:color="auto" w:sz="6" w:space="0"/>
          </w:tblBorders>
          <w:tblCellMar>
            <w:top w:w="0" w:type="dxa"/>
            <w:left w:w="108" w:type="dxa"/>
            <w:bottom w:w="0" w:type="dxa"/>
            <w:right w:w="108" w:type="dxa"/>
          </w:tblCellMar>
        </w:tblPrEx>
        <w:trPr>
          <w:trHeight w:val="90" w:hRule="atLeast"/>
        </w:trPr>
        <w:tc>
          <w:tcPr>
            <w:tcW w:w="4495" w:type="dxa"/>
            <w:gridSpan w:val="2"/>
            <w:noWrap w:val="0"/>
            <w:vAlign w:val="center"/>
          </w:tcPr>
          <w:p w14:paraId="5C47FFBB">
            <w:pPr>
              <w:pStyle w:val="23"/>
              <w:rPr>
                <w:rFonts w:ascii="Times New Roman" w:hAnsi="Times New Roman" w:eastAsia="宋体"/>
                <w:color w:val="0000FF"/>
                <w:sz w:val="21"/>
                <w:szCs w:val="21"/>
                <w:lang w:eastAsia="zh-CN"/>
              </w:rPr>
            </w:pPr>
            <w:r>
              <w:rPr>
                <w:rFonts w:ascii="Times New Roman" w:hAnsi="Times New Roman" w:eastAsia="宋体"/>
                <w:color w:val="0000FF"/>
                <w:sz w:val="21"/>
                <w:szCs w:val="21"/>
                <w:lang w:eastAsia="zh-CN"/>
              </w:rPr>
              <w:t>面源宽度/m</w:t>
            </w:r>
          </w:p>
        </w:tc>
        <w:tc>
          <w:tcPr>
            <w:tcW w:w="1908" w:type="dxa"/>
            <w:noWrap w:val="0"/>
            <w:vAlign w:val="center"/>
          </w:tcPr>
          <w:p w14:paraId="1EA3CB69">
            <w:pPr>
              <w:pStyle w:val="23"/>
              <w:rPr>
                <w:rFonts w:hint="default" w:ascii="Times New Roman" w:hAnsi="Times New Roman" w:eastAsia="宋体"/>
                <w:color w:val="0000FF"/>
                <w:sz w:val="21"/>
                <w:szCs w:val="21"/>
                <w:lang w:val="en-US" w:eastAsia="zh-CN"/>
              </w:rPr>
            </w:pPr>
            <w:r>
              <w:rPr>
                <w:rFonts w:hint="eastAsia" w:ascii="Times New Roman" w:hAnsi="Times New Roman" w:eastAsia="宋体"/>
                <w:color w:val="0000FF"/>
                <w:sz w:val="21"/>
                <w:szCs w:val="21"/>
                <w:lang w:val="en-US" w:eastAsia="zh-CN"/>
              </w:rPr>
              <w:t>17.8</w:t>
            </w:r>
          </w:p>
        </w:tc>
        <w:tc>
          <w:tcPr>
            <w:tcW w:w="1908" w:type="dxa"/>
            <w:noWrap w:val="0"/>
            <w:vAlign w:val="center"/>
          </w:tcPr>
          <w:p w14:paraId="3DE65894">
            <w:pPr>
              <w:pStyle w:val="23"/>
              <w:ind w:firstLine="0" w:firstLineChars="0"/>
              <w:rPr>
                <w:rFonts w:hint="default" w:ascii="Times New Roman" w:hAnsi="Times New Roman" w:eastAsia="宋体"/>
                <w:color w:val="0000FF"/>
                <w:sz w:val="21"/>
                <w:szCs w:val="21"/>
                <w:lang w:val="en-US" w:eastAsia="zh-CN"/>
              </w:rPr>
            </w:pPr>
            <w:r>
              <w:rPr>
                <w:rFonts w:hint="eastAsia" w:ascii="Times New Roman" w:hAnsi="Times New Roman" w:eastAsia="宋体"/>
                <w:color w:val="0000FF"/>
                <w:sz w:val="21"/>
                <w:szCs w:val="21"/>
                <w:lang w:val="en-US" w:eastAsia="zh-CN"/>
              </w:rPr>
              <w:t>3.6</w:t>
            </w:r>
          </w:p>
        </w:tc>
      </w:tr>
      <w:tr w14:paraId="6451796A">
        <w:tblPrEx>
          <w:tblBorders>
            <w:top w:val="single" w:color="auto" w:sz="12" w:space="0"/>
            <w:left w:val="none" w:color="auto" w:sz="0" w:space="0"/>
            <w:bottom w:val="single" w:color="auto" w:sz="12" w:space="0"/>
            <w:right w:val="none" w:color="auto" w:sz="0" w:space="0"/>
            <w:insideH w:val="single" w:color="auto" w:sz="4" w:space="0"/>
            <w:insideV w:val="single" w:color="auto" w:sz="6" w:space="0"/>
          </w:tblBorders>
          <w:tblCellMar>
            <w:top w:w="0" w:type="dxa"/>
            <w:left w:w="108" w:type="dxa"/>
            <w:bottom w:w="0" w:type="dxa"/>
            <w:right w:w="108" w:type="dxa"/>
          </w:tblCellMar>
        </w:tblPrEx>
        <w:trPr>
          <w:trHeight w:val="240" w:hRule="atLeast"/>
        </w:trPr>
        <w:tc>
          <w:tcPr>
            <w:tcW w:w="4495" w:type="dxa"/>
            <w:gridSpan w:val="2"/>
            <w:noWrap w:val="0"/>
            <w:vAlign w:val="center"/>
          </w:tcPr>
          <w:p w14:paraId="568F1304">
            <w:pPr>
              <w:pStyle w:val="23"/>
              <w:rPr>
                <w:rFonts w:ascii="Times New Roman" w:hAnsi="Times New Roman" w:eastAsia="宋体"/>
                <w:color w:val="0000FF"/>
                <w:sz w:val="21"/>
                <w:szCs w:val="21"/>
                <w:lang w:eastAsia="zh-CN"/>
              </w:rPr>
            </w:pPr>
            <w:r>
              <w:rPr>
                <w:rFonts w:ascii="Times New Roman" w:hAnsi="Times New Roman" w:eastAsia="宋体"/>
                <w:color w:val="0000FF"/>
                <w:sz w:val="21"/>
                <w:szCs w:val="21"/>
                <w:lang w:eastAsia="zh-CN"/>
              </w:rPr>
              <w:t>与正北方向夹角/°</w:t>
            </w:r>
          </w:p>
        </w:tc>
        <w:tc>
          <w:tcPr>
            <w:tcW w:w="1908" w:type="dxa"/>
            <w:noWrap w:val="0"/>
            <w:vAlign w:val="center"/>
          </w:tcPr>
          <w:p w14:paraId="551680C3">
            <w:pPr>
              <w:pStyle w:val="23"/>
              <w:rPr>
                <w:rFonts w:ascii="Times New Roman" w:hAnsi="Times New Roman" w:eastAsia="宋体"/>
                <w:color w:val="0000FF"/>
                <w:sz w:val="21"/>
                <w:szCs w:val="21"/>
                <w:lang w:eastAsia="zh-CN"/>
              </w:rPr>
            </w:pPr>
            <w:r>
              <w:rPr>
                <w:rFonts w:ascii="Times New Roman" w:hAnsi="Times New Roman" w:eastAsia="宋体"/>
                <w:color w:val="0000FF"/>
                <w:sz w:val="21"/>
                <w:szCs w:val="21"/>
                <w:lang w:eastAsia="zh-CN"/>
              </w:rPr>
              <w:t>0</w:t>
            </w:r>
          </w:p>
        </w:tc>
        <w:tc>
          <w:tcPr>
            <w:tcW w:w="1908" w:type="dxa"/>
            <w:noWrap w:val="0"/>
            <w:vAlign w:val="center"/>
          </w:tcPr>
          <w:p w14:paraId="508F49B5">
            <w:pPr>
              <w:pStyle w:val="23"/>
              <w:ind w:firstLine="0" w:firstLineChars="0"/>
              <w:rPr>
                <w:rFonts w:ascii="Times New Roman" w:hAnsi="Times New Roman" w:eastAsia="宋体"/>
                <w:color w:val="0000FF"/>
                <w:sz w:val="21"/>
                <w:szCs w:val="21"/>
                <w:lang w:eastAsia="zh-CN"/>
              </w:rPr>
            </w:pPr>
            <w:r>
              <w:rPr>
                <w:rFonts w:ascii="Times New Roman" w:hAnsi="Times New Roman" w:eastAsia="宋体"/>
                <w:color w:val="0000FF"/>
                <w:sz w:val="21"/>
                <w:szCs w:val="21"/>
                <w:lang w:eastAsia="zh-CN"/>
              </w:rPr>
              <w:t>0</w:t>
            </w:r>
          </w:p>
        </w:tc>
      </w:tr>
      <w:tr w14:paraId="032EF7FC">
        <w:tblPrEx>
          <w:tblBorders>
            <w:top w:val="single" w:color="auto" w:sz="12" w:space="0"/>
            <w:left w:val="none" w:color="auto" w:sz="0" w:space="0"/>
            <w:bottom w:val="single" w:color="auto" w:sz="12" w:space="0"/>
            <w:right w:val="none" w:color="auto" w:sz="0" w:space="0"/>
            <w:insideH w:val="single" w:color="auto" w:sz="4" w:space="0"/>
            <w:insideV w:val="single" w:color="auto" w:sz="6" w:space="0"/>
          </w:tblBorders>
          <w:tblCellMar>
            <w:top w:w="0" w:type="dxa"/>
            <w:left w:w="108" w:type="dxa"/>
            <w:bottom w:w="0" w:type="dxa"/>
            <w:right w:w="108" w:type="dxa"/>
          </w:tblCellMar>
        </w:tblPrEx>
        <w:trPr>
          <w:trHeight w:val="240" w:hRule="atLeast"/>
        </w:trPr>
        <w:tc>
          <w:tcPr>
            <w:tcW w:w="4495" w:type="dxa"/>
            <w:gridSpan w:val="2"/>
            <w:noWrap w:val="0"/>
            <w:vAlign w:val="center"/>
          </w:tcPr>
          <w:p w14:paraId="52B43CE4">
            <w:pPr>
              <w:pStyle w:val="23"/>
              <w:rPr>
                <w:rFonts w:ascii="Times New Roman" w:hAnsi="Times New Roman" w:eastAsia="宋体"/>
                <w:color w:val="0000FF"/>
                <w:sz w:val="21"/>
                <w:szCs w:val="21"/>
                <w:lang w:eastAsia="zh-CN"/>
              </w:rPr>
            </w:pPr>
            <w:r>
              <w:rPr>
                <w:rFonts w:ascii="Times New Roman" w:hAnsi="Times New Roman" w:eastAsia="宋体"/>
                <w:color w:val="0000FF"/>
                <w:sz w:val="21"/>
                <w:szCs w:val="21"/>
                <w:lang w:eastAsia="zh-CN"/>
              </w:rPr>
              <w:t>面源有效排放高度/m</w:t>
            </w:r>
          </w:p>
        </w:tc>
        <w:tc>
          <w:tcPr>
            <w:tcW w:w="1908" w:type="dxa"/>
            <w:noWrap w:val="0"/>
            <w:vAlign w:val="center"/>
          </w:tcPr>
          <w:p w14:paraId="134A309E">
            <w:pPr>
              <w:pStyle w:val="23"/>
              <w:rPr>
                <w:rFonts w:hint="default" w:ascii="Times New Roman" w:hAnsi="Times New Roman" w:eastAsia="宋体"/>
                <w:color w:val="0000FF"/>
                <w:sz w:val="21"/>
                <w:szCs w:val="21"/>
                <w:lang w:val="en-US" w:eastAsia="zh-CN"/>
              </w:rPr>
            </w:pPr>
            <w:r>
              <w:rPr>
                <w:rFonts w:hint="eastAsia" w:ascii="Times New Roman" w:hAnsi="Times New Roman" w:eastAsia="宋体"/>
                <w:color w:val="0000FF"/>
                <w:sz w:val="21"/>
                <w:szCs w:val="21"/>
                <w:lang w:val="en-US" w:eastAsia="zh-CN"/>
              </w:rPr>
              <w:t>10</w:t>
            </w:r>
          </w:p>
        </w:tc>
        <w:tc>
          <w:tcPr>
            <w:tcW w:w="1908" w:type="dxa"/>
            <w:noWrap w:val="0"/>
            <w:vAlign w:val="center"/>
          </w:tcPr>
          <w:p w14:paraId="7571976A">
            <w:pPr>
              <w:pStyle w:val="23"/>
              <w:ind w:firstLine="0" w:firstLineChars="0"/>
              <w:rPr>
                <w:rFonts w:hint="default" w:ascii="Times New Roman" w:hAnsi="Times New Roman" w:eastAsia="宋体"/>
                <w:color w:val="0000FF"/>
                <w:sz w:val="21"/>
                <w:szCs w:val="21"/>
                <w:lang w:val="en-US" w:eastAsia="zh-CN"/>
              </w:rPr>
            </w:pPr>
            <w:r>
              <w:rPr>
                <w:rFonts w:hint="eastAsia" w:ascii="Times New Roman" w:hAnsi="Times New Roman" w:eastAsia="宋体"/>
                <w:color w:val="0000FF"/>
                <w:sz w:val="21"/>
                <w:szCs w:val="21"/>
                <w:lang w:val="en-US" w:eastAsia="zh-CN"/>
              </w:rPr>
              <w:t>10</w:t>
            </w:r>
          </w:p>
        </w:tc>
      </w:tr>
      <w:tr w14:paraId="6AF1FCE9">
        <w:tblPrEx>
          <w:tblBorders>
            <w:top w:val="single" w:color="auto" w:sz="12" w:space="0"/>
            <w:left w:val="none" w:color="auto" w:sz="0" w:space="0"/>
            <w:bottom w:val="single" w:color="auto" w:sz="12" w:space="0"/>
            <w:right w:val="none" w:color="auto" w:sz="0" w:space="0"/>
            <w:insideH w:val="single" w:color="auto" w:sz="4" w:space="0"/>
            <w:insideV w:val="single" w:color="auto" w:sz="6" w:space="0"/>
          </w:tblBorders>
          <w:tblCellMar>
            <w:top w:w="0" w:type="dxa"/>
            <w:left w:w="108" w:type="dxa"/>
            <w:bottom w:w="0" w:type="dxa"/>
            <w:right w:w="108" w:type="dxa"/>
          </w:tblCellMar>
        </w:tblPrEx>
        <w:trPr>
          <w:trHeight w:val="255" w:hRule="atLeast"/>
        </w:trPr>
        <w:tc>
          <w:tcPr>
            <w:tcW w:w="4495" w:type="dxa"/>
            <w:gridSpan w:val="2"/>
            <w:noWrap w:val="0"/>
            <w:vAlign w:val="center"/>
          </w:tcPr>
          <w:p w14:paraId="5E5EE38B">
            <w:pPr>
              <w:pStyle w:val="23"/>
              <w:rPr>
                <w:rFonts w:ascii="Times New Roman" w:hAnsi="Times New Roman" w:eastAsia="宋体"/>
                <w:color w:val="0000FF"/>
                <w:sz w:val="21"/>
                <w:szCs w:val="21"/>
                <w:lang w:eastAsia="zh-CN"/>
              </w:rPr>
            </w:pPr>
            <w:r>
              <w:rPr>
                <w:rFonts w:ascii="Times New Roman" w:hAnsi="Times New Roman" w:eastAsia="宋体"/>
                <w:color w:val="0000FF"/>
                <w:sz w:val="21"/>
                <w:szCs w:val="21"/>
                <w:lang w:eastAsia="zh-CN"/>
              </w:rPr>
              <w:t>年排放小时数/h</w:t>
            </w:r>
          </w:p>
        </w:tc>
        <w:tc>
          <w:tcPr>
            <w:tcW w:w="1908" w:type="dxa"/>
            <w:noWrap w:val="0"/>
            <w:vAlign w:val="center"/>
          </w:tcPr>
          <w:p w14:paraId="394EF38C">
            <w:pPr>
              <w:pStyle w:val="23"/>
              <w:rPr>
                <w:rFonts w:ascii="Times New Roman" w:hAnsi="Times New Roman" w:eastAsia="宋体"/>
                <w:color w:val="0000FF"/>
                <w:sz w:val="21"/>
                <w:szCs w:val="21"/>
                <w:lang w:eastAsia="zh-CN"/>
              </w:rPr>
            </w:pPr>
            <w:r>
              <w:rPr>
                <w:rFonts w:ascii="Times New Roman" w:hAnsi="Times New Roman" w:eastAsia="宋体"/>
                <w:color w:val="0000FF"/>
                <w:sz w:val="21"/>
                <w:szCs w:val="21"/>
                <w:lang w:eastAsia="zh-CN"/>
              </w:rPr>
              <w:t>8760</w:t>
            </w:r>
          </w:p>
        </w:tc>
        <w:tc>
          <w:tcPr>
            <w:tcW w:w="1908" w:type="dxa"/>
            <w:noWrap w:val="0"/>
            <w:vAlign w:val="center"/>
          </w:tcPr>
          <w:p w14:paraId="5A0C9046">
            <w:pPr>
              <w:pStyle w:val="23"/>
              <w:ind w:firstLine="0" w:firstLineChars="0"/>
              <w:rPr>
                <w:rFonts w:hint="default" w:ascii="Times New Roman" w:hAnsi="Times New Roman" w:eastAsia="宋体"/>
                <w:color w:val="0000FF"/>
                <w:sz w:val="21"/>
                <w:szCs w:val="21"/>
                <w:lang w:val="en-US" w:eastAsia="zh-CN"/>
              </w:rPr>
            </w:pPr>
            <w:r>
              <w:rPr>
                <w:rFonts w:hint="eastAsia" w:ascii="Times New Roman" w:hAnsi="Times New Roman" w:eastAsia="宋体"/>
                <w:color w:val="0000FF"/>
                <w:sz w:val="21"/>
                <w:szCs w:val="21"/>
                <w:lang w:val="en-US" w:eastAsia="zh-CN"/>
              </w:rPr>
              <w:t>8760</w:t>
            </w:r>
          </w:p>
        </w:tc>
      </w:tr>
      <w:tr w14:paraId="3F6535CE">
        <w:tblPrEx>
          <w:tblBorders>
            <w:top w:val="single" w:color="auto" w:sz="12" w:space="0"/>
            <w:left w:val="none" w:color="auto" w:sz="0" w:space="0"/>
            <w:bottom w:val="single" w:color="auto" w:sz="12" w:space="0"/>
            <w:right w:val="none" w:color="auto" w:sz="0" w:space="0"/>
            <w:insideH w:val="single" w:color="auto" w:sz="4" w:space="0"/>
            <w:insideV w:val="single" w:color="auto" w:sz="6" w:space="0"/>
          </w:tblBorders>
          <w:tblCellMar>
            <w:top w:w="0" w:type="dxa"/>
            <w:left w:w="108" w:type="dxa"/>
            <w:bottom w:w="0" w:type="dxa"/>
            <w:right w:w="108" w:type="dxa"/>
          </w:tblCellMar>
        </w:tblPrEx>
        <w:trPr>
          <w:trHeight w:val="357" w:hRule="atLeast"/>
        </w:trPr>
        <w:tc>
          <w:tcPr>
            <w:tcW w:w="4495" w:type="dxa"/>
            <w:gridSpan w:val="2"/>
            <w:noWrap w:val="0"/>
            <w:vAlign w:val="center"/>
          </w:tcPr>
          <w:p w14:paraId="33CF80D6">
            <w:pPr>
              <w:pStyle w:val="23"/>
              <w:rPr>
                <w:rFonts w:ascii="Times New Roman" w:hAnsi="Times New Roman" w:eastAsia="宋体"/>
                <w:color w:val="0000FF"/>
                <w:sz w:val="21"/>
                <w:szCs w:val="21"/>
                <w:lang w:eastAsia="zh-CN"/>
              </w:rPr>
            </w:pPr>
            <w:r>
              <w:rPr>
                <w:rFonts w:ascii="Times New Roman" w:hAnsi="Times New Roman" w:eastAsia="宋体"/>
                <w:color w:val="0000FF"/>
                <w:sz w:val="21"/>
                <w:szCs w:val="21"/>
                <w:lang w:eastAsia="zh-CN"/>
              </w:rPr>
              <w:t>排放工况</w:t>
            </w:r>
          </w:p>
        </w:tc>
        <w:tc>
          <w:tcPr>
            <w:tcW w:w="1908" w:type="dxa"/>
            <w:noWrap w:val="0"/>
            <w:vAlign w:val="center"/>
          </w:tcPr>
          <w:p w14:paraId="030F765B">
            <w:pPr>
              <w:pStyle w:val="23"/>
              <w:rPr>
                <w:rFonts w:ascii="Times New Roman" w:hAnsi="Times New Roman" w:eastAsia="宋体"/>
                <w:color w:val="0000FF"/>
                <w:sz w:val="21"/>
                <w:szCs w:val="21"/>
                <w:lang w:eastAsia="zh-CN"/>
              </w:rPr>
            </w:pPr>
            <w:r>
              <w:rPr>
                <w:rFonts w:ascii="Times New Roman" w:hAnsi="Times New Roman" w:eastAsia="宋体"/>
                <w:color w:val="0000FF"/>
                <w:sz w:val="21"/>
                <w:szCs w:val="21"/>
                <w:lang w:eastAsia="zh-CN"/>
              </w:rPr>
              <w:t>正常</w:t>
            </w:r>
          </w:p>
        </w:tc>
        <w:tc>
          <w:tcPr>
            <w:tcW w:w="1908" w:type="dxa"/>
            <w:noWrap w:val="0"/>
            <w:vAlign w:val="center"/>
          </w:tcPr>
          <w:p w14:paraId="4F465862">
            <w:pPr>
              <w:pStyle w:val="23"/>
              <w:rPr>
                <w:rFonts w:ascii="Times New Roman" w:hAnsi="Times New Roman" w:eastAsia="宋体"/>
                <w:color w:val="0000FF"/>
                <w:sz w:val="21"/>
                <w:szCs w:val="21"/>
                <w:lang w:eastAsia="zh-CN"/>
              </w:rPr>
            </w:pPr>
            <w:r>
              <w:rPr>
                <w:rFonts w:ascii="Times New Roman" w:hAnsi="Times New Roman" w:eastAsia="宋体"/>
                <w:color w:val="0000FF"/>
                <w:sz w:val="21"/>
                <w:szCs w:val="21"/>
                <w:lang w:eastAsia="zh-CN"/>
              </w:rPr>
              <w:t>正常</w:t>
            </w:r>
          </w:p>
        </w:tc>
      </w:tr>
      <w:tr w14:paraId="0FED6A8A">
        <w:tblPrEx>
          <w:tblBorders>
            <w:top w:val="single" w:color="auto" w:sz="12" w:space="0"/>
            <w:left w:val="none" w:color="auto" w:sz="0" w:space="0"/>
            <w:bottom w:val="single" w:color="auto" w:sz="12" w:space="0"/>
            <w:right w:val="none" w:color="auto" w:sz="0" w:space="0"/>
            <w:insideH w:val="single" w:color="auto" w:sz="4" w:space="0"/>
            <w:insideV w:val="single" w:color="auto" w:sz="6" w:space="0"/>
          </w:tblBorders>
          <w:tblCellMar>
            <w:top w:w="0" w:type="dxa"/>
            <w:left w:w="108" w:type="dxa"/>
            <w:bottom w:w="0" w:type="dxa"/>
            <w:right w:w="108" w:type="dxa"/>
          </w:tblCellMar>
        </w:tblPrEx>
        <w:trPr>
          <w:trHeight w:val="664" w:hRule="atLeast"/>
        </w:trPr>
        <w:tc>
          <w:tcPr>
            <w:tcW w:w="2253" w:type="dxa"/>
            <w:noWrap w:val="0"/>
            <w:vAlign w:val="center"/>
          </w:tcPr>
          <w:p w14:paraId="68476BE9">
            <w:pPr>
              <w:pStyle w:val="23"/>
              <w:rPr>
                <w:rFonts w:ascii="Times New Roman" w:hAnsi="Times New Roman" w:eastAsia="宋体"/>
                <w:color w:val="0000FF"/>
                <w:sz w:val="21"/>
                <w:szCs w:val="21"/>
                <w:lang w:eastAsia="zh-CN"/>
              </w:rPr>
            </w:pPr>
            <w:r>
              <w:rPr>
                <w:rFonts w:ascii="Times New Roman" w:hAnsi="Times New Roman" w:eastAsia="宋体"/>
                <w:color w:val="0000FF"/>
                <w:sz w:val="21"/>
                <w:szCs w:val="21"/>
                <w:lang w:eastAsia="zh-CN"/>
              </w:rPr>
              <w:t>污染物排放量/(kg/h</w:t>
            </w:r>
            <w:r>
              <w:rPr>
                <w:rFonts w:hint="eastAsia" w:ascii="Times New Roman" w:hAnsi="Times New Roman" w:eastAsia="宋体"/>
                <w:color w:val="0000FF"/>
                <w:sz w:val="21"/>
                <w:szCs w:val="21"/>
                <w:lang w:eastAsia="zh-CN"/>
              </w:rPr>
              <w:t>）</w:t>
            </w:r>
          </w:p>
        </w:tc>
        <w:tc>
          <w:tcPr>
            <w:tcW w:w="2242" w:type="dxa"/>
            <w:noWrap w:val="0"/>
            <w:vAlign w:val="center"/>
          </w:tcPr>
          <w:p w14:paraId="6761627C">
            <w:pPr>
              <w:pStyle w:val="24"/>
              <w:spacing w:line="240" w:lineRule="auto"/>
              <w:contextualSpacing/>
              <w:rPr>
                <w:rFonts w:ascii="Times New Roman" w:hAnsi="Times New Roman" w:eastAsia="宋体"/>
                <w:color w:val="0000FF"/>
                <w:sz w:val="21"/>
                <w:szCs w:val="21"/>
              </w:rPr>
            </w:pPr>
            <w:r>
              <w:rPr>
                <w:rFonts w:ascii="Times New Roman" w:hAnsi="Times New Roman" w:eastAsia="宋体"/>
                <w:color w:val="0000FF"/>
                <w:sz w:val="21"/>
                <w:szCs w:val="21"/>
              </w:rPr>
              <w:t>非甲烷总烃</w:t>
            </w:r>
          </w:p>
        </w:tc>
        <w:tc>
          <w:tcPr>
            <w:tcW w:w="1908" w:type="dxa"/>
            <w:noWrap w:val="0"/>
            <w:vAlign w:val="center"/>
          </w:tcPr>
          <w:p w14:paraId="4B133249">
            <w:pPr>
              <w:pStyle w:val="23"/>
              <w:rPr>
                <w:rFonts w:hint="default" w:ascii="Times New Roman" w:hAnsi="Times New Roman" w:eastAsia="宋体"/>
                <w:color w:val="0000FF"/>
                <w:sz w:val="21"/>
                <w:szCs w:val="21"/>
                <w:lang w:val="en-US" w:eastAsia="zh-CN"/>
              </w:rPr>
            </w:pPr>
            <w:r>
              <w:rPr>
                <w:rFonts w:hint="eastAsia" w:ascii="Times New Roman" w:hAnsi="Times New Roman" w:eastAsia="宋体"/>
                <w:color w:val="0000FF"/>
                <w:sz w:val="21"/>
                <w:szCs w:val="21"/>
                <w:lang w:val="en-US" w:eastAsia="zh-CN"/>
              </w:rPr>
              <w:t>0.0066</w:t>
            </w:r>
          </w:p>
        </w:tc>
        <w:tc>
          <w:tcPr>
            <w:tcW w:w="1908" w:type="dxa"/>
            <w:noWrap w:val="0"/>
            <w:vAlign w:val="center"/>
          </w:tcPr>
          <w:p w14:paraId="3099F6A2">
            <w:pPr>
              <w:pStyle w:val="23"/>
              <w:rPr>
                <w:rFonts w:hint="default" w:ascii="Times New Roman" w:hAnsi="Times New Roman" w:eastAsia="宋体"/>
                <w:color w:val="0000FF"/>
                <w:sz w:val="21"/>
                <w:szCs w:val="21"/>
                <w:lang w:val="en-US" w:eastAsia="zh-CN"/>
              </w:rPr>
            </w:pPr>
            <w:r>
              <w:rPr>
                <w:rFonts w:hint="eastAsia" w:ascii="Times New Roman" w:hAnsi="Times New Roman" w:eastAsia="宋体"/>
                <w:color w:val="0000FF"/>
                <w:sz w:val="21"/>
                <w:szCs w:val="21"/>
                <w:lang w:val="en-US" w:eastAsia="zh-CN"/>
              </w:rPr>
              <w:t>0.0024</w:t>
            </w:r>
          </w:p>
        </w:tc>
      </w:tr>
    </w:tbl>
    <w:p w14:paraId="11CB4B6F">
      <w:pPr>
        <w:spacing w:line="360" w:lineRule="auto"/>
        <w:ind w:firstLine="480"/>
        <w:rPr>
          <w:rFonts w:ascii="Times New Roman" w:hAnsi="Times New Roman" w:eastAsia="宋体"/>
          <w:color w:val="0000FF"/>
          <w:sz w:val="24"/>
          <w:szCs w:val="24"/>
        </w:rPr>
      </w:pPr>
      <w:r>
        <w:rPr>
          <w:rFonts w:ascii="Times New Roman" w:hAnsi="Times New Roman" w:eastAsia="宋体"/>
          <w:color w:val="0000FF"/>
          <w:sz w:val="24"/>
          <w:szCs w:val="24"/>
        </w:rPr>
        <w:t>（6）预测模型选择</w:t>
      </w:r>
    </w:p>
    <w:p w14:paraId="1613E55B">
      <w:pPr>
        <w:spacing w:line="360" w:lineRule="auto"/>
        <w:ind w:firstLine="480"/>
        <w:rPr>
          <w:rFonts w:ascii="Times New Roman" w:hAnsi="Times New Roman" w:eastAsia="宋体"/>
          <w:color w:val="0000FF"/>
          <w:sz w:val="24"/>
          <w:szCs w:val="24"/>
        </w:rPr>
      </w:pPr>
      <w:r>
        <w:rPr>
          <w:rFonts w:ascii="Times New Roman" w:hAnsi="Times New Roman" w:eastAsia="宋体"/>
          <w:color w:val="0000FF"/>
          <w:sz w:val="24"/>
          <w:szCs w:val="24"/>
        </w:rPr>
        <w:t>本环评采用《环境影响评价技术导则-大气环境》（HJ2.2-2018）推荐模式-AERSCREEN估算模式进行预测。预测项目主要污染物的最大浓度占标率，确定项目大气环境影响的评价等级，再根据评价等级确定是否需要进一步预测。</w:t>
      </w:r>
    </w:p>
    <w:p w14:paraId="712B2EA3">
      <w:pPr>
        <w:pStyle w:val="20"/>
        <w:spacing w:line="360" w:lineRule="auto"/>
        <w:ind w:firstLine="496"/>
        <w:jc w:val="left"/>
        <w:rPr>
          <w:rFonts w:ascii="Times New Roman" w:hAnsi="Times New Roman" w:eastAsia="宋体"/>
          <w:color w:val="0000FF"/>
          <w:spacing w:val="4"/>
          <w:kern w:val="24"/>
          <w:sz w:val="24"/>
          <w:szCs w:val="24"/>
        </w:rPr>
      </w:pPr>
      <w:r>
        <w:rPr>
          <w:rFonts w:ascii="Times New Roman" w:hAnsi="Times New Roman" w:eastAsia="宋体"/>
          <w:color w:val="0000FF"/>
          <w:spacing w:val="4"/>
          <w:kern w:val="24"/>
          <w:sz w:val="24"/>
          <w:szCs w:val="24"/>
        </w:rPr>
        <w:t>（7）计算结果</w:t>
      </w:r>
    </w:p>
    <w:p w14:paraId="71CEE42B">
      <w:pPr>
        <w:spacing w:before="156" w:beforeLines="50" w:line="360" w:lineRule="auto"/>
        <w:ind w:firstLine="480" w:firstLineChars="200"/>
        <w:rPr>
          <w:rFonts w:ascii="Times New Roman" w:hAnsi="Times New Roman" w:eastAsia="宋体"/>
          <w:color w:val="0000FF"/>
          <w:sz w:val="24"/>
          <w:szCs w:val="24"/>
          <w:lang w:bidi="ar"/>
        </w:rPr>
      </w:pPr>
      <w:r>
        <w:rPr>
          <w:rFonts w:ascii="Times New Roman" w:hAnsi="Times New Roman" w:eastAsia="宋体"/>
          <w:color w:val="0000FF"/>
          <w:sz w:val="24"/>
          <w:szCs w:val="24"/>
          <w:lang w:bidi="ar"/>
        </w:rPr>
        <w:t>项目废气正常排放预测结果见下表。</w:t>
      </w:r>
    </w:p>
    <w:p w14:paraId="47BBA419">
      <w:pPr>
        <w:spacing w:before="156" w:beforeLines="50" w:line="360" w:lineRule="auto"/>
        <w:ind w:firstLine="2003" w:firstLineChars="950"/>
        <w:rPr>
          <w:rFonts w:ascii="Times New Roman" w:hAnsi="Times New Roman" w:eastAsia="宋体"/>
          <w:color w:val="0000FF"/>
          <w:sz w:val="24"/>
          <w:szCs w:val="24"/>
          <w:lang w:bidi="ar"/>
        </w:rPr>
      </w:pPr>
      <w:r>
        <w:rPr>
          <w:rFonts w:ascii="Times New Roman" w:hAnsi="Times New Roman" w:eastAsia="宋体"/>
          <w:b/>
          <w:color w:val="0000FF"/>
          <w:szCs w:val="21"/>
        </w:rPr>
        <w:t>表</w:t>
      </w:r>
      <w:r>
        <w:rPr>
          <w:rFonts w:hint="eastAsia" w:ascii="Times New Roman" w:hAnsi="Times New Roman" w:eastAsia="宋体"/>
          <w:b/>
          <w:color w:val="0000FF"/>
          <w:szCs w:val="21"/>
          <w:lang w:val="en-US" w:eastAsia="zh-CN"/>
        </w:rPr>
        <w:t>4-5有</w:t>
      </w:r>
      <w:r>
        <w:rPr>
          <w:rFonts w:ascii="Times New Roman" w:hAnsi="Times New Roman" w:eastAsia="宋体"/>
          <w:b/>
          <w:color w:val="0000FF"/>
          <w:szCs w:val="21"/>
        </w:rPr>
        <w:t>组织污染源估算模型计算结果表</w:t>
      </w:r>
    </w:p>
    <w:tbl>
      <w:tblPr>
        <w:tblStyle w:val="11"/>
        <w:tblW w:w="0" w:type="auto"/>
        <w:jc w:val="center"/>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autofit"/>
        <w:tblCellMar>
          <w:top w:w="15" w:type="dxa"/>
          <w:left w:w="15" w:type="dxa"/>
          <w:bottom w:w="15" w:type="dxa"/>
          <w:right w:w="15" w:type="dxa"/>
        </w:tblCellMar>
      </w:tblPr>
      <w:tblGrid>
        <w:gridCol w:w="995"/>
        <w:gridCol w:w="2211"/>
        <w:gridCol w:w="2899"/>
        <w:gridCol w:w="1106"/>
        <w:gridCol w:w="1101"/>
      </w:tblGrid>
      <w:tr w14:paraId="7AFD6F5C">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677" w:hRule="atLeast"/>
          <w:jc w:val="center"/>
        </w:trPr>
        <w:tc>
          <w:tcPr>
            <w:tcW w:w="995" w:type="dxa"/>
            <w:noWrap w:val="0"/>
            <w:vAlign w:val="center"/>
          </w:tcPr>
          <w:p w14:paraId="6AC3ED06">
            <w:pPr>
              <w:widowControl/>
              <w:jc w:val="center"/>
              <w:textAlignment w:val="center"/>
              <w:rPr>
                <w:rFonts w:hint="default" w:ascii="Times New Roman" w:hAnsi="Times New Roman" w:eastAsia="宋体" w:cs="Times New Roman"/>
                <w:b/>
                <w:bCs/>
                <w:color w:val="0000FF"/>
                <w:sz w:val="21"/>
                <w:szCs w:val="21"/>
              </w:rPr>
            </w:pPr>
            <w:r>
              <w:rPr>
                <w:rFonts w:hint="default" w:ascii="Times New Roman" w:hAnsi="Times New Roman" w:eastAsia="宋体" w:cs="Times New Roman"/>
                <w:b/>
                <w:bCs/>
                <w:color w:val="0000FF"/>
                <w:sz w:val="21"/>
                <w:szCs w:val="21"/>
              </w:rPr>
              <w:t>污染物</w:t>
            </w:r>
          </w:p>
        </w:tc>
        <w:tc>
          <w:tcPr>
            <w:tcW w:w="2211" w:type="dxa"/>
            <w:noWrap w:val="0"/>
            <w:vAlign w:val="center"/>
          </w:tcPr>
          <w:p w14:paraId="0124FD4B">
            <w:pPr>
              <w:widowControl/>
              <w:jc w:val="center"/>
              <w:textAlignment w:val="center"/>
              <w:rPr>
                <w:rFonts w:hint="default" w:ascii="Times New Roman" w:hAnsi="Times New Roman" w:eastAsia="宋体" w:cs="Times New Roman"/>
                <w:b/>
                <w:bCs/>
                <w:color w:val="0000FF"/>
                <w:sz w:val="21"/>
                <w:szCs w:val="21"/>
              </w:rPr>
            </w:pPr>
            <w:r>
              <w:rPr>
                <w:rFonts w:hint="default" w:ascii="Times New Roman" w:hAnsi="Times New Roman" w:eastAsia="宋体" w:cs="Times New Roman"/>
                <w:b/>
                <w:bCs/>
                <w:color w:val="0000FF"/>
                <w:sz w:val="21"/>
                <w:szCs w:val="21"/>
              </w:rPr>
              <w:t>距离中心下风向距离（m）</w:t>
            </w:r>
          </w:p>
        </w:tc>
        <w:tc>
          <w:tcPr>
            <w:tcW w:w="2899" w:type="dxa"/>
            <w:noWrap w:val="0"/>
            <w:vAlign w:val="center"/>
          </w:tcPr>
          <w:p w14:paraId="06474769">
            <w:pPr>
              <w:widowControl/>
              <w:jc w:val="center"/>
              <w:textAlignment w:val="center"/>
              <w:rPr>
                <w:rFonts w:hint="default" w:ascii="Times New Roman" w:hAnsi="Times New Roman" w:eastAsia="宋体" w:cs="Times New Roman"/>
                <w:b/>
                <w:bCs/>
                <w:color w:val="0000FF"/>
                <w:sz w:val="21"/>
                <w:szCs w:val="21"/>
              </w:rPr>
            </w:pPr>
            <w:r>
              <w:rPr>
                <w:rFonts w:hint="default" w:ascii="Times New Roman" w:hAnsi="Times New Roman" w:eastAsia="宋体" w:cs="Times New Roman"/>
                <w:b/>
                <w:bCs/>
                <w:color w:val="0000FF"/>
                <w:sz w:val="21"/>
                <w:szCs w:val="21"/>
              </w:rPr>
              <w:t>下风向预测浓度（μg/m</w:t>
            </w:r>
            <w:r>
              <w:rPr>
                <w:rFonts w:hint="default" w:ascii="Times New Roman" w:hAnsi="Times New Roman" w:eastAsia="宋体" w:cs="Times New Roman"/>
                <w:b/>
                <w:bCs/>
                <w:color w:val="0000FF"/>
                <w:sz w:val="21"/>
                <w:szCs w:val="21"/>
                <w:vertAlign w:val="superscript"/>
              </w:rPr>
              <w:t>3</w:t>
            </w:r>
            <w:r>
              <w:rPr>
                <w:rFonts w:hint="default" w:ascii="Times New Roman" w:hAnsi="Times New Roman" w:eastAsia="宋体" w:cs="Times New Roman"/>
                <w:b/>
                <w:bCs/>
                <w:color w:val="0000FF"/>
                <w:sz w:val="21"/>
                <w:szCs w:val="21"/>
              </w:rPr>
              <w:t>）</w:t>
            </w:r>
          </w:p>
        </w:tc>
        <w:tc>
          <w:tcPr>
            <w:tcW w:w="1106" w:type="dxa"/>
            <w:noWrap w:val="0"/>
            <w:vAlign w:val="center"/>
          </w:tcPr>
          <w:p w14:paraId="1818347D">
            <w:pPr>
              <w:widowControl/>
              <w:jc w:val="center"/>
              <w:textAlignment w:val="center"/>
              <w:rPr>
                <w:rFonts w:hint="default" w:ascii="Times New Roman" w:hAnsi="Times New Roman" w:eastAsia="宋体" w:cs="Times New Roman"/>
                <w:b/>
                <w:bCs/>
                <w:color w:val="0000FF"/>
                <w:sz w:val="21"/>
                <w:szCs w:val="21"/>
              </w:rPr>
            </w:pPr>
            <w:r>
              <w:rPr>
                <w:rFonts w:hint="default" w:ascii="Times New Roman" w:hAnsi="Times New Roman" w:eastAsia="宋体" w:cs="Times New Roman"/>
                <w:b/>
                <w:bCs/>
                <w:color w:val="0000FF"/>
                <w:sz w:val="21"/>
                <w:szCs w:val="21"/>
              </w:rPr>
              <w:t>占标率（%）</w:t>
            </w:r>
          </w:p>
        </w:tc>
        <w:tc>
          <w:tcPr>
            <w:tcW w:w="1101" w:type="dxa"/>
            <w:noWrap w:val="0"/>
            <w:vAlign w:val="center"/>
          </w:tcPr>
          <w:p w14:paraId="3DD6B493">
            <w:pPr>
              <w:widowControl/>
              <w:jc w:val="center"/>
              <w:textAlignment w:val="center"/>
              <w:rPr>
                <w:rFonts w:hint="default" w:ascii="Times New Roman" w:hAnsi="Times New Roman" w:eastAsia="宋体" w:cs="Times New Roman"/>
                <w:b/>
                <w:bCs/>
                <w:color w:val="0000FF"/>
                <w:sz w:val="21"/>
                <w:szCs w:val="21"/>
              </w:rPr>
            </w:pPr>
            <w:r>
              <w:rPr>
                <w:rFonts w:hint="default" w:ascii="Times New Roman" w:hAnsi="Times New Roman" w:eastAsia="宋体" w:cs="Times New Roman"/>
                <w:b/>
                <w:bCs/>
                <w:color w:val="0000FF"/>
                <w:sz w:val="21"/>
                <w:szCs w:val="21"/>
              </w:rPr>
              <w:t>评价等级</w:t>
            </w:r>
          </w:p>
        </w:tc>
      </w:tr>
      <w:tr w14:paraId="713A4133">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79" w:hRule="atLeast"/>
          <w:jc w:val="center"/>
        </w:trPr>
        <w:tc>
          <w:tcPr>
            <w:tcW w:w="995" w:type="dxa"/>
            <w:noWrap w:val="0"/>
            <w:vAlign w:val="center"/>
          </w:tcPr>
          <w:p w14:paraId="5AF681D0">
            <w:pPr>
              <w:widowControl/>
              <w:jc w:val="center"/>
              <w:textAlignment w:val="center"/>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rPr>
              <w:t>非甲烷</w:t>
            </w:r>
          </w:p>
          <w:p w14:paraId="6852D2A0">
            <w:pPr>
              <w:widowControl/>
              <w:jc w:val="center"/>
              <w:textAlignment w:val="center"/>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rPr>
              <w:t>总烃</w:t>
            </w:r>
          </w:p>
        </w:tc>
        <w:tc>
          <w:tcPr>
            <w:tcW w:w="2211" w:type="dxa"/>
            <w:noWrap w:val="0"/>
            <w:vAlign w:val="center"/>
          </w:tcPr>
          <w:p w14:paraId="2A40E5B1">
            <w:pPr>
              <w:widowControl/>
              <w:jc w:val="center"/>
              <w:textAlignment w:val="center"/>
              <w:rPr>
                <w:rFonts w:hint="default" w:ascii="Times New Roman" w:hAnsi="Times New Roman" w:eastAsia="宋体" w:cs="Times New Roman"/>
                <w:color w:val="0000FF"/>
                <w:sz w:val="21"/>
                <w:szCs w:val="21"/>
                <w:lang w:val="en-US" w:eastAsia="zh-CN"/>
              </w:rPr>
            </w:pPr>
            <w:r>
              <w:rPr>
                <w:rFonts w:hint="eastAsia" w:ascii="Times New Roman" w:hAnsi="Times New Roman" w:eastAsia="宋体" w:cs="Times New Roman"/>
                <w:color w:val="0000FF"/>
                <w:sz w:val="21"/>
                <w:szCs w:val="21"/>
                <w:lang w:val="en-US" w:eastAsia="zh-CN"/>
              </w:rPr>
              <w:t>85</w:t>
            </w:r>
          </w:p>
        </w:tc>
        <w:tc>
          <w:tcPr>
            <w:tcW w:w="2899" w:type="dxa"/>
            <w:noWrap w:val="0"/>
            <w:vAlign w:val="center"/>
          </w:tcPr>
          <w:p w14:paraId="73661171">
            <w:pPr>
              <w:keepNext w:val="0"/>
              <w:keepLines w:val="0"/>
              <w:widowControl/>
              <w:suppressLineNumbers w:val="0"/>
              <w:jc w:val="center"/>
              <w:textAlignment w:val="center"/>
              <w:rPr>
                <w:rFonts w:hint="default" w:ascii="宋体" w:hAnsi="宋体" w:eastAsia="宋体" w:cs="宋体"/>
                <w:i w:val="0"/>
                <w:color w:val="0000FF"/>
                <w:kern w:val="2"/>
                <w:sz w:val="18"/>
                <w:szCs w:val="18"/>
                <w:u w:val="none"/>
                <w:lang w:val="en-US" w:eastAsia="zh-CN" w:bidi="ar-SA"/>
              </w:rPr>
            </w:pPr>
            <w:r>
              <w:rPr>
                <w:rFonts w:hint="default" w:ascii="Times New Roman" w:hAnsi="Times New Roman" w:eastAsia="宋体" w:cs="Times New Roman"/>
                <w:i w:val="0"/>
                <w:color w:val="0000FF"/>
                <w:kern w:val="0"/>
                <w:sz w:val="21"/>
                <w:szCs w:val="21"/>
                <w:u w:val="none"/>
                <w:lang w:val="en-US" w:eastAsia="zh-CN" w:bidi="ar"/>
              </w:rPr>
              <w:t>1.</w:t>
            </w:r>
            <w:r>
              <w:rPr>
                <w:rFonts w:hint="eastAsia" w:ascii="Times New Roman" w:hAnsi="Times New Roman" w:eastAsia="宋体" w:cs="Times New Roman"/>
                <w:i w:val="0"/>
                <w:color w:val="0000FF"/>
                <w:kern w:val="0"/>
                <w:sz w:val="21"/>
                <w:szCs w:val="21"/>
                <w:u w:val="none"/>
                <w:lang w:val="en-US" w:eastAsia="zh-CN" w:bidi="ar"/>
              </w:rPr>
              <w:t>9</w:t>
            </w:r>
            <w:r>
              <w:rPr>
                <w:rFonts w:hint="default" w:ascii="Times New Roman" w:hAnsi="Times New Roman" w:eastAsia="宋体" w:cs="Times New Roman"/>
                <w:i w:val="0"/>
                <w:color w:val="0000FF"/>
                <w:kern w:val="0"/>
                <w:sz w:val="21"/>
                <w:szCs w:val="21"/>
                <w:u w:val="none"/>
                <w:lang w:val="en-US" w:eastAsia="zh-CN" w:bidi="ar"/>
              </w:rPr>
              <w:t>692</w:t>
            </w:r>
          </w:p>
        </w:tc>
        <w:tc>
          <w:tcPr>
            <w:tcW w:w="1106" w:type="dxa"/>
            <w:noWrap w:val="0"/>
            <w:vAlign w:val="center"/>
          </w:tcPr>
          <w:p w14:paraId="186D58E1">
            <w:pPr>
              <w:widowControl/>
              <w:jc w:val="center"/>
              <w:textAlignment w:val="center"/>
              <w:rPr>
                <w:rFonts w:hint="default" w:ascii="Times New Roman" w:hAnsi="Times New Roman" w:eastAsia="宋体" w:cs="Times New Roman"/>
                <w:color w:val="0000FF"/>
                <w:sz w:val="21"/>
                <w:szCs w:val="21"/>
              </w:rPr>
            </w:pPr>
            <w:r>
              <w:rPr>
                <w:rFonts w:hint="default" w:ascii="Times New Roman" w:hAnsi="Times New Roman" w:eastAsia="宋体" w:cs="Times New Roman"/>
                <w:b w:val="0"/>
                <w:bCs w:val="0"/>
                <w:color w:val="0000FF"/>
                <w:sz w:val="21"/>
                <w:szCs w:val="21"/>
              </w:rPr>
              <w:t>0.</w:t>
            </w:r>
            <w:r>
              <w:rPr>
                <w:rFonts w:hint="eastAsia" w:ascii="Times New Roman" w:hAnsi="Times New Roman" w:eastAsia="宋体" w:cs="Times New Roman"/>
                <w:b w:val="0"/>
                <w:bCs w:val="0"/>
                <w:color w:val="0000FF"/>
                <w:sz w:val="21"/>
                <w:szCs w:val="21"/>
                <w:lang w:val="en-US" w:eastAsia="zh-CN"/>
              </w:rPr>
              <w:t>7</w:t>
            </w:r>
            <w:r>
              <w:rPr>
                <w:rFonts w:hint="default" w:ascii="Times New Roman" w:hAnsi="Times New Roman" w:eastAsia="宋体" w:cs="Times New Roman"/>
                <w:b w:val="0"/>
                <w:bCs w:val="0"/>
                <w:color w:val="0000FF"/>
                <w:sz w:val="21"/>
                <w:szCs w:val="21"/>
              </w:rPr>
              <w:t>89733</w:t>
            </w:r>
          </w:p>
        </w:tc>
        <w:tc>
          <w:tcPr>
            <w:tcW w:w="1101" w:type="dxa"/>
            <w:noWrap w:val="0"/>
            <w:vAlign w:val="center"/>
          </w:tcPr>
          <w:p w14:paraId="586AEBC9">
            <w:pPr>
              <w:widowControl/>
              <w:jc w:val="center"/>
              <w:textAlignment w:val="center"/>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rPr>
              <w:t>III</w:t>
            </w:r>
          </w:p>
        </w:tc>
      </w:tr>
    </w:tbl>
    <w:p w14:paraId="45F237E4">
      <w:pPr>
        <w:spacing w:before="156" w:beforeLines="50" w:line="360" w:lineRule="auto"/>
        <w:rPr>
          <w:rFonts w:ascii="Times New Roman" w:hAnsi="Times New Roman" w:eastAsia="宋体"/>
          <w:b/>
          <w:color w:val="0000FF"/>
          <w:szCs w:val="21"/>
        </w:rPr>
      </w:pPr>
    </w:p>
    <w:p w14:paraId="755586D8">
      <w:pPr>
        <w:spacing w:before="156" w:beforeLines="50" w:line="360" w:lineRule="auto"/>
        <w:ind w:firstLine="2003" w:firstLineChars="950"/>
        <w:rPr>
          <w:rFonts w:ascii="Times New Roman" w:hAnsi="Times New Roman" w:eastAsia="宋体"/>
          <w:color w:val="0000FF"/>
          <w:sz w:val="24"/>
          <w:szCs w:val="24"/>
          <w:lang w:bidi="ar"/>
        </w:rPr>
      </w:pPr>
      <w:r>
        <w:rPr>
          <w:rFonts w:ascii="Times New Roman" w:hAnsi="Times New Roman" w:eastAsia="宋体"/>
          <w:b/>
          <w:color w:val="0000FF"/>
          <w:szCs w:val="21"/>
        </w:rPr>
        <w:t>表</w:t>
      </w:r>
      <w:r>
        <w:rPr>
          <w:rFonts w:hint="eastAsia" w:ascii="Times New Roman" w:hAnsi="Times New Roman" w:eastAsia="宋体"/>
          <w:b/>
          <w:color w:val="0000FF"/>
          <w:szCs w:val="21"/>
          <w:lang w:val="en-US" w:eastAsia="zh-CN"/>
        </w:rPr>
        <w:t>4-6无</w:t>
      </w:r>
      <w:r>
        <w:rPr>
          <w:rFonts w:ascii="Times New Roman" w:hAnsi="Times New Roman" w:eastAsia="宋体"/>
          <w:b/>
          <w:color w:val="0000FF"/>
          <w:szCs w:val="21"/>
        </w:rPr>
        <w:t>组织污染源估算模型计算结果表</w:t>
      </w:r>
    </w:p>
    <w:tbl>
      <w:tblPr>
        <w:tblStyle w:val="11"/>
        <w:tblW w:w="0" w:type="auto"/>
        <w:jc w:val="center"/>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autofit"/>
        <w:tblCellMar>
          <w:top w:w="15" w:type="dxa"/>
          <w:left w:w="15" w:type="dxa"/>
          <w:bottom w:w="15" w:type="dxa"/>
          <w:right w:w="15" w:type="dxa"/>
        </w:tblCellMar>
      </w:tblPr>
      <w:tblGrid>
        <w:gridCol w:w="995"/>
        <w:gridCol w:w="2211"/>
        <w:gridCol w:w="2899"/>
        <w:gridCol w:w="1106"/>
        <w:gridCol w:w="1101"/>
      </w:tblGrid>
      <w:tr w14:paraId="78AB346E">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677" w:hRule="atLeast"/>
          <w:jc w:val="center"/>
        </w:trPr>
        <w:tc>
          <w:tcPr>
            <w:tcW w:w="995" w:type="dxa"/>
            <w:noWrap w:val="0"/>
            <w:vAlign w:val="center"/>
          </w:tcPr>
          <w:p w14:paraId="6F173AB7">
            <w:pPr>
              <w:widowControl/>
              <w:jc w:val="center"/>
              <w:textAlignment w:val="center"/>
              <w:rPr>
                <w:rFonts w:hint="default" w:ascii="Times New Roman" w:hAnsi="Times New Roman" w:eastAsia="宋体" w:cs="Times New Roman"/>
                <w:b/>
                <w:bCs/>
                <w:color w:val="0000FF"/>
                <w:sz w:val="21"/>
                <w:szCs w:val="21"/>
              </w:rPr>
            </w:pPr>
            <w:r>
              <w:rPr>
                <w:rFonts w:hint="default" w:ascii="Times New Roman" w:hAnsi="Times New Roman" w:eastAsia="宋体" w:cs="Times New Roman"/>
                <w:b/>
                <w:bCs/>
                <w:color w:val="0000FF"/>
                <w:sz w:val="21"/>
                <w:szCs w:val="21"/>
              </w:rPr>
              <w:t>污染物</w:t>
            </w:r>
          </w:p>
        </w:tc>
        <w:tc>
          <w:tcPr>
            <w:tcW w:w="2211" w:type="dxa"/>
            <w:noWrap w:val="0"/>
            <w:vAlign w:val="center"/>
          </w:tcPr>
          <w:p w14:paraId="21F2F64B">
            <w:pPr>
              <w:widowControl/>
              <w:jc w:val="center"/>
              <w:textAlignment w:val="center"/>
              <w:rPr>
                <w:rFonts w:hint="default" w:ascii="Times New Roman" w:hAnsi="Times New Roman" w:eastAsia="宋体" w:cs="Times New Roman"/>
                <w:b/>
                <w:bCs/>
                <w:color w:val="0000FF"/>
                <w:sz w:val="21"/>
                <w:szCs w:val="21"/>
              </w:rPr>
            </w:pPr>
            <w:r>
              <w:rPr>
                <w:rFonts w:hint="default" w:ascii="Times New Roman" w:hAnsi="Times New Roman" w:eastAsia="宋体" w:cs="Times New Roman"/>
                <w:b/>
                <w:bCs/>
                <w:color w:val="0000FF"/>
                <w:sz w:val="21"/>
                <w:szCs w:val="21"/>
              </w:rPr>
              <w:t>距离中心下风向距离（m）</w:t>
            </w:r>
          </w:p>
        </w:tc>
        <w:tc>
          <w:tcPr>
            <w:tcW w:w="2899" w:type="dxa"/>
            <w:noWrap w:val="0"/>
            <w:vAlign w:val="center"/>
          </w:tcPr>
          <w:p w14:paraId="4AEFA64C">
            <w:pPr>
              <w:widowControl/>
              <w:jc w:val="center"/>
              <w:textAlignment w:val="center"/>
              <w:rPr>
                <w:rFonts w:hint="default" w:ascii="Times New Roman" w:hAnsi="Times New Roman" w:eastAsia="宋体" w:cs="Times New Roman"/>
                <w:b/>
                <w:bCs/>
                <w:color w:val="0000FF"/>
                <w:sz w:val="21"/>
                <w:szCs w:val="21"/>
              </w:rPr>
            </w:pPr>
            <w:r>
              <w:rPr>
                <w:rFonts w:hint="default" w:ascii="Times New Roman" w:hAnsi="Times New Roman" w:eastAsia="宋体" w:cs="Times New Roman"/>
                <w:b/>
                <w:bCs/>
                <w:color w:val="0000FF"/>
                <w:sz w:val="21"/>
                <w:szCs w:val="21"/>
              </w:rPr>
              <w:t>下风向预测浓度（μg/m</w:t>
            </w:r>
            <w:r>
              <w:rPr>
                <w:rFonts w:hint="default" w:ascii="Times New Roman" w:hAnsi="Times New Roman" w:eastAsia="宋体" w:cs="Times New Roman"/>
                <w:b/>
                <w:bCs/>
                <w:color w:val="0000FF"/>
                <w:sz w:val="21"/>
                <w:szCs w:val="21"/>
                <w:vertAlign w:val="superscript"/>
              </w:rPr>
              <w:t>3</w:t>
            </w:r>
            <w:r>
              <w:rPr>
                <w:rFonts w:hint="default" w:ascii="Times New Roman" w:hAnsi="Times New Roman" w:eastAsia="宋体" w:cs="Times New Roman"/>
                <w:b/>
                <w:bCs/>
                <w:color w:val="0000FF"/>
                <w:sz w:val="21"/>
                <w:szCs w:val="21"/>
              </w:rPr>
              <w:t>）</w:t>
            </w:r>
          </w:p>
        </w:tc>
        <w:tc>
          <w:tcPr>
            <w:tcW w:w="1106" w:type="dxa"/>
            <w:noWrap w:val="0"/>
            <w:vAlign w:val="center"/>
          </w:tcPr>
          <w:p w14:paraId="702C68C9">
            <w:pPr>
              <w:widowControl/>
              <w:jc w:val="center"/>
              <w:textAlignment w:val="center"/>
              <w:rPr>
                <w:rFonts w:hint="default" w:ascii="Times New Roman" w:hAnsi="Times New Roman" w:eastAsia="宋体" w:cs="Times New Roman"/>
                <w:b/>
                <w:bCs/>
                <w:color w:val="0000FF"/>
                <w:sz w:val="21"/>
                <w:szCs w:val="21"/>
              </w:rPr>
            </w:pPr>
            <w:r>
              <w:rPr>
                <w:rFonts w:hint="default" w:ascii="Times New Roman" w:hAnsi="Times New Roman" w:eastAsia="宋体" w:cs="Times New Roman"/>
                <w:b/>
                <w:bCs/>
                <w:color w:val="0000FF"/>
                <w:sz w:val="21"/>
                <w:szCs w:val="21"/>
              </w:rPr>
              <w:t>占标率（%）</w:t>
            </w:r>
          </w:p>
        </w:tc>
        <w:tc>
          <w:tcPr>
            <w:tcW w:w="1101" w:type="dxa"/>
            <w:noWrap w:val="0"/>
            <w:vAlign w:val="center"/>
          </w:tcPr>
          <w:p w14:paraId="7723548E">
            <w:pPr>
              <w:widowControl/>
              <w:jc w:val="center"/>
              <w:textAlignment w:val="center"/>
              <w:rPr>
                <w:rFonts w:hint="default" w:ascii="Times New Roman" w:hAnsi="Times New Roman" w:eastAsia="宋体" w:cs="Times New Roman"/>
                <w:b/>
                <w:bCs/>
                <w:color w:val="0000FF"/>
                <w:sz w:val="21"/>
                <w:szCs w:val="21"/>
              </w:rPr>
            </w:pPr>
            <w:r>
              <w:rPr>
                <w:rFonts w:hint="default" w:ascii="Times New Roman" w:hAnsi="Times New Roman" w:eastAsia="宋体" w:cs="Times New Roman"/>
                <w:b/>
                <w:bCs/>
                <w:color w:val="0000FF"/>
                <w:sz w:val="21"/>
                <w:szCs w:val="21"/>
              </w:rPr>
              <w:t>评价等级</w:t>
            </w:r>
          </w:p>
        </w:tc>
      </w:tr>
      <w:tr w14:paraId="010FE28C">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79" w:hRule="atLeast"/>
          <w:jc w:val="center"/>
        </w:trPr>
        <w:tc>
          <w:tcPr>
            <w:tcW w:w="995" w:type="dxa"/>
            <w:noWrap w:val="0"/>
            <w:vAlign w:val="center"/>
          </w:tcPr>
          <w:p w14:paraId="7730F757">
            <w:pPr>
              <w:widowControl/>
              <w:jc w:val="center"/>
              <w:textAlignment w:val="center"/>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rPr>
              <w:t>非甲烷</w:t>
            </w:r>
          </w:p>
          <w:p w14:paraId="44C5FFB1">
            <w:pPr>
              <w:widowControl/>
              <w:jc w:val="center"/>
              <w:textAlignment w:val="center"/>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rPr>
              <w:t>总烃</w:t>
            </w:r>
          </w:p>
        </w:tc>
        <w:tc>
          <w:tcPr>
            <w:tcW w:w="2211" w:type="dxa"/>
            <w:noWrap w:val="0"/>
            <w:vAlign w:val="center"/>
          </w:tcPr>
          <w:p w14:paraId="170D04D9">
            <w:pPr>
              <w:widowControl/>
              <w:jc w:val="center"/>
              <w:textAlignment w:val="center"/>
              <w:rPr>
                <w:rFonts w:hint="default" w:ascii="Times New Roman" w:hAnsi="Times New Roman" w:eastAsia="宋体" w:cs="Times New Roman"/>
                <w:color w:val="0000FF"/>
                <w:sz w:val="21"/>
                <w:szCs w:val="21"/>
                <w:lang w:val="en-US" w:eastAsia="zh-CN"/>
              </w:rPr>
            </w:pPr>
            <w:r>
              <w:rPr>
                <w:rFonts w:hint="eastAsia" w:ascii="Times New Roman" w:hAnsi="Times New Roman" w:eastAsia="宋体" w:cs="Times New Roman"/>
                <w:color w:val="0000FF"/>
                <w:sz w:val="21"/>
                <w:szCs w:val="21"/>
                <w:lang w:val="en-US" w:eastAsia="zh-CN"/>
              </w:rPr>
              <w:t>68</w:t>
            </w:r>
          </w:p>
        </w:tc>
        <w:tc>
          <w:tcPr>
            <w:tcW w:w="2899" w:type="dxa"/>
            <w:noWrap w:val="0"/>
            <w:vAlign w:val="center"/>
          </w:tcPr>
          <w:p w14:paraId="6BFD9F95">
            <w:pPr>
              <w:keepNext w:val="0"/>
              <w:keepLines w:val="0"/>
              <w:widowControl/>
              <w:suppressLineNumbers w:val="0"/>
              <w:jc w:val="center"/>
              <w:textAlignment w:val="center"/>
              <w:rPr>
                <w:rFonts w:hint="default" w:ascii="宋体" w:hAnsi="宋体" w:eastAsia="宋体" w:cs="宋体"/>
                <w:i w:val="0"/>
                <w:color w:val="0000FF"/>
                <w:kern w:val="2"/>
                <w:sz w:val="18"/>
                <w:szCs w:val="18"/>
                <w:u w:val="none"/>
                <w:lang w:val="en-US" w:eastAsia="zh-CN" w:bidi="ar-SA"/>
              </w:rPr>
            </w:pPr>
            <w:r>
              <w:rPr>
                <w:rFonts w:hint="default" w:ascii="Times New Roman" w:hAnsi="Times New Roman" w:eastAsia="宋体" w:cs="Times New Roman"/>
                <w:i w:val="0"/>
                <w:color w:val="0000FF"/>
                <w:kern w:val="0"/>
                <w:sz w:val="21"/>
                <w:szCs w:val="21"/>
                <w:u w:val="none"/>
                <w:lang w:val="en-US" w:eastAsia="zh-CN" w:bidi="ar"/>
              </w:rPr>
              <w:t>45.531</w:t>
            </w:r>
          </w:p>
        </w:tc>
        <w:tc>
          <w:tcPr>
            <w:tcW w:w="1106" w:type="dxa"/>
            <w:noWrap w:val="0"/>
            <w:vAlign w:val="center"/>
          </w:tcPr>
          <w:p w14:paraId="79207C8D">
            <w:pPr>
              <w:widowControl/>
              <w:jc w:val="center"/>
              <w:textAlignment w:val="center"/>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rPr>
              <w:t>3.79425</w:t>
            </w:r>
          </w:p>
        </w:tc>
        <w:tc>
          <w:tcPr>
            <w:tcW w:w="1101" w:type="dxa"/>
            <w:noWrap w:val="0"/>
            <w:vAlign w:val="center"/>
          </w:tcPr>
          <w:p w14:paraId="5B4871D9">
            <w:pPr>
              <w:widowControl/>
              <w:jc w:val="center"/>
              <w:textAlignment w:val="center"/>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rPr>
              <w:t>Ⅱ</w:t>
            </w:r>
          </w:p>
        </w:tc>
      </w:tr>
      <w:tr w14:paraId="1670AB54">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79" w:hRule="atLeast"/>
          <w:jc w:val="center"/>
        </w:trPr>
        <w:tc>
          <w:tcPr>
            <w:tcW w:w="995" w:type="dxa"/>
            <w:noWrap w:val="0"/>
            <w:vAlign w:val="center"/>
          </w:tcPr>
          <w:p w14:paraId="3DD21750">
            <w:pPr>
              <w:widowControl/>
              <w:jc w:val="center"/>
              <w:textAlignment w:val="center"/>
              <w:rPr>
                <w:rFonts w:hint="default" w:ascii="Times New Roman" w:hAnsi="Times New Roman" w:eastAsia="宋体" w:cs="Times New Roman"/>
                <w:color w:val="0000FF"/>
                <w:sz w:val="21"/>
                <w:szCs w:val="21"/>
                <w:lang w:eastAsia="zh-CN"/>
              </w:rPr>
            </w:pPr>
            <w:r>
              <w:rPr>
                <w:rFonts w:hint="default" w:ascii="Times New Roman" w:hAnsi="Times New Roman" w:eastAsia="宋体" w:cs="Times New Roman"/>
                <w:color w:val="0000FF"/>
                <w:sz w:val="21"/>
                <w:szCs w:val="21"/>
                <w:lang w:eastAsia="zh-CN"/>
              </w:rPr>
              <w:t>硫酸雾</w:t>
            </w:r>
          </w:p>
        </w:tc>
        <w:tc>
          <w:tcPr>
            <w:tcW w:w="2211" w:type="dxa"/>
            <w:noWrap w:val="0"/>
            <w:vAlign w:val="center"/>
          </w:tcPr>
          <w:p w14:paraId="5B6A999D">
            <w:pPr>
              <w:widowControl/>
              <w:jc w:val="center"/>
              <w:textAlignment w:val="center"/>
              <w:rPr>
                <w:rFonts w:hint="default" w:ascii="Times New Roman" w:hAnsi="Times New Roman" w:eastAsia="宋体" w:cs="Times New Roman"/>
                <w:color w:val="0000FF"/>
                <w:sz w:val="21"/>
                <w:szCs w:val="21"/>
                <w:lang w:val="en-US" w:eastAsia="zh-CN"/>
              </w:rPr>
            </w:pPr>
            <w:r>
              <w:rPr>
                <w:rFonts w:hint="eastAsia" w:ascii="Times New Roman" w:hAnsi="Times New Roman" w:eastAsia="宋体" w:cs="Times New Roman"/>
                <w:color w:val="0000FF"/>
                <w:sz w:val="21"/>
                <w:szCs w:val="21"/>
                <w:lang w:val="en-US" w:eastAsia="zh-CN"/>
              </w:rPr>
              <w:t>66</w:t>
            </w:r>
          </w:p>
        </w:tc>
        <w:tc>
          <w:tcPr>
            <w:tcW w:w="2899" w:type="dxa"/>
            <w:noWrap w:val="0"/>
            <w:vAlign w:val="center"/>
          </w:tcPr>
          <w:p w14:paraId="4B3F6D81">
            <w:pPr>
              <w:keepNext w:val="0"/>
              <w:keepLines w:val="0"/>
              <w:widowControl/>
              <w:suppressLineNumbers w:val="0"/>
              <w:jc w:val="center"/>
              <w:textAlignment w:val="center"/>
              <w:rPr>
                <w:rFonts w:hint="default" w:ascii="Times New Roman" w:hAnsi="Times New Roman" w:eastAsia="宋体" w:cs="Times New Roman"/>
                <w:i w:val="0"/>
                <w:color w:val="0000FF"/>
                <w:kern w:val="2"/>
                <w:sz w:val="21"/>
                <w:szCs w:val="21"/>
                <w:u w:val="none"/>
                <w:lang w:val="en-US" w:eastAsia="zh-CN" w:bidi="ar-SA"/>
              </w:rPr>
            </w:pPr>
            <w:r>
              <w:rPr>
                <w:rFonts w:hint="default" w:ascii="Times New Roman" w:hAnsi="Times New Roman" w:eastAsia="宋体" w:cs="Times New Roman"/>
                <w:i w:val="0"/>
                <w:color w:val="0000FF"/>
                <w:kern w:val="0"/>
                <w:sz w:val="21"/>
                <w:szCs w:val="21"/>
                <w:u w:val="none"/>
                <w:lang w:val="en-US" w:eastAsia="zh-CN" w:bidi="ar"/>
              </w:rPr>
              <w:t>1.</w:t>
            </w:r>
            <w:r>
              <w:rPr>
                <w:rFonts w:hint="eastAsia" w:ascii="Times New Roman" w:hAnsi="Times New Roman" w:eastAsia="宋体" w:cs="Times New Roman"/>
                <w:i w:val="0"/>
                <w:color w:val="0000FF"/>
                <w:kern w:val="0"/>
                <w:sz w:val="21"/>
                <w:szCs w:val="21"/>
                <w:u w:val="none"/>
                <w:lang w:val="en-US" w:eastAsia="zh-CN" w:bidi="ar"/>
              </w:rPr>
              <w:t>6</w:t>
            </w:r>
            <w:r>
              <w:rPr>
                <w:rFonts w:hint="default" w:ascii="Times New Roman" w:hAnsi="Times New Roman" w:eastAsia="宋体" w:cs="Times New Roman"/>
                <w:i w:val="0"/>
                <w:color w:val="0000FF"/>
                <w:kern w:val="0"/>
                <w:sz w:val="21"/>
                <w:szCs w:val="21"/>
                <w:u w:val="none"/>
                <w:lang w:val="en-US" w:eastAsia="zh-CN" w:bidi="ar"/>
              </w:rPr>
              <w:t>692</w:t>
            </w:r>
          </w:p>
        </w:tc>
        <w:tc>
          <w:tcPr>
            <w:tcW w:w="1106" w:type="dxa"/>
            <w:noWrap w:val="0"/>
            <w:vAlign w:val="center"/>
          </w:tcPr>
          <w:p w14:paraId="43133706">
            <w:pPr>
              <w:widowControl/>
              <w:jc w:val="center"/>
              <w:textAlignment w:val="center"/>
              <w:rPr>
                <w:rFonts w:hint="default" w:ascii="Times New Roman" w:hAnsi="Times New Roman" w:eastAsia="宋体" w:cs="Times New Roman"/>
                <w:b w:val="0"/>
                <w:bCs w:val="0"/>
                <w:color w:val="0000FF"/>
                <w:sz w:val="21"/>
                <w:szCs w:val="21"/>
              </w:rPr>
            </w:pPr>
            <w:r>
              <w:rPr>
                <w:rFonts w:hint="default" w:ascii="Times New Roman" w:hAnsi="Times New Roman" w:eastAsia="宋体" w:cs="Times New Roman"/>
                <w:b w:val="0"/>
                <w:bCs w:val="0"/>
                <w:color w:val="0000FF"/>
                <w:sz w:val="21"/>
                <w:szCs w:val="21"/>
              </w:rPr>
              <w:t>0.</w:t>
            </w:r>
            <w:r>
              <w:rPr>
                <w:rFonts w:hint="eastAsia" w:ascii="Times New Roman" w:hAnsi="Times New Roman" w:eastAsia="宋体" w:cs="Times New Roman"/>
                <w:b w:val="0"/>
                <w:bCs w:val="0"/>
                <w:color w:val="0000FF"/>
                <w:sz w:val="21"/>
                <w:szCs w:val="21"/>
                <w:lang w:val="en-US" w:eastAsia="zh-CN"/>
              </w:rPr>
              <w:t>6</w:t>
            </w:r>
            <w:r>
              <w:rPr>
                <w:rFonts w:hint="default" w:ascii="Times New Roman" w:hAnsi="Times New Roman" w:eastAsia="宋体" w:cs="Times New Roman"/>
                <w:b w:val="0"/>
                <w:bCs w:val="0"/>
                <w:color w:val="0000FF"/>
                <w:sz w:val="21"/>
                <w:szCs w:val="21"/>
              </w:rPr>
              <w:t>89733</w:t>
            </w:r>
          </w:p>
        </w:tc>
        <w:tc>
          <w:tcPr>
            <w:tcW w:w="1101" w:type="dxa"/>
            <w:noWrap w:val="0"/>
            <w:vAlign w:val="center"/>
          </w:tcPr>
          <w:p w14:paraId="63D6A0F0">
            <w:pPr>
              <w:widowControl/>
              <w:jc w:val="center"/>
              <w:textAlignment w:val="center"/>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rPr>
              <w:t>III</w:t>
            </w:r>
          </w:p>
        </w:tc>
      </w:tr>
    </w:tbl>
    <w:p w14:paraId="6574F014">
      <w:pPr>
        <w:pStyle w:val="25"/>
        <w:rPr>
          <w:color w:val="0000FF"/>
        </w:rPr>
      </w:pPr>
    </w:p>
    <w:p w14:paraId="056D543A">
      <w:pPr>
        <w:keepNext w:val="0"/>
        <w:keepLines w:val="0"/>
        <w:pageBreakBefore w:val="0"/>
        <w:widowControl w:val="0"/>
        <w:kinsoku/>
        <w:wordWrap/>
        <w:overflowPunct/>
        <w:topLinePunct w:val="0"/>
        <w:autoSpaceDE/>
        <w:autoSpaceDN/>
        <w:bidi w:val="0"/>
        <w:adjustRightInd w:val="0"/>
        <w:snapToGrid w:val="0"/>
        <w:spacing w:line="360" w:lineRule="auto"/>
        <w:ind w:firstLine="482"/>
        <w:textAlignment w:val="auto"/>
        <w:rPr>
          <w:rFonts w:ascii="Times New Roman" w:hAnsi="Times New Roman" w:eastAsia="宋体"/>
          <w:color w:val="0000FF"/>
          <w:sz w:val="24"/>
          <w:szCs w:val="24"/>
        </w:rPr>
      </w:pPr>
      <w:r>
        <w:rPr>
          <w:rFonts w:ascii="Times New Roman" w:hAnsi="Times New Roman" w:eastAsia="宋体"/>
          <w:bCs/>
          <w:color w:val="0000FF"/>
          <w:sz w:val="24"/>
          <w:szCs w:val="24"/>
        </w:rPr>
        <w:t>由上表可知，</w:t>
      </w:r>
      <w:r>
        <w:rPr>
          <w:rFonts w:ascii="Times New Roman" w:hAnsi="Times New Roman" w:eastAsia="宋体"/>
          <w:color w:val="0000FF"/>
          <w:sz w:val="24"/>
          <w:szCs w:val="24"/>
        </w:rPr>
        <w:t>结合《环境影响评价技术导则大气环境》（HJ2.2-2018）中评价等级的判定方法及一般要求，项目评价等级为</w:t>
      </w:r>
      <w:r>
        <w:rPr>
          <w:rFonts w:hint="eastAsia" w:ascii="Times New Roman" w:hAnsi="Times New Roman" w:eastAsia="宋体"/>
          <w:color w:val="0000FF"/>
          <w:sz w:val="24"/>
          <w:szCs w:val="24"/>
          <w:lang w:eastAsia="zh-CN"/>
        </w:rPr>
        <w:t>二</w:t>
      </w:r>
      <w:r>
        <w:rPr>
          <w:rFonts w:ascii="Times New Roman" w:hAnsi="Times New Roman" w:eastAsia="宋体"/>
          <w:color w:val="0000FF"/>
          <w:sz w:val="24"/>
          <w:szCs w:val="24"/>
        </w:rPr>
        <w:t>级，不进行进一步预测预评价。项目排放的大气污染物对外环境的影响可接受。</w:t>
      </w:r>
    </w:p>
    <w:p w14:paraId="65E3C887">
      <w:pPr>
        <w:adjustRightInd w:val="0"/>
        <w:snapToGrid w:val="0"/>
        <w:spacing w:line="360" w:lineRule="auto"/>
        <w:ind w:firstLine="480" w:firstLineChars="200"/>
        <w:textAlignment w:val="baseline"/>
        <w:rPr>
          <w:rFonts w:hint="default" w:ascii="Times New Roman" w:hAnsi="Times New Roman" w:eastAsia="宋体" w:cs="Times New Roman"/>
          <w:b w:val="0"/>
          <w:bCs w:val="0"/>
          <w:color w:val="0000FF"/>
          <w:sz w:val="24"/>
          <w:lang w:val="de-DE"/>
        </w:rPr>
      </w:pPr>
      <w:r>
        <w:rPr>
          <w:rFonts w:hint="eastAsia" w:ascii="Times New Roman" w:hAnsi="Times New Roman" w:eastAsia="宋体" w:cs="Times New Roman"/>
          <w:b w:val="0"/>
          <w:bCs w:val="0"/>
          <w:color w:val="0000FF"/>
          <w:sz w:val="24"/>
          <w:lang w:val="de-DE" w:eastAsia="zh-CN"/>
        </w:rPr>
        <w:t>（</w:t>
      </w:r>
      <w:r>
        <w:rPr>
          <w:rFonts w:hint="eastAsia" w:ascii="Times New Roman" w:hAnsi="Times New Roman" w:eastAsia="宋体" w:cs="Times New Roman"/>
          <w:b w:val="0"/>
          <w:bCs w:val="0"/>
          <w:color w:val="0000FF"/>
          <w:sz w:val="24"/>
          <w:lang w:val="en-US" w:eastAsia="zh-CN"/>
        </w:rPr>
        <w:t>7</w:t>
      </w:r>
      <w:r>
        <w:rPr>
          <w:rFonts w:hint="eastAsia" w:ascii="Times New Roman" w:hAnsi="Times New Roman" w:eastAsia="宋体" w:cs="Times New Roman"/>
          <w:b w:val="0"/>
          <w:bCs w:val="0"/>
          <w:color w:val="0000FF"/>
          <w:sz w:val="24"/>
          <w:lang w:val="de-DE" w:eastAsia="zh-CN"/>
        </w:rPr>
        <w:t>）</w:t>
      </w:r>
      <w:r>
        <w:rPr>
          <w:rFonts w:hint="default" w:ascii="Times New Roman" w:hAnsi="Times New Roman" w:eastAsia="宋体" w:cs="Times New Roman"/>
          <w:b w:val="0"/>
          <w:bCs w:val="0"/>
          <w:color w:val="0000FF"/>
          <w:sz w:val="24"/>
          <w:lang w:val="de-DE"/>
        </w:rPr>
        <w:t>环境影响预测</w:t>
      </w:r>
    </w:p>
    <w:p w14:paraId="74F32493">
      <w:pPr>
        <w:adjustRightInd w:val="0"/>
        <w:snapToGrid w:val="0"/>
        <w:spacing w:line="360" w:lineRule="auto"/>
        <w:ind w:firstLine="480" w:firstLineChars="200"/>
        <w:textAlignment w:val="baseline"/>
        <w:rPr>
          <w:rFonts w:hint="eastAsia" w:ascii="Times New Roman" w:hAnsi="Times New Roman" w:eastAsia="宋体" w:cs="Times New Roman"/>
          <w:b w:val="0"/>
          <w:bCs w:val="0"/>
          <w:color w:val="0000FF"/>
          <w:sz w:val="24"/>
          <w:lang w:val="de-DE"/>
        </w:rPr>
      </w:pPr>
      <w:r>
        <w:rPr>
          <w:rFonts w:hint="default" w:ascii="Times New Roman" w:hAnsi="Times New Roman" w:eastAsia="宋体" w:cs="Times New Roman"/>
          <w:b w:val="0"/>
          <w:bCs w:val="0"/>
          <w:color w:val="0000FF"/>
          <w:sz w:val="24"/>
          <w:lang w:val="de-DE"/>
        </w:rPr>
        <w:t>根据《环境影响评价技术导则—大气环境》（HJ2.2-2018）大气环境影响预测与评价一般性要求，</w:t>
      </w:r>
      <w:r>
        <w:rPr>
          <w:rFonts w:hint="eastAsia" w:ascii="Times New Roman" w:hAnsi="Times New Roman" w:eastAsia="宋体" w:cs="Times New Roman"/>
          <w:b w:val="0"/>
          <w:bCs w:val="0"/>
          <w:color w:val="0000FF"/>
          <w:sz w:val="24"/>
          <w:lang w:val="de-DE" w:eastAsia="zh-CN"/>
        </w:rPr>
        <w:t>二</w:t>
      </w:r>
      <w:r>
        <w:rPr>
          <w:rFonts w:hint="default" w:ascii="Times New Roman" w:hAnsi="Times New Roman" w:eastAsia="宋体" w:cs="Times New Roman"/>
          <w:b w:val="0"/>
          <w:bCs w:val="0"/>
          <w:color w:val="0000FF"/>
          <w:sz w:val="24"/>
          <w:lang w:val="de-DE"/>
        </w:rPr>
        <w:t>级评价项目不进行进一步预测与评价</w:t>
      </w:r>
      <w:r>
        <w:rPr>
          <w:rFonts w:hint="eastAsia" w:ascii="Times New Roman" w:hAnsi="Times New Roman" w:eastAsia="宋体" w:cs="Times New Roman"/>
          <w:b w:val="0"/>
          <w:bCs w:val="0"/>
          <w:color w:val="0000FF"/>
          <w:sz w:val="24"/>
          <w:lang w:val="de-DE"/>
        </w:rPr>
        <w:t>。</w:t>
      </w:r>
    </w:p>
    <w:p w14:paraId="5447969D">
      <w:pPr>
        <w:adjustRightInd w:val="0"/>
        <w:snapToGrid w:val="0"/>
        <w:spacing w:line="360" w:lineRule="auto"/>
        <w:ind w:firstLine="480" w:firstLineChars="200"/>
        <w:textAlignment w:val="baseline"/>
        <w:rPr>
          <w:rFonts w:hint="default" w:ascii="Times New Roman" w:hAnsi="Times New Roman" w:eastAsia="宋体" w:cs="Times New Roman"/>
          <w:b w:val="0"/>
          <w:bCs w:val="0"/>
          <w:color w:val="0000FF"/>
          <w:sz w:val="24"/>
          <w:lang w:val="en-US" w:eastAsia="zh-CN"/>
        </w:rPr>
      </w:pPr>
      <w:r>
        <w:rPr>
          <w:rFonts w:hint="eastAsia" w:ascii="Times New Roman" w:hAnsi="Times New Roman" w:eastAsia="宋体" w:cs="Times New Roman"/>
          <w:b w:val="0"/>
          <w:bCs w:val="0"/>
          <w:color w:val="0000FF"/>
          <w:sz w:val="24"/>
          <w:lang w:val="de-DE" w:eastAsia="zh-CN"/>
        </w:rPr>
        <w:t>（</w:t>
      </w:r>
      <w:r>
        <w:rPr>
          <w:rFonts w:hint="eastAsia" w:ascii="Times New Roman" w:hAnsi="Times New Roman" w:eastAsia="宋体" w:cs="Times New Roman"/>
          <w:b w:val="0"/>
          <w:bCs w:val="0"/>
          <w:color w:val="0000FF"/>
          <w:sz w:val="24"/>
          <w:lang w:val="en-US" w:eastAsia="zh-CN"/>
        </w:rPr>
        <w:t>8</w:t>
      </w:r>
      <w:r>
        <w:rPr>
          <w:rFonts w:hint="eastAsia" w:ascii="Times New Roman" w:hAnsi="Times New Roman" w:eastAsia="宋体" w:cs="Times New Roman"/>
          <w:b w:val="0"/>
          <w:bCs w:val="0"/>
          <w:color w:val="0000FF"/>
          <w:sz w:val="24"/>
          <w:lang w:val="de-DE" w:eastAsia="zh-CN"/>
        </w:rPr>
        <w:t>）</w:t>
      </w:r>
      <w:r>
        <w:rPr>
          <w:rFonts w:hint="default" w:ascii="Times New Roman" w:hAnsi="Times New Roman" w:eastAsia="宋体" w:cs="Times New Roman"/>
          <w:b w:val="0"/>
          <w:bCs w:val="0"/>
          <w:color w:val="0000FF"/>
          <w:sz w:val="24"/>
          <w:lang w:val="de-DE"/>
        </w:rPr>
        <w:t>大气污染物排放量核算</w:t>
      </w:r>
    </w:p>
    <w:p w14:paraId="7F1D8A3C">
      <w:pPr>
        <w:pStyle w:val="22"/>
        <w:spacing w:before="59" w:line="360" w:lineRule="auto"/>
        <w:ind w:left="494"/>
        <w:jc w:val="center"/>
        <w:rPr>
          <w:rFonts w:hint="default" w:ascii="Times New Roman" w:hAnsi="Times New Roman" w:cs="Times New Roman"/>
          <w:color w:val="0000FF"/>
          <w:sz w:val="21"/>
          <w:szCs w:val="21"/>
        </w:rPr>
      </w:pPr>
      <w:r>
        <w:rPr>
          <w:rFonts w:hint="default" w:ascii="Times New Roman" w:hAnsi="Times New Roman" w:cs="Times New Roman"/>
          <w:b/>
          <w:bCs/>
          <w:color w:val="0000FF"/>
          <w:sz w:val="21"/>
          <w:szCs w:val="21"/>
        </w:rPr>
        <w:t>表</w:t>
      </w:r>
      <w:r>
        <w:rPr>
          <w:rFonts w:hint="eastAsia" w:ascii="Times New Roman" w:hAnsi="Times New Roman" w:cs="Times New Roman"/>
          <w:b/>
          <w:bCs/>
          <w:color w:val="0000FF"/>
          <w:sz w:val="21"/>
          <w:szCs w:val="21"/>
          <w:lang w:val="en-US" w:eastAsia="zh-CN"/>
        </w:rPr>
        <w:t>4-7拟建项目</w:t>
      </w:r>
      <w:r>
        <w:rPr>
          <w:rFonts w:hint="default" w:ascii="Times New Roman" w:hAnsi="Times New Roman" w:cs="Times New Roman"/>
          <w:b/>
          <w:bCs/>
          <w:color w:val="0000FF"/>
          <w:sz w:val="21"/>
          <w:szCs w:val="21"/>
        </w:rPr>
        <w:t>大气污染物有组织排放量核算表</w:t>
      </w:r>
    </w:p>
    <w:tbl>
      <w:tblPr>
        <w:tblStyle w:val="11"/>
        <w:tblW w:w="0" w:type="auto"/>
        <w:tblInd w:w="5" w:type="dxa"/>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autofit"/>
        <w:tblCellMar>
          <w:top w:w="0" w:type="dxa"/>
          <w:left w:w="0" w:type="dxa"/>
          <w:bottom w:w="0" w:type="dxa"/>
          <w:right w:w="0" w:type="dxa"/>
        </w:tblCellMar>
      </w:tblPr>
      <w:tblGrid>
        <w:gridCol w:w="795"/>
        <w:gridCol w:w="1025"/>
        <w:gridCol w:w="1982"/>
        <w:gridCol w:w="1540"/>
        <w:gridCol w:w="1594"/>
        <w:gridCol w:w="1365"/>
      </w:tblGrid>
      <w:tr w14:paraId="0A06DE6A">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796" w:type="dxa"/>
            <w:vMerge w:val="restart"/>
            <w:tcBorders>
              <w:tl2br w:val="nil"/>
              <w:tr2bl w:val="nil"/>
            </w:tcBorders>
            <w:noWrap w:val="0"/>
            <w:vAlign w:val="center"/>
          </w:tcPr>
          <w:p w14:paraId="7D1E09C4">
            <w:pPr>
              <w:pStyle w:val="22"/>
              <w:spacing w:before="37" w:line="273" w:lineRule="auto"/>
              <w:ind w:right="173"/>
              <w:jc w:val="center"/>
              <w:rPr>
                <w:rFonts w:hint="default" w:ascii="Times New Roman" w:hAnsi="Times New Roman" w:cs="Times New Roman"/>
                <w:color w:val="0000FF"/>
                <w:sz w:val="21"/>
                <w:szCs w:val="21"/>
              </w:rPr>
            </w:pPr>
            <w:r>
              <w:rPr>
                <w:rFonts w:hint="default" w:ascii="Times New Roman" w:hAnsi="Times New Roman" w:cs="Times New Roman"/>
                <w:b/>
                <w:bCs/>
                <w:color w:val="0000FF"/>
                <w:w w:val="99"/>
                <w:sz w:val="21"/>
                <w:szCs w:val="21"/>
              </w:rPr>
              <w:t>排放口编号</w:t>
            </w:r>
          </w:p>
        </w:tc>
        <w:tc>
          <w:tcPr>
            <w:tcW w:w="1025" w:type="dxa"/>
            <w:vMerge w:val="restart"/>
            <w:tcBorders>
              <w:tl2br w:val="nil"/>
              <w:tr2bl w:val="nil"/>
            </w:tcBorders>
            <w:noWrap w:val="0"/>
            <w:vAlign w:val="center"/>
          </w:tcPr>
          <w:p w14:paraId="616BFE82">
            <w:pPr>
              <w:pStyle w:val="22"/>
              <w:spacing w:line="273" w:lineRule="auto"/>
              <w:ind w:right="175"/>
              <w:jc w:val="center"/>
              <w:rPr>
                <w:rFonts w:hint="default" w:ascii="Times New Roman" w:hAnsi="Times New Roman" w:cs="Times New Roman"/>
                <w:color w:val="0000FF"/>
                <w:sz w:val="21"/>
                <w:szCs w:val="21"/>
              </w:rPr>
            </w:pPr>
            <w:r>
              <w:rPr>
                <w:rFonts w:hint="default" w:ascii="Times New Roman" w:hAnsi="Times New Roman" w:cs="Times New Roman"/>
                <w:b/>
                <w:bCs/>
                <w:color w:val="0000FF"/>
                <w:sz w:val="21"/>
                <w:szCs w:val="21"/>
              </w:rPr>
              <w:t>污染物</w:t>
            </w:r>
          </w:p>
        </w:tc>
        <w:tc>
          <w:tcPr>
            <w:tcW w:w="1982" w:type="dxa"/>
            <w:vMerge w:val="restart"/>
            <w:tcBorders>
              <w:tl2br w:val="nil"/>
              <w:tr2bl w:val="nil"/>
            </w:tcBorders>
            <w:noWrap w:val="0"/>
            <w:vAlign w:val="center"/>
          </w:tcPr>
          <w:p w14:paraId="7FB4504E">
            <w:pPr>
              <w:pStyle w:val="22"/>
              <w:spacing w:before="141" w:line="273" w:lineRule="auto"/>
              <w:ind w:right="171"/>
              <w:jc w:val="center"/>
              <w:rPr>
                <w:rFonts w:hint="default" w:ascii="Times New Roman" w:hAnsi="Times New Roman" w:cs="Times New Roman"/>
                <w:b/>
                <w:bCs/>
                <w:color w:val="0000FF"/>
                <w:sz w:val="21"/>
                <w:szCs w:val="21"/>
              </w:rPr>
            </w:pPr>
            <w:r>
              <w:rPr>
                <w:rFonts w:hint="default" w:ascii="Times New Roman" w:hAnsi="Times New Roman" w:cs="Times New Roman"/>
                <w:b/>
                <w:bCs/>
                <w:color w:val="0000FF"/>
                <w:sz w:val="21"/>
                <w:szCs w:val="21"/>
              </w:rPr>
              <w:t>防治措施</w:t>
            </w:r>
          </w:p>
        </w:tc>
        <w:tc>
          <w:tcPr>
            <w:tcW w:w="1540" w:type="dxa"/>
            <w:vMerge w:val="restart"/>
            <w:tcBorders>
              <w:tl2br w:val="nil"/>
              <w:tr2bl w:val="nil"/>
            </w:tcBorders>
            <w:noWrap w:val="0"/>
            <w:vAlign w:val="center"/>
          </w:tcPr>
          <w:p w14:paraId="73FAE316">
            <w:pPr>
              <w:pStyle w:val="22"/>
              <w:spacing w:before="141" w:line="273" w:lineRule="auto"/>
              <w:ind w:right="171"/>
              <w:jc w:val="center"/>
              <w:rPr>
                <w:rFonts w:hint="default" w:ascii="Times New Roman" w:hAnsi="Times New Roman" w:eastAsia="宋体" w:cs="Times New Roman"/>
                <w:b/>
                <w:bCs/>
                <w:color w:val="0000FF"/>
                <w:sz w:val="21"/>
                <w:szCs w:val="21"/>
                <w:lang w:val="en-US" w:eastAsia="zh-CN"/>
              </w:rPr>
            </w:pPr>
            <w:r>
              <w:rPr>
                <w:rFonts w:hint="default" w:ascii="Times New Roman" w:hAnsi="Times New Roman" w:cs="Times New Roman"/>
                <w:b/>
                <w:bCs/>
                <w:color w:val="0000FF"/>
                <w:sz w:val="21"/>
                <w:szCs w:val="21"/>
                <w:lang w:val="en-US" w:eastAsia="zh-CN"/>
              </w:rPr>
              <w:t>排放速率（kg/h）</w:t>
            </w:r>
          </w:p>
        </w:tc>
        <w:tc>
          <w:tcPr>
            <w:tcW w:w="1594" w:type="dxa"/>
            <w:vMerge w:val="restart"/>
            <w:tcBorders>
              <w:tl2br w:val="nil"/>
              <w:tr2bl w:val="nil"/>
            </w:tcBorders>
            <w:noWrap w:val="0"/>
            <w:vAlign w:val="center"/>
          </w:tcPr>
          <w:p w14:paraId="59D56032">
            <w:pPr>
              <w:pStyle w:val="22"/>
              <w:spacing w:line="273" w:lineRule="auto"/>
              <w:ind w:right="-1"/>
              <w:jc w:val="center"/>
              <w:rPr>
                <w:rFonts w:hint="default" w:ascii="Times New Roman" w:hAnsi="Times New Roman" w:cs="Times New Roman"/>
                <w:color w:val="0000FF"/>
                <w:sz w:val="21"/>
                <w:szCs w:val="21"/>
              </w:rPr>
            </w:pPr>
            <w:r>
              <w:rPr>
                <w:rFonts w:hint="default" w:ascii="Times New Roman" w:hAnsi="Times New Roman" w:cs="Times New Roman"/>
                <w:b/>
                <w:bCs/>
                <w:color w:val="0000FF"/>
                <w:sz w:val="21"/>
                <w:szCs w:val="21"/>
              </w:rPr>
              <w:t>排放</w:t>
            </w:r>
            <w:r>
              <w:rPr>
                <w:rFonts w:hint="default" w:ascii="Times New Roman" w:hAnsi="Times New Roman" w:cs="Times New Roman"/>
                <w:b/>
                <w:bCs/>
                <w:color w:val="0000FF"/>
                <w:sz w:val="21"/>
                <w:szCs w:val="21"/>
                <w:lang w:eastAsia="zh-CN"/>
              </w:rPr>
              <w:t>浓度（</w:t>
            </w:r>
            <w:r>
              <w:rPr>
                <w:rFonts w:hint="default" w:ascii="Times New Roman" w:hAnsi="Times New Roman" w:cs="Times New Roman"/>
                <w:b/>
                <w:bCs/>
                <w:color w:val="0000FF"/>
                <w:sz w:val="21"/>
                <w:szCs w:val="21"/>
                <w:lang w:val="en-US" w:eastAsia="zh-CN"/>
              </w:rPr>
              <w:t>mg/m</w:t>
            </w:r>
            <w:r>
              <w:rPr>
                <w:rFonts w:hint="default" w:ascii="Times New Roman" w:hAnsi="Times New Roman" w:cs="Times New Roman"/>
                <w:b/>
                <w:bCs/>
                <w:color w:val="0000FF"/>
                <w:sz w:val="21"/>
                <w:szCs w:val="21"/>
                <w:vertAlign w:val="superscript"/>
                <w:lang w:val="en-US" w:eastAsia="zh-CN"/>
              </w:rPr>
              <w:t>3</w:t>
            </w:r>
            <w:r>
              <w:rPr>
                <w:rFonts w:hint="default" w:ascii="Times New Roman" w:hAnsi="Times New Roman" w:cs="Times New Roman"/>
                <w:b/>
                <w:bCs/>
                <w:color w:val="0000FF"/>
                <w:sz w:val="21"/>
                <w:szCs w:val="21"/>
                <w:lang w:eastAsia="zh-CN"/>
              </w:rPr>
              <w:t>）</w:t>
            </w:r>
          </w:p>
        </w:tc>
        <w:tc>
          <w:tcPr>
            <w:tcW w:w="1365" w:type="dxa"/>
            <w:vMerge w:val="restart"/>
            <w:tcBorders>
              <w:tl2br w:val="nil"/>
              <w:tr2bl w:val="nil"/>
            </w:tcBorders>
            <w:noWrap w:val="0"/>
            <w:vAlign w:val="center"/>
          </w:tcPr>
          <w:p w14:paraId="32CB737E">
            <w:pPr>
              <w:pStyle w:val="22"/>
              <w:spacing w:line="273" w:lineRule="auto"/>
              <w:ind w:right="-1"/>
              <w:jc w:val="center"/>
              <w:rPr>
                <w:rFonts w:hint="default" w:ascii="Times New Roman" w:hAnsi="Times New Roman" w:cs="Times New Roman"/>
                <w:b/>
                <w:bCs/>
                <w:color w:val="0000FF"/>
                <w:sz w:val="21"/>
                <w:szCs w:val="21"/>
              </w:rPr>
            </w:pPr>
            <w:r>
              <w:rPr>
                <w:rFonts w:hint="default" w:ascii="Times New Roman" w:hAnsi="Times New Roman" w:cs="Times New Roman"/>
                <w:b/>
                <w:bCs/>
                <w:color w:val="0000FF"/>
                <w:sz w:val="21"/>
                <w:szCs w:val="21"/>
              </w:rPr>
              <w:t>排放量（</w:t>
            </w:r>
            <w:r>
              <w:rPr>
                <w:rFonts w:hint="default" w:ascii="Times New Roman" w:hAnsi="Times New Roman" w:eastAsia="Times New Roman" w:cs="Times New Roman"/>
                <w:b/>
                <w:bCs/>
                <w:color w:val="0000FF"/>
                <w:sz w:val="21"/>
                <w:szCs w:val="21"/>
              </w:rPr>
              <w:t>t/a</w:t>
            </w:r>
            <w:r>
              <w:rPr>
                <w:rFonts w:hint="default" w:ascii="Times New Roman" w:hAnsi="Times New Roman" w:cs="Times New Roman"/>
                <w:b/>
                <w:bCs/>
                <w:color w:val="0000FF"/>
                <w:sz w:val="21"/>
                <w:szCs w:val="21"/>
              </w:rPr>
              <w:t>）</w:t>
            </w:r>
          </w:p>
        </w:tc>
      </w:tr>
      <w:tr w14:paraId="0C5E1174">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796" w:type="dxa"/>
            <w:vMerge w:val="continue"/>
            <w:tcBorders>
              <w:tl2br w:val="nil"/>
              <w:tr2bl w:val="nil"/>
            </w:tcBorders>
            <w:noWrap w:val="0"/>
            <w:vAlign w:val="center"/>
          </w:tcPr>
          <w:p w14:paraId="4474AF4E">
            <w:pPr>
              <w:jc w:val="center"/>
              <w:rPr>
                <w:rFonts w:hint="default" w:ascii="Times New Roman" w:hAnsi="Times New Roman" w:cs="Times New Roman"/>
                <w:color w:val="0000FF"/>
                <w:sz w:val="21"/>
                <w:szCs w:val="21"/>
              </w:rPr>
            </w:pPr>
          </w:p>
        </w:tc>
        <w:tc>
          <w:tcPr>
            <w:tcW w:w="1025" w:type="dxa"/>
            <w:vMerge w:val="continue"/>
            <w:tcBorders>
              <w:tl2br w:val="nil"/>
              <w:tr2bl w:val="nil"/>
            </w:tcBorders>
            <w:noWrap w:val="0"/>
            <w:vAlign w:val="center"/>
          </w:tcPr>
          <w:p w14:paraId="039825FC">
            <w:pPr>
              <w:jc w:val="center"/>
              <w:rPr>
                <w:rFonts w:hint="default" w:ascii="Times New Roman" w:hAnsi="Times New Roman" w:cs="Times New Roman"/>
                <w:color w:val="0000FF"/>
                <w:sz w:val="21"/>
                <w:szCs w:val="21"/>
              </w:rPr>
            </w:pPr>
          </w:p>
        </w:tc>
        <w:tc>
          <w:tcPr>
            <w:tcW w:w="1982" w:type="dxa"/>
            <w:vMerge w:val="continue"/>
            <w:tcBorders>
              <w:tl2br w:val="nil"/>
              <w:tr2bl w:val="nil"/>
            </w:tcBorders>
            <w:noWrap w:val="0"/>
            <w:vAlign w:val="center"/>
          </w:tcPr>
          <w:p w14:paraId="2C39BE50">
            <w:pPr>
              <w:jc w:val="center"/>
              <w:rPr>
                <w:rFonts w:hint="default" w:ascii="Times New Roman" w:hAnsi="Times New Roman" w:cs="Times New Roman"/>
                <w:color w:val="0000FF"/>
                <w:sz w:val="21"/>
                <w:szCs w:val="21"/>
              </w:rPr>
            </w:pPr>
          </w:p>
        </w:tc>
        <w:tc>
          <w:tcPr>
            <w:tcW w:w="1540" w:type="dxa"/>
            <w:vMerge w:val="continue"/>
            <w:tcBorders>
              <w:tl2br w:val="nil"/>
              <w:tr2bl w:val="nil"/>
            </w:tcBorders>
            <w:noWrap w:val="0"/>
            <w:vAlign w:val="center"/>
          </w:tcPr>
          <w:p w14:paraId="16F8EB2D">
            <w:pPr>
              <w:jc w:val="center"/>
              <w:rPr>
                <w:rFonts w:hint="default" w:ascii="Times New Roman" w:hAnsi="Times New Roman" w:cs="Times New Roman"/>
                <w:color w:val="0000FF"/>
                <w:sz w:val="21"/>
                <w:szCs w:val="21"/>
              </w:rPr>
            </w:pPr>
          </w:p>
        </w:tc>
        <w:tc>
          <w:tcPr>
            <w:tcW w:w="1594" w:type="dxa"/>
            <w:vMerge w:val="continue"/>
            <w:tcBorders>
              <w:tl2br w:val="nil"/>
              <w:tr2bl w:val="nil"/>
            </w:tcBorders>
            <w:noWrap w:val="0"/>
            <w:vAlign w:val="center"/>
          </w:tcPr>
          <w:p w14:paraId="51859A51">
            <w:pPr>
              <w:jc w:val="center"/>
              <w:rPr>
                <w:rFonts w:hint="default" w:ascii="Times New Roman" w:hAnsi="Times New Roman" w:cs="Times New Roman"/>
                <w:color w:val="0000FF"/>
                <w:sz w:val="21"/>
                <w:szCs w:val="21"/>
              </w:rPr>
            </w:pPr>
          </w:p>
        </w:tc>
        <w:tc>
          <w:tcPr>
            <w:tcW w:w="1365" w:type="dxa"/>
            <w:vMerge w:val="continue"/>
            <w:tcBorders>
              <w:tl2br w:val="nil"/>
              <w:tr2bl w:val="nil"/>
            </w:tcBorders>
            <w:noWrap w:val="0"/>
            <w:vAlign w:val="center"/>
          </w:tcPr>
          <w:p w14:paraId="271FD5EC">
            <w:pPr>
              <w:jc w:val="center"/>
              <w:rPr>
                <w:rFonts w:hint="default" w:ascii="Times New Roman" w:hAnsi="Times New Roman" w:cs="Times New Roman"/>
                <w:color w:val="0000FF"/>
                <w:sz w:val="21"/>
                <w:szCs w:val="21"/>
              </w:rPr>
            </w:pPr>
          </w:p>
        </w:tc>
      </w:tr>
      <w:tr w14:paraId="54B35790">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763" w:hRule="exact"/>
        </w:trPr>
        <w:tc>
          <w:tcPr>
            <w:tcW w:w="796" w:type="dxa"/>
            <w:tcBorders>
              <w:tl2br w:val="nil"/>
              <w:tr2bl w:val="nil"/>
            </w:tcBorders>
            <w:noWrap w:val="0"/>
            <w:vAlign w:val="center"/>
          </w:tcPr>
          <w:p w14:paraId="70D84089">
            <w:pPr>
              <w:pStyle w:val="22"/>
              <w:spacing w:line="273" w:lineRule="auto"/>
              <w:ind w:right="173"/>
              <w:jc w:val="center"/>
              <w:rPr>
                <w:rFonts w:hint="default" w:ascii="Times New Roman" w:hAnsi="Times New Roman" w:eastAsia="宋体" w:cs="Times New Roman"/>
                <w:color w:val="0000FF"/>
                <w:sz w:val="21"/>
                <w:szCs w:val="21"/>
                <w:lang w:eastAsia="zh-CN"/>
              </w:rPr>
            </w:pPr>
            <w:r>
              <w:rPr>
                <w:rFonts w:hint="default" w:ascii="Times New Roman" w:hAnsi="Times New Roman" w:cs="Times New Roman"/>
                <w:color w:val="0000FF"/>
                <w:sz w:val="21"/>
                <w:szCs w:val="21"/>
                <w:lang w:val="en-US" w:eastAsia="zh-CN"/>
              </w:rPr>
              <w:t>P1</w:t>
            </w:r>
            <w:r>
              <w:rPr>
                <w:rFonts w:hint="default" w:ascii="Times New Roman" w:hAnsi="Times New Roman" w:cs="Times New Roman"/>
                <w:color w:val="0000FF"/>
                <w:sz w:val="21"/>
                <w:szCs w:val="21"/>
                <w:lang w:eastAsia="zh-CN"/>
              </w:rPr>
              <w:t>排气筒</w:t>
            </w:r>
          </w:p>
        </w:tc>
        <w:tc>
          <w:tcPr>
            <w:tcW w:w="1025" w:type="dxa"/>
            <w:tcBorders>
              <w:tl2br w:val="nil"/>
              <w:tr2bl w:val="nil"/>
            </w:tcBorders>
            <w:noWrap w:val="0"/>
            <w:vAlign w:val="center"/>
          </w:tcPr>
          <w:p w14:paraId="76EE08E0">
            <w:pPr>
              <w:pStyle w:val="22"/>
              <w:spacing w:before="116"/>
              <w:jc w:val="center"/>
              <w:rPr>
                <w:rFonts w:hint="default" w:ascii="Times New Roman" w:hAnsi="Times New Roman" w:eastAsia="宋体" w:cs="Times New Roman"/>
                <w:color w:val="0000FF"/>
                <w:sz w:val="21"/>
                <w:szCs w:val="21"/>
                <w:lang w:val="en-US" w:eastAsia="zh-CN"/>
              </w:rPr>
            </w:pPr>
            <w:r>
              <w:rPr>
                <w:rFonts w:hint="default" w:ascii="Times New Roman" w:hAnsi="Times New Roman" w:cs="Times New Roman"/>
                <w:color w:val="0000FF"/>
                <w:sz w:val="21"/>
                <w:szCs w:val="21"/>
              </w:rPr>
              <w:t>VOCs</w:t>
            </w:r>
          </w:p>
        </w:tc>
        <w:tc>
          <w:tcPr>
            <w:tcW w:w="1982" w:type="dxa"/>
            <w:tcBorders>
              <w:tl2br w:val="nil"/>
              <w:tr2bl w:val="nil"/>
            </w:tcBorders>
            <w:noWrap w:val="0"/>
            <w:vAlign w:val="center"/>
          </w:tcPr>
          <w:p w14:paraId="3EDDF44F">
            <w:pPr>
              <w:pStyle w:val="22"/>
              <w:spacing w:line="265" w:lineRule="exact"/>
              <w:jc w:val="center"/>
              <w:rPr>
                <w:rFonts w:hint="default" w:ascii="Times New Roman" w:hAnsi="Times New Roman" w:cs="Times New Roman"/>
                <w:color w:val="0000FF"/>
                <w:sz w:val="21"/>
                <w:szCs w:val="21"/>
                <w:lang w:val="en-US" w:eastAsia="zh-CN"/>
              </w:rPr>
            </w:pPr>
            <w:r>
              <w:rPr>
                <w:rFonts w:hint="default" w:ascii="Times New Roman" w:hAnsi="Times New Roman" w:cs="Times New Roman"/>
                <w:color w:val="0000FF"/>
                <w:sz w:val="21"/>
                <w:szCs w:val="21"/>
                <w:lang w:val="en-US" w:eastAsia="zh-CN"/>
              </w:rPr>
              <w:t>活性炭吸附装置</w:t>
            </w:r>
          </w:p>
        </w:tc>
        <w:tc>
          <w:tcPr>
            <w:tcW w:w="1540" w:type="dxa"/>
            <w:tcBorders>
              <w:tl2br w:val="nil"/>
              <w:tr2bl w:val="nil"/>
            </w:tcBorders>
            <w:noWrap w:val="0"/>
            <w:vAlign w:val="center"/>
          </w:tcPr>
          <w:p w14:paraId="2751B254">
            <w:pPr>
              <w:pStyle w:val="22"/>
              <w:spacing w:line="265" w:lineRule="exact"/>
              <w:jc w:val="center"/>
              <w:rPr>
                <w:rFonts w:hint="default" w:ascii="Times New Roman" w:hAnsi="Times New Roman" w:cs="Times New Roman"/>
                <w:color w:val="0000FF"/>
                <w:sz w:val="21"/>
                <w:szCs w:val="21"/>
                <w:lang w:val="en-US" w:eastAsia="zh-CN"/>
              </w:rPr>
            </w:pPr>
            <w:r>
              <w:rPr>
                <w:rFonts w:hint="eastAsia" w:ascii="Times New Roman" w:hAnsi="Times New Roman" w:eastAsia="宋体"/>
                <w:b w:val="0"/>
                <w:bCs w:val="0"/>
                <w:color w:val="0000FF"/>
                <w:sz w:val="21"/>
                <w:szCs w:val="21"/>
                <w:lang w:val="en-US" w:eastAsia="zh-CN"/>
              </w:rPr>
              <w:t>0.0039</w:t>
            </w:r>
          </w:p>
        </w:tc>
        <w:tc>
          <w:tcPr>
            <w:tcW w:w="1594" w:type="dxa"/>
            <w:tcBorders>
              <w:tl2br w:val="nil"/>
              <w:tr2bl w:val="nil"/>
            </w:tcBorders>
            <w:noWrap w:val="0"/>
            <w:vAlign w:val="center"/>
          </w:tcPr>
          <w:p w14:paraId="75720BB8">
            <w:pPr>
              <w:pStyle w:val="22"/>
              <w:spacing w:before="116"/>
              <w:ind w:right="109" w:rightChars="0"/>
              <w:jc w:val="center"/>
              <w:rPr>
                <w:rFonts w:hint="default" w:ascii="Times New Roman" w:hAnsi="Times New Roman" w:eastAsia="宋体" w:cs="Times New Roman"/>
                <w:color w:val="0000FF"/>
                <w:sz w:val="21"/>
                <w:szCs w:val="21"/>
                <w:lang w:val="en-US" w:eastAsia="zh-CN"/>
              </w:rPr>
            </w:pPr>
            <w:r>
              <w:rPr>
                <w:rFonts w:hint="eastAsia" w:ascii="Times New Roman" w:hAnsi="Times New Roman" w:eastAsia="宋体"/>
                <w:b w:val="0"/>
                <w:bCs w:val="0"/>
                <w:color w:val="0000FF"/>
                <w:sz w:val="21"/>
                <w:szCs w:val="21"/>
                <w:lang w:val="en-US" w:eastAsia="zh-CN"/>
              </w:rPr>
              <w:t>1.94</w:t>
            </w:r>
          </w:p>
        </w:tc>
        <w:tc>
          <w:tcPr>
            <w:tcW w:w="1365" w:type="dxa"/>
            <w:tcBorders>
              <w:tl2br w:val="nil"/>
              <w:tr2bl w:val="nil"/>
            </w:tcBorders>
            <w:noWrap w:val="0"/>
            <w:vAlign w:val="center"/>
          </w:tcPr>
          <w:p w14:paraId="2412C5C2">
            <w:pPr>
              <w:pStyle w:val="22"/>
              <w:spacing w:before="116"/>
              <w:ind w:right="109" w:rightChars="0"/>
              <w:jc w:val="center"/>
              <w:rPr>
                <w:rFonts w:hint="default" w:ascii="Times New Roman" w:hAnsi="Times New Roman" w:cs="Times New Roman"/>
                <w:color w:val="0000FF"/>
                <w:spacing w:val="3"/>
                <w:sz w:val="21"/>
                <w:szCs w:val="21"/>
                <w:lang w:val="en-US" w:eastAsia="zh-CN"/>
              </w:rPr>
            </w:pPr>
            <w:r>
              <w:rPr>
                <w:rFonts w:hint="eastAsia" w:ascii="Times New Roman" w:hAnsi="Times New Roman" w:eastAsia="宋体"/>
                <w:b w:val="0"/>
                <w:bCs w:val="0"/>
                <w:color w:val="0000FF"/>
                <w:sz w:val="21"/>
                <w:szCs w:val="21"/>
              </w:rPr>
              <w:t>0.0</w:t>
            </w:r>
            <w:r>
              <w:rPr>
                <w:rFonts w:hint="eastAsia" w:ascii="Times New Roman" w:hAnsi="Times New Roman" w:eastAsia="宋体"/>
                <w:b w:val="0"/>
                <w:bCs w:val="0"/>
                <w:color w:val="0000FF"/>
                <w:sz w:val="21"/>
                <w:szCs w:val="21"/>
                <w:lang w:val="en-US" w:eastAsia="zh-CN"/>
              </w:rPr>
              <w:t>34</w:t>
            </w:r>
          </w:p>
        </w:tc>
      </w:tr>
    </w:tbl>
    <w:p w14:paraId="0100EC5E">
      <w:pPr>
        <w:pStyle w:val="22"/>
        <w:spacing w:before="141" w:line="338" w:lineRule="auto"/>
        <w:ind w:right="89"/>
        <w:jc w:val="center"/>
        <w:rPr>
          <w:rFonts w:hint="default" w:ascii="Times New Roman" w:hAnsi="Times New Roman" w:cs="Times New Roman"/>
          <w:b/>
          <w:bCs/>
          <w:color w:val="0000FF"/>
          <w:sz w:val="21"/>
          <w:szCs w:val="21"/>
        </w:rPr>
      </w:pPr>
      <w:r>
        <w:rPr>
          <w:rFonts w:hint="default" w:ascii="Times New Roman" w:hAnsi="Times New Roman" w:cs="Times New Roman"/>
          <w:b/>
          <w:bCs/>
          <w:color w:val="0000FF"/>
          <w:sz w:val="21"/>
          <w:szCs w:val="21"/>
          <w:lang w:val="en-US" w:eastAsia="zh-CN"/>
        </w:rPr>
        <w:t>表</w:t>
      </w:r>
      <w:r>
        <w:rPr>
          <w:rFonts w:hint="eastAsia" w:ascii="Times New Roman" w:hAnsi="Times New Roman" w:cs="Times New Roman"/>
          <w:b/>
          <w:bCs/>
          <w:color w:val="0000FF"/>
          <w:sz w:val="21"/>
          <w:szCs w:val="21"/>
          <w:lang w:val="en-US" w:eastAsia="zh-CN"/>
        </w:rPr>
        <w:t>4-8拟建项目</w:t>
      </w:r>
      <w:r>
        <w:rPr>
          <w:rFonts w:hint="default" w:ascii="Times New Roman" w:hAnsi="Times New Roman" w:cs="Times New Roman"/>
          <w:b/>
          <w:bCs/>
          <w:color w:val="0000FF"/>
          <w:sz w:val="21"/>
          <w:szCs w:val="21"/>
        </w:rPr>
        <w:t>大气污染物无组织排放量核算表</w:t>
      </w:r>
    </w:p>
    <w:tbl>
      <w:tblPr>
        <w:tblStyle w:val="11"/>
        <w:tblW w:w="0" w:type="auto"/>
        <w:tblInd w:w="5" w:type="dxa"/>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autofit"/>
        <w:tblCellMar>
          <w:top w:w="0" w:type="dxa"/>
          <w:left w:w="0" w:type="dxa"/>
          <w:bottom w:w="0" w:type="dxa"/>
          <w:right w:w="0" w:type="dxa"/>
        </w:tblCellMar>
      </w:tblPr>
      <w:tblGrid>
        <w:gridCol w:w="434"/>
        <w:gridCol w:w="794"/>
        <w:gridCol w:w="990"/>
        <w:gridCol w:w="2561"/>
        <w:gridCol w:w="1850"/>
        <w:gridCol w:w="1672"/>
      </w:tblGrid>
      <w:tr w14:paraId="397D2B90">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29" w:hRule="exact"/>
        </w:trPr>
        <w:tc>
          <w:tcPr>
            <w:tcW w:w="435" w:type="dxa"/>
            <w:vMerge w:val="restart"/>
            <w:tcBorders>
              <w:tl2br w:val="nil"/>
              <w:tr2bl w:val="nil"/>
            </w:tcBorders>
            <w:noWrap w:val="0"/>
            <w:vAlign w:val="center"/>
          </w:tcPr>
          <w:p w14:paraId="70E23B48">
            <w:pPr>
              <w:pStyle w:val="22"/>
              <w:spacing w:line="273" w:lineRule="auto"/>
              <w:ind w:right="102"/>
              <w:jc w:val="center"/>
              <w:rPr>
                <w:rFonts w:hint="default" w:ascii="Times New Roman" w:hAnsi="Times New Roman" w:cs="Times New Roman"/>
                <w:color w:val="0000FF"/>
                <w:sz w:val="21"/>
                <w:szCs w:val="21"/>
              </w:rPr>
            </w:pPr>
            <w:r>
              <w:rPr>
                <w:rFonts w:hint="default" w:ascii="Times New Roman" w:hAnsi="Times New Roman" w:cs="Times New Roman"/>
                <w:b/>
                <w:bCs/>
                <w:color w:val="0000FF"/>
                <w:sz w:val="21"/>
                <w:szCs w:val="21"/>
              </w:rPr>
              <w:t>序号</w:t>
            </w:r>
          </w:p>
        </w:tc>
        <w:tc>
          <w:tcPr>
            <w:tcW w:w="794" w:type="dxa"/>
            <w:vMerge w:val="restart"/>
            <w:tcBorders>
              <w:tl2br w:val="nil"/>
              <w:tr2bl w:val="nil"/>
            </w:tcBorders>
            <w:noWrap w:val="0"/>
            <w:vAlign w:val="center"/>
          </w:tcPr>
          <w:p w14:paraId="4796796A">
            <w:pPr>
              <w:pStyle w:val="22"/>
              <w:spacing w:before="37" w:line="273" w:lineRule="auto"/>
              <w:ind w:right="173"/>
              <w:jc w:val="center"/>
              <w:rPr>
                <w:rFonts w:hint="default" w:ascii="Times New Roman" w:hAnsi="Times New Roman" w:cs="Times New Roman"/>
                <w:color w:val="0000FF"/>
                <w:sz w:val="21"/>
                <w:szCs w:val="21"/>
              </w:rPr>
            </w:pPr>
            <w:r>
              <w:rPr>
                <w:rFonts w:hint="default" w:ascii="Times New Roman" w:hAnsi="Times New Roman" w:cs="Times New Roman"/>
                <w:b/>
                <w:bCs/>
                <w:color w:val="0000FF"/>
                <w:w w:val="99"/>
                <w:sz w:val="21"/>
                <w:szCs w:val="21"/>
              </w:rPr>
              <w:t>排放口编号</w:t>
            </w:r>
          </w:p>
        </w:tc>
        <w:tc>
          <w:tcPr>
            <w:tcW w:w="990" w:type="dxa"/>
            <w:vMerge w:val="restart"/>
            <w:tcBorders>
              <w:tl2br w:val="nil"/>
              <w:tr2bl w:val="nil"/>
            </w:tcBorders>
            <w:noWrap w:val="0"/>
            <w:vAlign w:val="center"/>
          </w:tcPr>
          <w:p w14:paraId="18F1FB2D">
            <w:pPr>
              <w:pStyle w:val="22"/>
              <w:spacing w:line="273" w:lineRule="auto"/>
              <w:ind w:right="175"/>
              <w:jc w:val="center"/>
              <w:rPr>
                <w:rFonts w:hint="default" w:ascii="Times New Roman" w:hAnsi="Times New Roman" w:cs="Times New Roman"/>
                <w:color w:val="0000FF"/>
                <w:sz w:val="21"/>
                <w:szCs w:val="21"/>
              </w:rPr>
            </w:pPr>
            <w:r>
              <w:rPr>
                <w:rFonts w:hint="default" w:ascii="Times New Roman" w:hAnsi="Times New Roman" w:cs="Times New Roman"/>
                <w:b/>
                <w:bCs/>
                <w:color w:val="0000FF"/>
                <w:sz w:val="21"/>
                <w:szCs w:val="21"/>
              </w:rPr>
              <w:t>污染物</w:t>
            </w:r>
          </w:p>
        </w:tc>
        <w:tc>
          <w:tcPr>
            <w:tcW w:w="4411" w:type="dxa"/>
            <w:gridSpan w:val="2"/>
            <w:tcBorders>
              <w:tl2br w:val="nil"/>
              <w:tr2bl w:val="nil"/>
            </w:tcBorders>
            <w:noWrap w:val="0"/>
            <w:vAlign w:val="center"/>
          </w:tcPr>
          <w:p w14:paraId="2560DDF9">
            <w:pPr>
              <w:pStyle w:val="22"/>
              <w:spacing w:line="261" w:lineRule="exact"/>
              <w:jc w:val="center"/>
              <w:rPr>
                <w:rFonts w:hint="default" w:ascii="Times New Roman" w:hAnsi="Times New Roman" w:cs="Times New Roman"/>
                <w:color w:val="0000FF"/>
                <w:sz w:val="21"/>
                <w:szCs w:val="21"/>
              </w:rPr>
            </w:pPr>
            <w:r>
              <w:rPr>
                <w:rFonts w:hint="default" w:ascii="Times New Roman" w:hAnsi="Times New Roman" w:cs="Times New Roman"/>
                <w:b/>
                <w:bCs/>
                <w:color w:val="0000FF"/>
                <w:sz w:val="21"/>
                <w:szCs w:val="21"/>
              </w:rPr>
              <w:t>国家或地方污染物排放标准</w:t>
            </w:r>
          </w:p>
        </w:tc>
        <w:tc>
          <w:tcPr>
            <w:tcW w:w="1672" w:type="dxa"/>
            <w:vMerge w:val="restart"/>
            <w:tcBorders>
              <w:tl2br w:val="nil"/>
              <w:tr2bl w:val="nil"/>
            </w:tcBorders>
            <w:noWrap w:val="0"/>
            <w:vAlign w:val="center"/>
          </w:tcPr>
          <w:p w14:paraId="52BD2FCB">
            <w:pPr>
              <w:pStyle w:val="22"/>
              <w:spacing w:line="273" w:lineRule="auto"/>
              <w:ind w:right="-1"/>
              <w:jc w:val="center"/>
              <w:rPr>
                <w:rFonts w:hint="default" w:ascii="Times New Roman" w:hAnsi="Times New Roman" w:cs="Times New Roman"/>
                <w:color w:val="0000FF"/>
                <w:sz w:val="21"/>
                <w:szCs w:val="21"/>
              </w:rPr>
            </w:pPr>
            <w:r>
              <w:rPr>
                <w:rFonts w:hint="default" w:ascii="Times New Roman" w:hAnsi="Times New Roman" w:cs="Times New Roman"/>
                <w:b/>
                <w:bCs/>
                <w:color w:val="0000FF"/>
                <w:sz w:val="21"/>
                <w:szCs w:val="21"/>
              </w:rPr>
              <w:t>年排放量</w:t>
            </w:r>
            <w:r>
              <w:rPr>
                <w:rFonts w:hint="default" w:ascii="Times New Roman" w:hAnsi="Times New Roman" w:eastAsia="Times New Roman" w:cs="Times New Roman"/>
                <w:b/>
                <w:bCs/>
                <w:color w:val="0000FF"/>
                <w:sz w:val="21"/>
                <w:szCs w:val="21"/>
              </w:rPr>
              <w:t>/</w:t>
            </w:r>
            <w:r>
              <w:rPr>
                <w:rFonts w:hint="default" w:ascii="Times New Roman" w:hAnsi="Times New Roman" w:cs="Times New Roman"/>
                <w:b/>
                <w:bCs/>
                <w:color w:val="0000FF"/>
                <w:sz w:val="21"/>
                <w:szCs w:val="21"/>
              </w:rPr>
              <w:t>（</w:t>
            </w:r>
            <w:r>
              <w:rPr>
                <w:rFonts w:hint="default" w:ascii="Times New Roman" w:hAnsi="Times New Roman" w:eastAsia="Times New Roman" w:cs="Times New Roman"/>
                <w:b/>
                <w:bCs/>
                <w:color w:val="0000FF"/>
                <w:sz w:val="21"/>
                <w:szCs w:val="21"/>
              </w:rPr>
              <w:t>t/a</w:t>
            </w:r>
            <w:r>
              <w:rPr>
                <w:rFonts w:hint="default" w:ascii="Times New Roman" w:hAnsi="Times New Roman" w:cs="Times New Roman"/>
                <w:b/>
                <w:bCs/>
                <w:color w:val="0000FF"/>
                <w:sz w:val="21"/>
                <w:szCs w:val="21"/>
              </w:rPr>
              <w:t>）</w:t>
            </w:r>
          </w:p>
        </w:tc>
      </w:tr>
      <w:tr w14:paraId="70429D97">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753" w:hRule="exact"/>
        </w:trPr>
        <w:tc>
          <w:tcPr>
            <w:tcW w:w="435" w:type="dxa"/>
            <w:vMerge w:val="continue"/>
            <w:tcBorders>
              <w:tl2br w:val="nil"/>
              <w:tr2bl w:val="nil"/>
            </w:tcBorders>
            <w:noWrap w:val="0"/>
            <w:vAlign w:val="center"/>
          </w:tcPr>
          <w:p w14:paraId="186302B3">
            <w:pPr>
              <w:jc w:val="center"/>
              <w:rPr>
                <w:rFonts w:hint="default" w:ascii="Times New Roman" w:hAnsi="Times New Roman" w:cs="Times New Roman"/>
                <w:color w:val="0000FF"/>
                <w:sz w:val="21"/>
                <w:szCs w:val="21"/>
              </w:rPr>
            </w:pPr>
          </w:p>
        </w:tc>
        <w:tc>
          <w:tcPr>
            <w:tcW w:w="794" w:type="dxa"/>
            <w:vMerge w:val="continue"/>
            <w:tcBorders>
              <w:tl2br w:val="nil"/>
              <w:tr2bl w:val="nil"/>
            </w:tcBorders>
            <w:noWrap w:val="0"/>
            <w:vAlign w:val="center"/>
          </w:tcPr>
          <w:p w14:paraId="675899CB">
            <w:pPr>
              <w:jc w:val="center"/>
              <w:rPr>
                <w:rFonts w:hint="default" w:ascii="Times New Roman" w:hAnsi="Times New Roman" w:cs="Times New Roman"/>
                <w:color w:val="0000FF"/>
                <w:sz w:val="21"/>
                <w:szCs w:val="21"/>
              </w:rPr>
            </w:pPr>
          </w:p>
        </w:tc>
        <w:tc>
          <w:tcPr>
            <w:tcW w:w="990" w:type="dxa"/>
            <w:vMerge w:val="continue"/>
            <w:tcBorders>
              <w:tl2br w:val="nil"/>
              <w:tr2bl w:val="nil"/>
            </w:tcBorders>
            <w:noWrap w:val="0"/>
            <w:vAlign w:val="center"/>
          </w:tcPr>
          <w:p w14:paraId="211244EE">
            <w:pPr>
              <w:jc w:val="center"/>
              <w:rPr>
                <w:rFonts w:hint="default" w:ascii="Times New Roman" w:hAnsi="Times New Roman" w:cs="Times New Roman"/>
                <w:color w:val="0000FF"/>
                <w:sz w:val="21"/>
                <w:szCs w:val="21"/>
              </w:rPr>
            </w:pPr>
          </w:p>
        </w:tc>
        <w:tc>
          <w:tcPr>
            <w:tcW w:w="2561" w:type="dxa"/>
            <w:tcBorders>
              <w:tl2br w:val="nil"/>
              <w:tr2bl w:val="nil"/>
            </w:tcBorders>
            <w:noWrap w:val="0"/>
            <w:vAlign w:val="center"/>
          </w:tcPr>
          <w:p w14:paraId="2777105D">
            <w:pPr>
              <w:pStyle w:val="22"/>
              <w:jc w:val="center"/>
              <w:rPr>
                <w:rFonts w:hint="default" w:ascii="Times New Roman" w:hAnsi="Times New Roman" w:cs="Times New Roman"/>
                <w:color w:val="0000FF"/>
                <w:sz w:val="21"/>
                <w:szCs w:val="21"/>
              </w:rPr>
            </w:pPr>
            <w:r>
              <w:rPr>
                <w:rFonts w:hint="default" w:ascii="Times New Roman" w:hAnsi="Times New Roman" w:cs="Times New Roman"/>
                <w:b/>
                <w:bCs/>
                <w:color w:val="0000FF"/>
                <w:sz w:val="21"/>
                <w:szCs w:val="21"/>
              </w:rPr>
              <w:t>标准名称</w:t>
            </w:r>
          </w:p>
        </w:tc>
        <w:tc>
          <w:tcPr>
            <w:tcW w:w="1850" w:type="dxa"/>
            <w:tcBorders>
              <w:tl2br w:val="nil"/>
              <w:tr2bl w:val="nil"/>
            </w:tcBorders>
            <w:noWrap w:val="0"/>
            <w:vAlign w:val="center"/>
          </w:tcPr>
          <w:p w14:paraId="23D83B3B">
            <w:pPr>
              <w:pStyle w:val="22"/>
              <w:jc w:val="both"/>
              <w:rPr>
                <w:rFonts w:hint="default" w:ascii="Times New Roman" w:hAnsi="Times New Roman" w:cs="Times New Roman"/>
                <w:color w:val="0000FF"/>
                <w:sz w:val="21"/>
                <w:szCs w:val="21"/>
              </w:rPr>
            </w:pPr>
            <w:r>
              <w:rPr>
                <w:rFonts w:hint="default" w:ascii="Times New Roman" w:hAnsi="Times New Roman" w:cs="Times New Roman"/>
                <w:b/>
                <w:bCs/>
                <w:color w:val="0000FF"/>
                <w:sz w:val="21"/>
                <w:szCs w:val="21"/>
              </w:rPr>
              <w:t>浓度限值</w:t>
            </w:r>
            <w:r>
              <w:rPr>
                <w:rFonts w:hint="default" w:ascii="Times New Roman" w:hAnsi="Times New Roman" w:eastAsia="Times New Roman" w:cs="Times New Roman"/>
                <w:b/>
                <w:bCs/>
                <w:color w:val="0000FF"/>
                <w:sz w:val="21"/>
                <w:szCs w:val="21"/>
              </w:rPr>
              <w:t>/</w:t>
            </w:r>
            <w:r>
              <w:rPr>
                <w:rFonts w:hint="default" w:ascii="Times New Roman" w:hAnsi="Times New Roman" w:cs="Times New Roman"/>
                <w:b/>
                <w:bCs/>
                <w:color w:val="0000FF"/>
                <w:sz w:val="21"/>
                <w:szCs w:val="21"/>
              </w:rPr>
              <w:t>（</w:t>
            </w:r>
            <w:r>
              <w:rPr>
                <w:rFonts w:hint="default" w:ascii="Times New Roman" w:hAnsi="Times New Roman" w:eastAsia="Times New Roman" w:cs="Times New Roman"/>
                <w:b/>
                <w:bCs/>
                <w:color w:val="0000FF"/>
                <w:sz w:val="21"/>
                <w:szCs w:val="21"/>
              </w:rPr>
              <w:t>µg/m</w:t>
            </w:r>
            <w:r>
              <w:rPr>
                <w:rFonts w:hint="default" w:ascii="Times New Roman" w:hAnsi="Times New Roman" w:eastAsia="Times New Roman" w:cs="Times New Roman"/>
                <w:b/>
                <w:bCs/>
                <w:color w:val="0000FF"/>
                <w:position w:val="7"/>
                <w:sz w:val="21"/>
                <w:szCs w:val="21"/>
              </w:rPr>
              <w:t>3</w:t>
            </w:r>
            <w:r>
              <w:rPr>
                <w:rFonts w:hint="default" w:ascii="Times New Roman" w:hAnsi="Times New Roman" w:cs="Times New Roman"/>
                <w:b/>
                <w:bCs/>
                <w:color w:val="0000FF"/>
                <w:sz w:val="21"/>
                <w:szCs w:val="21"/>
              </w:rPr>
              <w:t>）</w:t>
            </w:r>
          </w:p>
        </w:tc>
        <w:tc>
          <w:tcPr>
            <w:tcW w:w="1672" w:type="dxa"/>
            <w:vMerge w:val="continue"/>
            <w:tcBorders>
              <w:tl2br w:val="nil"/>
              <w:tr2bl w:val="nil"/>
            </w:tcBorders>
            <w:noWrap w:val="0"/>
            <w:vAlign w:val="center"/>
          </w:tcPr>
          <w:p w14:paraId="7E5240F5">
            <w:pPr>
              <w:jc w:val="center"/>
              <w:rPr>
                <w:rFonts w:hint="default" w:ascii="Times New Roman" w:hAnsi="Times New Roman" w:cs="Times New Roman"/>
                <w:color w:val="0000FF"/>
                <w:sz w:val="21"/>
                <w:szCs w:val="21"/>
              </w:rPr>
            </w:pPr>
          </w:p>
        </w:tc>
      </w:tr>
      <w:tr w14:paraId="2C9316C6">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2689" w:hRule="exact"/>
        </w:trPr>
        <w:tc>
          <w:tcPr>
            <w:tcW w:w="435" w:type="dxa"/>
            <w:tcBorders>
              <w:tl2br w:val="nil"/>
              <w:tr2bl w:val="nil"/>
            </w:tcBorders>
            <w:noWrap w:val="0"/>
            <w:vAlign w:val="center"/>
          </w:tcPr>
          <w:p w14:paraId="27429719">
            <w:pPr>
              <w:pStyle w:val="22"/>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Times New Roman" w:cs="Times New Roman"/>
                <w:color w:val="0000FF"/>
                <w:sz w:val="21"/>
                <w:szCs w:val="21"/>
              </w:rPr>
            </w:pPr>
            <w:r>
              <w:rPr>
                <w:rFonts w:hint="default" w:ascii="Times New Roman" w:hAnsi="Times New Roman" w:cs="Times New Roman"/>
                <w:color w:val="0000FF"/>
                <w:w w:val="99"/>
                <w:sz w:val="21"/>
                <w:szCs w:val="21"/>
              </w:rPr>
              <w:t>1</w:t>
            </w:r>
          </w:p>
        </w:tc>
        <w:tc>
          <w:tcPr>
            <w:tcW w:w="794" w:type="dxa"/>
            <w:vMerge w:val="restart"/>
            <w:tcBorders>
              <w:tl2br w:val="nil"/>
              <w:tr2bl w:val="nil"/>
            </w:tcBorders>
            <w:noWrap w:val="0"/>
            <w:vAlign w:val="center"/>
          </w:tcPr>
          <w:p w14:paraId="5CB9F0C3">
            <w:pPr>
              <w:pStyle w:val="22"/>
              <w:keepNext w:val="0"/>
              <w:keepLines w:val="0"/>
              <w:pageBreakBefore w:val="0"/>
              <w:kinsoku/>
              <w:wordWrap/>
              <w:overflowPunct/>
              <w:topLinePunct w:val="0"/>
              <w:autoSpaceDE/>
              <w:autoSpaceDN/>
              <w:bidi w:val="0"/>
              <w:spacing w:line="240" w:lineRule="auto"/>
              <w:ind w:right="173"/>
              <w:jc w:val="center"/>
              <w:textAlignment w:val="auto"/>
              <w:rPr>
                <w:rFonts w:hint="default" w:ascii="Times New Roman" w:hAnsi="Times New Roman" w:eastAsia="宋体" w:cs="Times New Roman"/>
                <w:color w:val="0000FF"/>
                <w:sz w:val="21"/>
                <w:szCs w:val="21"/>
                <w:lang w:eastAsia="zh-CN"/>
              </w:rPr>
            </w:pPr>
            <w:r>
              <w:rPr>
                <w:rFonts w:hint="default" w:ascii="Times New Roman" w:hAnsi="Times New Roman" w:cs="Times New Roman"/>
                <w:color w:val="0000FF"/>
                <w:sz w:val="21"/>
                <w:szCs w:val="21"/>
                <w:lang w:eastAsia="zh-CN"/>
              </w:rPr>
              <w:t>车间</w:t>
            </w:r>
          </w:p>
        </w:tc>
        <w:tc>
          <w:tcPr>
            <w:tcW w:w="990" w:type="dxa"/>
            <w:tcBorders>
              <w:tl2br w:val="nil"/>
              <w:tr2bl w:val="nil"/>
            </w:tcBorders>
            <w:noWrap w:val="0"/>
            <w:vAlign w:val="center"/>
          </w:tcPr>
          <w:p w14:paraId="2F76E549">
            <w:pPr>
              <w:pStyle w:val="22"/>
              <w:keepNext w:val="0"/>
              <w:keepLines w:val="0"/>
              <w:pageBreakBefore w:val="0"/>
              <w:kinsoku/>
              <w:wordWrap/>
              <w:overflowPunct/>
              <w:topLinePunct w:val="0"/>
              <w:autoSpaceDE/>
              <w:autoSpaceDN/>
              <w:bidi w:val="0"/>
              <w:spacing w:before="116" w:line="240" w:lineRule="auto"/>
              <w:jc w:val="center"/>
              <w:textAlignment w:val="auto"/>
              <w:rPr>
                <w:rFonts w:hint="default" w:ascii="Times New Roman" w:hAnsi="Times New Roman" w:eastAsia="Times New Roman" w:cs="Times New Roman"/>
                <w:color w:val="0000FF"/>
                <w:sz w:val="21"/>
                <w:szCs w:val="21"/>
              </w:rPr>
            </w:pPr>
            <w:r>
              <w:rPr>
                <w:rFonts w:hint="default" w:ascii="Times New Roman" w:hAnsi="Times New Roman" w:cs="Times New Roman"/>
                <w:color w:val="0000FF"/>
                <w:sz w:val="21"/>
                <w:szCs w:val="21"/>
              </w:rPr>
              <w:t>VOCs</w:t>
            </w:r>
          </w:p>
        </w:tc>
        <w:tc>
          <w:tcPr>
            <w:tcW w:w="2561" w:type="dxa"/>
            <w:tcBorders>
              <w:tl2br w:val="nil"/>
              <w:tr2bl w:val="nil"/>
            </w:tcBorders>
            <w:noWrap w:val="0"/>
            <w:vAlign w:val="center"/>
          </w:tcPr>
          <w:p w14:paraId="384B1914">
            <w:pPr>
              <w:pStyle w:val="4"/>
              <w:keepNext w:val="0"/>
              <w:keepLines w:val="0"/>
              <w:pageBreakBefore w:val="0"/>
              <w:numPr>
                <w:ilvl w:val="0"/>
                <w:numId w:val="0"/>
              </w:numPr>
              <w:kinsoku/>
              <w:wordWrap/>
              <w:overflowPunct/>
              <w:topLinePunct w:val="0"/>
              <w:autoSpaceDE/>
              <w:autoSpaceDN/>
              <w:bidi w:val="0"/>
              <w:adjustRightInd w:val="0"/>
              <w:snapToGrid w:val="0"/>
              <w:spacing w:line="240" w:lineRule="auto"/>
              <w:textAlignment w:val="auto"/>
              <w:rPr>
                <w:rFonts w:hint="default" w:ascii="Times New Roman" w:hAnsi="Times New Roman" w:cs="Times New Roman"/>
                <w:color w:val="0000FF"/>
                <w:sz w:val="21"/>
                <w:szCs w:val="21"/>
              </w:rPr>
            </w:pPr>
            <w:r>
              <w:rPr>
                <w:rFonts w:ascii="Times New Roman" w:hAnsi="Times New Roman" w:eastAsia="宋体"/>
                <w:color w:val="0000FF"/>
                <w:kern w:val="0"/>
                <w:sz w:val="21"/>
                <w:szCs w:val="21"/>
              </w:rPr>
              <w:t>无组织排放非甲烷总烃执行《挥发性有机物无组织排放控制标准》（GB37822-2019）中厂房外VOCs无组织排放限值监控点处1h平均浓度值</w:t>
            </w:r>
            <w:r>
              <w:rPr>
                <w:rFonts w:hint="eastAsia" w:ascii="Times New Roman" w:hAnsi="Times New Roman" w:eastAsia="宋体"/>
                <w:color w:val="0000FF"/>
                <w:sz w:val="21"/>
                <w:szCs w:val="21"/>
                <w:lang w:val="en-US" w:eastAsia="zh-CN"/>
              </w:rPr>
              <w:t>10</w:t>
            </w:r>
            <w:r>
              <w:rPr>
                <w:rFonts w:ascii="Times New Roman" w:hAnsi="Times New Roman" w:eastAsia="宋体"/>
                <w:color w:val="0000FF"/>
                <w:sz w:val="21"/>
                <w:szCs w:val="21"/>
              </w:rPr>
              <w:t>mg/m³的要求</w:t>
            </w:r>
            <w:r>
              <w:rPr>
                <w:rFonts w:ascii="Times New Roman" w:hAnsi="Times New Roman" w:eastAsia="宋体"/>
                <w:color w:val="0000FF"/>
                <w:sz w:val="21"/>
                <w:szCs w:val="21"/>
                <w:lang w:val="zh-CN"/>
              </w:rPr>
              <w:t>。</w:t>
            </w:r>
          </w:p>
        </w:tc>
        <w:tc>
          <w:tcPr>
            <w:tcW w:w="1850" w:type="dxa"/>
            <w:tcBorders>
              <w:tl2br w:val="nil"/>
              <w:tr2bl w:val="nil"/>
            </w:tcBorders>
            <w:noWrap w:val="0"/>
            <w:vAlign w:val="center"/>
          </w:tcPr>
          <w:p w14:paraId="0A2B5A39">
            <w:pPr>
              <w:pStyle w:val="23"/>
              <w:keepNext w:val="0"/>
              <w:keepLines w:val="0"/>
              <w:pageBreakBefore w:val="0"/>
              <w:kinsoku/>
              <w:wordWrap/>
              <w:overflowPunct/>
              <w:topLinePunct w:val="0"/>
              <w:autoSpaceDE/>
              <w:autoSpaceDN/>
              <w:bidi w:val="0"/>
              <w:spacing w:line="240" w:lineRule="auto"/>
              <w:ind w:firstLine="0" w:firstLineChars="0"/>
              <w:textAlignment w:val="auto"/>
              <w:rPr>
                <w:rFonts w:hint="default" w:ascii="Times New Roman" w:hAnsi="Times New Roman" w:cs="Times New Roman"/>
                <w:color w:val="0000FF"/>
                <w:sz w:val="21"/>
                <w:szCs w:val="21"/>
                <w:lang w:val="en-US"/>
              </w:rPr>
            </w:pPr>
            <w:r>
              <w:rPr>
                <w:rFonts w:hint="eastAsia" w:ascii="Times New Roman" w:hAnsi="Times New Roman" w:eastAsia="宋体"/>
                <w:color w:val="0000FF"/>
                <w:sz w:val="21"/>
                <w:szCs w:val="21"/>
                <w:lang w:val="en-US" w:eastAsia="zh-CN"/>
              </w:rPr>
              <w:t>0.0066</w:t>
            </w:r>
          </w:p>
        </w:tc>
        <w:tc>
          <w:tcPr>
            <w:tcW w:w="1672" w:type="dxa"/>
            <w:tcBorders>
              <w:tl2br w:val="nil"/>
              <w:tr2bl w:val="nil"/>
            </w:tcBorders>
            <w:noWrap w:val="0"/>
            <w:vAlign w:val="center"/>
          </w:tcPr>
          <w:p w14:paraId="340C15B2">
            <w:pPr>
              <w:pStyle w:val="22"/>
              <w:keepNext w:val="0"/>
              <w:keepLines w:val="0"/>
              <w:pageBreakBefore w:val="0"/>
              <w:kinsoku/>
              <w:wordWrap/>
              <w:overflowPunct/>
              <w:topLinePunct w:val="0"/>
              <w:autoSpaceDE/>
              <w:autoSpaceDN/>
              <w:bidi w:val="0"/>
              <w:spacing w:before="105" w:line="240" w:lineRule="auto"/>
              <w:jc w:val="center"/>
              <w:textAlignment w:val="auto"/>
              <w:rPr>
                <w:rFonts w:hint="default" w:ascii="Times New Roman" w:hAnsi="Times New Roman" w:eastAsia="宋体" w:cs="Times New Roman"/>
                <w:color w:val="0000FF"/>
                <w:spacing w:val="3"/>
                <w:sz w:val="21"/>
                <w:szCs w:val="21"/>
                <w:lang w:val="en-US" w:eastAsia="zh-CN"/>
              </w:rPr>
            </w:pPr>
            <w:r>
              <w:rPr>
                <w:rFonts w:hint="eastAsia" w:ascii="Times New Roman" w:hAnsi="Times New Roman" w:eastAsia="宋体" w:cs="Times New Roman"/>
                <w:color w:val="0000FF"/>
                <w:spacing w:val="3"/>
                <w:sz w:val="21"/>
                <w:szCs w:val="21"/>
                <w:lang w:val="en-US" w:eastAsia="zh-CN"/>
              </w:rPr>
              <w:t>0.059</w:t>
            </w:r>
          </w:p>
        </w:tc>
      </w:tr>
      <w:tr w14:paraId="378D6E3E">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1692" w:hRule="exact"/>
        </w:trPr>
        <w:tc>
          <w:tcPr>
            <w:tcW w:w="435" w:type="dxa"/>
            <w:tcBorders>
              <w:tl2br w:val="nil"/>
              <w:tr2bl w:val="nil"/>
            </w:tcBorders>
            <w:noWrap w:val="0"/>
            <w:vAlign w:val="center"/>
          </w:tcPr>
          <w:p w14:paraId="24E5B52F">
            <w:pPr>
              <w:pStyle w:val="22"/>
              <w:keepNext w:val="0"/>
              <w:keepLines w:val="0"/>
              <w:pageBreakBefore w:val="0"/>
              <w:kinsoku/>
              <w:wordWrap/>
              <w:overflowPunct/>
              <w:topLinePunct w:val="0"/>
              <w:autoSpaceDE/>
              <w:autoSpaceDN/>
              <w:bidi w:val="0"/>
              <w:spacing w:line="240" w:lineRule="auto"/>
              <w:jc w:val="center"/>
              <w:textAlignment w:val="auto"/>
              <w:rPr>
                <w:rFonts w:hint="eastAsia" w:ascii="Times New Roman" w:hAnsi="Times New Roman" w:eastAsia="宋体" w:cs="Times New Roman"/>
                <w:color w:val="0000FF"/>
                <w:w w:val="99"/>
                <w:sz w:val="21"/>
                <w:szCs w:val="21"/>
                <w:lang w:val="en-US" w:eastAsia="zh-CN"/>
              </w:rPr>
            </w:pPr>
            <w:r>
              <w:rPr>
                <w:rFonts w:hint="eastAsia" w:ascii="Times New Roman" w:hAnsi="Times New Roman" w:eastAsia="宋体" w:cs="Times New Roman"/>
                <w:color w:val="0000FF"/>
                <w:w w:val="99"/>
                <w:sz w:val="21"/>
                <w:szCs w:val="21"/>
                <w:lang w:val="en-US" w:eastAsia="zh-CN"/>
              </w:rPr>
              <w:t>2</w:t>
            </w:r>
          </w:p>
        </w:tc>
        <w:tc>
          <w:tcPr>
            <w:tcW w:w="794" w:type="dxa"/>
            <w:vMerge w:val="continue"/>
            <w:tcBorders>
              <w:tl2br w:val="nil"/>
              <w:tr2bl w:val="nil"/>
            </w:tcBorders>
            <w:noWrap w:val="0"/>
            <w:vAlign w:val="center"/>
          </w:tcPr>
          <w:p w14:paraId="636872DC">
            <w:pPr>
              <w:pStyle w:val="22"/>
              <w:keepNext w:val="0"/>
              <w:keepLines w:val="0"/>
              <w:pageBreakBefore w:val="0"/>
              <w:kinsoku/>
              <w:wordWrap/>
              <w:overflowPunct/>
              <w:topLinePunct w:val="0"/>
              <w:autoSpaceDE/>
              <w:autoSpaceDN/>
              <w:bidi w:val="0"/>
              <w:spacing w:line="240" w:lineRule="auto"/>
              <w:ind w:right="173"/>
              <w:jc w:val="center"/>
              <w:textAlignment w:val="auto"/>
              <w:rPr>
                <w:rFonts w:hint="default" w:ascii="Times New Roman" w:hAnsi="Times New Roman" w:cs="Times New Roman"/>
                <w:color w:val="0000FF"/>
                <w:sz w:val="21"/>
                <w:szCs w:val="21"/>
                <w:lang w:eastAsia="zh-CN"/>
              </w:rPr>
            </w:pPr>
          </w:p>
        </w:tc>
        <w:tc>
          <w:tcPr>
            <w:tcW w:w="990" w:type="dxa"/>
            <w:tcBorders>
              <w:tl2br w:val="nil"/>
              <w:tr2bl w:val="nil"/>
            </w:tcBorders>
            <w:noWrap w:val="0"/>
            <w:vAlign w:val="center"/>
          </w:tcPr>
          <w:p w14:paraId="6F3FF826">
            <w:pPr>
              <w:pStyle w:val="22"/>
              <w:keepNext w:val="0"/>
              <w:keepLines w:val="0"/>
              <w:pageBreakBefore w:val="0"/>
              <w:kinsoku/>
              <w:wordWrap/>
              <w:overflowPunct/>
              <w:topLinePunct w:val="0"/>
              <w:autoSpaceDE/>
              <w:autoSpaceDN/>
              <w:bidi w:val="0"/>
              <w:spacing w:before="116" w:line="240" w:lineRule="auto"/>
              <w:jc w:val="center"/>
              <w:textAlignment w:val="auto"/>
              <w:rPr>
                <w:rFonts w:hint="eastAsia" w:ascii="Times New Roman" w:hAnsi="Times New Roman" w:eastAsia="宋体" w:cs="Times New Roman"/>
                <w:color w:val="0000FF"/>
                <w:sz w:val="21"/>
                <w:szCs w:val="21"/>
                <w:lang w:eastAsia="zh-CN"/>
              </w:rPr>
            </w:pPr>
            <w:r>
              <w:rPr>
                <w:rFonts w:hint="eastAsia" w:ascii="Times New Roman" w:hAnsi="Times New Roman" w:eastAsia="宋体" w:cs="Times New Roman"/>
                <w:color w:val="0000FF"/>
                <w:sz w:val="21"/>
                <w:szCs w:val="21"/>
                <w:lang w:eastAsia="zh-CN"/>
              </w:rPr>
              <w:t>硫酸雾</w:t>
            </w:r>
          </w:p>
        </w:tc>
        <w:tc>
          <w:tcPr>
            <w:tcW w:w="2561" w:type="dxa"/>
            <w:tcBorders>
              <w:tl2br w:val="nil"/>
              <w:tr2bl w:val="nil"/>
            </w:tcBorders>
            <w:noWrap w:val="0"/>
            <w:vAlign w:val="center"/>
          </w:tcPr>
          <w:p w14:paraId="7005A70B">
            <w:pPr>
              <w:pStyle w:val="22"/>
              <w:keepNext w:val="0"/>
              <w:keepLines w:val="0"/>
              <w:pageBreakBefore w:val="0"/>
              <w:kinsoku/>
              <w:wordWrap/>
              <w:overflowPunct/>
              <w:topLinePunct w:val="0"/>
              <w:autoSpaceDE/>
              <w:autoSpaceDN/>
              <w:bidi w:val="0"/>
              <w:spacing w:before="37" w:line="240" w:lineRule="auto"/>
              <w:ind w:left="102" w:right="46" w:hanging="56"/>
              <w:jc w:val="center"/>
              <w:textAlignment w:val="auto"/>
              <w:rPr>
                <w:rFonts w:hint="default" w:ascii="Times New Roman" w:hAnsi="Times New Roman" w:cs="Times New Roman"/>
                <w:color w:val="0000FF"/>
                <w:sz w:val="21"/>
                <w:szCs w:val="21"/>
              </w:rPr>
            </w:pPr>
            <w:r>
              <w:rPr>
                <w:rFonts w:hint="eastAsia" w:ascii="Times New Roman" w:hAnsi="Times New Roman" w:eastAsia="宋体"/>
                <w:color w:val="0000FF"/>
                <w:kern w:val="0"/>
                <w:sz w:val="21"/>
                <w:szCs w:val="21"/>
                <w:lang w:val="zh-CN"/>
              </w:rPr>
              <w:t>硫酸雾《大气污染物综合排放标准》（GB16297-1996）表2新污染源大气污染物排放限值</w:t>
            </w:r>
          </w:p>
        </w:tc>
        <w:tc>
          <w:tcPr>
            <w:tcW w:w="1850" w:type="dxa"/>
            <w:tcBorders>
              <w:tl2br w:val="nil"/>
              <w:tr2bl w:val="nil"/>
            </w:tcBorders>
            <w:noWrap w:val="0"/>
            <w:vAlign w:val="center"/>
          </w:tcPr>
          <w:p w14:paraId="60965B49">
            <w:pPr>
              <w:keepNext w:val="0"/>
              <w:keepLines w:val="0"/>
              <w:pageBreakBefore w:val="0"/>
              <w:widowControl/>
              <w:kinsoku/>
              <w:wordWrap/>
              <w:overflowPunct/>
              <w:topLinePunct w:val="0"/>
              <w:autoSpaceDE/>
              <w:autoSpaceDN/>
              <w:bidi w:val="0"/>
              <w:spacing w:line="240" w:lineRule="auto"/>
              <w:jc w:val="center"/>
              <w:textAlignment w:val="auto"/>
              <w:rPr>
                <w:rFonts w:hint="default" w:ascii="Times New Roman" w:hAnsi="Times New Roman" w:cs="Times New Roman"/>
                <w:color w:val="0000FF"/>
                <w:sz w:val="21"/>
                <w:szCs w:val="21"/>
                <w:lang w:val="en-US"/>
              </w:rPr>
            </w:pPr>
            <w:r>
              <w:rPr>
                <w:rFonts w:hint="eastAsia" w:ascii="Times New Roman" w:hAnsi="Times New Roman" w:eastAsia="宋体"/>
                <w:color w:val="0000FF"/>
                <w:sz w:val="21"/>
                <w:szCs w:val="21"/>
                <w:lang w:val="en-US" w:eastAsia="zh-CN"/>
              </w:rPr>
              <w:t>0.0024</w:t>
            </w:r>
          </w:p>
        </w:tc>
        <w:tc>
          <w:tcPr>
            <w:tcW w:w="1672" w:type="dxa"/>
            <w:tcBorders>
              <w:tl2br w:val="nil"/>
              <w:tr2bl w:val="nil"/>
            </w:tcBorders>
            <w:noWrap w:val="0"/>
            <w:vAlign w:val="center"/>
          </w:tcPr>
          <w:p w14:paraId="168209A2">
            <w:pPr>
              <w:pStyle w:val="22"/>
              <w:keepNext w:val="0"/>
              <w:keepLines w:val="0"/>
              <w:pageBreakBefore w:val="0"/>
              <w:kinsoku/>
              <w:wordWrap/>
              <w:overflowPunct/>
              <w:topLinePunct w:val="0"/>
              <w:autoSpaceDE/>
              <w:autoSpaceDN/>
              <w:bidi w:val="0"/>
              <w:spacing w:before="105" w:line="240" w:lineRule="auto"/>
              <w:jc w:val="center"/>
              <w:textAlignment w:val="auto"/>
              <w:rPr>
                <w:rFonts w:hint="default" w:ascii="Times New Roman" w:hAnsi="Times New Roman" w:cs="Times New Roman"/>
                <w:color w:val="0000FF"/>
                <w:spacing w:val="3"/>
                <w:sz w:val="21"/>
                <w:szCs w:val="21"/>
                <w:lang w:val="en-US" w:eastAsia="zh-CN"/>
              </w:rPr>
            </w:pPr>
            <w:r>
              <w:rPr>
                <w:rFonts w:hint="eastAsia" w:ascii="Times New Roman" w:hAnsi="Times New Roman" w:eastAsia="宋体"/>
                <w:b w:val="0"/>
                <w:bCs w:val="0"/>
                <w:color w:val="0000FF"/>
                <w:sz w:val="21"/>
                <w:szCs w:val="21"/>
                <w:lang w:val="en-US" w:eastAsia="zh-CN"/>
              </w:rPr>
              <w:t>0.021</w:t>
            </w:r>
          </w:p>
        </w:tc>
      </w:tr>
    </w:tbl>
    <w:p w14:paraId="6F0DC2DE">
      <w:pPr>
        <w:pStyle w:val="22"/>
        <w:spacing w:before="141" w:line="338" w:lineRule="auto"/>
        <w:ind w:right="89"/>
        <w:jc w:val="center"/>
        <w:rPr>
          <w:rFonts w:hint="default" w:ascii="Times New Roman" w:hAnsi="Times New Roman" w:cs="Times New Roman"/>
          <w:b/>
          <w:bCs/>
          <w:color w:val="0000FF"/>
          <w:sz w:val="21"/>
          <w:szCs w:val="21"/>
        </w:rPr>
      </w:pPr>
      <w:r>
        <w:rPr>
          <w:rFonts w:hint="default" w:ascii="Times New Roman" w:hAnsi="Times New Roman" w:cs="Times New Roman"/>
          <w:b/>
          <w:bCs/>
          <w:color w:val="0000FF"/>
          <w:sz w:val="21"/>
          <w:szCs w:val="21"/>
        </w:rPr>
        <w:t>表</w:t>
      </w:r>
      <w:r>
        <w:rPr>
          <w:rFonts w:hint="eastAsia" w:ascii="Times New Roman" w:hAnsi="Times New Roman" w:cs="Times New Roman"/>
          <w:b/>
          <w:bCs/>
          <w:color w:val="0000FF"/>
          <w:sz w:val="21"/>
          <w:szCs w:val="21"/>
          <w:lang w:val="en-US" w:eastAsia="zh-CN"/>
        </w:rPr>
        <w:t>4-9</w:t>
      </w:r>
      <w:r>
        <w:rPr>
          <w:rFonts w:hint="default" w:ascii="Times New Roman" w:hAnsi="Times New Roman" w:cs="Times New Roman"/>
          <w:b/>
          <w:bCs/>
          <w:color w:val="0000FF"/>
          <w:sz w:val="21"/>
          <w:szCs w:val="21"/>
        </w:rPr>
        <w:t>大气污染物年排放量核算表</w:t>
      </w:r>
    </w:p>
    <w:tbl>
      <w:tblPr>
        <w:tblStyle w:val="11"/>
        <w:tblW w:w="0" w:type="auto"/>
        <w:tblInd w:w="5"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816"/>
        <w:gridCol w:w="2845"/>
        <w:gridCol w:w="2856"/>
      </w:tblGrid>
      <w:tr w14:paraId="3948D4E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3046" w:type="dxa"/>
            <w:tcBorders>
              <w:tl2br w:val="nil"/>
              <w:tr2bl w:val="nil"/>
            </w:tcBorders>
            <w:noWrap w:val="0"/>
            <w:vAlign w:val="top"/>
          </w:tcPr>
          <w:p w14:paraId="24312F90">
            <w:pPr>
              <w:pStyle w:val="22"/>
              <w:spacing w:line="268" w:lineRule="exact"/>
              <w:jc w:val="center"/>
              <w:rPr>
                <w:rFonts w:hint="default" w:ascii="Times New Roman" w:hAnsi="Times New Roman" w:cs="Times New Roman"/>
                <w:color w:val="0000FF"/>
                <w:sz w:val="21"/>
                <w:szCs w:val="21"/>
              </w:rPr>
            </w:pPr>
            <w:r>
              <w:rPr>
                <w:rFonts w:hint="default" w:ascii="Times New Roman" w:hAnsi="Times New Roman" w:cs="Times New Roman"/>
                <w:b/>
                <w:bCs/>
                <w:color w:val="0000FF"/>
                <w:sz w:val="21"/>
                <w:szCs w:val="21"/>
              </w:rPr>
              <w:t>序号</w:t>
            </w:r>
          </w:p>
        </w:tc>
        <w:tc>
          <w:tcPr>
            <w:tcW w:w="3047" w:type="dxa"/>
            <w:tcBorders>
              <w:tl2br w:val="nil"/>
              <w:tr2bl w:val="nil"/>
            </w:tcBorders>
            <w:noWrap w:val="0"/>
            <w:vAlign w:val="top"/>
          </w:tcPr>
          <w:p w14:paraId="15759A8D">
            <w:pPr>
              <w:pStyle w:val="22"/>
              <w:spacing w:line="268" w:lineRule="exact"/>
              <w:ind w:left="3"/>
              <w:jc w:val="center"/>
              <w:rPr>
                <w:rFonts w:hint="default" w:ascii="Times New Roman" w:hAnsi="Times New Roman" w:cs="Times New Roman"/>
                <w:color w:val="0000FF"/>
                <w:sz w:val="21"/>
                <w:szCs w:val="21"/>
              </w:rPr>
            </w:pPr>
            <w:r>
              <w:rPr>
                <w:rFonts w:hint="default" w:ascii="Times New Roman" w:hAnsi="Times New Roman" w:cs="Times New Roman"/>
                <w:b/>
                <w:bCs/>
                <w:color w:val="0000FF"/>
                <w:sz w:val="21"/>
                <w:szCs w:val="21"/>
              </w:rPr>
              <w:t>污染物</w:t>
            </w:r>
          </w:p>
        </w:tc>
        <w:tc>
          <w:tcPr>
            <w:tcW w:w="3047" w:type="dxa"/>
            <w:tcBorders>
              <w:tl2br w:val="nil"/>
              <w:tr2bl w:val="nil"/>
            </w:tcBorders>
            <w:noWrap w:val="0"/>
            <w:vAlign w:val="top"/>
          </w:tcPr>
          <w:p w14:paraId="5C7A7AE9">
            <w:pPr>
              <w:pStyle w:val="22"/>
              <w:spacing w:line="285" w:lineRule="exact"/>
              <w:ind w:left="3"/>
              <w:jc w:val="center"/>
              <w:rPr>
                <w:rFonts w:hint="default" w:ascii="Times New Roman" w:hAnsi="Times New Roman" w:cs="Times New Roman"/>
                <w:color w:val="0000FF"/>
                <w:sz w:val="21"/>
                <w:szCs w:val="21"/>
              </w:rPr>
            </w:pPr>
            <w:r>
              <w:rPr>
                <w:rFonts w:hint="default" w:ascii="Times New Roman" w:hAnsi="Times New Roman" w:cs="Times New Roman"/>
                <w:b/>
                <w:bCs/>
                <w:color w:val="0000FF"/>
                <w:sz w:val="21"/>
                <w:szCs w:val="21"/>
              </w:rPr>
              <w:t>年排放量</w:t>
            </w:r>
            <w:r>
              <w:rPr>
                <w:rFonts w:hint="default" w:ascii="Times New Roman" w:hAnsi="Times New Roman" w:eastAsia="Times New Roman" w:cs="Times New Roman"/>
                <w:b/>
                <w:bCs/>
                <w:color w:val="0000FF"/>
                <w:sz w:val="21"/>
                <w:szCs w:val="21"/>
              </w:rPr>
              <w:t>/</w:t>
            </w:r>
            <w:r>
              <w:rPr>
                <w:rFonts w:hint="default" w:ascii="Times New Roman" w:hAnsi="Times New Roman" w:cs="Times New Roman"/>
                <w:b/>
                <w:bCs/>
                <w:color w:val="0000FF"/>
                <w:sz w:val="21"/>
                <w:szCs w:val="21"/>
              </w:rPr>
              <w:t>（</w:t>
            </w:r>
            <w:r>
              <w:rPr>
                <w:rFonts w:hint="default" w:ascii="Times New Roman" w:hAnsi="Times New Roman" w:eastAsia="Times New Roman" w:cs="Times New Roman"/>
                <w:b/>
                <w:bCs/>
                <w:color w:val="0000FF"/>
                <w:sz w:val="21"/>
                <w:szCs w:val="21"/>
              </w:rPr>
              <w:t>t/a</w:t>
            </w:r>
            <w:r>
              <w:rPr>
                <w:rFonts w:hint="default" w:ascii="Times New Roman" w:hAnsi="Times New Roman" w:cs="Times New Roman"/>
                <w:b/>
                <w:bCs/>
                <w:color w:val="0000FF"/>
                <w:sz w:val="21"/>
                <w:szCs w:val="21"/>
              </w:rPr>
              <w:t>）</w:t>
            </w:r>
          </w:p>
        </w:tc>
      </w:tr>
      <w:tr w14:paraId="59C340E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3046" w:type="dxa"/>
            <w:tcBorders>
              <w:tl2br w:val="nil"/>
              <w:tr2bl w:val="nil"/>
            </w:tcBorders>
            <w:noWrap w:val="0"/>
            <w:vAlign w:val="top"/>
          </w:tcPr>
          <w:p w14:paraId="3229FDDB">
            <w:pPr>
              <w:pStyle w:val="22"/>
              <w:jc w:val="center"/>
              <w:rPr>
                <w:rFonts w:hint="default" w:ascii="Times New Roman" w:hAnsi="Times New Roman" w:cs="Times New Roman"/>
                <w:b w:val="0"/>
                <w:bCs w:val="0"/>
                <w:color w:val="0000FF"/>
                <w:sz w:val="21"/>
                <w:szCs w:val="21"/>
                <w:lang w:val="en-US"/>
              </w:rPr>
            </w:pPr>
            <w:r>
              <w:rPr>
                <w:rFonts w:hint="default" w:ascii="Times New Roman" w:hAnsi="Times New Roman" w:cs="Times New Roman"/>
                <w:b w:val="0"/>
                <w:bCs w:val="0"/>
                <w:color w:val="0000FF"/>
                <w:sz w:val="21"/>
                <w:szCs w:val="21"/>
                <w:lang w:val="en-US"/>
              </w:rPr>
              <w:t>1</w:t>
            </w:r>
          </w:p>
        </w:tc>
        <w:tc>
          <w:tcPr>
            <w:tcW w:w="3047" w:type="dxa"/>
            <w:tcBorders>
              <w:tl2br w:val="nil"/>
              <w:tr2bl w:val="nil"/>
            </w:tcBorders>
            <w:noWrap w:val="0"/>
            <w:vAlign w:val="top"/>
          </w:tcPr>
          <w:p w14:paraId="6EDF1559">
            <w:pPr>
              <w:pStyle w:val="22"/>
              <w:jc w:val="center"/>
              <w:rPr>
                <w:rFonts w:hint="default" w:ascii="Times New Roman" w:hAnsi="Times New Roman" w:cs="Times New Roman"/>
                <w:b w:val="0"/>
                <w:bCs w:val="0"/>
                <w:color w:val="0000FF"/>
                <w:sz w:val="21"/>
                <w:szCs w:val="21"/>
              </w:rPr>
            </w:pPr>
            <w:r>
              <w:rPr>
                <w:rFonts w:hint="default" w:ascii="Times New Roman" w:hAnsi="Times New Roman" w:cs="Times New Roman"/>
                <w:b w:val="0"/>
                <w:bCs w:val="0"/>
                <w:color w:val="0000FF"/>
                <w:sz w:val="21"/>
                <w:szCs w:val="21"/>
              </w:rPr>
              <w:t>VOCs</w:t>
            </w:r>
          </w:p>
        </w:tc>
        <w:tc>
          <w:tcPr>
            <w:tcW w:w="3047" w:type="dxa"/>
            <w:tcBorders>
              <w:tl2br w:val="nil"/>
              <w:tr2bl w:val="nil"/>
            </w:tcBorders>
            <w:noWrap w:val="0"/>
            <w:vAlign w:val="top"/>
          </w:tcPr>
          <w:p w14:paraId="5E95A80D">
            <w:pPr>
              <w:pStyle w:val="22"/>
              <w:jc w:val="center"/>
              <w:rPr>
                <w:rFonts w:hint="default" w:ascii="Times New Roman" w:hAnsi="Times New Roman" w:eastAsia="宋体" w:cs="Times New Roman"/>
                <w:b w:val="0"/>
                <w:bCs w:val="0"/>
                <w:color w:val="0000FF"/>
                <w:sz w:val="21"/>
                <w:szCs w:val="21"/>
                <w:lang w:val="en-US" w:eastAsia="zh-CN"/>
              </w:rPr>
            </w:pPr>
            <w:r>
              <w:rPr>
                <w:rFonts w:hint="eastAsia" w:ascii="Times New Roman" w:hAnsi="Times New Roman" w:cs="Times New Roman"/>
                <w:b w:val="0"/>
                <w:bCs w:val="0"/>
                <w:color w:val="0000FF"/>
                <w:sz w:val="21"/>
                <w:szCs w:val="21"/>
                <w:lang w:val="en-US" w:eastAsia="zh-CN"/>
              </w:rPr>
              <w:t>0.092</w:t>
            </w:r>
          </w:p>
        </w:tc>
      </w:tr>
      <w:tr w14:paraId="729B30C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3046" w:type="dxa"/>
            <w:tcBorders>
              <w:tl2br w:val="nil"/>
              <w:tr2bl w:val="nil"/>
            </w:tcBorders>
            <w:noWrap w:val="0"/>
            <w:vAlign w:val="top"/>
          </w:tcPr>
          <w:p w14:paraId="108A5BE4">
            <w:pPr>
              <w:pStyle w:val="22"/>
              <w:jc w:val="center"/>
              <w:rPr>
                <w:rFonts w:hint="eastAsia" w:ascii="Times New Roman" w:hAnsi="Times New Roman" w:eastAsia="宋体" w:cs="Times New Roman"/>
                <w:b w:val="0"/>
                <w:bCs w:val="0"/>
                <w:color w:val="0000FF"/>
                <w:sz w:val="21"/>
                <w:szCs w:val="21"/>
                <w:lang w:val="en-US" w:eastAsia="zh-CN"/>
              </w:rPr>
            </w:pPr>
            <w:r>
              <w:rPr>
                <w:rFonts w:hint="eastAsia" w:ascii="Times New Roman" w:hAnsi="Times New Roman" w:eastAsia="宋体" w:cs="Times New Roman"/>
                <w:b w:val="0"/>
                <w:bCs w:val="0"/>
                <w:color w:val="0000FF"/>
                <w:sz w:val="21"/>
                <w:szCs w:val="21"/>
                <w:lang w:val="en-US" w:eastAsia="zh-CN"/>
              </w:rPr>
              <w:t>2</w:t>
            </w:r>
          </w:p>
        </w:tc>
        <w:tc>
          <w:tcPr>
            <w:tcW w:w="3047" w:type="dxa"/>
            <w:tcBorders>
              <w:tl2br w:val="nil"/>
              <w:tr2bl w:val="nil"/>
            </w:tcBorders>
            <w:noWrap w:val="0"/>
            <w:vAlign w:val="top"/>
          </w:tcPr>
          <w:p w14:paraId="16484A8D">
            <w:pPr>
              <w:pStyle w:val="22"/>
              <w:jc w:val="center"/>
              <w:rPr>
                <w:rFonts w:hint="eastAsia" w:ascii="Times New Roman" w:hAnsi="Times New Roman" w:eastAsia="宋体" w:cs="Times New Roman"/>
                <w:b w:val="0"/>
                <w:bCs w:val="0"/>
                <w:color w:val="0000FF"/>
                <w:sz w:val="21"/>
                <w:szCs w:val="21"/>
                <w:lang w:eastAsia="zh-CN"/>
              </w:rPr>
            </w:pPr>
            <w:r>
              <w:rPr>
                <w:rFonts w:hint="eastAsia" w:ascii="Times New Roman" w:hAnsi="Times New Roman" w:eastAsia="宋体" w:cs="Times New Roman"/>
                <w:b w:val="0"/>
                <w:bCs w:val="0"/>
                <w:color w:val="0000FF"/>
                <w:sz w:val="21"/>
                <w:szCs w:val="21"/>
                <w:lang w:eastAsia="zh-CN"/>
              </w:rPr>
              <w:t>硫酸雾</w:t>
            </w:r>
          </w:p>
        </w:tc>
        <w:tc>
          <w:tcPr>
            <w:tcW w:w="3047" w:type="dxa"/>
            <w:tcBorders>
              <w:tl2br w:val="nil"/>
              <w:tr2bl w:val="nil"/>
            </w:tcBorders>
            <w:noWrap w:val="0"/>
            <w:vAlign w:val="top"/>
          </w:tcPr>
          <w:p w14:paraId="50659B11">
            <w:pPr>
              <w:pStyle w:val="22"/>
              <w:jc w:val="center"/>
              <w:rPr>
                <w:rFonts w:hint="default" w:ascii="Times New Roman" w:hAnsi="Times New Roman" w:cs="Times New Roman"/>
                <w:b w:val="0"/>
                <w:bCs w:val="0"/>
                <w:color w:val="0000FF"/>
                <w:sz w:val="21"/>
                <w:szCs w:val="21"/>
                <w:lang w:val="en-US" w:eastAsia="zh-CN"/>
              </w:rPr>
            </w:pPr>
            <w:r>
              <w:rPr>
                <w:rFonts w:hint="eastAsia" w:ascii="Times New Roman" w:hAnsi="Times New Roman" w:cs="Times New Roman"/>
                <w:b w:val="0"/>
                <w:bCs w:val="0"/>
                <w:color w:val="0000FF"/>
                <w:sz w:val="21"/>
                <w:szCs w:val="21"/>
                <w:lang w:val="en-US" w:eastAsia="zh-CN"/>
              </w:rPr>
              <w:t>0.021</w:t>
            </w:r>
          </w:p>
        </w:tc>
      </w:tr>
    </w:tbl>
    <w:p w14:paraId="080EF1AB">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ascii="Times New Roman" w:hAnsi="Times New Roman" w:eastAsia="宋体"/>
          <w:color w:val="0000FF"/>
          <w:sz w:val="24"/>
          <w:szCs w:val="24"/>
          <w:lang w:bidi="ar"/>
        </w:rPr>
      </w:pPr>
    </w:p>
    <w:p w14:paraId="080075C6">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ascii="Times New Roman" w:hAnsi="Times New Roman" w:eastAsia="宋体"/>
          <w:color w:val="0000FF"/>
          <w:sz w:val="24"/>
          <w:szCs w:val="24"/>
          <w:lang w:bidi="ar"/>
        </w:rPr>
      </w:pPr>
      <w:r>
        <w:rPr>
          <w:rFonts w:hint="eastAsia" w:ascii="Times New Roman" w:hAnsi="Times New Roman" w:eastAsia="宋体"/>
          <w:color w:val="0000FF"/>
          <w:sz w:val="24"/>
          <w:szCs w:val="24"/>
          <w:lang w:eastAsia="zh-CN" w:bidi="ar"/>
        </w:rPr>
        <w:t>（</w:t>
      </w:r>
      <w:r>
        <w:rPr>
          <w:rFonts w:hint="eastAsia" w:ascii="Times New Roman" w:hAnsi="Times New Roman" w:eastAsia="宋体"/>
          <w:color w:val="0000FF"/>
          <w:sz w:val="24"/>
          <w:szCs w:val="24"/>
          <w:lang w:val="en-US" w:eastAsia="zh-CN" w:bidi="ar"/>
        </w:rPr>
        <w:t>9</w:t>
      </w:r>
      <w:r>
        <w:rPr>
          <w:rFonts w:hint="eastAsia" w:ascii="Times New Roman" w:hAnsi="Times New Roman" w:eastAsia="宋体"/>
          <w:color w:val="0000FF"/>
          <w:sz w:val="24"/>
          <w:szCs w:val="24"/>
          <w:lang w:eastAsia="zh-CN" w:bidi="ar"/>
        </w:rPr>
        <w:t>）</w:t>
      </w:r>
      <w:r>
        <w:rPr>
          <w:rFonts w:ascii="Times New Roman" w:hAnsi="Times New Roman" w:eastAsia="宋体"/>
          <w:color w:val="0000FF"/>
          <w:sz w:val="24"/>
          <w:szCs w:val="24"/>
          <w:lang w:bidi="ar"/>
        </w:rPr>
        <w:t>大气环境防护距离</w:t>
      </w:r>
    </w:p>
    <w:p w14:paraId="4CE74DA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ascii="Times New Roman" w:hAnsi="Times New Roman" w:eastAsia="宋体"/>
          <w:color w:val="0000FF"/>
          <w:sz w:val="24"/>
          <w:szCs w:val="24"/>
          <w:lang w:bidi="ar"/>
        </w:rPr>
      </w:pPr>
      <w:r>
        <w:rPr>
          <w:rFonts w:ascii="Times New Roman" w:hAnsi="Times New Roman" w:eastAsia="宋体"/>
          <w:color w:val="0000FF"/>
          <w:sz w:val="24"/>
          <w:szCs w:val="24"/>
          <w:lang w:bidi="ar"/>
        </w:rPr>
        <w:t>大气环境防护距离是为了保护人群健康，减少正常排放条件下大气污染物对居住区的环境影响，项目厂界以外设置的环境防护距离。参照</w:t>
      </w:r>
      <w:r>
        <w:rPr>
          <w:rFonts w:ascii="Times New Roman" w:hAnsi="Times New Roman" w:eastAsia="宋体"/>
          <w:color w:val="0000FF"/>
          <w:spacing w:val="4"/>
          <w:kern w:val="24"/>
          <w:sz w:val="24"/>
          <w:szCs w:val="24"/>
        </w:rPr>
        <w:t>《环境影响评价技术导则-大气环境》（HJ2.2-2018）推荐模式</w:t>
      </w:r>
      <w:r>
        <w:rPr>
          <w:rFonts w:ascii="Times New Roman" w:hAnsi="Times New Roman" w:eastAsia="宋体"/>
          <w:color w:val="0000FF"/>
          <w:sz w:val="24"/>
          <w:szCs w:val="24"/>
        </w:rPr>
        <w:t>进行预测</w:t>
      </w:r>
      <w:r>
        <w:rPr>
          <w:rFonts w:ascii="Times New Roman" w:hAnsi="Times New Roman" w:eastAsia="宋体"/>
          <w:color w:val="0000FF"/>
          <w:sz w:val="24"/>
          <w:szCs w:val="24"/>
          <w:lang w:bidi="ar"/>
        </w:rPr>
        <w:t>计算各无组织的大气环境防护距离。</w:t>
      </w:r>
    </w:p>
    <w:p w14:paraId="2EF7D733">
      <w:pPr>
        <w:spacing w:line="360" w:lineRule="auto"/>
        <w:ind w:firstLine="480"/>
        <w:rPr>
          <w:rFonts w:ascii="Times New Roman" w:hAnsi="Times New Roman" w:eastAsia="宋体"/>
          <w:color w:val="0000FF"/>
          <w:sz w:val="24"/>
          <w:szCs w:val="24"/>
          <w:lang w:bidi="ar"/>
        </w:rPr>
      </w:pPr>
      <w:r>
        <w:rPr>
          <w:rFonts w:ascii="Times New Roman" w:hAnsi="Times New Roman" w:eastAsia="宋体"/>
          <w:color w:val="0000FF"/>
          <w:sz w:val="24"/>
          <w:szCs w:val="24"/>
          <w:lang w:bidi="ar"/>
        </w:rPr>
        <w:t>大气环境防护距离计算结果见表</w:t>
      </w:r>
      <w:r>
        <w:rPr>
          <w:rFonts w:hint="eastAsia" w:ascii="Times New Roman" w:hAnsi="Times New Roman" w:eastAsia="宋体"/>
          <w:color w:val="0000FF"/>
          <w:sz w:val="24"/>
          <w:szCs w:val="24"/>
          <w:lang w:val="en-US" w:eastAsia="zh-CN" w:bidi="ar"/>
        </w:rPr>
        <w:t>4-10</w:t>
      </w:r>
      <w:r>
        <w:rPr>
          <w:rFonts w:ascii="Times New Roman" w:hAnsi="Times New Roman" w:eastAsia="宋体"/>
          <w:color w:val="0000FF"/>
          <w:sz w:val="24"/>
          <w:szCs w:val="24"/>
          <w:lang w:bidi="ar"/>
        </w:rPr>
        <w:t>。</w:t>
      </w:r>
    </w:p>
    <w:p w14:paraId="2E9421DE">
      <w:pPr>
        <w:spacing w:line="360" w:lineRule="auto"/>
        <w:ind w:firstLine="1531" w:firstLineChars="726"/>
        <w:contextualSpacing/>
        <w:rPr>
          <w:rFonts w:ascii="Times New Roman" w:hAnsi="Times New Roman" w:eastAsia="宋体"/>
          <w:b/>
          <w:color w:val="0000FF"/>
          <w:szCs w:val="21"/>
          <w:lang w:bidi="ar"/>
        </w:rPr>
      </w:pPr>
      <w:r>
        <w:rPr>
          <w:rFonts w:ascii="Times New Roman" w:hAnsi="Times New Roman" w:eastAsia="宋体"/>
          <w:b/>
          <w:color w:val="0000FF"/>
          <w:szCs w:val="21"/>
          <w:lang w:bidi="ar"/>
        </w:rPr>
        <w:t>表</w:t>
      </w:r>
      <w:r>
        <w:rPr>
          <w:rFonts w:hint="eastAsia" w:ascii="Times New Roman" w:hAnsi="Times New Roman" w:eastAsia="宋体"/>
          <w:b/>
          <w:color w:val="0000FF"/>
          <w:szCs w:val="21"/>
          <w:lang w:val="en-US" w:eastAsia="zh-CN" w:bidi="ar"/>
        </w:rPr>
        <w:t>4-10</w:t>
      </w:r>
      <w:r>
        <w:rPr>
          <w:rFonts w:ascii="Times New Roman" w:hAnsi="Times New Roman" w:eastAsia="宋体"/>
          <w:b/>
          <w:color w:val="0000FF"/>
          <w:szCs w:val="21"/>
          <w:lang w:bidi="ar"/>
        </w:rPr>
        <w:t>大气环境防护距离计算参数及结果统计表</w:t>
      </w:r>
    </w:p>
    <w:tbl>
      <w:tblPr>
        <w:tblStyle w:val="11"/>
        <w:tblW w:w="0" w:type="auto"/>
        <w:jc w:val="center"/>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Layout w:type="autofit"/>
        <w:tblCellMar>
          <w:top w:w="0" w:type="dxa"/>
          <w:left w:w="108" w:type="dxa"/>
          <w:bottom w:w="0" w:type="dxa"/>
          <w:right w:w="108" w:type="dxa"/>
        </w:tblCellMar>
      </w:tblPr>
      <w:tblGrid>
        <w:gridCol w:w="868"/>
        <w:gridCol w:w="1236"/>
        <w:gridCol w:w="1980"/>
        <w:gridCol w:w="1404"/>
        <w:gridCol w:w="1347"/>
        <w:gridCol w:w="1345"/>
      </w:tblGrid>
      <w:tr w14:paraId="4A7762B9">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661" w:hRule="atLeast"/>
          <w:jc w:val="center"/>
        </w:trPr>
        <w:tc>
          <w:tcPr>
            <w:tcW w:w="868" w:type="dxa"/>
            <w:noWrap w:val="0"/>
            <w:vAlign w:val="center"/>
          </w:tcPr>
          <w:p w14:paraId="16F02EE4">
            <w:pPr>
              <w:contextualSpacing/>
              <w:jc w:val="center"/>
              <w:rPr>
                <w:rFonts w:ascii="Times New Roman" w:hAnsi="Times New Roman" w:eastAsia="宋体"/>
                <w:b/>
                <w:bCs/>
                <w:color w:val="0000FF"/>
                <w:szCs w:val="21"/>
              </w:rPr>
            </w:pPr>
            <w:r>
              <w:rPr>
                <w:rFonts w:ascii="Times New Roman" w:hAnsi="Times New Roman" w:eastAsia="宋体"/>
                <w:b/>
                <w:bCs/>
                <w:color w:val="0000FF"/>
                <w:szCs w:val="21"/>
              </w:rPr>
              <w:t>面源名</w:t>
            </w:r>
          </w:p>
        </w:tc>
        <w:tc>
          <w:tcPr>
            <w:tcW w:w="1236" w:type="dxa"/>
            <w:noWrap w:val="0"/>
            <w:vAlign w:val="center"/>
          </w:tcPr>
          <w:p w14:paraId="2B10BDBD">
            <w:pPr>
              <w:contextualSpacing/>
              <w:jc w:val="center"/>
              <w:rPr>
                <w:rFonts w:ascii="Times New Roman" w:hAnsi="Times New Roman" w:eastAsia="宋体"/>
                <w:b/>
                <w:bCs/>
                <w:color w:val="0000FF"/>
                <w:szCs w:val="21"/>
              </w:rPr>
            </w:pPr>
            <w:r>
              <w:rPr>
                <w:rFonts w:ascii="Times New Roman" w:hAnsi="Times New Roman" w:eastAsia="宋体"/>
                <w:b/>
                <w:bCs/>
                <w:color w:val="0000FF"/>
                <w:szCs w:val="21"/>
              </w:rPr>
              <w:t>污染物</w:t>
            </w:r>
          </w:p>
        </w:tc>
        <w:tc>
          <w:tcPr>
            <w:tcW w:w="1980" w:type="dxa"/>
            <w:noWrap w:val="0"/>
            <w:vAlign w:val="center"/>
          </w:tcPr>
          <w:p w14:paraId="6F0E2BC2">
            <w:pPr>
              <w:contextualSpacing/>
              <w:jc w:val="center"/>
              <w:rPr>
                <w:rFonts w:ascii="Times New Roman" w:hAnsi="Times New Roman" w:eastAsia="宋体"/>
                <w:b/>
                <w:bCs/>
                <w:color w:val="0000FF"/>
                <w:szCs w:val="21"/>
              </w:rPr>
            </w:pPr>
            <w:r>
              <w:rPr>
                <w:rFonts w:ascii="Times New Roman" w:hAnsi="Times New Roman" w:eastAsia="宋体"/>
                <w:b/>
                <w:bCs/>
                <w:color w:val="0000FF"/>
                <w:szCs w:val="21"/>
              </w:rPr>
              <w:t>排放速率（kg/h）</w:t>
            </w:r>
          </w:p>
        </w:tc>
        <w:tc>
          <w:tcPr>
            <w:tcW w:w="1404" w:type="dxa"/>
            <w:noWrap w:val="0"/>
            <w:vAlign w:val="center"/>
          </w:tcPr>
          <w:p w14:paraId="09D7EEB5">
            <w:pPr>
              <w:contextualSpacing/>
              <w:jc w:val="center"/>
              <w:rPr>
                <w:rFonts w:ascii="Times New Roman" w:hAnsi="Times New Roman" w:eastAsia="宋体"/>
                <w:b/>
                <w:bCs/>
                <w:color w:val="0000FF"/>
                <w:szCs w:val="21"/>
                <w:vertAlign w:val="superscript"/>
              </w:rPr>
            </w:pPr>
            <w:r>
              <w:rPr>
                <w:rFonts w:ascii="Times New Roman" w:hAnsi="Times New Roman" w:eastAsia="宋体"/>
                <w:b/>
                <w:bCs/>
                <w:color w:val="0000FF"/>
                <w:szCs w:val="21"/>
              </w:rPr>
              <w:t>排放源面积（m</w:t>
            </w:r>
            <w:r>
              <w:rPr>
                <w:rFonts w:ascii="Times New Roman" w:hAnsi="Times New Roman" w:eastAsia="宋体"/>
                <w:b/>
                <w:bCs/>
                <w:color w:val="0000FF"/>
                <w:szCs w:val="21"/>
                <w:vertAlign w:val="superscript"/>
              </w:rPr>
              <w:t>2</w:t>
            </w:r>
            <w:r>
              <w:rPr>
                <w:rFonts w:ascii="Times New Roman" w:hAnsi="Times New Roman" w:eastAsia="宋体"/>
                <w:b/>
                <w:bCs/>
                <w:color w:val="0000FF"/>
                <w:szCs w:val="21"/>
              </w:rPr>
              <w:t>）</w:t>
            </w:r>
          </w:p>
        </w:tc>
        <w:tc>
          <w:tcPr>
            <w:tcW w:w="1347" w:type="dxa"/>
            <w:noWrap w:val="0"/>
            <w:vAlign w:val="center"/>
          </w:tcPr>
          <w:p w14:paraId="15AEF7B0">
            <w:pPr>
              <w:contextualSpacing/>
              <w:jc w:val="center"/>
              <w:rPr>
                <w:rFonts w:ascii="Times New Roman" w:hAnsi="Times New Roman" w:eastAsia="宋体"/>
                <w:b/>
                <w:bCs/>
                <w:color w:val="0000FF"/>
                <w:szCs w:val="21"/>
              </w:rPr>
            </w:pPr>
            <w:r>
              <w:rPr>
                <w:rFonts w:ascii="Times New Roman" w:hAnsi="Times New Roman" w:eastAsia="宋体"/>
                <w:b/>
                <w:bCs/>
                <w:color w:val="0000FF"/>
                <w:szCs w:val="21"/>
              </w:rPr>
              <w:t>评价标准（mg/m</w:t>
            </w:r>
            <w:r>
              <w:rPr>
                <w:rFonts w:ascii="Times New Roman" w:hAnsi="Times New Roman" w:eastAsia="宋体"/>
                <w:b/>
                <w:bCs/>
                <w:color w:val="0000FF"/>
                <w:szCs w:val="21"/>
                <w:vertAlign w:val="superscript"/>
              </w:rPr>
              <w:t>3</w:t>
            </w:r>
            <w:r>
              <w:rPr>
                <w:rFonts w:ascii="Times New Roman" w:hAnsi="Times New Roman" w:eastAsia="宋体"/>
                <w:b/>
                <w:bCs/>
                <w:color w:val="0000FF"/>
                <w:szCs w:val="21"/>
              </w:rPr>
              <w:t>）</w:t>
            </w:r>
          </w:p>
        </w:tc>
        <w:tc>
          <w:tcPr>
            <w:tcW w:w="1345" w:type="dxa"/>
            <w:noWrap w:val="0"/>
            <w:vAlign w:val="center"/>
          </w:tcPr>
          <w:p w14:paraId="55948346">
            <w:pPr>
              <w:contextualSpacing/>
              <w:jc w:val="center"/>
              <w:rPr>
                <w:rFonts w:ascii="Times New Roman" w:hAnsi="Times New Roman" w:eastAsia="宋体"/>
                <w:b/>
                <w:bCs/>
                <w:color w:val="0000FF"/>
                <w:szCs w:val="21"/>
              </w:rPr>
            </w:pPr>
            <w:r>
              <w:rPr>
                <w:rFonts w:ascii="Times New Roman" w:hAnsi="Times New Roman" w:eastAsia="宋体"/>
                <w:b/>
                <w:bCs/>
                <w:color w:val="0000FF"/>
                <w:szCs w:val="21"/>
              </w:rPr>
              <w:t>计算结果（m）</w:t>
            </w:r>
          </w:p>
        </w:tc>
      </w:tr>
      <w:tr w14:paraId="56BD565D">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555" w:hRule="atLeast"/>
          <w:jc w:val="center"/>
        </w:trPr>
        <w:tc>
          <w:tcPr>
            <w:tcW w:w="868" w:type="dxa"/>
            <w:vMerge w:val="restart"/>
            <w:noWrap w:val="0"/>
            <w:vAlign w:val="center"/>
          </w:tcPr>
          <w:p w14:paraId="7EA5AEF9">
            <w:pPr>
              <w:contextualSpacing/>
              <w:jc w:val="both"/>
              <w:rPr>
                <w:rFonts w:ascii="Times New Roman" w:hAnsi="Times New Roman" w:eastAsia="宋体"/>
                <w:color w:val="0000FF"/>
                <w:szCs w:val="21"/>
              </w:rPr>
            </w:pPr>
            <w:r>
              <w:rPr>
                <w:rFonts w:ascii="Times New Roman" w:hAnsi="Times New Roman" w:eastAsia="宋体"/>
                <w:color w:val="0000FF"/>
                <w:szCs w:val="21"/>
              </w:rPr>
              <w:t>暂存间</w:t>
            </w:r>
          </w:p>
        </w:tc>
        <w:tc>
          <w:tcPr>
            <w:tcW w:w="1236" w:type="dxa"/>
            <w:noWrap w:val="0"/>
            <w:vAlign w:val="center"/>
          </w:tcPr>
          <w:p w14:paraId="3A7F9167">
            <w:pPr>
              <w:pStyle w:val="24"/>
              <w:adjustRightInd/>
              <w:snapToGrid/>
              <w:spacing w:line="240" w:lineRule="auto"/>
              <w:contextualSpacing/>
              <w:rPr>
                <w:rStyle w:val="26"/>
                <w:rFonts w:eastAsia="宋体"/>
                <w:color w:val="0000FF"/>
                <w:sz w:val="21"/>
                <w:szCs w:val="21"/>
                <w:lang w:bidi="ar"/>
              </w:rPr>
            </w:pPr>
            <w:r>
              <w:rPr>
                <w:rStyle w:val="26"/>
                <w:rFonts w:eastAsia="宋体"/>
                <w:color w:val="0000FF"/>
                <w:sz w:val="21"/>
                <w:szCs w:val="21"/>
                <w:lang w:bidi="ar"/>
              </w:rPr>
              <w:t>非甲烷</w:t>
            </w:r>
          </w:p>
          <w:p w14:paraId="68755C00">
            <w:pPr>
              <w:pStyle w:val="24"/>
              <w:adjustRightInd/>
              <w:snapToGrid/>
              <w:spacing w:line="240" w:lineRule="auto"/>
              <w:contextualSpacing/>
              <w:rPr>
                <w:rStyle w:val="26"/>
                <w:rFonts w:eastAsia="宋体"/>
                <w:color w:val="0000FF"/>
                <w:sz w:val="21"/>
                <w:szCs w:val="21"/>
                <w:lang w:bidi="ar"/>
              </w:rPr>
            </w:pPr>
            <w:r>
              <w:rPr>
                <w:rStyle w:val="26"/>
                <w:rFonts w:eastAsia="宋体"/>
                <w:color w:val="0000FF"/>
                <w:sz w:val="21"/>
                <w:szCs w:val="21"/>
                <w:lang w:bidi="ar"/>
              </w:rPr>
              <w:t>总烃</w:t>
            </w:r>
          </w:p>
        </w:tc>
        <w:tc>
          <w:tcPr>
            <w:tcW w:w="1980" w:type="dxa"/>
            <w:noWrap w:val="0"/>
            <w:vAlign w:val="center"/>
          </w:tcPr>
          <w:p w14:paraId="50355C87">
            <w:pPr>
              <w:pStyle w:val="23"/>
              <w:rPr>
                <w:rFonts w:hint="default" w:ascii="Times New Roman" w:hAnsi="Times New Roman" w:eastAsia="宋体"/>
                <w:color w:val="0000FF"/>
                <w:sz w:val="21"/>
                <w:szCs w:val="21"/>
                <w:lang w:val="en-US" w:eastAsia="zh-CN"/>
              </w:rPr>
            </w:pPr>
            <w:r>
              <w:rPr>
                <w:rFonts w:hint="eastAsia" w:ascii="Times New Roman" w:hAnsi="Times New Roman" w:eastAsia="宋体"/>
                <w:color w:val="0000FF"/>
                <w:sz w:val="21"/>
                <w:szCs w:val="21"/>
                <w:lang w:val="en-US" w:eastAsia="zh-CN"/>
              </w:rPr>
              <w:t>0.0039</w:t>
            </w:r>
          </w:p>
        </w:tc>
        <w:tc>
          <w:tcPr>
            <w:tcW w:w="1404" w:type="dxa"/>
            <w:noWrap w:val="0"/>
            <w:vAlign w:val="center"/>
          </w:tcPr>
          <w:p w14:paraId="696C500C">
            <w:pPr>
              <w:widowControl/>
              <w:contextualSpacing/>
              <w:jc w:val="center"/>
              <w:rPr>
                <w:rFonts w:hint="default" w:ascii="Times New Roman" w:hAnsi="Times New Roman" w:eastAsia="宋体"/>
                <w:color w:val="0000FF"/>
                <w:kern w:val="0"/>
                <w:szCs w:val="21"/>
                <w:lang w:val="en-US" w:eastAsia="zh-CN"/>
              </w:rPr>
            </w:pPr>
            <w:r>
              <w:rPr>
                <w:rFonts w:hint="eastAsia" w:ascii="Times New Roman" w:hAnsi="Times New Roman" w:eastAsia="宋体"/>
                <w:color w:val="0000FF"/>
                <w:kern w:val="0"/>
                <w:szCs w:val="21"/>
                <w:lang w:val="en-US" w:eastAsia="zh-CN"/>
              </w:rPr>
              <w:t>500</w:t>
            </w:r>
          </w:p>
        </w:tc>
        <w:tc>
          <w:tcPr>
            <w:tcW w:w="1347" w:type="dxa"/>
            <w:noWrap w:val="0"/>
            <w:vAlign w:val="center"/>
          </w:tcPr>
          <w:p w14:paraId="19BB02C1">
            <w:pPr>
              <w:contextualSpacing/>
              <w:jc w:val="center"/>
              <w:rPr>
                <w:rFonts w:ascii="Times New Roman" w:hAnsi="Times New Roman" w:eastAsia="宋体"/>
                <w:color w:val="0000FF"/>
                <w:szCs w:val="21"/>
              </w:rPr>
            </w:pPr>
            <w:r>
              <w:rPr>
                <w:rFonts w:ascii="Times New Roman" w:hAnsi="Times New Roman" w:eastAsia="宋体"/>
                <w:color w:val="0000FF"/>
                <w:szCs w:val="21"/>
              </w:rPr>
              <w:t>1.2</w:t>
            </w:r>
          </w:p>
        </w:tc>
        <w:tc>
          <w:tcPr>
            <w:tcW w:w="1345" w:type="dxa"/>
            <w:vMerge w:val="restart"/>
            <w:noWrap w:val="0"/>
            <w:vAlign w:val="center"/>
          </w:tcPr>
          <w:p w14:paraId="325F8602">
            <w:pPr>
              <w:contextualSpacing/>
              <w:jc w:val="center"/>
              <w:rPr>
                <w:rFonts w:ascii="Times New Roman" w:hAnsi="Times New Roman" w:eastAsia="宋体"/>
                <w:color w:val="0000FF"/>
                <w:szCs w:val="21"/>
              </w:rPr>
            </w:pPr>
            <w:r>
              <w:rPr>
                <w:rFonts w:ascii="Times New Roman" w:hAnsi="Times New Roman" w:eastAsia="宋体"/>
                <w:color w:val="0000FF"/>
                <w:szCs w:val="21"/>
              </w:rPr>
              <w:t>无超标点</w:t>
            </w:r>
          </w:p>
        </w:tc>
      </w:tr>
      <w:tr w14:paraId="00EDF680">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555" w:hRule="atLeast"/>
          <w:jc w:val="center"/>
        </w:trPr>
        <w:tc>
          <w:tcPr>
            <w:tcW w:w="868" w:type="dxa"/>
            <w:vMerge w:val="continue"/>
            <w:noWrap w:val="0"/>
            <w:vAlign w:val="center"/>
          </w:tcPr>
          <w:p w14:paraId="6FB149C1">
            <w:pPr>
              <w:contextualSpacing/>
              <w:jc w:val="center"/>
              <w:rPr>
                <w:rFonts w:ascii="Times New Roman" w:hAnsi="Times New Roman" w:eastAsia="宋体"/>
                <w:color w:val="0000FF"/>
                <w:szCs w:val="21"/>
              </w:rPr>
            </w:pPr>
          </w:p>
        </w:tc>
        <w:tc>
          <w:tcPr>
            <w:tcW w:w="1236" w:type="dxa"/>
            <w:noWrap w:val="0"/>
            <w:vAlign w:val="center"/>
          </w:tcPr>
          <w:p w14:paraId="5DEB12E9">
            <w:pPr>
              <w:pStyle w:val="24"/>
              <w:adjustRightInd/>
              <w:snapToGrid/>
              <w:spacing w:line="240" w:lineRule="auto"/>
              <w:contextualSpacing/>
              <w:rPr>
                <w:rStyle w:val="26"/>
                <w:rFonts w:hint="eastAsia" w:eastAsia="宋体"/>
                <w:color w:val="0000FF"/>
                <w:sz w:val="21"/>
                <w:szCs w:val="21"/>
                <w:lang w:eastAsia="zh-CN" w:bidi="ar"/>
              </w:rPr>
            </w:pPr>
            <w:r>
              <w:rPr>
                <w:rStyle w:val="26"/>
                <w:rFonts w:hint="eastAsia" w:eastAsia="宋体"/>
                <w:color w:val="0000FF"/>
                <w:sz w:val="21"/>
                <w:szCs w:val="21"/>
                <w:lang w:eastAsia="zh-CN" w:bidi="ar"/>
              </w:rPr>
              <w:t>硫酸雾</w:t>
            </w:r>
          </w:p>
        </w:tc>
        <w:tc>
          <w:tcPr>
            <w:tcW w:w="1980" w:type="dxa"/>
            <w:noWrap w:val="0"/>
            <w:vAlign w:val="center"/>
          </w:tcPr>
          <w:p w14:paraId="27262DA0">
            <w:pPr>
              <w:pStyle w:val="23"/>
              <w:rPr>
                <w:rFonts w:hint="default" w:ascii="Times New Roman" w:hAnsi="Times New Roman" w:eastAsia="宋体"/>
                <w:color w:val="0000FF"/>
                <w:sz w:val="21"/>
                <w:szCs w:val="21"/>
                <w:lang w:val="en-US" w:eastAsia="zh-CN"/>
              </w:rPr>
            </w:pPr>
            <w:r>
              <w:rPr>
                <w:rFonts w:hint="eastAsia" w:ascii="Times New Roman" w:hAnsi="Times New Roman" w:eastAsia="宋体"/>
                <w:color w:val="0000FF"/>
                <w:sz w:val="21"/>
                <w:szCs w:val="21"/>
                <w:lang w:val="en-US" w:eastAsia="zh-CN"/>
              </w:rPr>
              <w:t>0.0024</w:t>
            </w:r>
          </w:p>
        </w:tc>
        <w:tc>
          <w:tcPr>
            <w:tcW w:w="1404" w:type="dxa"/>
            <w:noWrap w:val="0"/>
            <w:vAlign w:val="center"/>
          </w:tcPr>
          <w:p w14:paraId="49D1BC94">
            <w:pPr>
              <w:widowControl/>
              <w:contextualSpacing/>
              <w:jc w:val="center"/>
              <w:rPr>
                <w:rFonts w:hint="default" w:ascii="Times New Roman" w:hAnsi="Times New Roman" w:eastAsia="宋体"/>
                <w:color w:val="0000FF"/>
                <w:kern w:val="0"/>
                <w:szCs w:val="21"/>
                <w:lang w:val="en-US" w:eastAsia="zh-CN"/>
              </w:rPr>
            </w:pPr>
            <w:r>
              <w:rPr>
                <w:rFonts w:hint="eastAsia" w:ascii="Times New Roman" w:hAnsi="Times New Roman" w:eastAsia="宋体"/>
                <w:color w:val="0000FF"/>
                <w:kern w:val="0"/>
                <w:szCs w:val="21"/>
                <w:lang w:val="en-US" w:eastAsia="zh-CN"/>
              </w:rPr>
              <w:t>100</w:t>
            </w:r>
          </w:p>
        </w:tc>
        <w:tc>
          <w:tcPr>
            <w:tcW w:w="1347" w:type="dxa"/>
            <w:noWrap w:val="0"/>
            <w:vAlign w:val="center"/>
          </w:tcPr>
          <w:p w14:paraId="25C130C0">
            <w:pPr>
              <w:contextualSpacing/>
              <w:jc w:val="center"/>
              <w:rPr>
                <w:rFonts w:hint="default" w:ascii="Times New Roman" w:hAnsi="Times New Roman" w:eastAsia="宋体"/>
                <w:color w:val="0000FF"/>
                <w:szCs w:val="21"/>
                <w:lang w:val="en-US" w:eastAsia="zh-CN"/>
              </w:rPr>
            </w:pPr>
            <w:r>
              <w:rPr>
                <w:rFonts w:hint="eastAsia" w:ascii="Times New Roman" w:hAnsi="Times New Roman" w:eastAsia="宋体"/>
                <w:color w:val="0000FF"/>
                <w:szCs w:val="21"/>
                <w:lang w:val="en-US" w:eastAsia="zh-CN"/>
              </w:rPr>
              <w:t>0.3</w:t>
            </w:r>
          </w:p>
        </w:tc>
        <w:tc>
          <w:tcPr>
            <w:tcW w:w="1345" w:type="dxa"/>
            <w:vMerge w:val="continue"/>
            <w:noWrap w:val="0"/>
            <w:vAlign w:val="center"/>
          </w:tcPr>
          <w:p w14:paraId="20606BF7">
            <w:pPr>
              <w:contextualSpacing/>
              <w:jc w:val="center"/>
              <w:rPr>
                <w:rFonts w:ascii="Times New Roman" w:hAnsi="Times New Roman" w:eastAsia="宋体"/>
                <w:color w:val="0000FF"/>
                <w:szCs w:val="21"/>
              </w:rPr>
            </w:pPr>
          </w:p>
        </w:tc>
      </w:tr>
    </w:tbl>
    <w:p w14:paraId="523E6A97">
      <w:pPr>
        <w:spacing w:line="360" w:lineRule="auto"/>
        <w:ind w:firstLine="480"/>
        <w:rPr>
          <w:rFonts w:ascii="Times New Roman" w:hAnsi="Times New Roman" w:eastAsia="宋体"/>
          <w:color w:val="0000FF"/>
          <w:sz w:val="24"/>
          <w:szCs w:val="24"/>
          <w:lang w:bidi="ar"/>
        </w:rPr>
      </w:pPr>
      <w:r>
        <w:rPr>
          <w:rFonts w:ascii="Times New Roman" w:hAnsi="Times New Roman" w:eastAsia="宋体"/>
          <w:color w:val="0000FF"/>
          <w:sz w:val="24"/>
          <w:szCs w:val="24"/>
          <w:lang w:bidi="ar"/>
        </w:rPr>
        <w:t>本次环评对项目的无组织排放量计算各污染物的大气环境防护距离，经计算各无组织排放源均无超标点。因此该项目区不设置大气环境防护距离。</w:t>
      </w:r>
    </w:p>
    <w:p w14:paraId="6BB1DC40">
      <w:pPr>
        <w:spacing w:line="360" w:lineRule="auto"/>
        <w:ind w:firstLine="482"/>
        <w:rPr>
          <w:rFonts w:ascii="Times New Roman" w:hAnsi="Times New Roman" w:eastAsia="宋体"/>
          <w:color w:val="0000FF"/>
          <w:sz w:val="24"/>
          <w:szCs w:val="24"/>
        </w:rPr>
      </w:pPr>
      <w:r>
        <w:rPr>
          <w:rFonts w:ascii="Times New Roman" w:hAnsi="Times New Roman" w:eastAsia="宋体"/>
          <w:color w:val="0000FF"/>
          <w:sz w:val="24"/>
          <w:szCs w:val="24"/>
        </w:rPr>
        <w:t>综上，本项目排放废气对周围环境影响不大，只要确保环保设施正常运行，即可保证对大气环境影响较小。</w:t>
      </w:r>
    </w:p>
    <w:p w14:paraId="2603B2DD">
      <w:pPr>
        <w:adjustRightInd w:val="0"/>
        <w:snapToGrid w:val="0"/>
        <w:spacing w:line="360" w:lineRule="auto"/>
        <w:ind w:firstLine="482"/>
        <w:rPr>
          <w:rFonts w:ascii="Times New Roman" w:hAnsi="Times New Roman" w:eastAsia="宋体"/>
          <w:b/>
          <w:bCs/>
          <w:color w:val="0000FF"/>
          <w:sz w:val="24"/>
          <w:szCs w:val="24"/>
        </w:rPr>
      </w:pPr>
      <w:r>
        <w:rPr>
          <w:rFonts w:ascii="Times New Roman" w:hAnsi="Times New Roman" w:eastAsia="宋体"/>
          <w:b/>
          <w:bCs/>
          <w:color w:val="0000FF"/>
          <w:sz w:val="24"/>
          <w:szCs w:val="24"/>
        </w:rPr>
        <w:t>1.4大气环境影响评价自查表</w:t>
      </w:r>
    </w:p>
    <w:p w14:paraId="7E935107">
      <w:pPr>
        <w:adjustRightInd w:val="0"/>
        <w:snapToGrid w:val="0"/>
        <w:spacing w:line="360" w:lineRule="auto"/>
        <w:ind w:firstLine="482"/>
        <w:rPr>
          <w:rFonts w:ascii="Times New Roman" w:hAnsi="Times New Roman" w:eastAsia="宋体"/>
          <w:color w:val="0000FF"/>
          <w:sz w:val="24"/>
          <w:szCs w:val="24"/>
        </w:rPr>
      </w:pPr>
      <w:r>
        <w:rPr>
          <w:rFonts w:ascii="Times New Roman" w:hAnsi="Times New Roman" w:eastAsia="宋体"/>
          <w:color w:val="0000FF"/>
          <w:sz w:val="24"/>
          <w:szCs w:val="24"/>
        </w:rPr>
        <w:t>项目大气环境影响自查表见表</w:t>
      </w:r>
      <w:r>
        <w:rPr>
          <w:rFonts w:hint="eastAsia" w:ascii="Times New Roman" w:hAnsi="Times New Roman" w:eastAsia="宋体"/>
          <w:color w:val="0000FF"/>
          <w:sz w:val="24"/>
          <w:szCs w:val="24"/>
          <w:lang w:val="en-US" w:eastAsia="zh-CN"/>
        </w:rPr>
        <w:t>4-11</w:t>
      </w:r>
      <w:r>
        <w:rPr>
          <w:rFonts w:ascii="Times New Roman" w:hAnsi="Times New Roman" w:eastAsia="宋体"/>
          <w:color w:val="0000FF"/>
          <w:sz w:val="24"/>
          <w:szCs w:val="24"/>
        </w:rPr>
        <w:t>。</w:t>
      </w:r>
    </w:p>
    <w:p w14:paraId="2F1C76C2">
      <w:pPr>
        <w:pStyle w:val="27"/>
        <w:spacing w:before="156"/>
        <w:ind w:firstLine="1897" w:firstLineChars="900"/>
        <w:jc w:val="both"/>
        <w:rPr>
          <w:rFonts w:ascii="Times New Roman" w:hAnsi="Times New Roman" w:eastAsia="宋体" w:cs="Times New Roman"/>
          <w:b/>
          <w:color w:val="0000FF"/>
          <w:szCs w:val="21"/>
        </w:rPr>
      </w:pPr>
      <w:r>
        <w:rPr>
          <w:rFonts w:ascii="Times New Roman" w:hAnsi="Times New Roman" w:eastAsia="宋体" w:cs="Times New Roman"/>
          <w:b/>
          <w:color w:val="0000FF"/>
          <w:szCs w:val="21"/>
        </w:rPr>
        <w:t>表</w:t>
      </w:r>
      <w:r>
        <w:rPr>
          <w:rFonts w:hint="eastAsia" w:ascii="Times New Roman" w:hAnsi="Times New Roman" w:eastAsia="宋体" w:cs="Times New Roman"/>
          <w:b/>
          <w:color w:val="0000FF"/>
          <w:szCs w:val="21"/>
          <w:lang w:val="en-US" w:eastAsia="zh-CN"/>
        </w:rPr>
        <w:t>4-11</w:t>
      </w:r>
      <w:r>
        <w:rPr>
          <w:rFonts w:ascii="Times New Roman" w:hAnsi="Times New Roman" w:eastAsia="宋体" w:cs="Times New Roman"/>
          <w:b/>
          <w:color w:val="0000FF"/>
          <w:szCs w:val="21"/>
        </w:rPr>
        <w:t>大气环境影响评价自查表</w:t>
      </w:r>
    </w:p>
    <w:tbl>
      <w:tblPr>
        <w:tblStyle w:val="11"/>
        <w:tblW w:w="8496"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401"/>
        <w:gridCol w:w="976"/>
        <w:gridCol w:w="1128"/>
        <w:gridCol w:w="862"/>
        <w:gridCol w:w="103"/>
        <w:gridCol w:w="451"/>
        <w:gridCol w:w="279"/>
        <w:gridCol w:w="578"/>
        <w:gridCol w:w="38"/>
        <w:gridCol w:w="241"/>
        <w:gridCol w:w="236"/>
        <w:gridCol w:w="214"/>
        <w:gridCol w:w="478"/>
        <w:gridCol w:w="181"/>
        <w:gridCol w:w="634"/>
        <w:gridCol w:w="309"/>
        <w:gridCol w:w="195"/>
        <w:gridCol w:w="111"/>
        <w:gridCol w:w="648"/>
        <w:gridCol w:w="369"/>
        <w:gridCol w:w="90"/>
      </w:tblGrid>
      <w:tr w14:paraId="005179E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gridAfter w:val="1"/>
          <w:wAfter w:w="184" w:type="dxa"/>
          <w:trHeight w:val="406" w:hRule="atLeast"/>
          <w:jc w:val="center"/>
        </w:trPr>
        <w:tc>
          <w:tcPr>
            <w:tcW w:w="2287" w:type="dxa"/>
            <w:gridSpan w:val="2"/>
            <w:noWrap w:val="0"/>
            <w:vAlign w:val="center"/>
          </w:tcPr>
          <w:p w14:paraId="0BFBBB4D">
            <w:pPr>
              <w:snapToGrid w:val="0"/>
              <w:jc w:val="center"/>
              <w:rPr>
                <w:rFonts w:ascii="Times New Roman" w:hAnsi="Times New Roman" w:eastAsia="宋体"/>
                <w:b/>
                <w:bCs/>
                <w:color w:val="0000FF"/>
                <w:szCs w:val="21"/>
              </w:rPr>
            </w:pPr>
            <w:r>
              <w:rPr>
                <w:rFonts w:ascii="Times New Roman" w:hAnsi="Times New Roman" w:eastAsia="宋体"/>
                <w:b/>
                <w:bCs/>
                <w:color w:val="0000FF"/>
                <w:szCs w:val="21"/>
              </w:rPr>
              <w:t>工作内容</w:t>
            </w:r>
          </w:p>
        </w:tc>
        <w:tc>
          <w:tcPr>
            <w:tcW w:w="6025" w:type="dxa"/>
            <w:gridSpan w:val="18"/>
            <w:noWrap w:val="0"/>
            <w:vAlign w:val="center"/>
          </w:tcPr>
          <w:p w14:paraId="5840935D">
            <w:pPr>
              <w:pStyle w:val="28"/>
              <w:spacing w:line="240" w:lineRule="auto"/>
              <w:ind w:firstLine="0"/>
              <w:jc w:val="center"/>
              <w:rPr>
                <w:rFonts w:ascii="Times New Roman" w:hAnsi="Times New Roman" w:eastAsia="宋体" w:cs="Times New Roman"/>
                <w:b/>
                <w:bCs/>
                <w:color w:val="0000FF"/>
                <w:szCs w:val="21"/>
              </w:rPr>
            </w:pPr>
            <w:r>
              <w:rPr>
                <w:rFonts w:ascii="Times New Roman" w:hAnsi="Times New Roman" w:eastAsia="宋体" w:cs="Times New Roman"/>
                <w:b/>
                <w:bCs/>
                <w:color w:val="0000FF"/>
                <w:szCs w:val="21"/>
              </w:rPr>
              <w:t>自查项目</w:t>
            </w:r>
          </w:p>
        </w:tc>
      </w:tr>
      <w:tr w14:paraId="1D9DA3F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gridAfter w:val="1"/>
          <w:wAfter w:w="184" w:type="dxa"/>
          <w:trHeight w:val="387" w:hRule="atLeast"/>
          <w:jc w:val="center"/>
        </w:trPr>
        <w:tc>
          <w:tcPr>
            <w:tcW w:w="1027" w:type="dxa"/>
            <w:vMerge w:val="restart"/>
            <w:noWrap w:val="0"/>
            <w:vAlign w:val="center"/>
          </w:tcPr>
          <w:p w14:paraId="3B8959E2">
            <w:pPr>
              <w:pStyle w:val="28"/>
              <w:spacing w:line="240" w:lineRule="auto"/>
              <w:ind w:firstLine="0"/>
              <w:jc w:val="center"/>
              <w:rPr>
                <w:rFonts w:ascii="Times New Roman" w:hAnsi="Times New Roman" w:eastAsia="宋体" w:cs="Times New Roman"/>
                <w:color w:val="0000FF"/>
                <w:szCs w:val="21"/>
              </w:rPr>
            </w:pPr>
            <w:r>
              <w:rPr>
                <w:rFonts w:ascii="Times New Roman" w:hAnsi="Times New Roman" w:eastAsia="宋体" w:cs="Times New Roman"/>
                <w:color w:val="0000FF"/>
                <w:szCs w:val="21"/>
              </w:rPr>
              <w:t>评价等级与范围</w:t>
            </w:r>
          </w:p>
        </w:tc>
        <w:tc>
          <w:tcPr>
            <w:tcW w:w="1260" w:type="dxa"/>
            <w:noWrap w:val="0"/>
            <w:vAlign w:val="center"/>
          </w:tcPr>
          <w:p w14:paraId="1D865EBC">
            <w:pPr>
              <w:snapToGrid w:val="0"/>
              <w:jc w:val="center"/>
              <w:rPr>
                <w:rFonts w:ascii="Times New Roman" w:hAnsi="Times New Roman" w:eastAsia="宋体"/>
                <w:color w:val="0000FF"/>
                <w:szCs w:val="21"/>
              </w:rPr>
            </w:pPr>
            <w:r>
              <w:rPr>
                <w:rFonts w:ascii="Times New Roman" w:hAnsi="Times New Roman" w:eastAsia="宋体"/>
                <w:color w:val="0000FF"/>
                <w:szCs w:val="21"/>
              </w:rPr>
              <w:t>评价等级</w:t>
            </w:r>
          </w:p>
        </w:tc>
        <w:tc>
          <w:tcPr>
            <w:tcW w:w="1950" w:type="dxa"/>
            <w:gridSpan w:val="5"/>
            <w:noWrap w:val="0"/>
            <w:vAlign w:val="center"/>
          </w:tcPr>
          <w:p w14:paraId="66488D12">
            <w:pPr>
              <w:pStyle w:val="28"/>
              <w:spacing w:line="240" w:lineRule="auto"/>
              <w:ind w:firstLine="0"/>
              <w:jc w:val="center"/>
              <w:rPr>
                <w:rFonts w:ascii="Times New Roman" w:hAnsi="Times New Roman" w:eastAsia="宋体" w:cs="Times New Roman"/>
                <w:color w:val="0000FF"/>
                <w:szCs w:val="21"/>
              </w:rPr>
            </w:pPr>
            <w:r>
              <w:rPr>
                <w:rFonts w:ascii="Times New Roman" w:hAnsi="Times New Roman" w:eastAsia="宋体" w:cs="Times New Roman"/>
                <w:color w:val="0000FF"/>
                <w:szCs w:val="21"/>
              </w:rPr>
              <w:t>一级□</w:t>
            </w:r>
          </w:p>
        </w:tc>
        <w:tc>
          <w:tcPr>
            <w:tcW w:w="2661" w:type="dxa"/>
            <w:gridSpan w:val="9"/>
            <w:noWrap w:val="0"/>
            <w:vAlign w:val="center"/>
          </w:tcPr>
          <w:p w14:paraId="2D3F2AC8">
            <w:pPr>
              <w:pStyle w:val="28"/>
              <w:spacing w:line="240" w:lineRule="auto"/>
              <w:ind w:firstLine="0"/>
              <w:jc w:val="center"/>
              <w:rPr>
                <w:rFonts w:ascii="Times New Roman" w:hAnsi="Times New Roman" w:eastAsia="宋体" w:cs="Times New Roman"/>
                <w:color w:val="0000FF"/>
                <w:szCs w:val="21"/>
              </w:rPr>
            </w:pPr>
            <w:r>
              <w:rPr>
                <w:rFonts w:ascii="Times New Roman" w:hAnsi="Times New Roman" w:eastAsia="宋体" w:cs="Times New Roman"/>
                <w:color w:val="0000FF"/>
                <w:szCs w:val="21"/>
              </w:rPr>
              <w:t>二级□</w:t>
            </w:r>
          </w:p>
        </w:tc>
        <w:tc>
          <w:tcPr>
            <w:tcW w:w="1414" w:type="dxa"/>
            <w:gridSpan w:val="4"/>
            <w:noWrap w:val="0"/>
            <w:vAlign w:val="center"/>
          </w:tcPr>
          <w:p w14:paraId="65B8DA5B">
            <w:pPr>
              <w:pStyle w:val="28"/>
              <w:spacing w:line="240" w:lineRule="auto"/>
              <w:ind w:firstLine="0"/>
              <w:jc w:val="center"/>
              <w:rPr>
                <w:rFonts w:ascii="Times New Roman" w:hAnsi="Times New Roman" w:eastAsia="宋体" w:cs="Times New Roman"/>
                <w:color w:val="0000FF"/>
                <w:szCs w:val="21"/>
              </w:rPr>
            </w:pPr>
            <w:r>
              <w:rPr>
                <w:rFonts w:ascii="Times New Roman" w:hAnsi="Times New Roman" w:eastAsia="宋体" w:cs="Times New Roman"/>
                <w:color w:val="0000FF"/>
                <w:szCs w:val="21"/>
              </w:rPr>
              <w:t>三级☑</w:t>
            </w:r>
          </w:p>
        </w:tc>
      </w:tr>
      <w:tr w14:paraId="0673C33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gridAfter w:val="1"/>
          <w:wAfter w:w="184" w:type="dxa"/>
          <w:trHeight w:val="603" w:hRule="atLeast"/>
          <w:jc w:val="center"/>
        </w:trPr>
        <w:tc>
          <w:tcPr>
            <w:tcW w:w="1027" w:type="dxa"/>
            <w:vMerge w:val="continue"/>
            <w:noWrap w:val="0"/>
            <w:vAlign w:val="center"/>
          </w:tcPr>
          <w:p w14:paraId="37111092">
            <w:pPr>
              <w:pStyle w:val="28"/>
              <w:spacing w:line="240" w:lineRule="auto"/>
              <w:ind w:firstLine="0"/>
              <w:jc w:val="center"/>
              <w:rPr>
                <w:rFonts w:ascii="Times New Roman" w:hAnsi="Times New Roman" w:eastAsia="宋体" w:cs="Times New Roman"/>
                <w:color w:val="0000FF"/>
                <w:szCs w:val="21"/>
              </w:rPr>
            </w:pPr>
          </w:p>
        </w:tc>
        <w:tc>
          <w:tcPr>
            <w:tcW w:w="1260" w:type="dxa"/>
            <w:noWrap w:val="0"/>
            <w:vAlign w:val="center"/>
          </w:tcPr>
          <w:p w14:paraId="37C367A0">
            <w:pPr>
              <w:snapToGrid w:val="0"/>
              <w:jc w:val="center"/>
              <w:rPr>
                <w:rFonts w:ascii="Times New Roman" w:hAnsi="Times New Roman" w:eastAsia="宋体"/>
                <w:color w:val="0000FF"/>
                <w:szCs w:val="21"/>
              </w:rPr>
            </w:pPr>
            <w:r>
              <w:rPr>
                <w:rFonts w:ascii="Times New Roman" w:hAnsi="Times New Roman" w:eastAsia="宋体"/>
                <w:color w:val="0000FF"/>
                <w:szCs w:val="21"/>
              </w:rPr>
              <w:t>评价范围</w:t>
            </w:r>
          </w:p>
        </w:tc>
        <w:tc>
          <w:tcPr>
            <w:tcW w:w="1950" w:type="dxa"/>
            <w:gridSpan w:val="5"/>
            <w:noWrap w:val="0"/>
            <w:vAlign w:val="center"/>
          </w:tcPr>
          <w:p w14:paraId="178B8A4E">
            <w:pPr>
              <w:pStyle w:val="28"/>
              <w:spacing w:line="240" w:lineRule="auto"/>
              <w:ind w:firstLine="0"/>
              <w:jc w:val="center"/>
              <w:rPr>
                <w:rFonts w:ascii="Times New Roman" w:hAnsi="Times New Roman" w:eastAsia="宋体" w:cs="Times New Roman"/>
                <w:color w:val="0000FF"/>
                <w:szCs w:val="21"/>
              </w:rPr>
            </w:pPr>
            <w:r>
              <w:rPr>
                <w:rFonts w:ascii="Times New Roman" w:hAnsi="Times New Roman" w:eastAsia="宋体" w:cs="Times New Roman"/>
                <w:color w:val="0000FF"/>
                <w:szCs w:val="21"/>
              </w:rPr>
              <w:t>边长=50km□</w:t>
            </w:r>
          </w:p>
        </w:tc>
        <w:tc>
          <w:tcPr>
            <w:tcW w:w="2661" w:type="dxa"/>
            <w:gridSpan w:val="9"/>
            <w:noWrap w:val="0"/>
            <w:vAlign w:val="center"/>
          </w:tcPr>
          <w:p w14:paraId="05BECE18">
            <w:pPr>
              <w:pStyle w:val="28"/>
              <w:spacing w:line="240" w:lineRule="auto"/>
              <w:ind w:firstLine="0"/>
              <w:jc w:val="center"/>
              <w:rPr>
                <w:rFonts w:ascii="Times New Roman" w:hAnsi="Times New Roman" w:eastAsia="宋体" w:cs="Times New Roman"/>
                <w:color w:val="0000FF"/>
                <w:szCs w:val="21"/>
              </w:rPr>
            </w:pPr>
            <w:r>
              <w:rPr>
                <w:rFonts w:ascii="Times New Roman" w:hAnsi="Times New Roman" w:eastAsia="宋体" w:cs="Times New Roman"/>
                <w:color w:val="0000FF"/>
                <w:szCs w:val="21"/>
              </w:rPr>
              <w:t>边长5~50km</w:t>
            </w:r>
            <w:r>
              <w:rPr>
                <w:rFonts w:ascii="Times New Roman" w:hAnsi="Times New Roman" w:eastAsia="宋体" w:cs="Times New Roman"/>
                <w:color w:val="0000FF"/>
                <w:szCs w:val="21"/>
              </w:rPr>
              <w:sym w:font="Wingdings" w:char="00FE"/>
            </w:r>
          </w:p>
        </w:tc>
        <w:tc>
          <w:tcPr>
            <w:tcW w:w="1414" w:type="dxa"/>
            <w:gridSpan w:val="4"/>
            <w:noWrap w:val="0"/>
            <w:vAlign w:val="center"/>
          </w:tcPr>
          <w:p w14:paraId="46205340">
            <w:pPr>
              <w:pStyle w:val="28"/>
              <w:spacing w:line="240" w:lineRule="auto"/>
              <w:ind w:firstLine="0"/>
              <w:jc w:val="center"/>
              <w:rPr>
                <w:rFonts w:hint="eastAsia" w:ascii="Times New Roman" w:hAnsi="Times New Roman" w:eastAsia="宋体" w:cs="Times New Roman"/>
                <w:color w:val="0000FF"/>
                <w:szCs w:val="21"/>
                <w:lang w:eastAsia="zh-CN"/>
              </w:rPr>
            </w:pPr>
            <w:r>
              <w:rPr>
                <w:rFonts w:ascii="Times New Roman" w:hAnsi="Times New Roman" w:eastAsia="宋体" w:cs="Times New Roman"/>
                <w:color w:val="0000FF"/>
                <w:szCs w:val="21"/>
              </w:rPr>
              <w:t>边长=5km</w:t>
            </w:r>
            <w:r>
              <w:rPr>
                <w:rFonts w:hint="eastAsia" w:ascii="Times New Roman" w:hAnsi="Times New Roman" w:eastAsia="宋体" w:cs="Times New Roman"/>
                <w:color w:val="0000FF"/>
                <w:szCs w:val="21"/>
                <w:lang w:eastAsia="zh-CN"/>
              </w:rPr>
              <w:t>□</w:t>
            </w:r>
          </w:p>
        </w:tc>
      </w:tr>
      <w:tr w14:paraId="00BCB2F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gridAfter w:val="1"/>
          <w:wAfter w:w="184" w:type="dxa"/>
          <w:trHeight w:val="527" w:hRule="atLeast"/>
          <w:jc w:val="center"/>
        </w:trPr>
        <w:tc>
          <w:tcPr>
            <w:tcW w:w="1027" w:type="dxa"/>
            <w:vMerge w:val="restart"/>
            <w:noWrap w:val="0"/>
            <w:vAlign w:val="center"/>
          </w:tcPr>
          <w:p w14:paraId="4DC23B35">
            <w:pPr>
              <w:pStyle w:val="28"/>
              <w:spacing w:line="240" w:lineRule="auto"/>
              <w:ind w:firstLine="0"/>
              <w:jc w:val="center"/>
              <w:rPr>
                <w:rFonts w:ascii="Times New Roman" w:hAnsi="Times New Roman" w:eastAsia="宋体" w:cs="Times New Roman"/>
                <w:color w:val="0000FF"/>
                <w:szCs w:val="21"/>
              </w:rPr>
            </w:pPr>
            <w:r>
              <w:rPr>
                <w:rFonts w:ascii="Times New Roman" w:hAnsi="Times New Roman" w:eastAsia="宋体" w:cs="Times New Roman"/>
                <w:color w:val="0000FF"/>
                <w:szCs w:val="21"/>
              </w:rPr>
              <w:t>评价因子</w:t>
            </w:r>
          </w:p>
        </w:tc>
        <w:tc>
          <w:tcPr>
            <w:tcW w:w="1260" w:type="dxa"/>
            <w:noWrap w:val="0"/>
            <w:vAlign w:val="center"/>
          </w:tcPr>
          <w:p w14:paraId="76802ED8">
            <w:pPr>
              <w:snapToGrid w:val="0"/>
              <w:jc w:val="center"/>
              <w:rPr>
                <w:rFonts w:ascii="Times New Roman" w:hAnsi="Times New Roman" w:eastAsia="宋体"/>
                <w:color w:val="0000FF"/>
                <w:szCs w:val="21"/>
              </w:rPr>
            </w:pPr>
            <w:r>
              <w:rPr>
                <w:rFonts w:ascii="Times New Roman" w:hAnsi="Times New Roman" w:eastAsia="宋体"/>
                <w:color w:val="0000FF"/>
                <w:szCs w:val="21"/>
              </w:rPr>
              <w:t>SO</w:t>
            </w:r>
            <w:r>
              <w:rPr>
                <w:rFonts w:ascii="Times New Roman" w:hAnsi="Times New Roman" w:eastAsia="宋体"/>
                <w:color w:val="0000FF"/>
                <w:szCs w:val="21"/>
                <w:vertAlign w:val="subscript"/>
              </w:rPr>
              <w:t>2</w:t>
            </w:r>
            <w:r>
              <w:rPr>
                <w:rFonts w:ascii="Times New Roman" w:hAnsi="Times New Roman" w:eastAsia="宋体"/>
                <w:color w:val="0000FF"/>
                <w:szCs w:val="21"/>
              </w:rPr>
              <w:t>+NOx排放量</w:t>
            </w:r>
          </w:p>
        </w:tc>
        <w:tc>
          <w:tcPr>
            <w:tcW w:w="1950" w:type="dxa"/>
            <w:gridSpan w:val="5"/>
            <w:noWrap w:val="0"/>
            <w:vAlign w:val="center"/>
          </w:tcPr>
          <w:p w14:paraId="53D6AA58">
            <w:pPr>
              <w:pStyle w:val="28"/>
              <w:spacing w:line="240" w:lineRule="auto"/>
              <w:ind w:firstLine="0"/>
              <w:jc w:val="center"/>
              <w:rPr>
                <w:rFonts w:ascii="Times New Roman" w:hAnsi="Times New Roman" w:eastAsia="宋体" w:cs="Times New Roman"/>
                <w:color w:val="0000FF"/>
                <w:szCs w:val="21"/>
              </w:rPr>
            </w:pPr>
            <w:r>
              <w:rPr>
                <w:rFonts w:ascii="Times New Roman" w:hAnsi="Times New Roman" w:eastAsia="宋体" w:cs="Times New Roman"/>
                <w:color w:val="0000FF"/>
                <w:szCs w:val="21"/>
              </w:rPr>
              <w:t>≥</w:t>
            </w:r>
            <w:r>
              <w:rPr>
                <w:rFonts w:hint="eastAsia" w:ascii="Times New Roman" w:hAnsi="Times New Roman" w:eastAsia="宋体" w:cs="Times New Roman"/>
                <w:color w:val="0000FF"/>
                <w:szCs w:val="21"/>
                <w:lang w:eastAsia="zh-CN"/>
              </w:rPr>
              <w:t>5000</w:t>
            </w:r>
            <w:r>
              <w:rPr>
                <w:rFonts w:ascii="Times New Roman" w:hAnsi="Times New Roman" w:eastAsia="宋体" w:cs="Times New Roman"/>
                <w:color w:val="0000FF"/>
                <w:szCs w:val="21"/>
              </w:rPr>
              <w:t>t/a□</w:t>
            </w:r>
          </w:p>
        </w:tc>
        <w:tc>
          <w:tcPr>
            <w:tcW w:w="2661" w:type="dxa"/>
            <w:gridSpan w:val="9"/>
            <w:noWrap w:val="0"/>
            <w:vAlign w:val="center"/>
          </w:tcPr>
          <w:p w14:paraId="536C7F58">
            <w:pPr>
              <w:pStyle w:val="28"/>
              <w:spacing w:line="240" w:lineRule="auto"/>
              <w:ind w:firstLine="0"/>
              <w:jc w:val="center"/>
              <w:rPr>
                <w:rFonts w:ascii="Times New Roman" w:hAnsi="Times New Roman" w:eastAsia="宋体" w:cs="Times New Roman"/>
                <w:color w:val="0000FF"/>
                <w:szCs w:val="21"/>
              </w:rPr>
            </w:pPr>
            <w:r>
              <w:rPr>
                <w:rFonts w:ascii="Times New Roman" w:hAnsi="Times New Roman" w:eastAsia="宋体" w:cs="Times New Roman"/>
                <w:color w:val="0000FF"/>
                <w:szCs w:val="21"/>
              </w:rPr>
              <w:t>500~</w:t>
            </w:r>
            <w:r>
              <w:rPr>
                <w:rFonts w:hint="eastAsia" w:ascii="Times New Roman" w:hAnsi="Times New Roman" w:eastAsia="宋体" w:cs="Times New Roman"/>
                <w:color w:val="0000FF"/>
                <w:szCs w:val="21"/>
                <w:lang w:eastAsia="zh-CN"/>
              </w:rPr>
              <w:t>5000</w:t>
            </w:r>
            <w:r>
              <w:rPr>
                <w:rFonts w:ascii="Times New Roman" w:hAnsi="Times New Roman" w:eastAsia="宋体" w:cs="Times New Roman"/>
                <w:color w:val="0000FF"/>
                <w:szCs w:val="21"/>
              </w:rPr>
              <w:t>t/a□</w:t>
            </w:r>
          </w:p>
        </w:tc>
        <w:tc>
          <w:tcPr>
            <w:tcW w:w="1414" w:type="dxa"/>
            <w:gridSpan w:val="4"/>
            <w:noWrap w:val="0"/>
            <w:vAlign w:val="center"/>
          </w:tcPr>
          <w:p w14:paraId="6D205127">
            <w:pPr>
              <w:pStyle w:val="28"/>
              <w:spacing w:line="240" w:lineRule="auto"/>
              <w:ind w:firstLine="0"/>
              <w:jc w:val="center"/>
              <w:rPr>
                <w:rFonts w:ascii="Times New Roman" w:hAnsi="Times New Roman" w:eastAsia="宋体" w:cs="Times New Roman"/>
                <w:color w:val="0000FF"/>
                <w:szCs w:val="21"/>
              </w:rPr>
            </w:pPr>
            <w:r>
              <w:rPr>
                <w:rFonts w:ascii="Times New Roman" w:hAnsi="Times New Roman" w:eastAsia="宋体" w:cs="Times New Roman"/>
                <w:color w:val="0000FF"/>
                <w:szCs w:val="21"/>
              </w:rPr>
              <w:t>＜500t/a</w:t>
            </w:r>
            <w:r>
              <w:rPr>
                <w:rFonts w:ascii="Times New Roman" w:hAnsi="Times New Roman" w:eastAsia="宋体" w:cs="Times New Roman"/>
                <w:color w:val="0000FF"/>
                <w:szCs w:val="21"/>
              </w:rPr>
              <w:sym w:font="Wingdings" w:char="00FE"/>
            </w:r>
          </w:p>
        </w:tc>
      </w:tr>
      <w:tr w14:paraId="03786C9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gridAfter w:val="1"/>
          <w:wAfter w:w="184" w:type="dxa"/>
          <w:trHeight w:val="603" w:hRule="atLeast"/>
          <w:jc w:val="center"/>
        </w:trPr>
        <w:tc>
          <w:tcPr>
            <w:tcW w:w="1027" w:type="dxa"/>
            <w:vMerge w:val="continue"/>
            <w:noWrap w:val="0"/>
            <w:vAlign w:val="center"/>
          </w:tcPr>
          <w:p w14:paraId="33454D50">
            <w:pPr>
              <w:pStyle w:val="28"/>
              <w:spacing w:line="240" w:lineRule="auto"/>
              <w:ind w:firstLine="0"/>
              <w:jc w:val="center"/>
              <w:rPr>
                <w:rFonts w:ascii="Times New Roman" w:hAnsi="Times New Roman" w:eastAsia="宋体" w:cs="Times New Roman"/>
                <w:color w:val="0000FF"/>
                <w:szCs w:val="21"/>
              </w:rPr>
            </w:pPr>
          </w:p>
        </w:tc>
        <w:tc>
          <w:tcPr>
            <w:tcW w:w="1260" w:type="dxa"/>
            <w:noWrap w:val="0"/>
            <w:vAlign w:val="center"/>
          </w:tcPr>
          <w:p w14:paraId="756E055D">
            <w:pPr>
              <w:snapToGrid w:val="0"/>
              <w:jc w:val="center"/>
              <w:rPr>
                <w:rFonts w:ascii="Times New Roman" w:hAnsi="Times New Roman" w:eastAsia="宋体"/>
                <w:color w:val="0000FF"/>
                <w:szCs w:val="21"/>
              </w:rPr>
            </w:pPr>
            <w:r>
              <w:rPr>
                <w:rFonts w:ascii="Times New Roman" w:hAnsi="Times New Roman" w:eastAsia="宋体"/>
                <w:color w:val="0000FF"/>
                <w:szCs w:val="21"/>
              </w:rPr>
              <w:t>评价因子</w:t>
            </w:r>
          </w:p>
        </w:tc>
        <w:tc>
          <w:tcPr>
            <w:tcW w:w="2758" w:type="dxa"/>
            <w:gridSpan w:val="9"/>
            <w:noWrap w:val="0"/>
            <w:vAlign w:val="center"/>
          </w:tcPr>
          <w:p w14:paraId="14C7E383">
            <w:pPr>
              <w:pStyle w:val="28"/>
              <w:spacing w:line="240" w:lineRule="auto"/>
              <w:ind w:firstLine="0"/>
              <w:jc w:val="center"/>
              <w:rPr>
                <w:rFonts w:ascii="Times New Roman" w:hAnsi="Times New Roman" w:eastAsia="宋体" w:cs="Times New Roman"/>
                <w:color w:val="0000FF"/>
                <w:szCs w:val="21"/>
              </w:rPr>
            </w:pPr>
            <w:r>
              <w:rPr>
                <w:rFonts w:ascii="Times New Roman" w:hAnsi="Times New Roman" w:eastAsia="宋体" w:cs="Times New Roman"/>
                <w:color w:val="0000FF"/>
                <w:szCs w:val="21"/>
              </w:rPr>
              <w:t>其他污染物（</w:t>
            </w:r>
            <w:r>
              <w:rPr>
                <w:rStyle w:val="26"/>
                <w:rFonts w:eastAsia="宋体"/>
                <w:color w:val="0000FF"/>
                <w:sz w:val="21"/>
                <w:szCs w:val="21"/>
                <w:lang w:bidi="ar"/>
              </w:rPr>
              <w:t>非甲烷总烃</w:t>
            </w:r>
            <w:r>
              <w:rPr>
                <w:rStyle w:val="26"/>
                <w:rFonts w:hint="eastAsia" w:eastAsia="宋体"/>
                <w:color w:val="0000FF"/>
                <w:sz w:val="21"/>
                <w:szCs w:val="21"/>
                <w:lang w:eastAsia="zh-CN" w:bidi="ar"/>
              </w:rPr>
              <w:t>、硫酸雾</w:t>
            </w:r>
            <w:r>
              <w:rPr>
                <w:rFonts w:ascii="Times New Roman" w:hAnsi="Times New Roman" w:eastAsia="宋体" w:cs="Times New Roman"/>
                <w:color w:val="0000FF"/>
                <w:szCs w:val="21"/>
              </w:rPr>
              <w:t>）</w:t>
            </w:r>
          </w:p>
        </w:tc>
        <w:tc>
          <w:tcPr>
            <w:tcW w:w="3267" w:type="dxa"/>
            <w:gridSpan w:val="9"/>
            <w:noWrap w:val="0"/>
            <w:vAlign w:val="center"/>
          </w:tcPr>
          <w:p w14:paraId="096B5D83">
            <w:pPr>
              <w:pStyle w:val="28"/>
              <w:spacing w:line="240" w:lineRule="auto"/>
              <w:ind w:firstLine="0"/>
              <w:jc w:val="center"/>
              <w:rPr>
                <w:rFonts w:ascii="Times New Roman" w:hAnsi="Times New Roman" w:eastAsia="宋体" w:cs="Times New Roman"/>
                <w:color w:val="0000FF"/>
                <w:szCs w:val="21"/>
              </w:rPr>
            </w:pPr>
            <w:r>
              <w:rPr>
                <w:rFonts w:ascii="Times New Roman" w:hAnsi="Times New Roman" w:eastAsia="宋体" w:cs="Times New Roman"/>
                <w:color w:val="0000FF"/>
                <w:szCs w:val="21"/>
              </w:rPr>
              <w:t>包括二次PM</w:t>
            </w:r>
            <w:r>
              <w:rPr>
                <w:rFonts w:ascii="Times New Roman" w:hAnsi="Times New Roman" w:eastAsia="宋体" w:cs="Times New Roman"/>
                <w:color w:val="0000FF"/>
                <w:szCs w:val="21"/>
                <w:vertAlign w:val="subscript"/>
              </w:rPr>
              <w:t>2.5</w:t>
            </w:r>
            <w:r>
              <w:rPr>
                <w:rFonts w:ascii="Times New Roman" w:hAnsi="Times New Roman" w:eastAsia="宋体" w:cs="Times New Roman"/>
                <w:color w:val="0000FF"/>
                <w:szCs w:val="21"/>
              </w:rPr>
              <w:t>□</w:t>
            </w:r>
          </w:p>
          <w:p w14:paraId="7E818FEC">
            <w:pPr>
              <w:pStyle w:val="28"/>
              <w:spacing w:line="240" w:lineRule="auto"/>
              <w:ind w:firstLine="0"/>
              <w:jc w:val="center"/>
              <w:rPr>
                <w:rFonts w:ascii="Times New Roman" w:hAnsi="Times New Roman" w:eastAsia="宋体" w:cs="Times New Roman"/>
                <w:color w:val="0000FF"/>
                <w:szCs w:val="21"/>
              </w:rPr>
            </w:pPr>
            <w:r>
              <w:rPr>
                <w:rFonts w:ascii="Times New Roman" w:hAnsi="Times New Roman" w:eastAsia="宋体" w:cs="Times New Roman"/>
                <w:color w:val="0000FF"/>
                <w:szCs w:val="21"/>
              </w:rPr>
              <w:t>不包括二次PM</w:t>
            </w:r>
            <w:r>
              <w:rPr>
                <w:rFonts w:ascii="Times New Roman" w:hAnsi="Times New Roman" w:eastAsia="宋体" w:cs="Times New Roman"/>
                <w:color w:val="0000FF"/>
                <w:szCs w:val="21"/>
                <w:vertAlign w:val="subscript"/>
              </w:rPr>
              <w:t>2.5</w:t>
            </w:r>
            <w:r>
              <w:rPr>
                <w:rFonts w:ascii="Times New Roman" w:hAnsi="Times New Roman" w:eastAsia="宋体" w:cs="Times New Roman"/>
                <w:color w:val="0000FF"/>
                <w:szCs w:val="21"/>
              </w:rPr>
              <w:t>☑</w:t>
            </w:r>
          </w:p>
        </w:tc>
      </w:tr>
      <w:tr w14:paraId="1C43AE2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gridAfter w:val="1"/>
          <w:wAfter w:w="184" w:type="dxa"/>
          <w:trHeight w:val="603" w:hRule="atLeast"/>
          <w:jc w:val="center"/>
        </w:trPr>
        <w:tc>
          <w:tcPr>
            <w:tcW w:w="1027" w:type="dxa"/>
            <w:noWrap w:val="0"/>
            <w:vAlign w:val="center"/>
          </w:tcPr>
          <w:p w14:paraId="7A6DB850">
            <w:pPr>
              <w:pStyle w:val="28"/>
              <w:spacing w:line="240" w:lineRule="auto"/>
              <w:ind w:firstLine="0"/>
              <w:jc w:val="center"/>
              <w:rPr>
                <w:rFonts w:ascii="Times New Roman" w:hAnsi="Times New Roman" w:eastAsia="宋体" w:cs="Times New Roman"/>
                <w:color w:val="0000FF"/>
                <w:szCs w:val="21"/>
              </w:rPr>
            </w:pPr>
            <w:r>
              <w:rPr>
                <w:rFonts w:ascii="Times New Roman" w:hAnsi="Times New Roman" w:eastAsia="宋体" w:cs="Times New Roman"/>
                <w:color w:val="0000FF"/>
                <w:szCs w:val="21"/>
              </w:rPr>
              <w:t>评价标准</w:t>
            </w:r>
          </w:p>
        </w:tc>
        <w:tc>
          <w:tcPr>
            <w:tcW w:w="1260" w:type="dxa"/>
            <w:noWrap w:val="0"/>
            <w:vAlign w:val="center"/>
          </w:tcPr>
          <w:p w14:paraId="5BD84E8B">
            <w:pPr>
              <w:snapToGrid w:val="0"/>
              <w:jc w:val="center"/>
              <w:rPr>
                <w:rFonts w:ascii="Times New Roman" w:hAnsi="Times New Roman" w:eastAsia="宋体"/>
                <w:color w:val="0000FF"/>
                <w:szCs w:val="21"/>
              </w:rPr>
            </w:pPr>
            <w:r>
              <w:rPr>
                <w:rFonts w:ascii="Times New Roman" w:hAnsi="Times New Roman" w:eastAsia="宋体"/>
                <w:color w:val="0000FF"/>
                <w:szCs w:val="21"/>
              </w:rPr>
              <w:t>评价标准</w:t>
            </w:r>
          </w:p>
        </w:tc>
        <w:tc>
          <w:tcPr>
            <w:tcW w:w="1950" w:type="dxa"/>
            <w:gridSpan w:val="5"/>
            <w:noWrap w:val="0"/>
            <w:vAlign w:val="center"/>
          </w:tcPr>
          <w:p w14:paraId="43D8BD75">
            <w:pPr>
              <w:pStyle w:val="28"/>
              <w:spacing w:line="240" w:lineRule="auto"/>
              <w:ind w:firstLine="0"/>
              <w:jc w:val="center"/>
              <w:rPr>
                <w:rFonts w:ascii="Times New Roman" w:hAnsi="Times New Roman" w:eastAsia="宋体" w:cs="Times New Roman"/>
                <w:color w:val="0000FF"/>
                <w:szCs w:val="21"/>
              </w:rPr>
            </w:pPr>
            <w:r>
              <w:rPr>
                <w:rFonts w:ascii="Times New Roman" w:hAnsi="Times New Roman" w:eastAsia="宋体" w:cs="Times New Roman"/>
                <w:color w:val="0000FF"/>
                <w:szCs w:val="21"/>
              </w:rPr>
              <w:t>国家标准</w:t>
            </w:r>
            <w:r>
              <w:rPr>
                <w:rFonts w:ascii="Times New Roman" w:hAnsi="Times New Roman" w:eastAsia="宋体" w:cs="Times New Roman"/>
                <w:color w:val="0000FF"/>
                <w:szCs w:val="21"/>
              </w:rPr>
              <w:sym w:font="Wingdings 2" w:char="0052"/>
            </w:r>
          </w:p>
        </w:tc>
        <w:tc>
          <w:tcPr>
            <w:tcW w:w="808" w:type="dxa"/>
            <w:gridSpan w:val="4"/>
            <w:noWrap w:val="0"/>
            <w:vAlign w:val="center"/>
          </w:tcPr>
          <w:p w14:paraId="3137135E">
            <w:pPr>
              <w:pStyle w:val="28"/>
              <w:spacing w:line="240" w:lineRule="auto"/>
              <w:ind w:firstLine="0"/>
              <w:jc w:val="center"/>
              <w:rPr>
                <w:rFonts w:ascii="Times New Roman" w:hAnsi="Times New Roman" w:eastAsia="宋体" w:cs="Times New Roman"/>
                <w:color w:val="0000FF"/>
                <w:szCs w:val="21"/>
              </w:rPr>
            </w:pPr>
            <w:r>
              <w:rPr>
                <w:rFonts w:ascii="Times New Roman" w:hAnsi="Times New Roman" w:eastAsia="宋体" w:cs="Times New Roman"/>
                <w:color w:val="0000FF"/>
                <w:szCs w:val="21"/>
              </w:rPr>
              <w:t>地方标准□</w:t>
            </w:r>
          </w:p>
        </w:tc>
        <w:tc>
          <w:tcPr>
            <w:tcW w:w="1853" w:type="dxa"/>
            <w:gridSpan w:val="5"/>
            <w:noWrap w:val="0"/>
            <w:vAlign w:val="center"/>
          </w:tcPr>
          <w:p w14:paraId="3BA0D6CF">
            <w:pPr>
              <w:pStyle w:val="28"/>
              <w:spacing w:line="240" w:lineRule="auto"/>
              <w:ind w:firstLine="0"/>
              <w:jc w:val="center"/>
              <w:rPr>
                <w:rFonts w:ascii="Times New Roman" w:hAnsi="Times New Roman" w:eastAsia="宋体" w:cs="Times New Roman"/>
                <w:color w:val="0000FF"/>
                <w:szCs w:val="21"/>
              </w:rPr>
            </w:pPr>
            <w:r>
              <w:rPr>
                <w:rFonts w:ascii="Times New Roman" w:hAnsi="Times New Roman" w:eastAsia="宋体" w:cs="Times New Roman"/>
                <w:color w:val="0000FF"/>
                <w:szCs w:val="21"/>
              </w:rPr>
              <w:t>附录D☑</w:t>
            </w:r>
          </w:p>
        </w:tc>
        <w:tc>
          <w:tcPr>
            <w:tcW w:w="1414" w:type="dxa"/>
            <w:gridSpan w:val="4"/>
            <w:noWrap w:val="0"/>
            <w:vAlign w:val="center"/>
          </w:tcPr>
          <w:p w14:paraId="3FD6DFC4">
            <w:pPr>
              <w:pStyle w:val="28"/>
              <w:spacing w:line="240" w:lineRule="auto"/>
              <w:ind w:firstLine="0"/>
              <w:jc w:val="center"/>
              <w:rPr>
                <w:rFonts w:ascii="Times New Roman" w:hAnsi="Times New Roman" w:eastAsia="宋体" w:cs="Times New Roman"/>
                <w:color w:val="0000FF"/>
                <w:szCs w:val="21"/>
              </w:rPr>
            </w:pPr>
            <w:r>
              <w:rPr>
                <w:rFonts w:ascii="Times New Roman" w:hAnsi="Times New Roman" w:eastAsia="宋体" w:cs="Times New Roman"/>
                <w:color w:val="0000FF"/>
                <w:szCs w:val="21"/>
              </w:rPr>
              <w:t>其他标准□</w:t>
            </w:r>
          </w:p>
        </w:tc>
      </w:tr>
      <w:tr w14:paraId="22337BC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gridAfter w:val="1"/>
          <w:wAfter w:w="184" w:type="dxa"/>
          <w:trHeight w:val="622" w:hRule="atLeast"/>
          <w:jc w:val="center"/>
        </w:trPr>
        <w:tc>
          <w:tcPr>
            <w:tcW w:w="1027" w:type="dxa"/>
            <w:vMerge w:val="restart"/>
            <w:noWrap w:val="0"/>
            <w:vAlign w:val="center"/>
          </w:tcPr>
          <w:p w14:paraId="4F2FD933">
            <w:pPr>
              <w:pStyle w:val="28"/>
              <w:spacing w:line="240" w:lineRule="auto"/>
              <w:ind w:firstLine="0"/>
              <w:jc w:val="center"/>
              <w:rPr>
                <w:rFonts w:ascii="Times New Roman" w:hAnsi="Times New Roman" w:eastAsia="宋体" w:cs="Times New Roman"/>
                <w:color w:val="0000FF"/>
                <w:szCs w:val="21"/>
              </w:rPr>
            </w:pPr>
            <w:r>
              <w:rPr>
                <w:rFonts w:ascii="Times New Roman" w:hAnsi="Times New Roman" w:eastAsia="宋体" w:cs="Times New Roman"/>
                <w:color w:val="0000FF"/>
                <w:szCs w:val="21"/>
              </w:rPr>
              <w:t>现状评价</w:t>
            </w:r>
          </w:p>
        </w:tc>
        <w:tc>
          <w:tcPr>
            <w:tcW w:w="1260" w:type="dxa"/>
            <w:noWrap w:val="0"/>
            <w:vAlign w:val="center"/>
          </w:tcPr>
          <w:p w14:paraId="1562ED04">
            <w:pPr>
              <w:snapToGrid w:val="0"/>
              <w:jc w:val="center"/>
              <w:rPr>
                <w:rFonts w:ascii="Times New Roman" w:hAnsi="Times New Roman" w:eastAsia="宋体"/>
                <w:color w:val="0000FF"/>
                <w:szCs w:val="21"/>
              </w:rPr>
            </w:pPr>
            <w:r>
              <w:rPr>
                <w:rFonts w:ascii="Times New Roman" w:hAnsi="Times New Roman" w:eastAsia="宋体"/>
                <w:color w:val="0000FF"/>
                <w:szCs w:val="21"/>
              </w:rPr>
              <w:t>环境功能区</w:t>
            </w:r>
          </w:p>
        </w:tc>
        <w:tc>
          <w:tcPr>
            <w:tcW w:w="1950" w:type="dxa"/>
            <w:gridSpan w:val="5"/>
            <w:noWrap w:val="0"/>
            <w:vAlign w:val="center"/>
          </w:tcPr>
          <w:p w14:paraId="5742A049">
            <w:pPr>
              <w:pStyle w:val="28"/>
              <w:spacing w:line="240" w:lineRule="auto"/>
              <w:ind w:firstLine="0"/>
              <w:jc w:val="center"/>
              <w:rPr>
                <w:rFonts w:ascii="Times New Roman" w:hAnsi="Times New Roman" w:eastAsia="宋体" w:cs="Times New Roman"/>
                <w:color w:val="0000FF"/>
                <w:szCs w:val="21"/>
              </w:rPr>
            </w:pPr>
            <w:r>
              <w:rPr>
                <w:rFonts w:ascii="Times New Roman" w:hAnsi="Times New Roman" w:eastAsia="宋体" w:cs="Times New Roman"/>
                <w:color w:val="0000FF"/>
                <w:szCs w:val="21"/>
              </w:rPr>
              <w:t>一类区□</w:t>
            </w:r>
          </w:p>
        </w:tc>
        <w:tc>
          <w:tcPr>
            <w:tcW w:w="2661" w:type="dxa"/>
            <w:gridSpan w:val="9"/>
            <w:noWrap w:val="0"/>
            <w:vAlign w:val="center"/>
          </w:tcPr>
          <w:p w14:paraId="399B7B16">
            <w:pPr>
              <w:pStyle w:val="28"/>
              <w:spacing w:line="240" w:lineRule="auto"/>
              <w:ind w:firstLine="0"/>
              <w:jc w:val="center"/>
              <w:rPr>
                <w:rFonts w:ascii="Times New Roman" w:hAnsi="Times New Roman" w:eastAsia="宋体" w:cs="Times New Roman"/>
                <w:color w:val="0000FF"/>
                <w:szCs w:val="21"/>
              </w:rPr>
            </w:pPr>
            <w:r>
              <w:rPr>
                <w:rFonts w:ascii="Times New Roman" w:hAnsi="Times New Roman" w:eastAsia="宋体" w:cs="Times New Roman"/>
                <w:color w:val="0000FF"/>
                <w:szCs w:val="21"/>
              </w:rPr>
              <w:t>二类区☑</w:t>
            </w:r>
          </w:p>
        </w:tc>
        <w:tc>
          <w:tcPr>
            <w:tcW w:w="1414" w:type="dxa"/>
            <w:gridSpan w:val="4"/>
            <w:noWrap w:val="0"/>
            <w:vAlign w:val="center"/>
          </w:tcPr>
          <w:p w14:paraId="0D1609A4">
            <w:pPr>
              <w:pStyle w:val="28"/>
              <w:spacing w:line="240" w:lineRule="auto"/>
              <w:ind w:firstLine="0"/>
              <w:jc w:val="center"/>
              <w:rPr>
                <w:rFonts w:ascii="Times New Roman" w:hAnsi="Times New Roman" w:eastAsia="宋体" w:cs="Times New Roman"/>
                <w:color w:val="0000FF"/>
                <w:szCs w:val="21"/>
              </w:rPr>
            </w:pPr>
            <w:r>
              <w:rPr>
                <w:rFonts w:ascii="Times New Roman" w:hAnsi="Times New Roman" w:eastAsia="宋体" w:cs="Times New Roman"/>
                <w:color w:val="0000FF"/>
                <w:szCs w:val="21"/>
              </w:rPr>
              <w:t>一类区和二类区□</w:t>
            </w:r>
          </w:p>
        </w:tc>
      </w:tr>
      <w:tr w14:paraId="47F1D36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gridAfter w:val="1"/>
          <w:wAfter w:w="184" w:type="dxa"/>
          <w:trHeight w:val="387" w:hRule="atLeast"/>
          <w:jc w:val="center"/>
        </w:trPr>
        <w:tc>
          <w:tcPr>
            <w:tcW w:w="1027" w:type="dxa"/>
            <w:vMerge w:val="continue"/>
            <w:noWrap w:val="0"/>
            <w:vAlign w:val="center"/>
          </w:tcPr>
          <w:p w14:paraId="53FBDCCB">
            <w:pPr>
              <w:pStyle w:val="28"/>
              <w:spacing w:line="240" w:lineRule="auto"/>
              <w:ind w:firstLine="0"/>
              <w:jc w:val="center"/>
              <w:rPr>
                <w:rFonts w:ascii="Times New Roman" w:hAnsi="Times New Roman" w:eastAsia="宋体" w:cs="Times New Roman"/>
                <w:color w:val="0000FF"/>
                <w:szCs w:val="21"/>
              </w:rPr>
            </w:pPr>
          </w:p>
        </w:tc>
        <w:tc>
          <w:tcPr>
            <w:tcW w:w="1260" w:type="dxa"/>
            <w:noWrap w:val="0"/>
            <w:vAlign w:val="center"/>
          </w:tcPr>
          <w:p w14:paraId="44086675">
            <w:pPr>
              <w:snapToGrid w:val="0"/>
              <w:jc w:val="center"/>
              <w:rPr>
                <w:rFonts w:ascii="Times New Roman" w:hAnsi="Times New Roman" w:eastAsia="宋体"/>
                <w:color w:val="0000FF"/>
                <w:szCs w:val="21"/>
              </w:rPr>
            </w:pPr>
            <w:r>
              <w:rPr>
                <w:rFonts w:ascii="Times New Roman" w:hAnsi="Times New Roman" w:eastAsia="宋体"/>
                <w:color w:val="0000FF"/>
                <w:szCs w:val="21"/>
              </w:rPr>
              <w:t>评价基准年</w:t>
            </w:r>
          </w:p>
        </w:tc>
        <w:tc>
          <w:tcPr>
            <w:tcW w:w="6025" w:type="dxa"/>
            <w:gridSpan w:val="18"/>
            <w:noWrap w:val="0"/>
            <w:vAlign w:val="center"/>
          </w:tcPr>
          <w:p w14:paraId="53869701">
            <w:pPr>
              <w:pStyle w:val="28"/>
              <w:spacing w:line="240" w:lineRule="auto"/>
              <w:ind w:firstLine="0"/>
              <w:jc w:val="center"/>
              <w:rPr>
                <w:rFonts w:ascii="Times New Roman" w:hAnsi="Times New Roman" w:eastAsia="宋体" w:cs="Times New Roman"/>
                <w:color w:val="0000FF"/>
                <w:szCs w:val="21"/>
              </w:rPr>
            </w:pPr>
            <w:r>
              <w:rPr>
                <w:rFonts w:ascii="Times New Roman" w:hAnsi="Times New Roman" w:eastAsia="宋体" w:cs="Times New Roman"/>
                <w:color w:val="0000FF"/>
                <w:szCs w:val="21"/>
              </w:rPr>
              <w:t>（2018）年</w:t>
            </w:r>
          </w:p>
        </w:tc>
      </w:tr>
      <w:tr w14:paraId="49B36BD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gridAfter w:val="1"/>
          <w:wAfter w:w="184" w:type="dxa"/>
          <w:trHeight w:val="786" w:hRule="atLeast"/>
          <w:jc w:val="center"/>
        </w:trPr>
        <w:tc>
          <w:tcPr>
            <w:tcW w:w="1027" w:type="dxa"/>
            <w:vMerge w:val="continue"/>
            <w:noWrap w:val="0"/>
            <w:vAlign w:val="center"/>
          </w:tcPr>
          <w:p w14:paraId="42121DEF">
            <w:pPr>
              <w:pStyle w:val="28"/>
              <w:spacing w:line="240" w:lineRule="auto"/>
              <w:ind w:firstLine="0"/>
              <w:jc w:val="center"/>
              <w:rPr>
                <w:rFonts w:ascii="Times New Roman" w:hAnsi="Times New Roman" w:eastAsia="宋体" w:cs="Times New Roman"/>
                <w:color w:val="0000FF"/>
                <w:szCs w:val="21"/>
              </w:rPr>
            </w:pPr>
          </w:p>
        </w:tc>
        <w:tc>
          <w:tcPr>
            <w:tcW w:w="1260" w:type="dxa"/>
            <w:noWrap w:val="0"/>
            <w:vAlign w:val="center"/>
          </w:tcPr>
          <w:p w14:paraId="0E711453">
            <w:pPr>
              <w:snapToGrid w:val="0"/>
              <w:jc w:val="center"/>
              <w:rPr>
                <w:rFonts w:ascii="Times New Roman" w:hAnsi="Times New Roman" w:eastAsia="宋体"/>
                <w:color w:val="0000FF"/>
                <w:szCs w:val="21"/>
              </w:rPr>
            </w:pPr>
            <w:r>
              <w:rPr>
                <w:rFonts w:ascii="Times New Roman" w:hAnsi="Times New Roman" w:eastAsia="宋体"/>
                <w:color w:val="0000FF"/>
                <w:szCs w:val="21"/>
              </w:rPr>
              <w:t>环境空气质量现状调查数据来源</w:t>
            </w:r>
          </w:p>
        </w:tc>
        <w:tc>
          <w:tcPr>
            <w:tcW w:w="1950" w:type="dxa"/>
            <w:gridSpan w:val="5"/>
            <w:noWrap w:val="0"/>
            <w:vAlign w:val="center"/>
          </w:tcPr>
          <w:p w14:paraId="7E314644">
            <w:pPr>
              <w:pStyle w:val="28"/>
              <w:spacing w:line="240" w:lineRule="auto"/>
              <w:ind w:firstLine="0"/>
              <w:jc w:val="center"/>
              <w:rPr>
                <w:rFonts w:ascii="Times New Roman" w:hAnsi="Times New Roman" w:eastAsia="宋体" w:cs="Times New Roman"/>
                <w:color w:val="0000FF"/>
                <w:szCs w:val="21"/>
              </w:rPr>
            </w:pPr>
            <w:r>
              <w:rPr>
                <w:rFonts w:ascii="Times New Roman" w:hAnsi="Times New Roman" w:eastAsia="宋体" w:cs="Times New Roman"/>
                <w:color w:val="0000FF"/>
                <w:szCs w:val="21"/>
              </w:rPr>
              <w:t>长期例行监测数据☑</w:t>
            </w:r>
          </w:p>
        </w:tc>
        <w:tc>
          <w:tcPr>
            <w:tcW w:w="2661" w:type="dxa"/>
            <w:gridSpan w:val="9"/>
            <w:noWrap w:val="0"/>
            <w:vAlign w:val="center"/>
          </w:tcPr>
          <w:p w14:paraId="1C52791B">
            <w:pPr>
              <w:pStyle w:val="28"/>
              <w:spacing w:line="240" w:lineRule="auto"/>
              <w:ind w:firstLine="0"/>
              <w:jc w:val="center"/>
              <w:rPr>
                <w:rFonts w:ascii="Times New Roman" w:hAnsi="Times New Roman" w:eastAsia="宋体" w:cs="Times New Roman"/>
                <w:color w:val="0000FF"/>
                <w:szCs w:val="21"/>
              </w:rPr>
            </w:pPr>
            <w:r>
              <w:rPr>
                <w:rFonts w:ascii="Times New Roman" w:hAnsi="Times New Roman" w:eastAsia="宋体" w:cs="Times New Roman"/>
                <w:color w:val="0000FF"/>
                <w:szCs w:val="21"/>
              </w:rPr>
              <w:t>主管部门发布的数据☑</w:t>
            </w:r>
          </w:p>
        </w:tc>
        <w:tc>
          <w:tcPr>
            <w:tcW w:w="1414" w:type="dxa"/>
            <w:gridSpan w:val="4"/>
            <w:noWrap w:val="0"/>
            <w:vAlign w:val="center"/>
          </w:tcPr>
          <w:p w14:paraId="78E0007D">
            <w:pPr>
              <w:pStyle w:val="28"/>
              <w:spacing w:line="240" w:lineRule="auto"/>
              <w:ind w:firstLine="0"/>
              <w:jc w:val="center"/>
              <w:rPr>
                <w:rFonts w:ascii="Times New Roman" w:hAnsi="Times New Roman" w:eastAsia="宋体" w:cs="Times New Roman"/>
                <w:color w:val="0000FF"/>
                <w:szCs w:val="21"/>
              </w:rPr>
            </w:pPr>
            <w:r>
              <w:rPr>
                <w:rFonts w:ascii="Times New Roman" w:hAnsi="Times New Roman" w:eastAsia="宋体" w:cs="Times New Roman"/>
                <w:color w:val="0000FF"/>
                <w:szCs w:val="21"/>
              </w:rPr>
              <w:t>现状补充监测□</w:t>
            </w:r>
          </w:p>
        </w:tc>
      </w:tr>
      <w:tr w14:paraId="3960D46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gridAfter w:val="1"/>
          <w:wAfter w:w="184" w:type="dxa"/>
          <w:trHeight w:val="387" w:hRule="atLeast"/>
          <w:jc w:val="center"/>
        </w:trPr>
        <w:tc>
          <w:tcPr>
            <w:tcW w:w="1027" w:type="dxa"/>
            <w:vMerge w:val="continue"/>
            <w:noWrap w:val="0"/>
            <w:vAlign w:val="center"/>
          </w:tcPr>
          <w:p w14:paraId="2781910A">
            <w:pPr>
              <w:pStyle w:val="28"/>
              <w:spacing w:line="240" w:lineRule="auto"/>
              <w:ind w:firstLine="0"/>
              <w:jc w:val="center"/>
              <w:rPr>
                <w:rFonts w:ascii="Times New Roman" w:hAnsi="Times New Roman" w:eastAsia="宋体" w:cs="Times New Roman"/>
                <w:color w:val="0000FF"/>
                <w:szCs w:val="21"/>
              </w:rPr>
            </w:pPr>
          </w:p>
        </w:tc>
        <w:tc>
          <w:tcPr>
            <w:tcW w:w="1260" w:type="dxa"/>
            <w:noWrap w:val="0"/>
            <w:vAlign w:val="center"/>
          </w:tcPr>
          <w:p w14:paraId="6B7C7C15">
            <w:pPr>
              <w:snapToGrid w:val="0"/>
              <w:jc w:val="center"/>
              <w:rPr>
                <w:rFonts w:ascii="Times New Roman" w:hAnsi="Times New Roman" w:eastAsia="宋体"/>
                <w:color w:val="0000FF"/>
                <w:szCs w:val="21"/>
              </w:rPr>
            </w:pPr>
            <w:r>
              <w:rPr>
                <w:rFonts w:ascii="Times New Roman" w:hAnsi="Times New Roman" w:eastAsia="宋体"/>
                <w:color w:val="0000FF"/>
                <w:szCs w:val="21"/>
              </w:rPr>
              <w:t>现状评价</w:t>
            </w:r>
          </w:p>
        </w:tc>
        <w:tc>
          <w:tcPr>
            <w:tcW w:w="2976" w:type="dxa"/>
            <w:gridSpan w:val="10"/>
            <w:noWrap w:val="0"/>
            <w:vAlign w:val="center"/>
          </w:tcPr>
          <w:p w14:paraId="75A383CD">
            <w:pPr>
              <w:pStyle w:val="28"/>
              <w:spacing w:line="240" w:lineRule="auto"/>
              <w:ind w:firstLine="0"/>
              <w:jc w:val="center"/>
              <w:rPr>
                <w:rFonts w:ascii="Times New Roman" w:hAnsi="Times New Roman" w:eastAsia="宋体" w:cs="Times New Roman"/>
                <w:color w:val="0000FF"/>
                <w:szCs w:val="21"/>
              </w:rPr>
            </w:pPr>
            <w:r>
              <w:rPr>
                <w:rFonts w:ascii="Times New Roman" w:hAnsi="Times New Roman" w:eastAsia="宋体" w:cs="Times New Roman"/>
                <w:color w:val="0000FF"/>
                <w:szCs w:val="21"/>
              </w:rPr>
              <w:t>达标区□</w:t>
            </w:r>
          </w:p>
        </w:tc>
        <w:tc>
          <w:tcPr>
            <w:tcW w:w="3049" w:type="dxa"/>
            <w:gridSpan w:val="8"/>
            <w:noWrap w:val="0"/>
            <w:vAlign w:val="center"/>
          </w:tcPr>
          <w:p w14:paraId="2F01D215">
            <w:pPr>
              <w:pStyle w:val="28"/>
              <w:spacing w:line="240" w:lineRule="auto"/>
              <w:ind w:firstLine="0"/>
              <w:jc w:val="center"/>
              <w:rPr>
                <w:rFonts w:ascii="Times New Roman" w:hAnsi="Times New Roman" w:eastAsia="宋体" w:cs="Times New Roman"/>
                <w:color w:val="0000FF"/>
                <w:szCs w:val="21"/>
              </w:rPr>
            </w:pPr>
            <w:r>
              <w:rPr>
                <w:rFonts w:ascii="Times New Roman" w:hAnsi="Times New Roman" w:eastAsia="宋体" w:cs="Times New Roman"/>
                <w:color w:val="0000FF"/>
                <w:szCs w:val="21"/>
              </w:rPr>
              <w:t>不达标区☑</w:t>
            </w:r>
          </w:p>
        </w:tc>
      </w:tr>
      <w:tr w14:paraId="7F98A7E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gridAfter w:val="1"/>
          <w:wAfter w:w="184" w:type="dxa"/>
          <w:trHeight w:val="1492" w:hRule="atLeast"/>
          <w:jc w:val="center"/>
        </w:trPr>
        <w:tc>
          <w:tcPr>
            <w:tcW w:w="1027" w:type="dxa"/>
            <w:noWrap w:val="0"/>
            <w:vAlign w:val="center"/>
          </w:tcPr>
          <w:p w14:paraId="3A224281">
            <w:pPr>
              <w:pStyle w:val="28"/>
              <w:spacing w:line="240" w:lineRule="auto"/>
              <w:ind w:firstLine="0"/>
              <w:jc w:val="center"/>
              <w:rPr>
                <w:rFonts w:ascii="Times New Roman" w:hAnsi="Times New Roman" w:eastAsia="宋体" w:cs="Times New Roman"/>
                <w:color w:val="0000FF"/>
                <w:szCs w:val="21"/>
              </w:rPr>
            </w:pPr>
            <w:r>
              <w:rPr>
                <w:rFonts w:ascii="Times New Roman" w:hAnsi="Times New Roman" w:eastAsia="宋体" w:cs="Times New Roman"/>
                <w:color w:val="0000FF"/>
                <w:szCs w:val="21"/>
              </w:rPr>
              <w:t>污染源</w:t>
            </w:r>
          </w:p>
          <w:p w14:paraId="1F71F8C2">
            <w:pPr>
              <w:pStyle w:val="28"/>
              <w:spacing w:line="240" w:lineRule="auto"/>
              <w:ind w:firstLine="0"/>
              <w:jc w:val="center"/>
              <w:rPr>
                <w:rFonts w:ascii="Times New Roman" w:hAnsi="Times New Roman" w:eastAsia="宋体" w:cs="Times New Roman"/>
                <w:color w:val="0000FF"/>
                <w:szCs w:val="21"/>
              </w:rPr>
            </w:pPr>
            <w:r>
              <w:rPr>
                <w:rFonts w:ascii="Times New Roman" w:hAnsi="Times New Roman" w:eastAsia="宋体" w:cs="Times New Roman"/>
                <w:color w:val="0000FF"/>
                <w:szCs w:val="21"/>
              </w:rPr>
              <w:t>调查</w:t>
            </w:r>
          </w:p>
        </w:tc>
        <w:tc>
          <w:tcPr>
            <w:tcW w:w="1260" w:type="dxa"/>
            <w:noWrap w:val="0"/>
            <w:vAlign w:val="center"/>
          </w:tcPr>
          <w:p w14:paraId="5550AEE5">
            <w:pPr>
              <w:snapToGrid w:val="0"/>
              <w:jc w:val="center"/>
              <w:rPr>
                <w:rFonts w:ascii="Times New Roman" w:hAnsi="Times New Roman" w:eastAsia="宋体"/>
                <w:color w:val="0000FF"/>
                <w:szCs w:val="21"/>
              </w:rPr>
            </w:pPr>
            <w:r>
              <w:rPr>
                <w:rFonts w:ascii="Times New Roman" w:hAnsi="Times New Roman" w:eastAsia="宋体"/>
                <w:color w:val="0000FF"/>
                <w:szCs w:val="21"/>
              </w:rPr>
              <w:t>调查内容</w:t>
            </w:r>
          </w:p>
        </w:tc>
        <w:tc>
          <w:tcPr>
            <w:tcW w:w="1950" w:type="dxa"/>
            <w:gridSpan w:val="5"/>
            <w:noWrap w:val="0"/>
            <w:vAlign w:val="center"/>
          </w:tcPr>
          <w:p w14:paraId="3B70A205">
            <w:pPr>
              <w:pStyle w:val="28"/>
              <w:spacing w:line="240" w:lineRule="auto"/>
              <w:ind w:firstLine="0"/>
              <w:jc w:val="center"/>
              <w:rPr>
                <w:rFonts w:ascii="Times New Roman" w:hAnsi="Times New Roman" w:eastAsia="宋体" w:cs="Times New Roman"/>
                <w:color w:val="0000FF"/>
                <w:szCs w:val="21"/>
              </w:rPr>
            </w:pPr>
            <w:r>
              <w:rPr>
                <w:rFonts w:ascii="Times New Roman" w:hAnsi="Times New Roman" w:eastAsia="宋体" w:cs="Times New Roman"/>
                <w:color w:val="0000FF"/>
                <w:szCs w:val="21"/>
              </w:rPr>
              <w:t>本项目正常排放源☑</w:t>
            </w:r>
          </w:p>
          <w:p w14:paraId="5DF1CC01">
            <w:pPr>
              <w:pStyle w:val="28"/>
              <w:spacing w:line="240" w:lineRule="auto"/>
              <w:ind w:firstLine="0"/>
              <w:jc w:val="center"/>
              <w:rPr>
                <w:rFonts w:ascii="Times New Roman" w:hAnsi="Times New Roman" w:eastAsia="宋体" w:cs="Times New Roman"/>
                <w:color w:val="0000FF"/>
                <w:szCs w:val="21"/>
              </w:rPr>
            </w:pPr>
            <w:r>
              <w:rPr>
                <w:rFonts w:ascii="Times New Roman" w:hAnsi="Times New Roman" w:eastAsia="宋体" w:cs="Times New Roman"/>
                <w:color w:val="0000FF"/>
                <w:szCs w:val="21"/>
              </w:rPr>
              <w:t>本项目非正常排放源□</w:t>
            </w:r>
          </w:p>
          <w:p w14:paraId="6F253F38">
            <w:pPr>
              <w:pStyle w:val="28"/>
              <w:spacing w:line="240" w:lineRule="auto"/>
              <w:ind w:firstLine="0"/>
              <w:jc w:val="center"/>
              <w:rPr>
                <w:rFonts w:ascii="Times New Roman" w:hAnsi="Times New Roman" w:eastAsia="宋体" w:cs="Times New Roman"/>
                <w:color w:val="0000FF"/>
                <w:szCs w:val="21"/>
              </w:rPr>
            </w:pPr>
            <w:r>
              <w:rPr>
                <w:rFonts w:ascii="Times New Roman" w:hAnsi="Times New Roman" w:eastAsia="宋体" w:cs="Times New Roman"/>
                <w:color w:val="0000FF"/>
                <w:szCs w:val="21"/>
              </w:rPr>
              <w:t>现有污染源☑</w:t>
            </w:r>
          </w:p>
        </w:tc>
        <w:tc>
          <w:tcPr>
            <w:tcW w:w="1026" w:type="dxa"/>
            <w:gridSpan w:val="5"/>
            <w:noWrap w:val="0"/>
            <w:vAlign w:val="center"/>
          </w:tcPr>
          <w:p w14:paraId="7FF2852B">
            <w:pPr>
              <w:pStyle w:val="28"/>
              <w:spacing w:line="240" w:lineRule="auto"/>
              <w:ind w:firstLine="0"/>
              <w:jc w:val="center"/>
              <w:rPr>
                <w:rFonts w:ascii="Times New Roman" w:hAnsi="Times New Roman" w:eastAsia="宋体" w:cs="Times New Roman"/>
                <w:color w:val="0000FF"/>
                <w:szCs w:val="21"/>
              </w:rPr>
            </w:pPr>
            <w:r>
              <w:rPr>
                <w:rFonts w:ascii="Times New Roman" w:hAnsi="Times New Roman" w:eastAsia="宋体" w:cs="Times New Roman"/>
                <w:color w:val="0000FF"/>
                <w:szCs w:val="21"/>
              </w:rPr>
              <w:t>拟替代的污染源□</w:t>
            </w:r>
          </w:p>
        </w:tc>
        <w:tc>
          <w:tcPr>
            <w:tcW w:w="1635" w:type="dxa"/>
            <w:gridSpan w:val="4"/>
            <w:noWrap w:val="0"/>
            <w:vAlign w:val="center"/>
          </w:tcPr>
          <w:p w14:paraId="75B9CCAC">
            <w:pPr>
              <w:pStyle w:val="28"/>
              <w:spacing w:line="240" w:lineRule="auto"/>
              <w:ind w:firstLine="0"/>
              <w:jc w:val="center"/>
              <w:rPr>
                <w:rFonts w:ascii="Times New Roman" w:hAnsi="Times New Roman" w:eastAsia="宋体" w:cs="Times New Roman"/>
                <w:color w:val="0000FF"/>
                <w:szCs w:val="21"/>
              </w:rPr>
            </w:pPr>
            <w:r>
              <w:rPr>
                <w:rFonts w:ascii="Times New Roman" w:hAnsi="Times New Roman" w:eastAsia="宋体" w:cs="Times New Roman"/>
                <w:color w:val="0000FF"/>
                <w:szCs w:val="21"/>
              </w:rPr>
              <w:t>其他在建、拟建项目污染源□</w:t>
            </w:r>
          </w:p>
        </w:tc>
        <w:tc>
          <w:tcPr>
            <w:tcW w:w="1414" w:type="dxa"/>
            <w:gridSpan w:val="4"/>
            <w:noWrap w:val="0"/>
            <w:vAlign w:val="center"/>
          </w:tcPr>
          <w:p w14:paraId="45D5981C">
            <w:pPr>
              <w:pStyle w:val="28"/>
              <w:spacing w:line="240" w:lineRule="auto"/>
              <w:ind w:firstLine="0"/>
              <w:jc w:val="center"/>
              <w:rPr>
                <w:rFonts w:ascii="Times New Roman" w:hAnsi="Times New Roman" w:eastAsia="宋体" w:cs="Times New Roman"/>
                <w:color w:val="0000FF"/>
                <w:szCs w:val="21"/>
              </w:rPr>
            </w:pPr>
            <w:r>
              <w:rPr>
                <w:rFonts w:ascii="Times New Roman" w:hAnsi="Times New Roman" w:eastAsia="宋体" w:cs="Times New Roman"/>
                <w:color w:val="0000FF"/>
                <w:szCs w:val="21"/>
              </w:rPr>
              <w:t>区域污染源□</w:t>
            </w:r>
          </w:p>
        </w:tc>
      </w:tr>
      <w:tr w14:paraId="05E95D6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899" w:hRule="atLeast"/>
          <w:jc w:val="center"/>
        </w:trPr>
        <w:tc>
          <w:tcPr>
            <w:tcW w:w="1027" w:type="dxa"/>
            <w:vMerge w:val="restart"/>
            <w:noWrap w:val="0"/>
            <w:vAlign w:val="center"/>
          </w:tcPr>
          <w:p w14:paraId="5A1796C9">
            <w:pPr>
              <w:pStyle w:val="28"/>
              <w:spacing w:line="240" w:lineRule="auto"/>
              <w:ind w:firstLine="0"/>
              <w:jc w:val="center"/>
              <w:rPr>
                <w:rFonts w:ascii="Times New Roman" w:hAnsi="Times New Roman" w:eastAsia="宋体" w:cs="Times New Roman"/>
                <w:color w:val="0000FF"/>
                <w:szCs w:val="21"/>
              </w:rPr>
            </w:pPr>
            <w:r>
              <w:rPr>
                <w:rFonts w:ascii="Times New Roman" w:hAnsi="Times New Roman" w:eastAsia="宋体" w:cs="Times New Roman"/>
                <w:color w:val="0000FF"/>
                <w:szCs w:val="21"/>
              </w:rPr>
              <w:t>大气环境影响预测与评价</w:t>
            </w:r>
          </w:p>
        </w:tc>
        <w:tc>
          <w:tcPr>
            <w:tcW w:w="1260" w:type="dxa"/>
            <w:noWrap w:val="0"/>
            <w:vAlign w:val="center"/>
          </w:tcPr>
          <w:p w14:paraId="7C3973D7">
            <w:pPr>
              <w:snapToGrid w:val="0"/>
              <w:jc w:val="center"/>
              <w:rPr>
                <w:rFonts w:ascii="Times New Roman" w:hAnsi="Times New Roman" w:eastAsia="宋体"/>
                <w:color w:val="0000FF"/>
                <w:szCs w:val="21"/>
              </w:rPr>
            </w:pPr>
            <w:r>
              <w:rPr>
                <w:rFonts w:ascii="Times New Roman" w:hAnsi="Times New Roman" w:eastAsia="宋体"/>
                <w:color w:val="0000FF"/>
                <w:szCs w:val="21"/>
              </w:rPr>
              <w:t>预测模型</w:t>
            </w:r>
          </w:p>
        </w:tc>
        <w:tc>
          <w:tcPr>
            <w:tcW w:w="675" w:type="dxa"/>
            <w:noWrap w:val="0"/>
            <w:vAlign w:val="center"/>
          </w:tcPr>
          <w:p w14:paraId="7D002BE7">
            <w:pPr>
              <w:pStyle w:val="28"/>
              <w:spacing w:line="240" w:lineRule="auto"/>
              <w:ind w:firstLine="0"/>
              <w:jc w:val="center"/>
              <w:rPr>
                <w:rFonts w:ascii="Times New Roman" w:hAnsi="Times New Roman" w:eastAsia="宋体" w:cs="Times New Roman"/>
                <w:color w:val="0000FF"/>
                <w:szCs w:val="21"/>
              </w:rPr>
            </w:pPr>
            <w:r>
              <w:rPr>
                <w:rFonts w:ascii="Times New Roman" w:hAnsi="Times New Roman" w:eastAsia="宋体" w:cs="Times New Roman"/>
                <w:color w:val="0000FF"/>
                <w:szCs w:val="21"/>
              </w:rPr>
              <w:t>AERMOD□</w:t>
            </w:r>
          </w:p>
        </w:tc>
        <w:tc>
          <w:tcPr>
            <w:tcW w:w="435" w:type="dxa"/>
            <w:noWrap w:val="0"/>
            <w:vAlign w:val="center"/>
          </w:tcPr>
          <w:p w14:paraId="555FDF9A">
            <w:pPr>
              <w:pStyle w:val="28"/>
              <w:spacing w:line="240" w:lineRule="auto"/>
              <w:ind w:firstLine="0"/>
              <w:jc w:val="center"/>
              <w:rPr>
                <w:rFonts w:ascii="Times New Roman" w:hAnsi="Times New Roman" w:eastAsia="宋体" w:cs="Times New Roman"/>
                <w:color w:val="0000FF"/>
                <w:szCs w:val="21"/>
              </w:rPr>
            </w:pPr>
            <w:r>
              <w:rPr>
                <w:rFonts w:ascii="Times New Roman" w:hAnsi="Times New Roman" w:eastAsia="宋体" w:cs="Times New Roman"/>
                <w:color w:val="0000FF"/>
                <w:szCs w:val="21"/>
              </w:rPr>
              <w:t>ADMS□</w:t>
            </w:r>
          </w:p>
        </w:tc>
        <w:tc>
          <w:tcPr>
            <w:tcW w:w="1180" w:type="dxa"/>
            <w:gridSpan w:val="4"/>
            <w:noWrap w:val="0"/>
            <w:vAlign w:val="center"/>
          </w:tcPr>
          <w:p w14:paraId="797F062E">
            <w:pPr>
              <w:pStyle w:val="28"/>
              <w:spacing w:line="240" w:lineRule="auto"/>
              <w:ind w:firstLine="0"/>
              <w:jc w:val="center"/>
              <w:rPr>
                <w:rFonts w:ascii="Times New Roman" w:hAnsi="Times New Roman" w:eastAsia="宋体" w:cs="Times New Roman"/>
                <w:color w:val="0000FF"/>
                <w:szCs w:val="21"/>
              </w:rPr>
            </w:pPr>
            <w:r>
              <w:rPr>
                <w:rFonts w:ascii="Times New Roman" w:hAnsi="Times New Roman" w:eastAsia="宋体" w:cs="Times New Roman"/>
                <w:color w:val="0000FF"/>
                <w:szCs w:val="21"/>
              </w:rPr>
              <w:t>AUSTAL</w:t>
            </w:r>
            <w:r>
              <w:rPr>
                <w:rFonts w:hint="eastAsia" w:ascii="Times New Roman" w:hAnsi="Times New Roman" w:eastAsia="宋体" w:cs="Times New Roman"/>
                <w:color w:val="0000FF"/>
                <w:szCs w:val="21"/>
                <w:lang w:eastAsia="zh-CN"/>
              </w:rPr>
              <w:t>5000</w:t>
            </w:r>
            <w:r>
              <w:rPr>
                <w:rFonts w:ascii="Times New Roman" w:hAnsi="Times New Roman" w:eastAsia="宋体" w:cs="Times New Roman"/>
                <w:color w:val="0000FF"/>
                <w:szCs w:val="21"/>
              </w:rPr>
              <w:t>□</w:t>
            </w:r>
          </w:p>
        </w:tc>
        <w:tc>
          <w:tcPr>
            <w:tcW w:w="1357" w:type="dxa"/>
            <w:gridSpan w:val="6"/>
            <w:noWrap w:val="0"/>
            <w:vAlign w:val="center"/>
          </w:tcPr>
          <w:p w14:paraId="71B092A9">
            <w:pPr>
              <w:pStyle w:val="28"/>
              <w:spacing w:line="240" w:lineRule="auto"/>
              <w:ind w:firstLine="0"/>
              <w:jc w:val="center"/>
              <w:rPr>
                <w:rFonts w:ascii="Times New Roman" w:hAnsi="Times New Roman" w:eastAsia="宋体" w:cs="Times New Roman"/>
                <w:color w:val="0000FF"/>
                <w:szCs w:val="21"/>
              </w:rPr>
            </w:pPr>
            <w:r>
              <w:rPr>
                <w:rFonts w:ascii="Times New Roman" w:hAnsi="Times New Roman" w:eastAsia="宋体" w:cs="Times New Roman"/>
                <w:color w:val="0000FF"/>
                <w:szCs w:val="21"/>
              </w:rPr>
              <w:t>EDMS/AEDT□</w:t>
            </w:r>
          </w:p>
        </w:tc>
        <w:tc>
          <w:tcPr>
            <w:tcW w:w="1148" w:type="dxa"/>
            <w:gridSpan w:val="3"/>
            <w:noWrap w:val="0"/>
            <w:vAlign w:val="center"/>
          </w:tcPr>
          <w:p w14:paraId="0E34AAD9">
            <w:pPr>
              <w:pStyle w:val="28"/>
              <w:spacing w:line="240" w:lineRule="auto"/>
              <w:ind w:firstLine="0"/>
              <w:jc w:val="center"/>
              <w:rPr>
                <w:rFonts w:ascii="Times New Roman" w:hAnsi="Times New Roman" w:eastAsia="宋体" w:cs="Times New Roman"/>
                <w:color w:val="0000FF"/>
                <w:szCs w:val="21"/>
              </w:rPr>
            </w:pPr>
            <w:r>
              <w:rPr>
                <w:rFonts w:ascii="Times New Roman" w:hAnsi="Times New Roman" w:eastAsia="宋体" w:cs="Times New Roman"/>
                <w:color w:val="0000FF"/>
                <w:szCs w:val="21"/>
              </w:rPr>
              <w:t>CALPUFF□</w:t>
            </w:r>
          </w:p>
        </w:tc>
        <w:tc>
          <w:tcPr>
            <w:tcW w:w="900" w:type="dxa"/>
            <w:gridSpan w:val="2"/>
            <w:noWrap w:val="0"/>
            <w:vAlign w:val="center"/>
          </w:tcPr>
          <w:p w14:paraId="49F43051">
            <w:pPr>
              <w:pStyle w:val="28"/>
              <w:spacing w:line="240" w:lineRule="auto"/>
              <w:ind w:firstLine="0"/>
              <w:jc w:val="center"/>
              <w:rPr>
                <w:rFonts w:ascii="Times New Roman" w:hAnsi="Times New Roman" w:eastAsia="宋体" w:cs="Times New Roman"/>
                <w:color w:val="0000FF"/>
                <w:szCs w:val="21"/>
              </w:rPr>
            </w:pPr>
            <w:r>
              <w:rPr>
                <w:rFonts w:ascii="Times New Roman" w:hAnsi="Times New Roman" w:eastAsia="宋体" w:cs="Times New Roman"/>
                <w:color w:val="0000FF"/>
                <w:szCs w:val="21"/>
              </w:rPr>
              <w:t>网格模型□</w:t>
            </w:r>
          </w:p>
        </w:tc>
        <w:tc>
          <w:tcPr>
            <w:tcW w:w="514" w:type="dxa"/>
            <w:gridSpan w:val="2"/>
            <w:noWrap w:val="0"/>
            <w:vAlign w:val="center"/>
          </w:tcPr>
          <w:p w14:paraId="0F9DAABF">
            <w:pPr>
              <w:pStyle w:val="28"/>
              <w:spacing w:line="240" w:lineRule="auto"/>
              <w:ind w:firstLine="0"/>
              <w:jc w:val="center"/>
              <w:rPr>
                <w:rFonts w:ascii="Times New Roman" w:hAnsi="Times New Roman" w:eastAsia="宋体" w:cs="Times New Roman"/>
                <w:color w:val="0000FF"/>
                <w:szCs w:val="21"/>
              </w:rPr>
            </w:pPr>
            <w:r>
              <w:rPr>
                <w:rFonts w:ascii="Times New Roman" w:hAnsi="Times New Roman" w:eastAsia="宋体" w:cs="Times New Roman"/>
                <w:color w:val="0000FF"/>
                <w:szCs w:val="21"/>
              </w:rPr>
              <w:t>其他☑</w:t>
            </w:r>
          </w:p>
        </w:tc>
      </w:tr>
      <w:tr w14:paraId="140440F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gridAfter w:val="1"/>
          <w:wAfter w:w="184" w:type="dxa"/>
          <w:trHeight w:val="603" w:hRule="atLeast"/>
          <w:jc w:val="center"/>
        </w:trPr>
        <w:tc>
          <w:tcPr>
            <w:tcW w:w="1027" w:type="dxa"/>
            <w:vMerge w:val="continue"/>
            <w:noWrap w:val="0"/>
            <w:vAlign w:val="center"/>
          </w:tcPr>
          <w:p w14:paraId="583B9C61">
            <w:pPr>
              <w:pStyle w:val="28"/>
              <w:spacing w:line="240" w:lineRule="auto"/>
              <w:ind w:firstLine="0"/>
              <w:jc w:val="center"/>
              <w:rPr>
                <w:rFonts w:ascii="Times New Roman" w:hAnsi="Times New Roman" w:eastAsia="宋体" w:cs="Times New Roman"/>
                <w:color w:val="0000FF"/>
                <w:szCs w:val="21"/>
              </w:rPr>
            </w:pPr>
          </w:p>
        </w:tc>
        <w:tc>
          <w:tcPr>
            <w:tcW w:w="1260" w:type="dxa"/>
            <w:noWrap w:val="0"/>
            <w:vAlign w:val="center"/>
          </w:tcPr>
          <w:p w14:paraId="3C8B4536">
            <w:pPr>
              <w:snapToGrid w:val="0"/>
              <w:jc w:val="center"/>
              <w:rPr>
                <w:rFonts w:ascii="Times New Roman" w:hAnsi="Times New Roman" w:eastAsia="宋体"/>
                <w:color w:val="0000FF"/>
                <w:szCs w:val="21"/>
              </w:rPr>
            </w:pPr>
            <w:r>
              <w:rPr>
                <w:rFonts w:ascii="Times New Roman" w:hAnsi="Times New Roman" w:eastAsia="宋体"/>
                <w:color w:val="0000FF"/>
                <w:szCs w:val="21"/>
              </w:rPr>
              <w:t>预测范围</w:t>
            </w:r>
          </w:p>
        </w:tc>
        <w:tc>
          <w:tcPr>
            <w:tcW w:w="1950" w:type="dxa"/>
            <w:gridSpan w:val="5"/>
            <w:noWrap w:val="0"/>
            <w:vAlign w:val="center"/>
          </w:tcPr>
          <w:p w14:paraId="00111343">
            <w:pPr>
              <w:pStyle w:val="28"/>
              <w:spacing w:line="240" w:lineRule="auto"/>
              <w:ind w:firstLine="0"/>
              <w:jc w:val="center"/>
              <w:rPr>
                <w:rFonts w:ascii="Times New Roman" w:hAnsi="Times New Roman" w:eastAsia="宋体" w:cs="Times New Roman"/>
                <w:color w:val="0000FF"/>
                <w:szCs w:val="21"/>
              </w:rPr>
            </w:pPr>
            <w:r>
              <w:rPr>
                <w:rFonts w:ascii="Times New Roman" w:hAnsi="Times New Roman" w:eastAsia="宋体" w:cs="Times New Roman"/>
                <w:color w:val="0000FF"/>
                <w:szCs w:val="21"/>
              </w:rPr>
              <w:t>边长≥50km□</w:t>
            </w:r>
          </w:p>
        </w:tc>
        <w:tc>
          <w:tcPr>
            <w:tcW w:w="2661" w:type="dxa"/>
            <w:gridSpan w:val="9"/>
            <w:noWrap w:val="0"/>
            <w:vAlign w:val="center"/>
          </w:tcPr>
          <w:p w14:paraId="0D265DBE">
            <w:pPr>
              <w:pStyle w:val="28"/>
              <w:spacing w:line="240" w:lineRule="auto"/>
              <w:ind w:firstLine="0"/>
              <w:jc w:val="center"/>
              <w:rPr>
                <w:rFonts w:ascii="Times New Roman" w:hAnsi="Times New Roman" w:eastAsia="宋体" w:cs="Times New Roman"/>
                <w:color w:val="0000FF"/>
                <w:szCs w:val="21"/>
              </w:rPr>
            </w:pPr>
            <w:r>
              <w:rPr>
                <w:rFonts w:ascii="Times New Roman" w:hAnsi="Times New Roman" w:eastAsia="宋体" w:cs="Times New Roman"/>
                <w:color w:val="0000FF"/>
                <w:szCs w:val="21"/>
              </w:rPr>
              <w:t>边长5~50km□</w:t>
            </w:r>
          </w:p>
        </w:tc>
        <w:tc>
          <w:tcPr>
            <w:tcW w:w="1414" w:type="dxa"/>
            <w:gridSpan w:val="4"/>
            <w:noWrap w:val="0"/>
            <w:vAlign w:val="center"/>
          </w:tcPr>
          <w:p w14:paraId="13D6A190">
            <w:pPr>
              <w:pStyle w:val="28"/>
              <w:spacing w:line="240" w:lineRule="auto"/>
              <w:ind w:firstLine="0"/>
              <w:jc w:val="center"/>
              <w:rPr>
                <w:rFonts w:ascii="Times New Roman" w:hAnsi="Times New Roman" w:eastAsia="宋体" w:cs="Times New Roman"/>
                <w:color w:val="0000FF"/>
                <w:szCs w:val="21"/>
              </w:rPr>
            </w:pPr>
            <w:r>
              <w:rPr>
                <w:rFonts w:ascii="Times New Roman" w:hAnsi="Times New Roman" w:eastAsia="宋体" w:cs="Times New Roman"/>
                <w:color w:val="0000FF"/>
                <w:szCs w:val="21"/>
              </w:rPr>
              <w:t>边长=5km☑</w:t>
            </w:r>
          </w:p>
        </w:tc>
      </w:tr>
      <w:tr w14:paraId="0F4CE6E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gridAfter w:val="1"/>
          <w:wAfter w:w="184" w:type="dxa"/>
          <w:trHeight w:val="603" w:hRule="atLeast"/>
          <w:jc w:val="center"/>
        </w:trPr>
        <w:tc>
          <w:tcPr>
            <w:tcW w:w="1027" w:type="dxa"/>
            <w:vMerge w:val="continue"/>
            <w:noWrap w:val="0"/>
            <w:vAlign w:val="center"/>
          </w:tcPr>
          <w:p w14:paraId="4FEEE3C2">
            <w:pPr>
              <w:pStyle w:val="28"/>
              <w:spacing w:line="240" w:lineRule="auto"/>
              <w:ind w:firstLine="0"/>
              <w:jc w:val="center"/>
              <w:rPr>
                <w:rFonts w:ascii="Times New Roman" w:hAnsi="Times New Roman" w:eastAsia="宋体" w:cs="Times New Roman"/>
                <w:color w:val="0000FF"/>
                <w:szCs w:val="21"/>
              </w:rPr>
            </w:pPr>
          </w:p>
        </w:tc>
        <w:tc>
          <w:tcPr>
            <w:tcW w:w="1260" w:type="dxa"/>
            <w:noWrap w:val="0"/>
            <w:vAlign w:val="center"/>
          </w:tcPr>
          <w:p w14:paraId="574D7BE7">
            <w:pPr>
              <w:snapToGrid w:val="0"/>
              <w:jc w:val="center"/>
              <w:rPr>
                <w:rFonts w:ascii="Times New Roman" w:hAnsi="Times New Roman" w:eastAsia="宋体"/>
                <w:color w:val="0000FF"/>
                <w:szCs w:val="21"/>
              </w:rPr>
            </w:pPr>
            <w:r>
              <w:rPr>
                <w:rFonts w:ascii="Times New Roman" w:hAnsi="Times New Roman" w:eastAsia="宋体"/>
                <w:color w:val="0000FF"/>
                <w:szCs w:val="21"/>
              </w:rPr>
              <w:t>预测因子</w:t>
            </w:r>
          </w:p>
        </w:tc>
        <w:tc>
          <w:tcPr>
            <w:tcW w:w="3463" w:type="dxa"/>
            <w:gridSpan w:val="11"/>
            <w:noWrap w:val="0"/>
            <w:vAlign w:val="center"/>
          </w:tcPr>
          <w:p w14:paraId="5D3915C3">
            <w:pPr>
              <w:pStyle w:val="28"/>
              <w:spacing w:line="240" w:lineRule="auto"/>
              <w:ind w:firstLine="0"/>
              <w:jc w:val="center"/>
              <w:rPr>
                <w:rFonts w:ascii="Times New Roman" w:hAnsi="Times New Roman" w:eastAsia="宋体" w:cs="Times New Roman"/>
                <w:color w:val="0000FF"/>
                <w:szCs w:val="21"/>
              </w:rPr>
            </w:pPr>
            <w:r>
              <w:rPr>
                <w:rFonts w:ascii="Times New Roman" w:hAnsi="Times New Roman" w:eastAsia="宋体" w:cs="Times New Roman"/>
                <w:color w:val="0000FF"/>
                <w:szCs w:val="21"/>
              </w:rPr>
              <w:t>预测因子（</w:t>
            </w:r>
            <w:r>
              <w:rPr>
                <w:rStyle w:val="26"/>
                <w:rFonts w:eastAsia="宋体"/>
                <w:color w:val="0000FF"/>
                <w:sz w:val="21"/>
                <w:szCs w:val="21"/>
                <w:lang w:bidi="ar"/>
              </w:rPr>
              <w:t>非甲烷总烃</w:t>
            </w:r>
            <w:r>
              <w:rPr>
                <w:rStyle w:val="26"/>
                <w:rFonts w:hint="eastAsia" w:eastAsia="宋体"/>
                <w:color w:val="0000FF"/>
                <w:sz w:val="21"/>
                <w:szCs w:val="21"/>
                <w:lang w:eastAsia="zh-CN" w:bidi="ar"/>
              </w:rPr>
              <w:t>、硫酸雾</w:t>
            </w:r>
            <w:r>
              <w:rPr>
                <w:rFonts w:ascii="Times New Roman" w:hAnsi="Times New Roman" w:eastAsia="宋体" w:cs="Times New Roman"/>
                <w:color w:val="0000FF"/>
                <w:szCs w:val="21"/>
              </w:rPr>
              <w:t>）</w:t>
            </w:r>
          </w:p>
        </w:tc>
        <w:tc>
          <w:tcPr>
            <w:tcW w:w="2562" w:type="dxa"/>
            <w:gridSpan w:val="7"/>
            <w:noWrap w:val="0"/>
            <w:vAlign w:val="center"/>
          </w:tcPr>
          <w:p w14:paraId="548AC073">
            <w:pPr>
              <w:pStyle w:val="28"/>
              <w:spacing w:line="240" w:lineRule="auto"/>
              <w:ind w:firstLine="0"/>
              <w:jc w:val="center"/>
              <w:rPr>
                <w:rFonts w:ascii="Times New Roman" w:hAnsi="Times New Roman" w:eastAsia="宋体" w:cs="Times New Roman"/>
                <w:color w:val="0000FF"/>
                <w:szCs w:val="21"/>
              </w:rPr>
            </w:pPr>
            <w:r>
              <w:rPr>
                <w:rFonts w:ascii="Times New Roman" w:hAnsi="Times New Roman" w:eastAsia="宋体" w:cs="Times New Roman"/>
                <w:color w:val="0000FF"/>
                <w:szCs w:val="21"/>
              </w:rPr>
              <w:t>包括二次PM</w:t>
            </w:r>
            <w:r>
              <w:rPr>
                <w:rFonts w:ascii="Times New Roman" w:hAnsi="Times New Roman" w:eastAsia="宋体" w:cs="Times New Roman"/>
                <w:color w:val="0000FF"/>
                <w:szCs w:val="21"/>
                <w:vertAlign w:val="subscript"/>
              </w:rPr>
              <w:t>2.5</w:t>
            </w:r>
            <w:r>
              <w:rPr>
                <w:rFonts w:ascii="Times New Roman" w:hAnsi="Times New Roman" w:eastAsia="宋体" w:cs="Times New Roman"/>
                <w:color w:val="0000FF"/>
                <w:szCs w:val="21"/>
              </w:rPr>
              <w:t>□</w:t>
            </w:r>
          </w:p>
          <w:p w14:paraId="47115E84">
            <w:pPr>
              <w:pStyle w:val="28"/>
              <w:spacing w:line="240" w:lineRule="auto"/>
              <w:ind w:firstLine="0"/>
              <w:jc w:val="center"/>
              <w:rPr>
                <w:rFonts w:ascii="Times New Roman" w:hAnsi="Times New Roman" w:eastAsia="宋体" w:cs="Times New Roman"/>
                <w:color w:val="0000FF"/>
                <w:szCs w:val="21"/>
              </w:rPr>
            </w:pPr>
            <w:r>
              <w:rPr>
                <w:rFonts w:ascii="Times New Roman" w:hAnsi="Times New Roman" w:eastAsia="宋体" w:cs="Times New Roman"/>
                <w:color w:val="0000FF"/>
                <w:szCs w:val="21"/>
              </w:rPr>
              <w:t>不包括二次PM</w:t>
            </w:r>
            <w:r>
              <w:rPr>
                <w:rFonts w:ascii="Times New Roman" w:hAnsi="Times New Roman" w:eastAsia="宋体" w:cs="Times New Roman"/>
                <w:color w:val="0000FF"/>
                <w:szCs w:val="21"/>
                <w:vertAlign w:val="subscript"/>
              </w:rPr>
              <w:t>2.5</w:t>
            </w:r>
            <w:r>
              <w:rPr>
                <w:rFonts w:ascii="Times New Roman" w:hAnsi="Times New Roman" w:eastAsia="宋体" w:cs="Times New Roman"/>
                <w:color w:val="0000FF"/>
                <w:szCs w:val="21"/>
              </w:rPr>
              <w:t>☑</w:t>
            </w:r>
          </w:p>
        </w:tc>
      </w:tr>
      <w:tr w14:paraId="42596A0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gridAfter w:val="1"/>
          <w:wAfter w:w="184" w:type="dxa"/>
          <w:trHeight w:val="786" w:hRule="atLeast"/>
          <w:jc w:val="center"/>
        </w:trPr>
        <w:tc>
          <w:tcPr>
            <w:tcW w:w="1027" w:type="dxa"/>
            <w:vMerge w:val="continue"/>
            <w:noWrap w:val="0"/>
            <w:vAlign w:val="center"/>
          </w:tcPr>
          <w:p w14:paraId="3F64B945">
            <w:pPr>
              <w:pStyle w:val="28"/>
              <w:spacing w:line="240" w:lineRule="auto"/>
              <w:ind w:firstLine="0"/>
              <w:jc w:val="center"/>
              <w:rPr>
                <w:rFonts w:ascii="Times New Roman" w:hAnsi="Times New Roman" w:eastAsia="宋体" w:cs="Times New Roman"/>
                <w:color w:val="0000FF"/>
                <w:szCs w:val="21"/>
              </w:rPr>
            </w:pPr>
          </w:p>
        </w:tc>
        <w:tc>
          <w:tcPr>
            <w:tcW w:w="1260" w:type="dxa"/>
            <w:noWrap w:val="0"/>
            <w:vAlign w:val="center"/>
          </w:tcPr>
          <w:p w14:paraId="38AEB93C">
            <w:pPr>
              <w:snapToGrid w:val="0"/>
              <w:jc w:val="center"/>
              <w:rPr>
                <w:rFonts w:ascii="Times New Roman" w:hAnsi="Times New Roman" w:eastAsia="宋体"/>
                <w:color w:val="0000FF"/>
                <w:szCs w:val="21"/>
              </w:rPr>
            </w:pPr>
            <w:r>
              <w:rPr>
                <w:rFonts w:ascii="Times New Roman" w:hAnsi="Times New Roman" w:eastAsia="宋体"/>
                <w:color w:val="0000FF"/>
                <w:szCs w:val="21"/>
              </w:rPr>
              <w:t>正常排放短期浓度贡献值</w:t>
            </w:r>
          </w:p>
        </w:tc>
        <w:tc>
          <w:tcPr>
            <w:tcW w:w="3463" w:type="dxa"/>
            <w:gridSpan w:val="11"/>
            <w:noWrap w:val="0"/>
            <w:vAlign w:val="center"/>
          </w:tcPr>
          <w:p w14:paraId="3272099F">
            <w:pPr>
              <w:pStyle w:val="28"/>
              <w:spacing w:line="240" w:lineRule="auto"/>
              <w:ind w:firstLine="0"/>
              <w:jc w:val="center"/>
              <w:rPr>
                <w:rFonts w:ascii="Times New Roman" w:hAnsi="Times New Roman" w:eastAsia="宋体" w:cs="Times New Roman"/>
                <w:color w:val="0000FF"/>
                <w:szCs w:val="21"/>
              </w:rPr>
            </w:pPr>
            <w:r>
              <w:rPr>
                <w:rFonts w:ascii="Times New Roman" w:hAnsi="Times New Roman" w:eastAsia="宋体" w:cs="Times New Roman"/>
                <w:color w:val="0000FF"/>
                <w:szCs w:val="21"/>
              </w:rPr>
              <w:t>C</w:t>
            </w:r>
            <w:r>
              <w:rPr>
                <w:rFonts w:ascii="Times New Roman" w:hAnsi="Times New Roman" w:eastAsia="宋体" w:cs="Times New Roman"/>
                <w:color w:val="0000FF"/>
                <w:szCs w:val="21"/>
                <w:vertAlign w:val="subscript"/>
              </w:rPr>
              <w:t>本项目</w:t>
            </w:r>
            <w:r>
              <w:rPr>
                <w:rFonts w:ascii="Times New Roman" w:hAnsi="Times New Roman" w:eastAsia="宋体" w:cs="Times New Roman"/>
                <w:color w:val="0000FF"/>
                <w:szCs w:val="21"/>
              </w:rPr>
              <w:t>最大占标率≤100%☑</w:t>
            </w:r>
          </w:p>
        </w:tc>
        <w:tc>
          <w:tcPr>
            <w:tcW w:w="2562" w:type="dxa"/>
            <w:gridSpan w:val="7"/>
            <w:noWrap w:val="0"/>
            <w:vAlign w:val="center"/>
          </w:tcPr>
          <w:p w14:paraId="236D4D78">
            <w:pPr>
              <w:pStyle w:val="28"/>
              <w:spacing w:line="240" w:lineRule="auto"/>
              <w:ind w:firstLine="0"/>
              <w:jc w:val="center"/>
              <w:rPr>
                <w:rFonts w:ascii="Times New Roman" w:hAnsi="Times New Roman" w:eastAsia="宋体" w:cs="Times New Roman"/>
                <w:color w:val="0000FF"/>
                <w:szCs w:val="21"/>
              </w:rPr>
            </w:pPr>
            <w:r>
              <w:rPr>
                <w:rFonts w:ascii="Times New Roman" w:hAnsi="Times New Roman" w:eastAsia="宋体" w:cs="Times New Roman"/>
                <w:color w:val="0000FF"/>
                <w:szCs w:val="21"/>
              </w:rPr>
              <w:t>C</w:t>
            </w:r>
            <w:r>
              <w:rPr>
                <w:rFonts w:ascii="Times New Roman" w:hAnsi="Times New Roman" w:eastAsia="宋体" w:cs="Times New Roman"/>
                <w:color w:val="0000FF"/>
                <w:szCs w:val="21"/>
                <w:vertAlign w:val="subscript"/>
              </w:rPr>
              <w:t>本项目</w:t>
            </w:r>
            <w:r>
              <w:rPr>
                <w:rFonts w:ascii="Times New Roman" w:hAnsi="Times New Roman" w:eastAsia="宋体" w:cs="Times New Roman"/>
                <w:color w:val="0000FF"/>
                <w:szCs w:val="21"/>
              </w:rPr>
              <w:t>最大占标率＞100%□</w:t>
            </w:r>
          </w:p>
        </w:tc>
      </w:tr>
      <w:tr w14:paraId="103DBF6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gridAfter w:val="1"/>
          <w:wAfter w:w="184" w:type="dxa"/>
          <w:trHeight w:val="603" w:hRule="atLeast"/>
          <w:jc w:val="center"/>
        </w:trPr>
        <w:tc>
          <w:tcPr>
            <w:tcW w:w="1027" w:type="dxa"/>
            <w:vMerge w:val="continue"/>
            <w:noWrap w:val="0"/>
            <w:vAlign w:val="center"/>
          </w:tcPr>
          <w:p w14:paraId="222F29FB">
            <w:pPr>
              <w:pStyle w:val="28"/>
              <w:spacing w:line="240" w:lineRule="auto"/>
              <w:ind w:firstLine="0"/>
              <w:jc w:val="center"/>
              <w:rPr>
                <w:rFonts w:ascii="Times New Roman" w:hAnsi="Times New Roman" w:eastAsia="宋体" w:cs="Times New Roman"/>
                <w:color w:val="0000FF"/>
                <w:szCs w:val="21"/>
              </w:rPr>
            </w:pPr>
          </w:p>
        </w:tc>
        <w:tc>
          <w:tcPr>
            <w:tcW w:w="1260" w:type="dxa"/>
            <w:vMerge w:val="restart"/>
            <w:noWrap w:val="0"/>
            <w:vAlign w:val="center"/>
          </w:tcPr>
          <w:p w14:paraId="32A6F1A7">
            <w:pPr>
              <w:snapToGrid w:val="0"/>
              <w:jc w:val="center"/>
              <w:rPr>
                <w:rFonts w:ascii="Times New Roman" w:hAnsi="Times New Roman" w:eastAsia="宋体"/>
                <w:color w:val="0000FF"/>
                <w:szCs w:val="21"/>
              </w:rPr>
            </w:pPr>
            <w:r>
              <w:rPr>
                <w:rFonts w:ascii="Times New Roman" w:hAnsi="Times New Roman" w:eastAsia="宋体"/>
                <w:color w:val="0000FF"/>
                <w:szCs w:val="21"/>
              </w:rPr>
              <w:t>正常排放年均浓度贡献值</w:t>
            </w:r>
          </w:p>
        </w:tc>
        <w:tc>
          <w:tcPr>
            <w:tcW w:w="1950" w:type="dxa"/>
            <w:gridSpan w:val="5"/>
            <w:noWrap w:val="0"/>
            <w:vAlign w:val="center"/>
          </w:tcPr>
          <w:p w14:paraId="451D985C">
            <w:pPr>
              <w:pStyle w:val="28"/>
              <w:spacing w:line="240" w:lineRule="auto"/>
              <w:ind w:firstLine="0"/>
              <w:jc w:val="center"/>
              <w:rPr>
                <w:rFonts w:ascii="Times New Roman" w:hAnsi="Times New Roman" w:eastAsia="宋体" w:cs="Times New Roman"/>
                <w:color w:val="0000FF"/>
                <w:szCs w:val="21"/>
              </w:rPr>
            </w:pPr>
            <w:r>
              <w:rPr>
                <w:rFonts w:ascii="Times New Roman" w:hAnsi="Times New Roman" w:eastAsia="宋体" w:cs="Times New Roman"/>
                <w:color w:val="0000FF"/>
                <w:szCs w:val="21"/>
              </w:rPr>
              <w:t>一类区</w:t>
            </w:r>
          </w:p>
        </w:tc>
        <w:tc>
          <w:tcPr>
            <w:tcW w:w="1513" w:type="dxa"/>
            <w:gridSpan w:val="6"/>
            <w:noWrap w:val="0"/>
            <w:vAlign w:val="center"/>
          </w:tcPr>
          <w:p w14:paraId="0A0660EB">
            <w:pPr>
              <w:pStyle w:val="28"/>
              <w:spacing w:line="240" w:lineRule="auto"/>
              <w:ind w:firstLine="0"/>
              <w:jc w:val="center"/>
              <w:rPr>
                <w:rFonts w:ascii="Times New Roman" w:hAnsi="Times New Roman" w:eastAsia="宋体" w:cs="Times New Roman"/>
                <w:color w:val="0000FF"/>
                <w:szCs w:val="21"/>
              </w:rPr>
            </w:pPr>
            <w:r>
              <w:rPr>
                <w:rFonts w:ascii="Times New Roman" w:hAnsi="Times New Roman" w:eastAsia="宋体" w:cs="Times New Roman"/>
                <w:color w:val="0000FF"/>
                <w:szCs w:val="21"/>
              </w:rPr>
              <w:t>C</w:t>
            </w:r>
            <w:r>
              <w:rPr>
                <w:rFonts w:ascii="Times New Roman" w:hAnsi="Times New Roman" w:eastAsia="宋体" w:cs="Times New Roman"/>
                <w:color w:val="0000FF"/>
                <w:szCs w:val="21"/>
                <w:vertAlign w:val="subscript"/>
              </w:rPr>
              <w:t>本项目</w:t>
            </w:r>
            <w:r>
              <w:rPr>
                <w:rFonts w:ascii="Times New Roman" w:hAnsi="Times New Roman" w:eastAsia="宋体" w:cs="Times New Roman"/>
                <w:color w:val="0000FF"/>
                <w:szCs w:val="21"/>
              </w:rPr>
              <w:t>最大占标率≤10%□</w:t>
            </w:r>
          </w:p>
        </w:tc>
        <w:tc>
          <w:tcPr>
            <w:tcW w:w="2562" w:type="dxa"/>
            <w:gridSpan w:val="7"/>
            <w:noWrap w:val="0"/>
            <w:vAlign w:val="center"/>
          </w:tcPr>
          <w:p w14:paraId="156707D4">
            <w:pPr>
              <w:pStyle w:val="28"/>
              <w:spacing w:line="240" w:lineRule="auto"/>
              <w:ind w:firstLine="0"/>
              <w:jc w:val="center"/>
              <w:rPr>
                <w:rFonts w:ascii="Times New Roman" w:hAnsi="Times New Roman" w:eastAsia="宋体" w:cs="Times New Roman"/>
                <w:color w:val="0000FF"/>
                <w:szCs w:val="21"/>
              </w:rPr>
            </w:pPr>
            <w:r>
              <w:rPr>
                <w:rFonts w:ascii="Times New Roman" w:hAnsi="Times New Roman" w:eastAsia="宋体" w:cs="Times New Roman"/>
                <w:color w:val="0000FF"/>
                <w:szCs w:val="21"/>
              </w:rPr>
              <w:t>C</w:t>
            </w:r>
            <w:r>
              <w:rPr>
                <w:rFonts w:ascii="Times New Roman" w:hAnsi="Times New Roman" w:eastAsia="宋体" w:cs="Times New Roman"/>
                <w:color w:val="0000FF"/>
                <w:szCs w:val="21"/>
                <w:vertAlign w:val="subscript"/>
              </w:rPr>
              <w:t>本项目</w:t>
            </w:r>
            <w:r>
              <w:rPr>
                <w:rFonts w:ascii="Times New Roman" w:hAnsi="Times New Roman" w:eastAsia="宋体" w:cs="Times New Roman"/>
                <w:color w:val="0000FF"/>
                <w:szCs w:val="21"/>
              </w:rPr>
              <w:t>最大占标率＞10%□</w:t>
            </w:r>
          </w:p>
        </w:tc>
      </w:tr>
      <w:tr w14:paraId="39E771F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gridAfter w:val="1"/>
          <w:wAfter w:w="184" w:type="dxa"/>
          <w:trHeight w:val="603" w:hRule="atLeast"/>
          <w:jc w:val="center"/>
        </w:trPr>
        <w:tc>
          <w:tcPr>
            <w:tcW w:w="1027" w:type="dxa"/>
            <w:vMerge w:val="continue"/>
            <w:noWrap w:val="0"/>
            <w:vAlign w:val="center"/>
          </w:tcPr>
          <w:p w14:paraId="6BAA4A3C">
            <w:pPr>
              <w:pStyle w:val="28"/>
              <w:spacing w:line="240" w:lineRule="auto"/>
              <w:ind w:firstLine="0"/>
              <w:jc w:val="center"/>
              <w:rPr>
                <w:rFonts w:ascii="Times New Roman" w:hAnsi="Times New Roman" w:eastAsia="宋体" w:cs="Times New Roman"/>
                <w:color w:val="0000FF"/>
                <w:szCs w:val="21"/>
              </w:rPr>
            </w:pPr>
          </w:p>
        </w:tc>
        <w:tc>
          <w:tcPr>
            <w:tcW w:w="1260" w:type="dxa"/>
            <w:vMerge w:val="continue"/>
            <w:noWrap w:val="0"/>
            <w:vAlign w:val="center"/>
          </w:tcPr>
          <w:p w14:paraId="005FC317">
            <w:pPr>
              <w:snapToGrid w:val="0"/>
              <w:jc w:val="center"/>
              <w:rPr>
                <w:rFonts w:ascii="Times New Roman" w:hAnsi="Times New Roman" w:eastAsia="宋体"/>
                <w:color w:val="0000FF"/>
                <w:szCs w:val="21"/>
              </w:rPr>
            </w:pPr>
          </w:p>
        </w:tc>
        <w:tc>
          <w:tcPr>
            <w:tcW w:w="1950" w:type="dxa"/>
            <w:gridSpan w:val="5"/>
            <w:noWrap w:val="0"/>
            <w:vAlign w:val="center"/>
          </w:tcPr>
          <w:p w14:paraId="3014A22C">
            <w:pPr>
              <w:pStyle w:val="28"/>
              <w:spacing w:line="240" w:lineRule="auto"/>
              <w:ind w:firstLine="0"/>
              <w:jc w:val="center"/>
              <w:rPr>
                <w:rFonts w:ascii="Times New Roman" w:hAnsi="Times New Roman" w:eastAsia="宋体" w:cs="Times New Roman"/>
                <w:color w:val="0000FF"/>
                <w:szCs w:val="21"/>
              </w:rPr>
            </w:pPr>
            <w:r>
              <w:rPr>
                <w:rFonts w:ascii="Times New Roman" w:hAnsi="Times New Roman" w:eastAsia="宋体" w:cs="Times New Roman"/>
                <w:color w:val="0000FF"/>
                <w:szCs w:val="21"/>
              </w:rPr>
              <w:t>二类区</w:t>
            </w:r>
          </w:p>
        </w:tc>
        <w:tc>
          <w:tcPr>
            <w:tcW w:w="1513" w:type="dxa"/>
            <w:gridSpan w:val="6"/>
            <w:noWrap w:val="0"/>
            <w:vAlign w:val="center"/>
          </w:tcPr>
          <w:p w14:paraId="646D81B0">
            <w:pPr>
              <w:pStyle w:val="28"/>
              <w:spacing w:line="240" w:lineRule="auto"/>
              <w:ind w:firstLine="0"/>
              <w:jc w:val="center"/>
              <w:rPr>
                <w:rFonts w:ascii="Times New Roman" w:hAnsi="Times New Roman" w:eastAsia="宋体" w:cs="Times New Roman"/>
                <w:color w:val="0000FF"/>
                <w:szCs w:val="21"/>
              </w:rPr>
            </w:pPr>
            <w:r>
              <w:rPr>
                <w:rFonts w:ascii="Times New Roman" w:hAnsi="Times New Roman" w:eastAsia="宋体" w:cs="Times New Roman"/>
                <w:color w:val="0000FF"/>
                <w:szCs w:val="21"/>
              </w:rPr>
              <w:t>C</w:t>
            </w:r>
            <w:r>
              <w:rPr>
                <w:rFonts w:ascii="Times New Roman" w:hAnsi="Times New Roman" w:eastAsia="宋体" w:cs="Times New Roman"/>
                <w:color w:val="0000FF"/>
                <w:szCs w:val="21"/>
                <w:vertAlign w:val="subscript"/>
              </w:rPr>
              <w:t>本项目</w:t>
            </w:r>
            <w:r>
              <w:rPr>
                <w:rFonts w:ascii="Times New Roman" w:hAnsi="Times New Roman" w:eastAsia="宋体" w:cs="Times New Roman"/>
                <w:color w:val="0000FF"/>
                <w:szCs w:val="21"/>
              </w:rPr>
              <w:t>最大占标率≤30%☑</w:t>
            </w:r>
          </w:p>
        </w:tc>
        <w:tc>
          <w:tcPr>
            <w:tcW w:w="2562" w:type="dxa"/>
            <w:gridSpan w:val="7"/>
            <w:noWrap w:val="0"/>
            <w:vAlign w:val="center"/>
          </w:tcPr>
          <w:p w14:paraId="62979772">
            <w:pPr>
              <w:pStyle w:val="28"/>
              <w:spacing w:line="240" w:lineRule="auto"/>
              <w:ind w:firstLine="0"/>
              <w:jc w:val="center"/>
              <w:rPr>
                <w:rFonts w:ascii="Times New Roman" w:hAnsi="Times New Roman" w:eastAsia="宋体" w:cs="Times New Roman"/>
                <w:color w:val="0000FF"/>
                <w:szCs w:val="21"/>
              </w:rPr>
            </w:pPr>
            <w:r>
              <w:rPr>
                <w:rFonts w:ascii="Times New Roman" w:hAnsi="Times New Roman" w:eastAsia="宋体" w:cs="Times New Roman"/>
                <w:color w:val="0000FF"/>
                <w:szCs w:val="21"/>
              </w:rPr>
              <w:t>C</w:t>
            </w:r>
            <w:r>
              <w:rPr>
                <w:rFonts w:ascii="Times New Roman" w:hAnsi="Times New Roman" w:eastAsia="宋体" w:cs="Times New Roman"/>
                <w:color w:val="0000FF"/>
                <w:szCs w:val="21"/>
                <w:vertAlign w:val="subscript"/>
              </w:rPr>
              <w:t>本项目</w:t>
            </w:r>
            <w:r>
              <w:rPr>
                <w:rFonts w:ascii="Times New Roman" w:hAnsi="Times New Roman" w:eastAsia="宋体" w:cs="Times New Roman"/>
                <w:color w:val="0000FF"/>
                <w:szCs w:val="21"/>
              </w:rPr>
              <w:t>最大占标率＞30%□</w:t>
            </w:r>
          </w:p>
        </w:tc>
      </w:tr>
      <w:tr w14:paraId="40EBC77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gridAfter w:val="1"/>
          <w:wAfter w:w="184" w:type="dxa"/>
          <w:trHeight w:val="786" w:hRule="atLeast"/>
          <w:jc w:val="center"/>
        </w:trPr>
        <w:tc>
          <w:tcPr>
            <w:tcW w:w="1027" w:type="dxa"/>
            <w:vMerge w:val="continue"/>
            <w:noWrap w:val="0"/>
            <w:vAlign w:val="center"/>
          </w:tcPr>
          <w:p w14:paraId="183756C5">
            <w:pPr>
              <w:pStyle w:val="28"/>
              <w:spacing w:line="240" w:lineRule="auto"/>
              <w:ind w:firstLine="0"/>
              <w:jc w:val="center"/>
              <w:rPr>
                <w:rFonts w:ascii="Times New Roman" w:hAnsi="Times New Roman" w:eastAsia="宋体" w:cs="Times New Roman"/>
                <w:color w:val="0000FF"/>
                <w:szCs w:val="21"/>
              </w:rPr>
            </w:pPr>
          </w:p>
        </w:tc>
        <w:tc>
          <w:tcPr>
            <w:tcW w:w="1260" w:type="dxa"/>
            <w:noWrap w:val="0"/>
            <w:vAlign w:val="center"/>
          </w:tcPr>
          <w:p w14:paraId="52ED327A">
            <w:pPr>
              <w:snapToGrid w:val="0"/>
              <w:jc w:val="center"/>
              <w:rPr>
                <w:rFonts w:ascii="Times New Roman" w:hAnsi="Times New Roman" w:eastAsia="宋体"/>
                <w:color w:val="0000FF"/>
                <w:szCs w:val="21"/>
              </w:rPr>
            </w:pPr>
            <w:r>
              <w:rPr>
                <w:rFonts w:ascii="Times New Roman" w:hAnsi="Times New Roman" w:eastAsia="宋体"/>
                <w:color w:val="0000FF"/>
                <w:szCs w:val="21"/>
              </w:rPr>
              <w:t>非正常排放1h浓度贡献值</w:t>
            </w:r>
          </w:p>
        </w:tc>
        <w:tc>
          <w:tcPr>
            <w:tcW w:w="1214" w:type="dxa"/>
            <w:gridSpan w:val="3"/>
            <w:noWrap w:val="0"/>
            <w:vAlign w:val="center"/>
          </w:tcPr>
          <w:p w14:paraId="12CD5520">
            <w:pPr>
              <w:pStyle w:val="28"/>
              <w:spacing w:line="240" w:lineRule="auto"/>
              <w:ind w:firstLine="0"/>
              <w:jc w:val="center"/>
              <w:rPr>
                <w:rFonts w:ascii="Times New Roman" w:hAnsi="Times New Roman" w:eastAsia="宋体" w:cs="Times New Roman"/>
                <w:color w:val="0000FF"/>
                <w:szCs w:val="21"/>
              </w:rPr>
            </w:pPr>
            <w:r>
              <w:rPr>
                <w:rFonts w:ascii="Times New Roman" w:hAnsi="Times New Roman" w:eastAsia="宋体" w:cs="Times New Roman"/>
                <w:color w:val="0000FF"/>
                <w:szCs w:val="21"/>
              </w:rPr>
              <w:t>非正常持续时长（）h</w:t>
            </w:r>
          </w:p>
        </w:tc>
        <w:tc>
          <w:tcPr>
            <w:tcW w:w="3082" w:type="dxa"/>
            <w:gridSpan w:val="10"/>
            <w:noWrap w:val="0"/>
            <w:vAlign w:val="center"/>
          </w:tcPr>
          <w:p w14:paraId="7F3E4BCE">
            <w:pPr>
              <w:pStyle w:val="28"/>
              <w:spacing w:line="240" w:lineRule="auto"/>
              <w:ind w:firstLine="0"/>
              <w:jc w:val="center"/>
              <w:rPr>
                <w:rFonts w:ascii="Times New Roman" w:hAnsi="Times New Roman" w:eastAsia="宋体" w:cs="Times New Roman"/>
                <w:color w:val="0000FF"/>
                <w:szCs w:val="21"/>
              </w:rPr>
            </w:pPr>
            <w:r>
              <w:rPr>
                <w:rFonts w:ascii="Times New Roman" w:hAnsi="Times New Roman" w:eastAsia="宋体" w:cs="Times New Roman"/>
                <w:color w:val="0000FF"/>
                <w:szCs w:val="21"/>
              </w:rPr>
              <w:t>C</w:t>
            </w:r>
            <w:r>
              <w:rPr>
                <w:rFonts w:ascii="Times New Roman" w:hAnsi="Times New Roman" w:eastAsia="宋体" w:cs="Times New Roman"/>
                <w:color w:val="0000FF"/>
                <w:szCs w:val="21"/>
                <w:vertAlign w:val="subscript"/>
              </w:rPr>
              <w:t>非正常</w:t>
            </w:r>
            <w:r>
              <w:rPr>
                <w:rFonts w:ascii="Times New Roman" w:hAnsi="Times New Roman" w:eastAsia="宋体" w:cs="Times New Roman"/>
                <w:color w:val="0000FF"/>
                <w:szCs w:val="21"/>
              </w:rPr>
              <w:t>占标率≤100%□</w:t>
            </w:r>
          </w:p>
        </w:tc>
        <w:tc>
          <w:tcPr>
            <w:tcW w:w="1729" w:type="dxa"/>
            <w:gridSpan w:val="5"/>
            <w:noWrap w:val="0"/>
            <w:vAlign w:val="center"/>
          </w:tcPr>
          <w:p w14:paraId="7CBC8A4C">
            <w:pPr>
              <w:pStyle w:val="28"/>
              <w:spacing w:line="240" w:lineRule="auto"/>
              <w:ind w:firstLine="0"/>
              <w:jc w:val="center"/>
              <w:rPr>
                <w:rFonts w:ascii="Times New Roman" w:hAnsi="Times New Roman" w:eastAsia="宋体" w:cs="Times New Roman"/>
                <w:color w:val="0000FF"/>
                <w:szCs w:val="21"/>
              </w:rPr>
            </w:pPr>
            <w:r>
              <w:rPr>
                <w:rFonts w:ascii="Times New Roman" w:hAnsi="Times New Roman" w:eastAsia="宋体" w:cs="Times New Roman"/>
                <w:color w:val="0000FF"/>
                <w:szCs w:val="21"/>
              </w:rPr>
              <w:t>C</w:t>
            </w:r>
            <w:r>
              <w:rPr>
                <w:rFonts w:ascii="Times New Roman" w:hAnsi="Times New Roman" w:eastAsia="宋体" w:cs="Times New Roman"/>
                <w:color w:val="0000FF"/>
                <w:szCs w:val="21"/>
                <w:vertAlign w:val="subscript"/>
              </w:rPr>
              <w:t>非正常</w:t>
            </w:r>
            <w:r>
              <w:rPr>
                <w:rFonts w:ascii="Times New Roman" w:hAnsi="Times New Roman" w:eastAsia="宋体" w:cs="Times New Roman"/>
                <w:color w:val="0000FF"/>
                <w:szCs w:val="21"/>
              </w:rPr>
              <w:t>占标率＞100%□</w:t>
            </w:r>
          </w:p>
        </w:tc>
      </w:tr>
      <w:tr w14:paraId="27A8C93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gridAfter w:val="1"/>
          <w:wAfter w:w="184" w:type="dxa"/>
          <w:trHeight w:val="1045" w:hRule="atLeast"/>
          <w:jc w:val="center"/>
        </w:trPr>
        <w:tc>
          <w:tcPr>
            <w:tcW w:w="1027" w:type="dxa"/>
            <w:vMerge w:val="continue"/>
            <w:noWrap w:val="0"/>
            <w:vAlign w:val="center"/>
          </w:tcPr>
          <w:p w14:paraId="3B8D14BC">
            <w:pPr>
              <w:pStyle w:val="28"/>
              <w:spacing w:line="240" w:lineRule="auto"/>
              <w:ind w:firstLine="0"/>
              <w:jc w:val="center"/>
              <w:rPr>
                <w:rFonts w:ascii="Times New Roman" w:hAnsi="Times New Roman" w:eastAsia="宋体" w:cs="Times New Roman"/>
                <w:color w:val="0000FF"/>
                <w:szCs w:val="21"/>
              </w:rPr>
            </w:pPr>
          </w:p>
        </w:tc>
        <w:tc>
          <w:tcPr>
            <w:tcW w:w="1260" w:type="dxa"/>
            <w:noWrap w:val="0"/>
            <w:vAlign w:val="center"/>
          </w:tcPr>
          <w:p w14:paraId="7B838B6F">
            <w:pPr>
              <w:snapToGrid w:val="0"/>
              <w:jc w:val="center"/>
              <w:rPr>
                <w:rFonts w:ascii="Times New Roman" w:hAnsi="Times New Roman" w:eastAsia="宋体"/>
                <w:color w:val="0000FF"/>
                <w:szCs w:val="21"/>
              </w:rPr>
            </w:pPr>
            <w:r>
              <w:rPr>
                <w:rFonts w:ascii="Times New Roman" w:hAnsi="Times New Roman" w:eastAsia="宋体"/>
                <w:color w:val="0000FF"/>
                <w:szCs w:val="21"/>
              </w:rPr>
              <w:t>保证率日平均浓度和年平均浓度叠加值</w:t>
            </w:r>
          </w:p>
        </w:tc>
        <w:tc>
          <w:tcPr>
            <w:tcW w:w="2324" w:type="dxa"/>
            <w:gridSpan w:val="7"/>
            <w:noWrap w:val="0"/>
            <w:vAlign w:val="center"/>
          </w:tcPr>
          <w:p w14:paraId="77F47527">
            <w:pPr>
              <w:pStyle w:val="28"/>
              <w:spacing w:line="240" w:lineRule="auto"/>
              <w:ind w:firstLine="0"/>
              <w:jc w:val="center"/>
              <w:rPr>
                <w:rFonts w:ascii="Times New Roman" w:hAnsi="Times New Roman" w:eastAsia="宋体" w:cs="Times New Roman"/>
                <w:color w:val="0000FF"/>
                <w:szCs w:val="21"/>
              </w:rPr>
            </w:pPr>
            <w:r>
              <w:rPr>
                <w:rFonts w:ascii="Times New Roman" w:hAnsi="Times New Roman" w:eastAsia="宋体" w:cs="Times New Roman"/>
                <w:color w:val="0000FF"/>
                <w:szCs w:val="21"/>
              </w:rPr>
              <w:t>C</w:t>
            </w:r>
            <w:r>
              <w:rPr>
                <w:rFonts w:ascii="Times New Roman" w:hAnsi="Times New Roman" w:eastAsia="宋体" w:cs="Times New Roman"/>
                <w:color w:val="0000FF"/>
                <w:szCs w:val="21"/>
                <w:vertAlign w:val="subscript"/>
              </w:rPr>
              <w:t>叠加</w:t>
            </w:r>
            <w:r>
              <w:rPr>
                <w:rFonts w:ascii="Times New Roman" w:hAnsi="Times New Roman" w:eastAsia="宋体" w:cs="Times New Roman"/>
                <w:color w:val="0000FF"/>
                <w:szCs w:val="21"/>
              </w:rPr>
              <w:t>达标□</w:t>
            </w:r>
          </w:p>
        </w:tc>
        <w:tc>
          <w:tcPr>
            <w:tcW w:w="3701" w:type="dxa"/>
            <w:gridSpan w:val="11"/>
            <w:noWrap w:val="0"/>
            <w:vAlign w:val="center"/>
          </w:tcPr>
          <w:p w14:paraId="1FCD8BA9">
            <w:pPr>
              <w:pStyle w:val="28"/>
              <w:spacing w:line="240" w:lineRule="auto"/>
              <w:ind w:firstLine="0"/>
              <w:jc w:val="center"/>
              <w:rPr>
                <w:rFonts w:ascii="Times New Roman" w:hAnsi="Times New Roman" w:eastAsia="宋体" w:cs="Times New Roman"/>
                <w:color w:val="0000FF"/>
                <w:szCs w:val="21"/>
              </w:rPr>
            </w:pPr>
            <w:r>
              <w:rPr>
                <w:rFonts w:ascii="Times New Roman" w:hAnsi="Times New Roman" w:eastAsia="宋体" w:cs="Times New Roman"/>
                <w:color w:val="0000FF"/>
                <w:szCs w:val="21"/>
              </w:rPr>
              <w:t>C</w:t>
            </w:r>
            <w:r>
              <w:rPr>
                <w:rFonts w:ascii="Times New Roman" w:hAnsi="Times New Roman" w:eastAsia="宋体" w:cs="Times New Roman"/>
                <w:color w:val="0000FF"/>
                <w:szCs w:val="21"/>
                <w:vertAlign w:val="subscript"/>
              </w:rPr>
              <w:t>叠加</w:t>
            </w:r>
            <w:r>
              <w:rPr>
                <w:rFonts w:ascii="Times New Roman" w:hAnsi="Times New Roman" w:eastAsia="宋体" w:cs="Times New Roman"/>
                <w:color w:val="0000FF"/>
                <w:szCs w:val="21"/>
              </w:rPr>
              <w:t>不达标□</w:t>
            </w:r>
          </w:p>
        </w:tc>
      </w:tr>
      <w:tr w14:paraId="01664EC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gridAfter w:val="1"/>
          <w:wAfter w:w="184" w:type="dxa"/>
          <w:trHeight w:val="786" w:hRule="atLeast"/>
          <w:jc w:val="center"/>
        </w:trPr>
        <w:tc>
          <w:tcPr>
            <w:tcW w:w="1027" w:type="dxa"/>
            <w:vMerge w:val="continue"/>
            <w:noWrap w:val="0"/>
            <w:vAlign w:val="center"/>
          </w:tcPr>
          <w:p w14:paraId="698CDAB6">
            <w:pPr>
              <w:pStyle w:val="28"/>
              <w:spacing w:line="240" w:lineRule="auto"/>
              <w:ind w:firstLine="0"/>
              <w:jc w:val="center"/>
              <w:rPr>
                <w:rFonts w:ascii="Times New Roman" w:hAnsi="Times New Roman" w:eastAsia="宋体" w:cs="Times New Roman"/>
                <w:color w:val="0000FF"/>
                <w:szCs w:val="21"/>
              </w:rPr>
            </w:pPr>
          </w:p>
        </w:tc>
        <w:tc>
          <w:tcPr>
            <w:tcW w:w="1260" w:type="dxa"/>
            <w:noWrap w:val="0"/>
            <w:vAlign w:val="center"/>
          </w:tcPr>
          <w:p w14:paraId="00E237EE">
            <w:pPr>
              <w:snapToGrid w:val="0"/>
              <w:jc w:val="center"/>
              <w:rPr>
                <w:rFonts w:ascii="Times New Roman" w:hAnsi="Times New Roman" w:eastAsia="宋体"/>
                <w:color w:val="0000FF"/>
                <w:szCs w:val="21"/>
              </w:rPr>
            </w:pPr>
            <w:r>
              <w:rPr>
                <w:rFonts w:ascii="Times New Roman" w:hAnsi="Times New Roman" w:eastAsia="宋体"/>
                <w:color w:val="0000FF"/>
                <w:szCs w:val="21"/>
              </w:rPr>
              <w:t>区域环境质量的整体变化情况</w:t>
            </w:r>
          </w:p>
        </w:tc>
        <w:tc>
          <w:tcPr>
            <w:tcW w:w="2324" w:type="dxa"/>
            <w:gridSpan w:val="7"/>
            <w:noWrap w:val="0"/>
            <w:vAlign w:val="center"/>
          </w:tcPr>
          <w:p w14:paraId="467C9B2E">
            <w:pPr>
              <w:pStyle w:val="28"/>
              <w:spacing w:line="240" w:lineRule="auto"/>
              <w:ind w:firstLine="0"/>
              <w:jc w:val="center"/>
              <w:rPr>
                <w:rFonts w:ascii="Times New Roman" w:hAnsi="Times New Roman" w:eastAsia="宋体" w:cs="Times New Roman"/>
                <w:color w:val="0000FF"/>
                <w:szCs w:val="21"/>
              </w:rPr>
            </w:pPr>
            <w:r>
              <w:rPr>
                <w:rFonts w:ascii="Times New Roman" w:hAnsi="Times New Roman" w:eastAsia="宋体" w:cs="Times New Roman"/>
                <w:color w:val="0000FF"/>
                <w:szCs w:val="21"/>
              </w:rPr>
              <w:t>k≤-20%☑</w:t>
            </w:r>
          </w:p>
        </w:tc>
        <w:tc>
          <w:tcPr>
            <w:tcW w:w="3701" w:type="dxa"/>
            <w:gridSpan w:val="11"/>
            <w:noWrap w:val="0"/>
            <w:vAlign w:val="center"/>
          </w:tcPr>
          <w:p w14:paraId="16BC2427">
            <w:pPr>
              <w:pStyle w:val="28"/>
              <w:spacing w:line="240" w:lineRule="auto"/>
              <w:ind w:firstLine="0"/>
              <w:jc w:val="center"/>
              <w:rPr>
                <w:rFonts w:ascii="Times New Roman" w:hAnsi="Times New Roman" w:eastAsia="宋体" w:cs="Times New Roman"/>
                <w:color w:val="0000FF"/>
                <w:szCs w:val="21"/>
              </w:rPr>
            </w:pPr>
            <w:r>
              <w:rPr>
                <w:rFonts w:ascii="Times New Roman" w:hAnsi="Times New Roman" w:eastAsia="宋体" w:cs="Times New Roman"/>
                <w:color w:val="0000FF"/>
                <w:szCs w:val="21"/>
              </w:rPr>
              <w:t>K＞-20%□</w:t>
            </w:r>
          </w:p>
        </w:tc>
      </w:tr>
      <w:tr w14:paraId="45EA0D7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gridAfter w:val="1"/>
          <w:wAfter w:w="184" w:type="dxa"/>
          <w:trHeight w:val="603" w:hRule="atLeast"/>
          <w:jc w:val="center"/>
        </w:trPr>
        <w:tc>
          <w:tcPr>
            <w:tcW w:w="1027" w:type="dxa"/>
            <w:vMerge w:val="restart"/>
            <w:noWrap w:val="0"/>
            <w:vAlign w:val="center"/>
          </w:tcPr>
          <w:p w14:paraId="504CD9F6">
            <w:pPr>
              <w:pStyle w:val="28"/>
              <w:spacing w:line="240" w:lineRule="auto"/>
              <w:ind w:firstLine="0"/>
              <w:jc w:val="center"/>
              <w:rPr>
                <w:rFonts w:ascii="Times New Roman" w:hAnsi="Times New Roman" w:eastAsia="宋体" w:cs="Times New Roman"/>
                <w:color w:val="0000FF"/>
                <w:szCs w:val="21"/>
              </w:rPr>
            </w:pPr>
            <w:r>
              <w:rPr>
                <w:rFonts w:ascii="Times New Roman" w:hAnsi="Times New Roman" w:eastAsia="宋体" w:cs="Times New Roman"/>
                <w:color w:val="0000FF"/>
                <w:szCs w:val="21"/>
              </w:rPr>
              <w:t>环境监测计划</w:t>
            </w:r>
          </w:p>
        </w:tc>
        <w:tc>
          <w:tcPr>
            <w:tcW w:w="1260" w:type="dxa"/>
            <w:noWrap w:val="0"/>
            <w:vAlign w:val="center"/>
          </w:tcPr>
          <w:p w14:paraId="4654A33B">
            <w:pPr>
              <w:snapToGrid w:val="0"/>
              <w:jc w:val="center"/>
              <w:rPr>
                <w:rFonts w:ascii="Times New Roman" w:hAnsi="Times New Roman" w:eastAsia="宋体"/>
                <w:color w:val="0000FF"/>
                <w:szCs w:val="21"/>
              </w:rPr>
            </w:pPr>
            <w:r>
              <w:rPr>
                <w:rFonts w:ascii="Times New Roman" w:hAnsi="Times New Roman" w:eastAsia="宋体"/>
                <w:color w:val="0000FF"/>
                <w:szCs w:val="21"/>
              </w:rPr>
              <w:t>污染源监测</w:t>
            </w:r>
          </w:p>
        </w:tc>
        <w:tc>
          <w:tcPr>
            <w:tcW w:w="1669" w:type="dxa"/>
            <w:gridSpan w:val="4"/>
            <w:noWrap w:val="0"/>
            <w:vAlign w:val="center"/>
          </w:tcPr>
          <w:p w14:paraId="4C92262B">
            <w:pPr>
              <w:pStyle w:val="28"/>
              <w:spacing w:line="240" w:lineRule="auto"/>
              <w:ind w:firstLine="0"/>
              <w:jc w:val="center"/>
              <w:rPr>
                <w:rFonts w:ascii="Times New Roman" w:hAnsi="Times New Roman" w:eastAsia="宋体" w:cs="Times New Roman"/>
                <w:color w:val="0000FF"/>
                <w:szCs w:val="21"/>
              </w:rPr>
            </w:pPr>
            <w:r>
              <w:rPr>
                <w:rFonts w:ascii="Times New Roman" w:hAnsi="Times New Roman" w:eastAsia="宋体" w:cs="Times New Roman"/>
                <w:color w:val="0000FF"/>
                <w:szCs w:val="21"/>
              </w:rPr>
              <w:t>监测因子：（</w:t>
            </w:r>
            <w:r>
              <w:rPr>
                <w:rStyle w:val="26"/>
                <w:rFonts w:eastAsia="宋体"/>
                <w:color w:val="0000FF"/>
                <w:sz w:val="21"/>
                <w:szCs w:val="21"/>
                <w:lang w:bidi="ar"/>
              </w:rPr>
              <w:t>非甲烷总烃</w:t>
            </w:r>
            <w:r>
              <w:rPr>
                <w:rStyle w:val="26"/>
                <w:rFonts w:hint="eastAsia" w:eastAsia="宋体"/>
                <w:color w:val="0000FF"/>
                <w:sz w:val="21"/>
                <w:szCs w:val="21"/>
                <w:lang w:eastAsia="zh-CN" w:bidi="ar"/>
              </w:rPr>
              <w:t>、硫酸雾</w:t>
            </w:r>
            <w:r>
              <w:rPr>
                <w:rFonts w:ascii="Times New Roman" w:hAnsi="Times New Roman" w:eastAsia="宋体" w:cs="Times New Roman"/>
                <w:color w:val="0000FF"/>
                <w:szCs w:val="21"/>
              </w:rPr>
              <w:t>）</w:t>
            </w:r>
          </w:p>
        </w:tc>
        <w:tc>
          <w:tcPr>
            <w:tcW w:w="2942" w:type="dxa"/>
            <w:gridSpan w:val="10"/>
            <w:noWrap w:val="0"/>
            <w:vAlign w:val="center"/>
          </w:tcPr>
          <w:p w14:paraId="7C136EA2">
            <w:pPr>
              <w:pStyle w:val="28"/>
              <w:spacing w:line="240" w:lineRule="auto"/>
              <w:ind w:firstLine="0"/>
              <w:jc w:val="center"/>
              <w:rPr>
                <w:rFonts w:hint="eastAsia" w:ascii="Times New Roman" w:hAnsi="Times New Roman" w:eastAsia="宋体" w:cs="Times New Roman"/>
                <w:color w:val="0000FF"/>
                <w:szCs w:val="21"/>
                <w:highlight w:val="none"/>
                <w:lang w:eastAsia="zh-CN"/>
              </w:rPr>
            </w:pPr>
            <w:r>
              <w:rPr>
                <w:rFonts w:ascii="Times New Roman" w:hAnsi="Times New Roman" w:eastAsia="宋体" w:cs="Times New Roman"/>
                <w:color w:val="0000FF"/>
                <w:szCs w:val="21"/>
                <w:highlight w:val="none"/>
              </w:rPr>
              <w:t>有组织废气监测</w:t>
            </w:r>
            <w:r>
              <w:rPr>
                <w:rFonts w:hint="eastAsia" w:ascii="Times New Roman" w:hAnsi="Times New Roman" w:eastAsia="宋体" w:cs="Times New Roman"/>
                <w:color w:val="0000FF"/>
                <w:szCs w:val="21"/>
                <w:highlight w:val="none"/>
                <w:lang w:eastAsia="zh-CN"/>
              </w:rPr>
              <w:t>☑</w:t>
            </w:r>
          </w:p>
          <w:p w14:paraId="018BBE69">
            <w:pPr>
              <w:pStyle w:val="28"/>
              <w:spacing w:line="240" w:lineRule="auto"/>
              <w:ind w:firstLine="0"/>
              <w:jc w:val="center"/>
              <w:rPr>
                <w:rFonts w:ascii="Times New Roman" w:hAnsi="Times New Roman" w:eastAsia="宋体" w:cs="Times New Roman"/>
                <w:color w:val="0000FF"/>
                <w:szCs w:val="21"/>
              </w:rPr>
            </w:pPr>
            <w:r>
              <w:rPr>
                <w:rFonts w:ascii="Times New Roman" w:hAnsi="Times New Roman" w:eastAsia="宋体" w:cs="Times New Roman"/>
                <w:color w:val="0000FF"/>
                <w:szCs w:val="21"/>
                <w:highlight w:val="none"/>
              </w:rPr>
              <w:t>无组织废气监测☑</w:t>
            </w:r>
          </w:p>
        </w:tc>
        <w:tc>
          <w:tcPr>
            <w:tcW w:w="1414" w:type="dxa"/>
            <w:gridSpan w:val="4"/>
            <w:noWrap w:val="0"/>
            <w:vAlign w:val="center"/>
          </w:tcPr>
          <w:p w14:paraId="5D7008D6">
            <w:pPr>
              <w:pStyle w:val="28"/>
              <w:spacing w:line="240" w:lineRule="auto"/>
              <w:ind w:firstLine="0"/>
              <w:jc w:val="center"/>
              <w:rPr>
                <w:rFonts w:ascii="Times New Roman" w:hAnsi="Times New Roman" w:eastAsia="宋体" w:cs="Times New Roman"/>
                <w:color w:val="0000FF"/>
                <w:szCs w:val="21"/>
              </w:rPr>
            </w:pPr>
            <w:r>
              <w:rPr>
                <w:rFonts w:ascii="Times New Roman" w:hAnsi="Times New Roman" w:eastAsia="宋体" w:cs="Times New Roman"/>
                <w:color w:val="0000FF"/>
                <w:szCs w:val="21"/>
              </w:rPr>
              <w:t>无监测□</w:t>
            </w:r>
          </w:p>
        </w:tc>
      </w:tr>
      <w:tr w14:paraId="7F29141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gridAfter w:val="1"/>
          <w:wAfter w:w="184" w:type="dxa"/>
          <w:trHeight w:val="527" w:hRule="atLeast"/>
          <w:jc w:val="center"/>
        </w:trPr>
        <w:tc>
          <w:tcPr>
            <w:tcW w:w="1027" w:type="dxa"/>
            <w:vMerge w:val="continue"/>
            <w:noWrap w:val="0"/>
            <w:vAlign w:val="center"/>
          </w:tcPr>
          <w:p w14:paraId="4135AA76">
            <w:pPr>
              <w:pStyle w:val="28"/>
              <w:spacing w:line="240" w:lineRule="auto"/>
              <w:ind w:firstLine="0"/>
              <w:jc w:val="center"/>
              <w:rPr>
                <w:rFonts w:ascii="Times New Roman" w:hAnsi="Times New Roman" w:eastAsia="宋体" w:cs="Times New Roman"/>
                <w:color w:val="0000FF"/>
                <w:szCs w:val="21"/>
              </w:rPr>
            </w:pPr>
          </w:p>
        </w:tc>
        <w:tc>
          <w:tcPr>
            <w:tcW w:w="1260" w:type="dxa"/>
            <w:noWrap w:val="0"/>
            <w:vAlign w:val="center"/>
          </w:tcPr>
          <w:p w14:paraId="7EECAA17">
            <w:pPr>
              <w:snapToGrid w:val="0"/>
              <w:jc w:val="center"/>
              <w:rPr>
                <w:rFonts w:ascii="Times New Roman" w:hAnsi="Times New Roman" w:eastAsia="宋体"/>
                <w:color w:val="0000FF"/>
                <w:szCs w:val="21"/>
              </w:rPr>
            </w:pPr>
            <w:r>
              <w:rPr>
                <w:rFonts w:ascii="Times New Roman" w:hAnsi="Times New Roman" w:eastAsia="宋体"/>
                <w:color w:val="0000FF"/>
                <w:szCs w:val="21"/>
              </w:rPr>
              <w:t>环境质量监测</w:t>
            </w:r>
          </w:p>
        </w:tc>
        <w:tc>
          <w:tcPr>
            <w:tcW w:w="1669" w:type="dxa"/>
            <w:gridSpan w:val="4"/>
            <w:noWrap w:val="0"/>
            <w:vAlign w:val="center"/>
          </w:tcPr>
          <w:p w14:paraId="20507B02">
            <w:pPr>
              <w:snapToGrid w:val="0"/>
              <w:jc w:val="center"/>
              <w:rPr>
                <w:rFonts w:ascii="Times New Roman" w:hAnsi="Times New Roman" w:eastAsia="宋体"/>
                <w:color w:val="0000FF"/>
                <w:szCs w:val="21"/>
              </w:rPr>
            </w:pPr>
            <w:r>
              <w:rPr>
                <w:rFonts w:ascii="Times New Roman" w:hAnsi="Times New Roman" w:eastAsia="宋体"/>
                <w:color w:val="0000FF"/>
                <w:szCs w:val="21"/>
              </w:rPr>
              <w:t>监测因子：</w:t>
            </w:r>
            <w:r>
              <w:rPr>
                <w:rFonts w:hint="eastAsia" w:ascii="Times New Roman" w:hAnsi="Times New Roman" w:eastAsia="宋体"/>
                <w:color w:val="0000FF"/>
                <w:szCs w:val="21"/>
                <w:lang w:eastAsia="zh-CN"/>
              </w:rPr>
              <w:t>（）</w:t>
            </w:r>
          </w:p>
        </w:tc>
        <w:tc>
          <w:tcPr>
            <w:tcW w:w="2942" w:type="dxa"/>
            <w:gridSpan w:val="10"/>
            <w:noWrap w:val="0"/>
            <w:vAlign w:val="center"/>
          </w:tcPr>
          <w:p w14:paraId="00FF21EB">
            <w:pPr>
              <w:pStyle w:val="28"/>
              <w:spacing w:line="240" w:lineRule="auto"/>
              <w:ind w:firstLine="0"/>
              <w:jc w:val="center"/>
              <w:rPr>
                <w:rFonts w:ascii="Times New Roman" w:hAnsi="Times New Roman" w:eastAsia="宋体" w:cs="Times New Roman"/>
                <w:color w:val="0000FF"/>
                <w:szCs w:val="21"/>
              </w:rPr>
            </w:pPr>
            <w:r>
              <w:rPr>
                <w:rFonts w:ascii="Times New Roman" w:hAnsi="Times New Roman" w:eastAsia="宋体" w:cs="Times New Roman"/>
                <w:color w:val="0000FF"/>
                <w:szCs w:val="21"/>
              </w:rPr>
              <w:t>监测点位数（</w:t>
            </w:r>
            <w:r>
              <w:rPr>
                <w:rFonts w:hint="eastAsia" w:ascii="Times New Roman" w:hAnsi="Times New Roman" w:eastAsia="宋体" w:cs="Times New Roman"/>
                <w:color w:val="0000FF"/>
                <w:szCs w:val="21"/>
                <w:lang w:val="en-US" w:eastAsia="zh-CN"/>
              </w:rPr>
              <w:t>1</w:t>
            </w:r>
            <w:r>
              <w:rPr>
                <w:rFonts w:ascii="Times New Roman" w:hAnsi="Times New Roman" w:eastAsia="宋体" w:cs="Times New Roman"/>
                <w:color w:val="0000FF"/>
                <w:szCs w:val="21"/>
              </w:rPr>
              <w:t>）</w:t>
            </w:r>
          </w:p>
        </w:tc>
        <w:tc>
          <w:tcPr>
            <w:tcW w:w="1414" w:type="dxa"/>
            <w:gridSpan w:val="4"/>
            <w:noWrap w:val="0"/>
            <w:vAlign w:val="center"/>
          </w:tcPr>
          <w:p w14:paraId="1B7E2AD9">
            <w:pPr>
              <w:pStyle w:val="28"/>
              <w:spacing w:line="240" w:lineRule="auto"/>
              <w:ind w:firstLine="0"/>
              <w:jc w:val="center"/>
              <w:rPr>
                <w:rFonts w:ascii="Times New Roman" w:hAnsi="Times New Roman" w:eastAsia="宋体" w:cs="Times New Roman"/>
                <w:color w:val="0000FF"/>
                <w:szCs w:val="21"/>
              </w:rPr>
            </w:pPr>
            <w:r>
              <w:rPr>
                <w:rFonts w:ascii="Times New Roman" w:hAnsi="Times New Roman" w:eastAsia="宋体" w:cs="Times New Roman"/>
                <w:color w:val="0000FF"/>
                <w:szCs w:val="21"/>
              </w:rPr>
              <w:t>无监测□</w:t>
            </w:r>
          </w:p>
        </w:tc>
      </w:tr>
      <w:tr w14:paraId="6F468E3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gridAfter w:val="1"/>
          <w:wAfter w:w="184" w:type="dxa"/>
          <w:trHeight w:val="387" w:hRule="atLeast"/>
          <w:jc w:val="center"/>
        </w:trPr>
        <w:tc>
          <w:tcPr>
            <w:tcW w:w="1027" w:type="dxa"/>
            <w:vMerge w:val="restart"/>
            <w:noWrap w:val="0"/>
            <w:vAlign w:val="center"/>
          </w:tcPr>
          <w:p w14:paraId="494C0979">
            <w:pPr>
              <w:pStyle w:val="28"/>
              <w:spacing w:line="240" w:lineRule="auto"/>
              <w:ind w:firstLine="0"/>
              <w:jc w:val="center"/>
              <w:rPr>
                <w:rFonts w:ascii="Times New Roman" w:hAnsi="Times New Roman" w:eastAsia="宋体" w:cs="Times New Roman"/>
                <w:color w:val="0000FF"/>
                <w:szCs w:val="21"/>
              </w:rPr>
            </w:pPr>
            <w:r>
              <w:rPr>
                <w:rFonts w:ascii="Times New Roman" w:hAnsi="Times New Roman" w:eastAsia="宋体" w:cs="Times New Roman"/>
                <w:color w:val="0000FF"/>
                <w:szCs w:val="21"/>
              </w:rPr>
              <w:t>评价结论</w:t>
            </w:r>
          </w:p>
        </w:tc>
        <w:tc>
          <w:tcPr>
            <w:tcW w:w="1260" w:type="dxa"/>
            <w:noWrap w:val="0"/>
            <w:vAlign w:val="center"/>
          </w:tcPr>
          <w:p w14:paraId="4EFEE821">
            <w:pPr>
              <w:snapToGrid w:val="0"/>
              <w:jc w:val="center"/>
              <w:rPr>
                <w:rFonts w:ascii="Times New Roman" w:hAnsi="Times New Roman" w:eastAsia="宋体"/>
                <w:color w:val="0000FF"/>
                <w:szCs w:val="21"/>
              </w:rPr>
            </w:pPr>
            <w:r>
              <w:rPr>
                <w:rFonts w:ascii="Times New Roman" w:hAnsi="Times New Roman" w:eastAsia="宋体"/>
                <w:color w:val="0000FF"/>
                <w:szCs w:val="21"/>
              </w:rPr>
              <w:t>环境影响</w:t>
            </w:r>
          </w:p>
        </w:tc>
        <w:tc>
          <w:tcPr>
            <w:tcW w:w="6025" w:type="dxa"/>
            <w:gridSpan w:val="18"/>
            <w:noWrap w:val="0"/>
            <w:vAlign w:val="center"/>
          </w:tcPr>
          <w:p w14:paraId="3D689921">
            <w:pPr>
              <w:pStyle w:val="28"/>
              <w:spacing w:line="240" w:lineRule="auto"/>
              <w:ind w:firstLine="0"/>
              <w:jc w:val="center"/>
              <w:rPr>
                <w:rFonts w:ascii="Times New Roman" w:hAnsi="Times New Roman" w:eastAsia="宋体" w:cs="Times New Roman"/>
                <w:color w:val="0000FF"/>
                <w:szCs w:val="21"/>
              </w:rPr>
            </w:pPr>
            <w:r>
              <w:rPr>
                <w:rFonts w:ascii="Times New Roman" w:hAnsi="Times New Roman" w:eastAsia="宋体" w:cs="Times New Roman"/>
                <w:color w:val="0000FF"/>
                <w:szCs w:val="21"/>
              </w:rPr>
              <w:t>可以接受☑不可以接受□</w:t>
            </w:r>
          </w:p>
        </w:tc>
      </w:tr>
      <w:tr w14:paraId="4DC5E53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gridAfter w:val="1"/>
          <w:wAfter w:w="184" w:type="dxa"/>
          <w:trHeight w:val="527" w:hRule="atLeast"/>
          <w:jc w:val="center"/>
        </w:trPr>
        <w:tc>
          <w:tcPr>
            <w:tcW w:w="1027" w:type="dxa"/>
            <w:vMerge w:val="continue"/>
            <w:noWrap w:val="0"/>
            <w:vAlign w:val="center"/>
          </w:tcPr>
          <w:p w14:paraId="4C53ACC2">
            <w:pPr>
              <w:pStyle w:val="28"/>
              <w:spacing w:line="240" w:lineRule="auto"/>
              <w:ind w:firstLine="0"/>
              <w:jc w:val="center"/>
              <w:rPr>
                <w:rFonts w:ascii="Times New Roman" w:hAnsi="Times New Roman" w:eastAsia="宋体" w:cs="Times New Roman"/>
                <w:color w:val="0000FF"/>
                <w:szCs w:val="21"/>
              </w:rPr>
            </w:pPr>
          </w:p>
        </w:tc>
        <w:tc>
          <w:tcPr>
            <w:tcW w:w="1260" w:type="dxa"/>
            <w:noWrap w:val="0"/>
            <w:vAlign w:val="center"/>
          </w:tcPr>
          <w:p w14:paraId="21AF247B">
            <w:pPr>
              <w:snapToGrid w:val="0"/>
              <w:jc w:val="center"/>
              <w:rPr>
                <w:rFonts w:ascii="Times New Roman" w:hAnsi="Times New Roman" w:eastAsia="宋体"/>
                <w:color w:val="0000FF"/>
                <w:szCs w:val="21"/>
              </w:rPr>
            </w:pPr>
            <w:r>
              <w:rPr>
                <w:rFonts w:ascii="Times New Roman" w:hAnsi="Times New Roman" w:eastAsia="宋体"/>
                <w:color w:val="0000FF"/>
                <w:szCs w:val="21"/>
              </w:rPr>
              <w:t>大气环境防护距离</w:t>
            </w:r>
          </w:p>
        </w:tc>
        <w:tc>
          <w:tcPr>
            <w:tcW w:w="6025" w:type="dxa"/>
            <w:gridSpan w:val="18"/>
            <w:noWrap w:val="0"/>
            <w:vAlign w:val="center"/>
          </w:tcPr>
          <w:p w14:paraId="20645CD1">
            <w:pPr>
              <w:pStyle w:val="28"/>
              <w:spacing w:line="240" w:lineRule="auto"/>
              <w:ind w:firstLine="0"/>
              <w:jc w:val="center"/>
              <w:rPr>
                <w:rFonts w:ascii="Times New Roman" w:hAnsi="Times New Roman" w:eastAsia="宋体" w:cs="Times New Roman"/>
                <w:color w:val="0000FF"/>
                <w:szCs w:val="21"/>
              </w:rPr>
            </w:pPr>
            <w:r>
              <w:rPr>
                <w:rFonts w:ascii="Times New Roman" w:hAnsi="Times New Roman" w:eastAsia="宋体" w:cs="Times New Roman"/>
                <w:color w:val="0000FF"/>
                <w:szCs w:val="21"/>
              </w:rPr>
              <w:t>距（）厂界最远（0）m</w:t>
            </w:r>
          </w:p>
        </w:tc>
      </w:tr>
      <w:tr w14:paraId="33682FD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gridAfter w:val="1"/>
          <w:wAfter w:w="184" w:type="dxa"/>
          <w:trHeight w:val="603" w:hRule="atLeast"/>
          <w:jc w:val="center"/>
        </w:trPr>
        <w:tc>
          <w:tcPr>
            <w:tcW w:w="1027" w:type="dxa"/>
            <w:vMerge w:val="continue"/>
            <w:noWrap w:val="0"/>
            <w:vAlign w:val="center"/>
          </w:tcPr>
          <w:p w14:paraId="202B1EC7">
            <w:pPr>
              <w:pStyle w:val="28"/>
              <w:spacing w:line="240" w:lineRule="auto"/>
              <w:ind w:firstLine="0"/>
              <w:jc w:val="center"/>
              <w:rPr>
                <w:rFonts w:ascii="Times New Roman" w:hAnsi="Times New Roman" w:eastAsia="宋体" w:cs="Times New Roman"/>
                <w:color w:val="0000FF"/>
                <w:szCs w:val="21"/>
              </w:rPr>
            </w:pPr>
          </w:p>
        </w:tc>
        <w:tc>
          <w:tcPr>
            <w:tcW w:w="1260" w:type="dxa"/>
            <w:noWrap w:val="0"/>
            <w:vAlign w:val="center"/>
          </w:tcPr>
          <w:p w14:paraId="4D4F2A52">
            <w:pPr>
              <w:snapToGrid w:val="0"/>
              <w:jc w:val="center"/>
              <w:rPr>
                <w:rFonts w:ascii="Times New Roman" w:hAnsi="Times New Roman" w:eastAsia="宋体"/>
                <w:color w:val="0000FF"/>
                <w:szCs w:val="21"/>
              </w:rPr>
            </w:pPr>
            <w:r>
              <w:rPr>
                <w:rFonts w:ascii="Times New Roman" w:hAnsi="Times New Roman" w:eastAsia="宋体"/>
                <w:color w:val="0000FF"/>
                <w:szCs w:val="21"/>
              </w:rPr>
              <w:t>污染源年排放量</w:t>
            </w:r>
          </w:p>
        </w:tc>
        <w:tc>
          <w:tcPr>
            <w:tcW w:w="1950" w:type="dxa"/>
            <w:gridSpan w:val="5"/>
            <w:noWrap w:val="0"/>
            <w:vAlign w:val="center"/>
          </w:tcPr>
          <w:p w14:paraId="00AFD938">
            <w:pPr>
              <w:pStyle w:val="28"/>
              <w:spacing w:line="240" w:lineRule="auto"/>
              <w:ind w:firstLine="0"/>
              <w:jc w:val="center"/>
              <w:rPr>
                <w:rFonts w:ascii="Times New Roman" w:hAnsi="Times New Roman" w:eastAsia="宋体" w:cs="Times New Roman"/>
                <w:color w:val="0000FF"/>
                <w:szCs w:val="21"/>
              </w:rPr>
            </w:pPr>
            <w:r>
              <w:rPr>
                <w:rFonts w:ascii="Times New Roman" w:hAnsi="Times New Roman" w:eastAsia="宋体" w:cs="Times New Roman"/>
                <w:color w:val="0000FF"/>
                <w:szCs w:val="21"/>
              </w:rPr>
              <w:t>SO</w:t>
            </w:r>
            <w:r>
              <w:rPr>
                <w:rFonts w:ascii="Times New Roman" w:hAnsi="Times New Roman" w:eastAsia="宋体" w:cs="Times New Roman"/>
                <w:color w:val="0000FF"/>
                <w:szCs w:val="21"/>
                <w:vertAlign w:val="subscript"/>
              </w:rPr>
              <w:t>2</w:t>
            </w:r>
            <w:r>
              <w:rPr>
                <w:rFonts w:ascii="Times New Roman" w:hAnsi="Times New Roman" w:eastAsia="宋体" w:cs="Times New Roman"/>
                <w:color w:val="0000FF"/>
                <w:szCs w:val="21"/>
              </w:rPr>
              <w:t>：（0）t/a</w:t>
            </w:r>
          </w:p>
        </w:tc>
        <w:tc>
          <w:tcPr>
            <w:tcW w:w="593" w:type="dxa"/>
            <w:gridSpan w:val="3"/>
            <w:noWrap w:val="0"/>
            <w:vAlign w:val="center"/>
          </w:tcPr>
          <w:p w14:paraId="7BD5FB72">
            <w:pPr>
              <w:pStyle w:val="28"/>
              <w:spacing w:line="240" w:lineRule="auto"/>
              <w:ind w:firstLine="0"/>
              <w:jc w:val="center"/>
              <w:rPr>
                <w:rFonts w:ascii="Times New Roman" w:hAnsi="Times New Roman" w:eastAsia="宋体" w:cs="Times New Roman"/>
                <w:color w:val="0000FF"/>
                <w:szCs w:val="21"/>
              </w:rPr>
            </w:pPr>
            <w:r>
              <w:rPr>
                <w:rFonts w:ascii="Times New Roman" w:hAnsi="Times New Roman" w:eastAsia="宋体" w:cs="Times New Roman"/>
                <w:color w:val="0000FF"/>
                <w:szCs w:val="21"/>
              </w:rPr>
              <w:t>NOx：（0）t/a</w:t>
            </w:r>
          </w:p>
        </w:tc>
        <w:tc>
          <w:tcPr>
            <w:tcW w:w="2435" w:type="dxa"/>
            <w:gridSpan w:val="8"/>
            <w:noWrap w:val="0"/>
            <w:vAlign w:val="center"/>
          </w:tcPr>
          <w:p w14:paraId="060D31B4">
            <w:pPr>
              <w:pStyle w:val="28"/>
              <w:spacing w:line="240" w:lineRule="auto"/>
              <w:ind w:firstLine="0"/>
              <w:jc w:val="center"/>
              <w:rPr>
                <w:rFonts w:ascii="Times New Roman" w:hAnsi="Times New Roman" w:eastAsia="宋体" w:cs="Times New Roman"/>
                <w:color w:val="0000FF"/>
                <w:szCs w:val="21"/>
              </w:rPr>
            </w:pPr>
            <w:r>
              <w:rPr>
                <w:rFonts w:ascii="Times New Roman" w:hAnsi="Times New Roman" w:eastAsia="宋体" w:cs="Times New Roman"/>
                <w:color w:val="0000FF"/>
                <w:szCs w:val="21"/>
              </w:rPr>
              <w:t>颗粒物：（0）t/a</w:t>
            </w:r>
          </w:p>
        </w:tc>
        <w:tc>
          <w:tcPr>
            <w:tcW w:w="1047" w:type="dxa"/>
            <w:gridSpan w:val="2"/>
            <w:noWrap w:val="0"/>
            <w:vAlign w:val="center"/>
          </w:tcPr>
          <w:p w14:paraId="45108050">
            <w:pPr>
              <w:pStyle w:val="28"/>
              <w:spacing w:line="240" w:lineRule="auto"/>
              <w:ind w:firstLine="0"/>
              <w:jc w:val="center"/>
              <w:rPr>
                <w:rFonts w:ascii="Times New Roman" w:hAnsi="Times New Roman" w:eastAsia="宋体" w:cs="Times New Roman"/>
                <w:color w:val="0000FF"/>
                <w:szCs w:val="21"/>
              </w:rPr>
            </w:pPr>
            <w:r>
              <w:rPr>
                <w:rFonts w:ascii="Times New Roman" w:hAnsi="Times New Roman" w:eastAsia="宋体" w:cs="Times New Roman"/>
                <w:color w:val="0000FF"/>
                <w:szCs w:val="21"/>
              </w:rPr>
              <w:t>VOC</w:t>
            </w:r>
            <w:r>
              <w:rPr>
                <w:rFonts w:ascii="Times New Roman" w:hAnsi="Times New Roman" w:eastAsia="宋体" w:cs="Times New Roman"/>
                <w:color w:val="0000FF"/>
                <w:szCs w:val="21"/>
                <w:vertAlign w:val="subscript"/>
              </w:rPr>
              <w:t>s</w:t>
            </w:r>
            <w:r>
              <w:rPr>
                <w:rFonts w:ascii="Times New Roman" w:hAnsi="Times New Roman" w:eastAsia="宋体" w:cs="Times New Roman"/>
                <w:color w:val="0000FF"/>
                <w:szCs w:val="21"/>
              </w:rPr>
              <w:t>：（</w:t>
            </w:r>
            <w:r>
              <w:rPr>
                <w:rFonts w:hint="eastAsia" w:ascii="Times New Roman" w:hAnsi="Times New Roman" w:eastAsia="宋体" w:cs="Times New Roman"/>
                <w:color w:val="0000FF"/>
                <w:szCs w:val="21"/>
                <w:lang w:val="en-US" w:eastAsia="zh-CN"/>
              </w:rPr>
              <w:t>0.092</w:t>
            </w:r>
            <w:r>
              <w:rPr>
                <w:rFonts w:ascii="Times New Roman" w:hAnsi="Times New Roman" w:eastAsia="宋体" w:cs="Times New Roman"/>
                <w:color w:val="0000FF"/>
                <w:szCs w:val="21"/>
              </w:rPr>
              <w:t>）t/a</w:t>
            </w:r>
          </w:p>
        </w:tc>
      </w:tr>
      <w:tr w14:paraId="6209A1F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gridAfter w:val="1"/>
          <w:wAfter w:w="184" w:type="dxa"/>
          <w:trHeight w:val="416" w:hRule="atLeast"/>
          <w:jc w:val="center"/>
        </w:trPr>
        <w:tc>
          <w:tcPr>
            <w:tcW w:w="8312" w:type="dxa"/>
            <w:gridSpan w:val="20"/>
            <w:noWrap w:val="0"/>
            <w:vAlign w:val="center"/>
          </w:tcPr>
          <w:p w14:paraId="44E6A16D">
            <w:pPr>
              <w:pStyle w:val="28"/>
              <w:spacing w:line="240" w:lineRule="auto"/>
              <w:ind w:firstLine="0"/>
              <w:jc w:val="center"/>
              <w:rPr>
                <w:rFonts w:ascii="Times New Roman" w:hAnsi="Times New Roman" w:eastAsia="宋体" w:cs="Times New Roman"/>
                <w:color w:val="0000FF"/>
                <w:szCs w:val="21"/>
              </w:rPr>
            </w:pPr>
            <w:r>
              <w:rPr>
                <w:rFonts w:ascii="Times New Roman" w:hAnsi="Times New Roman" w:eastAsia="宋体" w:cs="Times New Roman"/>
                <w:color w:val="0000FF"/>
                <w:szCs w:val="21"/>
              </w:rPr>
              <w:t>注：</w:t>
            </w:r>
            <w:r>
              <w:rPr>
                <w:rFonts w:hint="eastAsia" w:ascii="Times New Roman" w:hAnsi="Times New Roman" w:eastAsia="宋体" w:cs="Times New Roman"/>
                <w:color w:val="0000FF"/>
                <w:szCs w:val="21"/>
                <w:lang w:eastAsia="zh-CN"/>
              </w:rPr>
              <w:t>“</w:t>
            </w:r>
            <w:r>
              <w:rPr>
                <w:rFonts w:ascii="Times New Roman" w:hAnsi="Times New Roman" w:eastAsia="宋体" w:cs="Times New Roman"/>
                <w:color w:val="0000FF"/>
                <w:szCs w:val="21"/>
              </w:rPr>
              <w:t>□</w:t>
            </w:r>
            <w:r>
              <w:rPr>
                <w:rFonts w:hint="eastAsia" w:ascii="Times New Roman" w:hAnsi="Times New Roman" w:eastAsia="宋体" w:cs="Times New Roman"/>
                <w:color w:val="0000FF"/>
                <w:szCs w:val="21"/>
                <w:lang w:eastAsia="zh-CN"/>
              </w:rPr>
              <w:t>”</w:t>
            </w:r>
            <w:r>
              <w:rPr>
                <w:rFonts w:ascii="Times New Roman" w:hAnsi="Times New Roman" w:eastAsia="宋体" w:cs="Times New Roman"/>
                <w:color w:val="0000FF"/>
                <w:szCs w:val="21"/>
              </w:rPr>
              <w:t>为勾选项，填</w:t>
            </w:r>
            <w:r>
              <w:rPr>
                <w:rFonts w:hint="eastAsia" w:ascii="Times New Roman" w:hAnsi="Times New Roman" w:eastAsia="宋体" w:cs="Times New Roman"/>
                <w:color w:val="0000FF"/>
                <w:szCs w:val="21"/>
                <w:lang w:eastAsia="zh-CN"/>
              </w:rPr>
              <w:t>“</w:t>
            </w:r>
            <w:r>
              <w:rPr>
                <w:rFonts w:ascii="Times New Roman" w:hAnsi="Times New Roman" w:eastAsia="宋体" w:cs="Times New Roman"/>
                <w:color w:val="0000FF"/>
                <w:szCs w:val="21"/>
              </w:rPr>
              <w:t>√</w:t>
            </w:r>
            <w:r>
              <w:rPr>
                <w:rFonts w:hint="eastAsia" w:ascii="Times New Roman" w:hAnsi="Times New Roman" w:eastAsia="宋体" w:cs="Times New Roman"/>
                <w:color w:val="0000FF"/>
                <w:szCs w:val="21"/>
                <w:lang w:eastAsia="zh-CN"/>
              </w:rPr>
              <w:t>”</w:t>
            </w:r>
            <w:r>
              <w:rPr>
                <w:rFonts w:ascii="Times New Roman" w:hAnsi="Times New Roman" w:eastAsia="宋体" w:cs="Times New Roman"/>
                <w:color w:val="0000FF"/>
                <w:szCs w:val="21"/>
              </w:rPr>
              <w:t>；</w:t>
            </w:r>
            <w:r>
              <w:rPr>
                <w:rFonts w:hint="eastAsia" w:ascii="Times New Roman" w:hAnsi="Times New Roman" w:eastAsia="宋体" w:cs="Times New Roman"/>
                <w:color w:val="0000FF"/>
                <w:szCs w:val="21"/>
                <w:lang w:eastAsia="zh-CN"/>
              </w:rPr>
              <w:t>“</w:t>
            </w:r>
            <w:r>
              <w:rPr>
                <w:rFonts w:ascii="Times New Roman" w:hAnsi="Times New Roman" w:eastAsia="宋体" w:cs="Times New Roman"/>
                <w:color w:val="0000FF"/>
                <w:szCs w:val="21"/>
              </w:rPr>
              <w:t>（）</w:t>
            </w:r>
            <w:r>
              <w:rPr>
                <w:rFonts w:hint="eastAsia" w:ascii="Times New Roman" w:hAnsi="Times New Roman" w:eastAsia="宋体" w:cs="Times New Roman"/>
                <w:color w:val="0000FF"/>
                <w:szCs w:val="21"/>
                <w:lang w:eastAsia="zh-CN"/>
              </w:rPr>
              <w:t>”</w:t>
            </w:r>
            <w:r>
              <w:rPr>
                <w:rFonts w:ascii="Times New Roman" w:hAnsi="Times New Roman" w:eastAsia="宋体" w:cs="Times New Roman"/>
                <w:color w:val="0000FF"/>
                <w:szCs w:val="21"/>
              </w:rPr>
              <w:t>为内容填写项</w:t>
            </w:r>
          </w:p>
        </w:tc>
      </w:tr>
    </w:tbl>
    <w:p w14:paraId="3DA665BF">
      <w:pPr>
        <w:overflowPunct w:val="0"/>
        <w:adjustRightInd w:val="0"/>
        <w:snapToGrid w:val="0"/>
        <w:spacing w:line="360" w:lineRule="auto"/>
        <w:ind w:firstLine="482" w:firstLineChars="200"/>
        <w:rPr>
          <w:rFonts w:hint="default" w:ascii="Times New Roman" w:hAnsi="Times New Roman" w:eastAsia="宋体" w:cs="Times New Roman"/>
          <w:b/>
          <w:color w:val="0000FF"/>
          <w:sz w:val="24"/>
          <w:szCs w:val="24"/>
        </w:rPr>
      </w:pPr>
    </w:p>
    <w:p w14:paraId="0F735646">
      <w:pPr>
        <w:overflowPunct w:val="0"/>
        <w:adjustRightInd w:val="0"/>
        <w:snapToGrid w:val="0"/>
        <w:spacing w:line="360" w:lineRule="auto"/>
        <w:ind w:firstLine="482" w:firstLineChars="200"/>
        <w:rPr>
          <w:rFonts w:hint="default" w:ascii="Times New Roman" w:hAnsi="Times New Roman" w:eastAsia="宋体" w:cs="Times New Roman"/>
          <w:b/>
          <w:color w:val="0000FF"/>
          <w:sz w:val="24"/>
          <w:szCs w:val="24"/>
        </w:rPr>
      </w:pPr>
    </w:p>
    <w:p w14:paraId="68D4A640">
      <w:pPr>
        <w:overflowPunct w:val="0"/>
        <w:adjustRightInd w:val="0"/>
        <w:snapToGrid w:val="0"/>
        <w:spacing w:line="360" w:lineRule="auto"/>
        <w:ind w:firstLine="482" w:firstLineChars="200"/>
        <w:rPr>
          <w:rFonts w:hint="default" w:ascii="Times New Roman" w:hAnsi="Times New Roman" w:eastAsia="宋体" w:cs="Times New Roman"/>
          <w:b/>
          <w:color w:val="0000FF"/>
          <w:sz w:val="24"/>
          <w:szCs w:val="24"/>
        </w:rPr>
      </w:pPr>
      <w:r>
        <w:rPr>
          <w:rFonts w:hint="eastAsia" w:ascii="Times New Roman" w:hAnsi="Times New Roman" w:eastAsia="宋体" w:cs="Times New Roman"/>
          <w:b/>
          <w:color w:val="0000FF"/>
          <w:sz w:val="24"/>
          <w:szCs w:val="24"/>
          <w:lang w:val="en-US" w:eastAsia="zh-CN"/>
        </w:rPr>
        <w:t>1.5</w:t>
      </w:r>
      <w:r>
        <w:rPr>
          <w:rFonts w:hint="default" w:ascii="Times New Roman" w:hAnsi="Times New Roman" w:eastAsia="宋体" w:cs="Times New Roman"/>
          <w:b/>
          <w:color w:val="0000FF"/>
          <w:sz w:val="24"/>
          <w:szCs w:val="24"/>
        </w:rPr>
        <w:t>大气污染防治措施评述及可行性论证</w:t>
      </w:r>
    </w:p>
    <w:p w14:paraId="100435DC">
      <w:pPr>
        <w:overflowPunct w:val="0"/>
        <w:adjustRightInd w:val="0"/>
        <w:snapToGrid w:val="0"/>
        <w:spacing w:line="360" w:lineRule="auto"/>
        <w:ind w:firstLine="480" w:firstLineChars="200"/>
        <w:rPr>
          <w:rFonts w:hint="default" w:ascii="Times New Roman" w:hAnsi="Times New Roman" w:eastAsia="宋体" w:cs="Times New Roman"/>
          <w:b w:val="0"/>
          <w:bCs/>
          <w:color w:val="0000FF"/>
          <w:sz w:val="24"/>
          <w:szCs w:val="24"/>
        </w:rPr>
      </w:pPr>
      <w:r>
        <w:rPr>
          <w:rFonts w:hint="eastAsia" w:ascii="Times New Roman" w:hAnsi="Times New Roman" w:eastAsia="宋体" w:cs="Times New Roman"/>
          <w:b w:val="0"/>
          <w:bCs/>
          <w:color w:val="0000FF"/>
          <w:sz w:val="24"/>
          <w:szCs w:val="24"/>
          <w:lang w:eastAsia="zh-CN"/>
        </w:rPr>
        <w:t>本项目属于固定顶罐，</w:t>
      </w:r>
      <w:r>
        <w:rPr>
          <w:rFonts w:hint="default" w:ascii="Times New Roman" w:hAnsi="Times New Roman" w:eastAsia="宋体" w:cs="Times New Roman"/>
          <w:b w:val="0"/>
          <w:bCs/>
          <w:color w:val="0000FF"/>
          <w:sz w:val="24"/>
          <w:szCs w:val="24"/>
        </w:rPr>
        <w:t>根据《挥发性有机物无组织排放控制标准》（GB37822-2019）中的5.2.1储罐控制要求：采用固定顶罐，排放的废气应收集处理并满足相关行业排放标准的要求（无行业排放标准的应满足GB16297的要求），或者处理效率不低于80%。因此，本项目应设置</w:t>
      </w:r>
      <w:r>
        <w:rPr>
          <w:rFonts w:hint="eastAsia" w:ascii="Times New Roman" w:hAnsi="Times New Roman" w:eastAsia="宋体" w:cs="Times New Roman"/>
          <w:b w:val="0"/>
          <w:bCs/>
          <w:color w:val="0000FF"/>
          <w:sz w:val="24"/>
          <w:szCs w:val="24"/>
          <w:lang w:eastAsia="zh-CN"/>
        </w:rPr>
        <w:t>活性炭吸附</w:t>
      </w:r>
      <w:r>
        <w:rPr>
          <w:rFonts w:hint="default" w:ascii="Times New Roman" w:hAnsi="Times New Roman" w:eastAsia="宋体" w:cs="Times New Roman"/>
          <w:b w:val="0"/>
          <w:bCs/>
          <w:color w:val="0000FF"/>
          <w:sz w:val="24"/>
          <w:szCs w:val="24"/>
        </w:rPr>
        <w:t>装置，效率能达到</w:t>
      </w:r>
      <w:r>
        <w:rPr>
          <w:rFonts w:hint="eastAsia" w:ascii="Times New Roman" w:hAnsi="Times New Roman" w:eastAsia="宋体" w:cs="Times New Roman"/>
          <w:b w:val="0"/>
          <w:bCs/>
          <w:color w:val="0000FF"/>
          <w:sz w:val="24"/>
          <w:szCs w:val="24"/>
          <w:lang w:val="en-US" w:eastAsia="zh-CN"/>
        </w:rPr>
        <w:t>90</w:t>
      </w:r>
      <w:r>
        <w:rPr>
          <w:rFonts w:hint="default" w:ascii="Times New Roman" w:hAnsi="Times New Roman" w:eastAsia="宋体" w:cs="Times New Roman"/>
          <w:b w:val="0"/>
          <w:bCs/>
          <w:color w:val="0000FF"/>
          <w:sz w:val="24"/>
          <w:szCs w:val="24"/>
        </w:rPr>
        <w:t>%。</w:t>
      </w:r>
    </w:p>
    <w:p w14:paraId="1970A68C">
      <w:pPr>
        <w:overflowPunct w:val="0"/>
        <w:adjustRightInd w:val="0"/>
        <w:snapToGrid w:val="0"/>
        <w:spacing w:line="360" w:lineRule="auto"/>
        <w:ind w:firstLine="480" w:firstLineChars="200"/>
        <w:rPr>
          <w:rFonts w:hint="default" w:ascii="Times New Roman" w:hAnsi="Times New Roman" w:eastAsia="宋体" w:cs="Times New Roman"/>
          <w:b w:val="0"/>
          <w:bCs/>
          <w:color w:val="0000FF"/>
          <w:sz w:val="24"/>
          <w:szCs w:val="24"/>
        </w:rPr>
      </w:pPr>
      <w:r>
        <w:rPr>
          <w:rFonts w:hint="default" w:ascii="Times New Roman" w:hAnsi="Times New Roman" w:eastAsia="宋体" w:cs="Times New Roman"/>
          <w:b w:val="0"/>
          <w:bCs/>
          <w:color w:val="0000FF"/>
          <w:sz w:val="24"/>
          <w:szCs w:val="24"/>
        </w:rPr>
        <w:t>根据《挥发性有机物无组织排放控制标准》（GB37822-2019）中的5.2.3.2条要求，废机油储罐需满足以下几点：</w:t>
      </w:r>
    </w:p>
    <w:p w14:paraId="3AB845D7">
      <w:pPr>
        <w:overflowPunct w:val="0"/>
        <w:adjustRightInd w:val="0"/>
        <w:snapToGrid w:val="0"/>
        <w:spacing w:line="360" w:lineRule="auto"/>
        <w:ind w:firstLine="480" w:firstLineChars="200"/>
        <w:rPr>
          <w:rFonts w:hint="default" w:ascii="Times New Roman" w:hAnsi="Times New Roman" w:eastAsia="宋体" w:cs="Times New Roman"/>
          <w:b w:val="0"/>
          <w:bCs/>
          <w:color w:val="0000FF"/>
          <w:sz w:val="24"/>
          <w:szCs w:val="24"/>
        </w:rPr>
      </w:pPr>
      <w:r>
        <w:rPr>
          <w:rFonts w:hint="default" w:ascii="Times New Roman" w:hAnsi="Times New Roman" w:eastAsia="宋体" w:cs="Times New Roman"/>
          <w:b w:val="0"/>
          <w:bCs/>
          <w:color w:val="0000FF"/>
          <w:sz w:val="24"/>
          <w:szCs w:val="24"/>
        </w:rPr>
        <w:t>①固定顶罐罐体应保持完好，不应有空洞、缝隙；在</w:t>
      </w:r>
    </w:p>
    <w:p w14:paraId="459D1B4E">
      <w:pPr>
        <w:overflowPunct w:val="0"/>
        <w:adjustRightInd w:val="0"/>
        <w:snapToGrid w:val="0"/>
        <w:spacing w:line="360" w:lineRule="auto"/>
        <w:ind w:firstLine="480" w:firstLineChars="200"/>
        <w:rPr>
          <w:rFonts w:hint="default" w:ascii="Times New Roman" w:hAnsi="Times New Roman" w:eastAsia="宋体" w:cs="Times New Roman"/>
          <w:b w:val="0"/>
          <w:bCs/>
          <w:color w:val="0000FF"/>
          <w:sz w:val="24"/>
          <w:szCs w:val="24"/>
        </w:rPr>
      </w:pPr>
      <w:r>
        <w:rPr>
          <w:rFonts w:hint="default" w:ascii="Times New Roman" w:hAnsi="Times New Roman" w:eastAsia="宋体" w:cs="Times New Roman"/>
          <w:b w:val="0"/>
          <w:bCs/>
          <w:color w:val="0000FF"/>
          <w:sz w:val="24"/>
          <w:szCs w:val="24"/>
        </w:rPr>
        <w:t>②储罐附件开口（孔），除采样、计量、例行检查、维护和其他正常活动外，应密闭；</w:t>
      </w:r>
    </w:p>
    <w:p w14:paraId="19C32466">
      <w:pPr>
        <w:overflowPunct w:val="0"/>
        <w:adjustRightInd w:val="0"/>
        <w:snapToGrid w:val="0"/>
        <w:spacing w:line="360" w:lineRule="auto"/>
        <w:ind w:firstLine="480" w:firstLineChars="200"/>
        <w:rPr>
          <w:rFonts w:hint="default" w:ascii="Times New Roman" w:hAnsi="Times New Roman" w:eastAsia="宋体" w:cs="Times New Roman"/>
          <w:b w:val="0"/>
          <w:bCs/>
          <w:color w:val="0000FF"/>
          <w:sz w:val="24"/>
          <w:szCs w:val="24"/>
        </w:rPr>
      </w:pPr>
      <w:r>
        <w:rPr>
          <w:rFonts w:hint="default" w:ascii="Times New Roman" w:hAnsi="Times New Roman" w:eastAsia="宋体" w:cs="Times New Roman"/>
          <w:b w:val="0"/>
          <w:bCs/>
          <w:color w:val="0000FF"/>
          <w:sz w:val="24"/>
          <w:szCs w:val="24"/>
        </w:rPr>
        <w:t>③定期检查呼吸阀的定压是否符合设定要求；</w:t>
      </w:r>
    </w:p>
    <w:p w14:paraId="613E3379">
      <w:pPr>
        <w:overflowPunct w:val="0"/>
        <w:adjustRightInd w:val="0"/>
        <w:snapToGrid w:val="0"/>
        <w:spacing w:line="360" w:lineRule="auto"/>
        <w:ind w:firstLine="480" w:firstLineChars="200"/>
        <w:rPr>
          <w:rFonts w:hint="default" w:ascii="Times New Roman" w:hAnsi="Times New Roman" w:eastAsia="宋体" w:cs="Times New Roman"/>
          <w:b/>
          <w:color w:val="0000FF"/>
          <w:sz w:val="24"/>
          <w:szCs w:val="24"/>
        </w:rPr>
      </w:pPr>
      <w:r>
        <w:rPr>
          <w:rFonts w:hint="default" w:ascii="Times New Roman" w:hAnsi="Times New Roman" w:eastAsia="宋体" w:cs="Times New Roman"/>
          <w:b w:val="0"/>
          <w:bCs/>
          <w:color w:val="0000FF"/>
          <w:sz w:val="24"/>
          <w:szCs w:val="24"/>
        </w:rPr>
        <w:t>④安装气体浓度检测、报警装置。</w:t>
      </w:r>
    </w:p>
    <w:p w14:paraId="050AA94A">
      <w:pPr>
        <w:overflowPunct w:val="0"/>
        <w:adjustRightInd w:val="0"/>
        <w:snapToGrid w:val="0"/>
        <w:spacing w:line="360" w:lineRule="auto"/>
        <w:ind w:firstLine="482" w:firstLineChars="200"/>
        <w:rPr>
          <w:rFonts w:hint="eastAsia" w:ascii="Times New Roman" w:hAnsi="Times New Roman" w:eastAsia="宋体" w:cs="Times New Roman"/>
          <w:b/>
          <w:color w:val="0000FF"/>
          <w:sz w:val="24"/>
          <w:szCs w:val="24"/>
          <w:lang w:eastAsia="zh-CN"/>
        </w:rPr>
      </w:pPr>
      <w:r>
        <w:rPr>
          <w:rFonts w:hint="default" w:ascii="Times New Roman" w:hAnsi="Times New Roman" w:eastAsia="宋体" w:cs="Times New Roman"/>
          <w:b/>
          <w:color w:val="0000FF"/>
          <w:sz w:val="24"/>
          <w:szCs w:val="24"/>
        </w:rPr>
        <w:t>活性炭处理装置</w:t>
      </w:r>
      <w:r>
        <w:rPr>
          <w:rFonts w:hint="eastAsia" w:ascii="Times New Roman" w:hAnsi="Times New Roman" w:eastAsia="宋体" w:cs="Times New Roman"/>
          <w:b/>
          <w:color w:val="0000FF"/>
          <w:sz w:val="24"/>
          <w:szCs w:val="24"/>
          <w:lang w:eastAsia="zh-CN"/>
        </w:rPr>
        <w:t>：</w:t>
      </w:r>
    </w:p>
    <w:p w14:paraId="59366346">
      <w:pPr>
        <w:overflowPunct w:val="0"/>
        <w:adjustRightInd w:val="0"/>
        <w:snapToGrid w:val="0"/>
        <w:spacing w:line="360" w:lineRule="auto"/>
        <w:ind w:firstLine="480" w:firstLineChars="200"/>
        <w:rPr>
          <w:rFonts w:hint="default" w:ascii="Times New Roman" w:hAnsi="Times New Roman" w:eastAsia="宋体" w:cs="Times New Roman"/>
          <w:b w:val="0"/>
          <w:bCs/>
          <w:color w:val="0000FF"/>
          <w:sz w:val="24"/>
          <w:szCs w:val="24"/>
        </w:rPr>
      </w:pPr>
      <w:r>
        <w:rPr>
          <w:rFonts w:hint="default" w:ascii="Times New Roman" w:hAnsi="Times New Roman" w:eastAsia="宋体" w:cs="Times New Roman"/>
          <w:b w:val="0"/>
          <w:bCs/>
          <w:color w:val="0000FF"/>
          <w:sz w:val="24"/>
          <w:szCs w:val="24"/>
        </w:rPr>
        <w:t>活性炭吸附是一种常用的吸附方法，吸附法主要利用高孔隙率、高比表面积的吸附剂，藉由物理性吸附(可逆反应)或化学性键结(不可逆反应)作用，将有机气体分子自废气中分离，以达成净化废气的目的。由于一般多采用物理性吸附，随操作时间之增加，吸附剂将逐渐趋于饱和现象，此时则须进行脱附再生或吸附剂更换工作。在有机废气处理过程中，活性炭常被用来吸附烷烃、烯烃、芳香烃、酮、醛、氯代烃、酯以及挥发性有机化合物（非甲烷总烃）。</w:t>
      </w:r>
    </w:p>
    <w:p w14:paraId="5079AD65">
      <w:pPr>
        <w:overflowPunct w:val="0"/>
        <w:adjustRightInd w:val="0"/>
        <w:snapToGrid w:val="0"/>
        <w:spacing w:line="360" w:lineRule="auto"/>
        <w:ind w:firstLine="480" w:firstLineChars="200"/>
        <w:rPr>
          <w:rFonts w:hint="eastAsia" w:ascii="Times New Roman" w:hAnsi="Times New Roman" w:eastAsia="宋体" w:cs="Times New Roman"/>
          <w:b w:val="0"/>
          <w:bCs/>
          <w:color w:val="0000FF"/>
          <w:sz w:val="24"/>
          <w:szCs w:val="24"/>
          <w:lang w:eastAsia="zh-CN"/>
        </w:rPr>
      </w:pPr>
      <w:r>
        <w:rPr>
          <w:rFonts w:hint="default" w:ascii="Times New Roman" w:hAnsi="Times New Roman" w:eastAsia="宋体" w:cs="Times New Roman"/>
          <w:b w:val="0"/>
          <w:bCs/>
          <w:color w:val="0000FF"/>
          <w:sz w:val="24"/>
          <w:szCs w:val="24"/>
        </w:rPr>
        <w:t>类比同类项目，二级活性炭吸附对非甲烷总烃的去除效率为90%以上，本环评取90%。经处理后，</w:t>
      </w:r>
      <w:r>
        <w:rPr>
          <w:rFonts w:hint="eastAsia" w:ascii="Times New Roman" w:hAnsi="Times New Roman" w:eastAsia="宋体"/>
          <w:b w:val="0"/>
          <w:bCs w:val="0"/>
          <w:color w:val="0000FF"/>
          <w:sz w:val="24"/>
          <w:szCs w:val="32"/>
        </w:rPr>
        <w:t>非甲烷总烃</w:t>
      </w:r>
      <w:r>
        <w:rPr>
          <w:rFonts w:hint="eastAsia" w:ascii="Times New Roman" w:hAnsi="Times New Roman" w:eastAsia="宋体"/>
          <w:b w:val="0"/>
          <w:bCs w:val="0"/>
          <w:color w:val="0000FF"/>
          <w:sz w:val="24"/>
          <w:szCs w:val="32"/>
          <w:lang w:eastAsia="zh-CN"/>
        </w:rPr>
        <w:t>排放</w:t>
      </w:r>
      <w:r>
        <w:rPr>
          <w:rFonts w:hint="eastAsia" w:ascii="Times New Roman" w:hAnsi="Times New Roman" w:eastAsia="宋体"/>
          <w:b w:val="0"/>
          <w:bCs w:val="0"/>
          <w:color w:val="0000FF"/>
          <w:sz w:val="24"/>
          <w:szCs w:val="32"/>
        </w:rPr>
        <w:t>量为0.0</w:t>
      </w:r>
      <w:r>
        <w:rPr>
          <w:rFonts w:hint="eastAsia" w:ascii="Times New Roman" w:hAnsi="Times New Roman" w:eastAsia="宋体"/>
          <w:b w:val="0"/>
          <w:bCs w:val="0"/>
          <w:color w:val="0000FF"/>
          <w:sz w:val="24"/>
          <w:szCs w:val="32"/>
          <w:lang w:val="en-US" w:eastAsia="zh-CN"/>
        </w:rPr>
        <w:t>34</w:t>
      </w:r>
      <w:r>
        <w:rPr>
          <w:rFonts w:hint="eastAsia" w:ascii="Times New Roman" w:hAnsi="Times New Roman" w:eastAsia="宋体"/>
          <w:b w:val="0"/>
          <w:bCs w:val="0"/>
          <w:color w:val="0000FF"/>
          <w:sz w:val="24"/>
          <w:szCs w:val="32"/>
        </w:rPr>
        <w:t>t/a，排放浓度为</w:t>
      </w:r>
      <w:r>
        <w:rPr>
          <w:rFonts w:hint="eastAsia" w:ascii="Times New Roman" w:hAnsi="Times New Roman" w:eastAsia="宋体"/>
          <w:b w:val="0"/>
          <w:bCs w:val="0"/>
          <w:color w:val="0000FF"/>
          <w:sz w:val="24"/>
          <w:szCs w:val="32"/>
          <w:lang w:val="en-US" w:eastAsia="zh-CN"/>
        </w:rPr>
        <w:t>1.94</w:t>
      </w:r>
      <w:r>
        <w:rPr>
          <w:rFonts w:hint="eastAsia" w:ascii="Times New Roman" w:hAnsi="Times New Roman" w:eastAsia="宋体"/>
          <w:b w:val="0"/>
          <w:bCs w:val="0"/>
          <w:color w:val="0000FF"/>
          <w:sz w:val="24"/>
          <w:szCs w:val="32"/>
        </w:rPr>
        <w:t>mg/m</w:t>
      </w:r>
      <w:r>
        <w:rPr>
          <w:rFonts w:hint="eastAsia" w:ascii="Times New Roman" w:hAnsi="Times New Roman" w:eastAsia="宋体"/>
          <w:b w:val="0"/>
          <w:bCs w:val="0"/>
          <w:color w:val="0000FF"/>
          <w:sz w:val="24"/>
          <w:szCs w:val="32"/>
          <w:vertAlign w:val="superscript"/>
        </w:rPr>
        <w:t>3</w:t>
      </w:r>
      <w:r>
        <w:rPr>
          <w:rFonts w:hint="eastAsia" w:ascii="Times New Roman" w:hAnsi="Times New Roman" w:eastAsia="宋体"/>
          <w:b w:val="0"/>
          <w:bCs w:val="0"/>
          <w:color w:val="0000FF"/>
          <w:sz w:val="24"/>
          <w:szCs w:val="32"/>
        </w:rPr>
        <w:t>，排放速率为</w:t>
      </w:r>
      <w:r>
        <w:rPr>
          <w:rFonts w:hint="eastAsia" w:ascii="Times New Roman" w:hAnsi="Times New Roman" w:eastAsia="宋体"/>
          <w:b w:val="0"/>
          <w:bCs w:val="0"/>
          <w:color w:val="0000FF"/>
          <w:sz w:val="24"/>
          <w:szCs w:val="32"/>
          <w:lang w:val="en-US" w:eastAsia="zh-CN"/>
        </w:rPr>
        <w:t>0.0039</w:t>
      </w:r>
      <w:r>
        <w:rPr>
          <w:rFonts w:hint="eastAsia" w:ascii="Times New Roman" w:hAnsi="Times New Roman" w:eastAsia="宋体"/>
          <w:b w:val="0"/>
          <w:bCs w:val="0"/>
          <w:color w:val="0000FF"/>
          <w:sz w:val="24"/>
          <w:szCs w:val="32"/>
        </w:rPr>
        <w:t>kg/h，能够满足《大气污染物综合排放标准》（GB16297－1996）表2中的二级标准要求</w:t>
      </w:r>
      <w:r>
        <w:rPr>
          <w:rFonts w:hint="eastAsia"/>
          <w:color w:val="0000FF"/>
          <w:lang w:eastAsia="zh-CN"/>
        </w:rPr>
        <w:t>。</w:t>
      </w:r>
      <w:r>
        <w:rPr>
          <w:rFonts w:hint="default" w:ascii="Times New Roman" w:hAnsi="Times New Roman" w:eastAsia="宋体" w:cs="Times New Roman"/>
          <w:b w:val="0"/>
          <w:bCs/>
          <w:color w:val="0000FF"/>
          <w:sz w:val="24"/>
          <w:szCs w:val="24"/>
        </w:rPr>
        <w:t>因此项目污染防治措施可行。</w:t>
      </w:r>
    </w:p>
    <w:p w14:paraId="755FBC62">
      <w:pPr>
        <w:overflowPunct w:val="0"/>
        <w:adjustRightInd w:val="0"/>
        <w:snapToGrid w:val="0"/>
        <w:spacing w:line="360" w:lineRule="auto"/>
        <w:ind w:firstLine="480" w:firstLineChars="200"/>
        <w:rPr>
          <w:rFonts w:hint="eastAsia" w:ascii="Times New Roman" w:hAnsi="Times New Roman" w:eastAsia="宋体" w:cs="Times New Roman"/>
          <w:b w:val="0"/>
          <w:bCs/>
          <w:color w:val="0000FF"/>
          <w:sz w:val="24"/>
          <w:szCs w:val="24"/>
          <w:lang w:eastAsia="zh-CN"/>
        </w:rPr>
      </w:pPr>
      <w:r>
        <w:rPr>
          <w:rFonts w:hint="eastAsia" w:ascii="Times New Roman" w:hAnsi="Times New Roman" w:eastAsia="宋体" w:cs="Times New Roman"/>
          <w:b w:val="0"/>
          <w:bCs/>
          <w:color w:val="0000FF"/>
          <w:sz w:val="24"/>
          <w:szCs w:val="24"/>
          <w:lang w:eastAsia="zh-CN"/>
        </w:rPr>
        <w:t>为防止本工程废气对周边环境产生影响，评价要求：</w:t>
      </w:r>
    </w:p>
    <w:p w14:paraId="1C3D7CE0">
      <w:pPr>
        <w:overflowPunct w:val="0"/>
        <w:adjustRightInd w:val="0"/>
        <w:snapToGrid w:val="0"/>
        <w:spacing w:line="360" w:lineRule="auto"/>
        <w:ind w:firstLine="480" w:firstLineChars="200"/>
        <w:rPr>
          <w:rFonts w:hint="eastAsia" w:ascii="Times New Roman" w:hAnsi="Times New Roman" w:eastAsia="宋体" w:cs="Times New Roman"/>
          <w:b w:val="0"/>
          <w:bCs/>
          <w:color w:val="0000FF"/>
          <w:sz w:val="24"/>
          <w:szCs w:val="24"/>
          <w:lang w:eastAsia="zh-CN"/>
        </w:rPr>
      </w:pPr>
      <w:r>
        <w:rPr>
          <w:rFonts w:hint="eastAsia" w:ascii="Times New Roman" w:hAnsi="Times New Roman" w:eastAsia="宋体" w:cs="Times New Roman"/>
          <w:b w:val="0"/>
          <w:bCs/>
          <w:color w:val="0000FF"/>
          <w:sz w:val="24"/>
          <w:szCs w:val="24"/>
          <w:lang w:eastAsia="zh-CN"/>
        </w:rPr>
        <w:t>（1）建设方需要加强管理，注重废气治理措施的维护和管理，定期对存储及排风装置进行检查，防止堵、漏等现象产生。同时，确保本工程废气处理系统长期稳定、有效运行；</w:t>
      </w:r>
    </w:p>
    <w:p w14:paraId="6A10F63E">
      <w:pPr>
        <w:overflowPunct w:val="0"/>
        <w:adjustRightInd w:val="0"/>
        <w:snapToGrid w:val="0"/>
        <w:spacing w:line="360" w:lineRule="auto"/>
        <w:ind w:firstLine="480" w:firstLineChars="200"/>
        <w:rPr>
          <w:rFonts w:hint="eastAsia" w:ascii="Times New Roman" w:hAnsi="Times New Roman" w:eastAsia="宋体" w:cs="Times New Roman"/>
          <w:b w:val="0"/>
          <w:bCs/>
          <w:color w:val="0000FF"/>
          <w:sz w:val="24"/>
          <w:szCs w:val="24"/>
          <w:lang w:eastAsia="zh-CN"/>
        </w:rPr>
      </w:pPr>
      <w:r>
        <w:rPr>
          <w:rFonts w:hint="eastAsia" w:ascii="Times New Roman" w:hAnsi="Times New Roman" w:eastAsia="宋体" w:cs="Times New Roman"/>
          <w:b w:val="0"/>
          <w:bCs/>
          <w:color w:val="0000FF"/>
          <w:sz w:val="24"/>
          <w:szCs w:val="24"/>
          <w:lang w:eastAsia="zh-CN"/>
        </w:rPr>
        <w:t>（2）要求企业将收集回的破损废旧铅蓄电池在进行入库（破损区）存放时应检查其收集容器的完好情况，若发生收集容器破损、盖子破损或是盖子密封严实时应对其进行及时更换，并将盖子密封严实后入库存放；</w:t>
      </w:r>
    </w:p>
    <w:p w14:paraId="2AE5C4CD">
      <w:pPr>
        <w:overflowPunct w:val="0"/>
        <w:adjustRightInd w:val="0"/>
        <w:snapToGrid w:val="0"/>
        <w:spacing w:line="360" w:lineRule="auto"/>
        <w:ind w:firstLine="480" w:firstLineChars="200"/>
        <w:rPr>
          <w:rFonts w:hint="eastAsia" w:ascii="Times New Roman" w:hAnsi="Times New Roman" w:eastAsia="宋体" w:cs="Times New Roman"/>
          <w:b w:val="0"/>
          <w:bCs/>
          <w:color w:val="0000FF"/>
          <w:sz w:val="24"/>
          <w:szCs w:val="24"/>
          <w:lang w:eastAsia="zh-CN"/>
        </w:rPr>
      </w:pPr>
      <w:r>
        <w:rPr>
          <w:rFonts w:hint="eastAsia" w:ascii="Times New Roman" w:hAnsi="Times New Roman" w:eastAsia="宋体" w:cs="Times New Roman"/>
          <w:b w:val="0"/>
          <w:bCs/>
          <w:color w:val="0000FF"/>
          <w:sz w:val="24"/>
          <w:szCs w:val="24"/>
          <w:lang w:eastAsia="zh-CN"/>
        </w:rPr>
        <w:t>（3）加强厂区监管，定期巡查，及时发现问题并解决，如及时更换破损的盖子，或及时将盖子封闭严实。</w:t>
      </w:r>
    </w:p>
    <w:p w14:paraId="3D351BA2">
      <w:pPr>
        <w:overflowPunct w:val="0"/>
        <w:adjustRightInd w:val="0"/>
        <w:snapToGrid w:val="0"/>
        <w:spacing w:line="360" w:lineRule="auto"/>
        <w:ind w:firstLine="480" w:firstLineChars="200"/>
        <w:rPr>
          <w:rFonts w:hint="eastAsia" w:ascii="Times New Roman" w:hAnsi="Times New Roman" w:eastAsia="宋体" w:cs="Times New Roman"/>
          <w:b w:val="0"/>
          <w:bCs/>
          <w:color w:val="0000FF"/>
          <w:sz w:val="24"/>
          <w:szCs w:val="24"/>
          <w:lang w:eastAsia="zh-CN"/>
        </w:rPr>
      </w:pPr>
      <w:r>
        <w:rPr>
          <w:rFonts w:hint="eastAsia" w:ascii="Times New Roman" w:hAnsi="Times New Roman" w:eastAsia="宋体" w:cs="Times New Roman"/>
          <w:b w:val="0"/>
          <w:bCs/>
          <w:color w:val="0000FF"/>
          <w:sz w:val="24"/>
          <w:szCs w:val="24"/>
          <w:lang w:eastAsia="zh-CN"/>
        </w:rPr>
        <w:t>（4）严格按照《挥发性有机物无组织排放控制标准》（GB37822-2019）中相关要求建设本项目厂地，保证废气各项污染物浓度满足《挥发性有机物无组织排放控制标准》（GB37822-2019）及《大气污染物综合排放标准》（GB16297-1996）相关要求及排放标准。</w:t>
      </w:r>
    </w:p>
    <w:p w14:paraId="5CAB60AC">
      <w:pPr>
        <w:overflowPunct w:val="0"/>
        <w:adjustRightInd w:val="0"/>
        <w:snapToGrid w:val="0"/>
        <w:spacing w:line="360" w:lineRule="auto"/>
        <w:ind w:firstLine="480" w:firstLineChars="200"/>
        <w:rPr>
          <w:rFonts w:hint="eastAsia" w:ascii="Times New Roman" w:hAnsi="Times New Roman" w:eastAsia="宋体" w:cs="Times New Roman"/>
          <w:b w:val="0"/>
          <w:bCs/>
          <w:color w:val="0000FF"/>
          <w:sz w:val="24"/>
          <w:szCs w:val="24"/>
          <w:lang w:eastAsia="zh-CN"/>
        </w:rPr>
      </w:pPr>
      <w:r>
        <w:rPr>
          <w:rFonts w:hint="eastAsia" w:ascii="Times New Roman" w:hAnsi="Times New Roman" w:eastAsia="宋体" w:cs="Times New Roman"/>
          <w:b w:val="0"/>
          <w:bCs/>
          <w:color w:val="0000FF"/>
          <w:sz w:val="24"/>
          <w:szCs w:val="24"/>
          <w:lang w:eastAsia="zh-CN"/>
        </w:rPr>
        <w:t>因此，本工程在加强环境管理、落实报告表提出的各项环保措施的前提下，本工程废气对环境影响不大，类比同类工程，其废气处理措施是可行的。</w:t>
      </w:r>
    </w:p>
    <w:p w14:paraId="547417F6">
      <w:pPr>
        <w:overflowPunct w:val="0"/>
        <w:adjustRightInd w:val="0"/>
        <w:snapToGrid w:val="0"/>
        <w:spacing w:line="360" w:lineRule="auto"/>
        <w:ind w:firstLine="480" w:firstLineChars="200"/>
        <w:rPr>
          <w:rFonts w:hint="eastAsia" w:ascii="Times New Roman" w:hAnsi="Times New Roman" w:eastAsia="宋体" w:cs="Times New Roman"/>
          <w:b w:val="0"/>
          <w:bCs/>
          <w:color w:val="0000FF"/>
          <w:sz w:val="24"/>
          <w:szCs w:val="24"/>
          <w:lang w:eastAsia="zh-CN"/>
        </w:rPr>
      </w:pPr>
    </w:p>
    <w:p w14:paraId="7988C702">
      <w:pPr>
        <w:overflowPunct w:val="0"/>
        <w:adjustRightInd w:val="0"/>
        <w:snapToGrid w:val="0"/>
        <w:spacing w:line="360" w:lineRule="auto"/>
        <w:rPr>
          <w:rFonts w:ascii="Times New Roman" w:hAnsi="Times New Roman" w:eastAsia="宋体"/>
          <w:b/>
          <w:bCs w:val="0"/>
          <w:color w:val="0000FF"/>
          <w:sz w:val="24"/>
          <w:szCs w:val="24"/>
        </w:rPr>
      </w:pPr>
      <w:r>
        <w:rPr>
          <w:rFonts w:hint="eastAsia" w:ascii="宋体" w:hAnsi="宋体" w:cs="宋体"/>
          <w:b/>
          <w:bCs w:val="0"/>
          <w:sz w:val="24"/>
          <w:szCs w:val="24"/>
          <w:lang w:val="zh-CN"/>
        </w:rPr>
        <w:t>意见</w:t>
      </w:r>
      <w:r>
        <w:rPr>
          <w:rFonts w:hint="eastAsia" w:ascii="宋体" w:hAnsi="宋体" w:cs="宋体"/>
          <w:b/>
          <w:bCs w:val="0"/>
          <w:sz w:val="24"/>
          <w:szCs w:val="24"/>
          <w:lang w:val="en-US" w:eastAsia="zh-CN"/>
        </w:rPr>
        <w:t>7、</w:t>
      </w:r>
      <w:r>
        <w:rPr>
          <w:rFonts w:hint="eastAsia" w:ascii="宋体" w:hAnsi="宋体" w:cs="宋体"/>
          <w:b/>
          <w:bCs w:val="0"/>
          <w:sz w:val="24"/>
          <w:szCs w:val="24"/>
          <w:lang w:val="zh-CN"/>
        </w:rPr>
        <w:t>按地下水导则要求，核实地下水监测数据有效性。</w:t>
      </w:r>
    </w:p>
    <w:p w14:paraId="1C53627D">
      <w:pPr>
        <w:autoSpaceDE w:val="0"/>
        <w:autoSpaceDN w:val="0"/>
        <w:adjustRightInd w:val="0"/>
        <w:snapToGrid w:val="0"/>
        <w:spacing w:line="360" w:lineRule="auto"/>
        <w:ind w:firstLine="482" w:firstLineChars="200"/>
        <w:jc w:val="left"/>
        <w:rPr>
          <w:rFonts w:ascii="Times New Roman" w:hAnsi="Times New Roman" w:eastAsia="宋体"/>
          <w:b/>
          <w:bCs w:val="0"/>
          <w:color w:val="0000FF"/>
          <w:sz w:val="24"/>
          <w:szCs w:val="24"/>
        </w:rPr>
      </w:pPr>
      <w:r>
        <w:rPr>
          <w:rFonts w:hint="eastAsia" w:ascii="宋体" w:hAnsi="宋体" w:cs="宋体"/>
          <w:b/>
          <w:bCs w:val="0"/>
          <w:sz w:val="24"/>
          <w:szCs w:val="24"/>
          <w:vertAlign w:val="baseline"/>
          <w:lang w:val="zh-CN"/>
        </w:rPr>
        <w:t>已修改，见报告</w:t>
      </w:r>
      <w:r>
        <w:rPr>
          <w:rFonts w:hint="eastAsia" w:ascii="宋体" w:hAnsi="宋体" w:cs="宋体"/>
          <w:b/>
          <w:bCs w:val="0"/>
          <w:sz w:val="24"/>
          <w:szCs w:val="24"/>
          <w:vertAlign w:val="baseline"/>
          <w:lang w:val="en-US" w:eastAsia="zh-CN"/>
        </w:rPr>
        <w:t>P32-34。</w:t>
      </w:r>
    </w:p>
    <w:p w14:paraId="3A3EDBA5">
      <w:pPr>
        <w:autoSpaceDE w:val="0"/>
        <w:autoSpaceDN w:val="0"/>
        <w:adjustRightInd w:val="0"/>
        <w:snapToGrid w:val="0"/>
        <w:spacing w:line="360" w:lineRule="auto"/>
        <w:ind w:firstLine="482" w:firstLineChars="200"/>
        <w:jc w:val="left"/>
        <w:rPr>
          <w:rFonts w:ascii="Times New Roman" w:hAnsi="Times New Roman" w:eastAsia="宋体"/>
          <w:b/>
          <w:bCs/>
          <w:color w:val="0000FF"/>
          <w:sz w:val="24"/>
          <w:szCs w:val="24"/>
        </w:rPr>
      </w:pPr>
      <w:r>
        <w:rPr>
          <w:rFonts w:ascii="Times New Roman" w:hAnsi="Times New Roman" w:eastAsia="宋体"/>
          <w:b/>
          <w:bCs/>
          <w:color w:val="0000FF"/>
          <w:sz w:val="24"/>
          <w:szCs w:val="24"/>
        </w:rPr>
        <w:t>2、地下水环境质量现状</w:t>
      </w:r>
    </w:p>
    <w:p w14:paraId="7808B230">
      <w:pPr>
        <w:autoSpaceDE w:val="0"/>
        <w:autoSpaceDN w:val="0"/>
        <w:adjustRightInd w:val="0"/>
        <w:snapToGrid w:val="0"/>
        <w:spacing w:line="360" w:lineRule="auto"/>
        <w:ind w:firstLine="480" w:firstLineChars="200"/>
        <w:jc w:val="left"/>
        <w:rPr>
          <w:rFonts w:ascii="Times New Roman" w:hAnsi="Times New Roman" w:eastAsia="宋体"/>
          <w:color w:val="0000FF"/>
          <w:sz w:val="24"/>
          <w:szCs w:val="24"/>
        </w:rPr>
      </w:pPr>
      <w:r>
        <w:rPr>
          <w:rFonts w:ascii="Times New Roman" w:hAnsi="Times New Roman" w:eastAsia="宋体"/>
          <w:color w:val="0000FF"/>
          <w:sz w:val="24"/>
          <w:szCs w:val="24"/>
        </w:rPr>
        <w:t>（1）监测布点</w:t>
      </w:r>
    </w:p>
    <w:p w14:paraId="6D779759">
      <w:pPr>
        <w:autoSpaceDE w:val="0"/>
        <w:autoSpaceDN w:val="0"/>
        <w:adjustRightInd w:val="0"/>
        <w:snapToGrid w:val="0"/>
        <w:spacing w:line="360" w:lineRule="auto"/>
        <w:ind w:firstLine="480" w:firstLineChars="200"/>
        <w:jc w:val="left"/>
        <w:rPr>
          <w:rFonts w:ascii="Times New Roman" w:hAnsi="Times New Roman" w:eastAsia="宋体"/>
          <w:color w:val="0000FF"/>
          <w:sz w:val="24"/>
          <w:szCs w:val="24"/>
        </w:rPr>
      </w:pPr>
      <w:r>
        <w:rPr>
          <w:rFonts w:ascii="Times New Roman" w:hAnsi="Times New Roman" w:eastAsia="宋体"/>
          <w:color w:val="0000FF"/>
          <w:sz w:val="24"/>
          <w:szCs w:val="24"/>
        </w:rPr>
        <w:t>项目区评价范围内无明显地表径流，故本次水环境质量现状调查仅针对项目区地下水进行。</w:t>
      </w:r>
    </w:p>
    <w:p w14:paraId="6866C541">
      <w:pPr>
        <w:autoSpaceDE w:val="0"/>
        <w:autoSpaceDN w:val="0"/>
        <w:adjustRightInd w:val="0"/>
        <w:snapToGrid w:val="0"/>
        <w:spacing w:line="360" w:lineRule="auto"/>
        <w:ind w:firstLine="480" w:firstLineChars="200"/>
        <w:jc w:val="left"/>
        <w:rPr>
          <w:rFonts w:hint="eastAsia" w:ascii="Times New Roman" w:hAnsi="Times New Roman" w:eastAsia="宋体"/>
          <w:color w:val="0000FF"/>
          <w:sz w:val="24"/>
          <w:szCs w:val="24"/>
          <w:lang w:eastAsia="zh-CN"/>
        </w:rPr>
      </w:pPr>
      <w:r>
        <w:rPr>
          <w:rFonts w:ascii="Times New Roman" w:hAnsi="Times New Roman" w:eastAsia="宋体"/>
          <w:color w:val="0000FF"/>
          <w:sz w:val="24"/>
          <w:szCs w:val="24"/>
        </w:rPr>
        <w:t>本次评价引用</w:t>
      </w:r>
      <w:r>
        <w:rPr>
          <w:rFonts w:hint="eastAsia" w:ascii="Times New Roman" w:hAnsi="Times New Roman" w:eastAsia="宋体"/>
          <w:color w:val="0000FF"/>
          <w:sz w:val="24"/>
          <w:szCs w:val="24"/>
          <w:lang w:eastAsia="zh-CN"/>
        </w:rPr>
        <w:t>新疆点点星光环境监测技术服务有限公司于2018年7月12日～15日对分别对黑沟村、西湾村、南湖村进行了监测，由于三个监测点与本项目同处于农田平原地带，故水文地质条件基本一致，因此监测点具有代表性。监测布点见图</w:t>
      </w:r>
      <w:r>
        <w:rPr>
          <w:rFonts w:hint="eastAsia" w:ascii="Times New Roman" w:hAnsi="Times New Roman" w:eastAsia="宋体"/>
          <w:color w:val="0000FF"/>
          <w:sz w:val="24"/>
          <w:szCs w:val="24"/>
          <w:lang w:val="en-US" w:eastAsia="zh-CN"/>
        </w:rPr>
        <w:t>4</w:t>
      </w:r>
      <w:r>
        <w:rPr>
          <w:rFonts w:hint="eastAsia" w:ascii="Times New Roman" w:hAnsi="Times New Roman" w:eastAsia="宋体"/>
          <w:color w:val="0000FF"/>
          <w:sz w:val="24"/>
          <w:szCs w:val="24"/>
          <w:lang w:eastAsia="zh-CN"/>
        </w:rPr>
        <w:t>。</w:t>
      </w:r>
    </w:p>
    <w:p w14:paraId="29F5B0ED">
      <w:pPr>
        <w:autoSpaceDE w:val="0"/>
        <w:autoSpaceDN w:val="0"/>
        <w:adjustRightInd w:val="0"/>
        <w:snapToGrid w:val="0"/>
        <w:spacing w:line="360" w:lineRule="auto"/>
        <w:ind w:firstLine="480" w:firstLineChars="200"/>
        <w:jc w:val="left"/>
        <w:rPr>
          <w:rFonts w:ascii="Times New Roman" w:hAnsi="Times New Roman" w:eastAsia="宋体"/>
          <w:color w:val="0000FF"/>
          <w:sz w:val="24"/>
          <w:szCs w:val="24"/>
        </w:rPr>
      </w:pPr>
      <w:r>
        <w:rPr>
          <w:rFonts w:ascii="Times New Roman" w:hAnsi="Times New Roman" w:eastAsia="宋体"/>
          <w:color w:val="0000FF"/>
          <w:sz w:val="24"/>
          <w:szCs w:val="24"/>
        </w:rPr>
        <w:t>（</w:t>
      </w:r>
      <w:r>
        <w:rPr>
          <w:rFonts w:hint="eastAsia" w:ascii="Times New Roman" w:hAnsi="Times New Roman" w:eastAsia="宋体"/>
          <w:color w:val="0000FF"/>
          <w:sz w:val="24"/>
          <w:szCs w:val="24"/>
          <w:lang w:val="en-US" w:eastAsia="zh-CN"/>
        </w:rPr>
        <w:t>2</w:t>
      </w:r>
      <w:r>
        <w:rPr>
          <w:rFonts w:ascii="Times New Roman" w:hAnsi="Times New Roman" w:eastAsia="宋体"/>
          <w:color w:val="0000FF"/>
          <w:sz w:val="24"/>
          <w:szCs w:val="24"/>
        </w:rPr>
        <w:t>）监测项目</w:t>
      </w:r>
    </w:p>
    <w:p w14:paraId="560FCFFB">
      <w:pPr>
        <w:autoSpaceDE w:val="0"/>
        <w:autoSpaceDN w:val="0"/>
        <w:adjustRightInd w:val="0"/>
        <w:snapToGrid w:val="0"/>
        <w:spacing w:line="360" w:lineRule="auto"/>
        <w:ind w:firstLine="480" w:firstLineChars="200"/>
        <w:jc w:val="left"/>
        <w:rPr>
          <w:rFonts w:ascii="Times New Roman" w:hAnsi="Times New Roman" w:eastAsia="宋体"/>
          <w:color w:val="0000FF"/>
          <w:sz w:val="24"/>
          <w:szCs w:val="24"/>
        </w:rPr>
      </w:pPr>
      <w:r>
        <w:rPr>
          <w:rFonts w:ascii="Times New Roman" w:hAnsi="Times New Roman" w:eastAsia="宋体"/>
          <w:color w:val="0000FF"/>
          <w:sz w:val="24"/>
          <w:szCs w:val="24"/>
        </w:rPr>
        <w:t>监测项目包括pH、氨氮、六价铬、硝酸盐氮、氯化物、氟化物、硫酸盐、亚硝酸盐氮、总硬度、挥发酚、氰化物、溶解性总固体、总大肠菌群、铅、镉、汞、砷、铁、锰</w:t>
      </w:r>
      <w:r>
        <w:rPr>
          <w:rFonts w:hint="eastAsia" w:ascii="Times New Roman" w:hAnsi="Times New Roman" w:eastAsia="宋体"/>
          <w:color w:val="0000FF"/>
          <w:sz w:val="24"/>
          <w:szCs w:val="24"/>
        </w:rPr>
        <w:t>等</w:t>
      </w:r>
      <w:r>
        <w:rPr>
          <w:rFonts w:ascii="Times New Roman" w:hAnsi="Times New Roman" w:eastAsia="宋体"/>
          <w:color w:val="0000FF"/>
          <w:sz w:val="24"/>
          <w:szCs w:val="24"/>
        </w:rPr>
        <w:t>共</w:t>
      </w:r>
      <w:r>
        <w:rPr>
          <w:rFonts w:hint="eastAsia" w:ascii="Times New Roman" w:hAnsi="Times New Roman" w:eastAsia="宋体"/>
          <w:color w:val="0000FF"/>
          <w:sz w:val="24"/>
          <w:szCs w:val="24"/>
          <w:lang w:val="en-US" w:eastAsia="zh-CN"/>
        </w:rPr>
        <w:t>24</w:t>
      </w:r>
      <w:r>
        <w:rPr>
          <w:rFonts w:ascii="Times New Roman" w:hAnsi="Times New Roman" w:eastAsia="宋体"/>
          <w:color w:val="0000FF"/>
          <w:sz w:val="24"/>
          <w:szCs w:val="24"/>
        </w:rPr>
        <w:t>项。</w:t>
      </w:r>
    </w:p>
    <w:p w14:paraId="5CC7BFA2">
      <w:pPr>
        <w:autoSpaceDE w:val="0"/>
        <w:autoSpaceDN w:val="0"/>
        <w:adjustRightInd w:val="0"/>
        <w:snapToGrid w:val="0"/>
        <w:spacing w:line="360" w:lineRule="auto"/>
        <w:ind w:firstLine="480" w:firstLineChars="200"/>
        <w:jc w:val="left"/>
        <w:rPr>
          <w:rFonts w:ascii="Times New Roman" w:hAnsi="Times New Roman" w:eastAsia="宋体"/>
          <w:color w:val="0000FF"/>
          <w:sz w:val="24"/>
          <w:szCs w:val="24"/>
        </w:rPr>
      </w:pPr>
      <w:r>
        <w:rPr>
          <w:rFonts w:ascii="Times New Roman" w:hAnsi="Times New Roman" w:eastAsia="宋体"/>
          <w:color w:val="0000FF"/>
          <w:sz w:val="24"/>
          <w:szCs w:val="24"/>
        </w:rPr>
        <w:t>（4）采样及分析方法</w:t>
      </w:r>
    </w:p>
    <w:p w14:paraId="0245395F">
      <w:pPr>
        <w:autoSpaceDE w:val="0"/>
        <w:autoSpaceDN w:val="0"/>
        <w:adjustRightInd w:val="0"/>
        <w:snapToGrid w:val="0"/>
        <w:spacing w:line="360" w:lineRule="auto"/>
        <w:ind w:firstLine="480" w:firstLineChars="200"/>
        <w:jc w:val="left"/>
        <w:rPr>
          <w:rFonts w:ascii="Times New Roman" w:hAnsi="Times New Roman" w:eastAsia="宋体"/>
          <w:color w:val="0000FF"/>
          <w:sz w:val="24"/>
          <w:szCs w:val="24"/>
        </w:rPr>
      </w:pPr>
      <w:r>
        <w:rPr>
          <w:rFonts w:ascii="Times New Roman" w:hAnsi="Times New Roman" w:eastAsia="宋体"/>
          <w:color w:val="0000FF"/>
          <w:sz w:val="24"/>
          <w:szCs w:val="24"/>
        </w:rPr>
        <w:t>采样分析方法按照《地下水质量标准》（GB/T14848-2017）的要求进行。</w:t>
      </w:r>
    </w:p>
    <w:p w14:paraId="14977E0D">
      <w:pPr>
        <w:autoSpaceDE w:val="0"/>
        <w:autoSpaceDN w:val="0"/>
        <w:adjustRightInd w:val="0"/>
        <w:snapToGrid w:val="0"/>
        <w:spacing w:line="360" w:lineRule="auto"/>
        <w:ind w:firstLine="480" w:firstLineChars="200"/>
        <w:jc w:val="left"/>
        <w:rPr>
          <w:rFonts w:ascii="Times New Roman" w:hAnsi="Times New Roman" w:eastAsia="宋体"/>
          <w:color w:val="0000FF"/>
          <w:sz w:val="24"/>
          <w:szCs w:val="24"/>
        </w:rPr>
      </w:pPr>
      <w:r>
        <w:rPr>
          <w:rFonts w:ascii="Times New Roman" w:hAnsi="Times New Roman" w:eastAsia="宋体"/>
          <w:color w:val="0000FF"/>
          <w:sz w:val="24"/>
          <w:szCs w:val="24"/>
        </w:rPr>
        <w:t>（5）评价标准</w:t>
      </w:r>
    </w:p>
    <w:p w14:paraId="1FF93A61">
      <w:pPr>
        <w:autoSpaceDE w:val="0"/>
        <w:autoSpaceDN w:val="0"/>
        <w:adjustRightInd w:val="0"/>
        <w:snapToGrid w:val="0"/>
        <w:spacing w:line="360" w:lineRule="auto"/>
        <w:ind w:firstLine="480" w:firstLineChars="200"/>
        <w:jc w:val="left"/>
        <w:rPr>
          <w:rFonts w:ascii="Times New Roman" w:hAnsi="Times New Roman" w:eastAsia="宋体"/>
          <w:color w:val="0000FF"/>
          <w:sz w:val="24"/>
          <w:szCs w:val="24"/>
        </w:rPr>
      </w:pPr>
      <w:r>
        <w:rPr>
          <w:rFonts w:ascii="Times New Roman" w:hAnsi="Times New Roman" w:eastAsia="宋体"/>
          <w:color w:val="0000FF"/>
          <w:sz w:val="24"/>
          <w:szCs w:val="24"/>
        </w:rPr>
        <w:t>采用《地下水质量标准》（GB/T14848-2017）Ⅲ类标准对水质进行评价。</w:t>
      </w:r>
    </w:p>
    <w:p w14:paraId="45791577">
      <w:pPr>
        <w:autoSpaceDE w:val="0"/>
        <w:autoSpaceDN w:val="0"/>
        <w:adjustRightInd w:val="0"/>
        <w:snapToGrid w:val="0"/>
        <w:spacing w:line="360" w:lineRule="auto"/>
        <w:ind w:firstLine="480" w:firstLineChars="200"/>
        <w:jc w:val="left"/>
        <w:rPr>
          <w:rFonts w:ascii="Times New Roman" w:hAnsi="Times New Roman" w:eastAsia="宋体"/>
          <w:color w:val="0000FF"/>
          <w:sz w:val="24"/>
          <w:szCs w:val="24"/>
        </w:rPr>
      </w:pPr>
      <w:r>
        <w:rPr>
          <w:rFonts w:ascii="Times New Roman" w:hAnsi="Times New Roman" w:eastAsia="宋体"/>
          <w:color w:val="0000FF"/>
          <w:sz w:val="24"/>
          <w:szCs w:val="24"/>
        </w:rPr>
        <w:t>（6）评价方法</w:t>
      </w:r>
    </w:p>
    <w:p w14:paraId="0D7FC6E1">
      <w:pPr>
        <w:autoSpaceDE w:val="0"/>
        <w:autoSpaceDN w:val="0"/>
        <w:adjustRightInd w:val="0"/>
        <w:snapToGrid w:val="0"/>
        <w:spacing w:line="360" w:lineRule="auto"/>
        <w:ind w:firstLine="480" w:firstLineChars="200"/>
        <w:jc w:val="left"/>
        <w:rPr>
          <w:rFonts w:ascii="Times New Roman" w:hAnsi="Times New Roman" w:eastAsia="宋体"/>
          <w:color w:val="0000FF"/>
          <w:sz w:val="24"/>
          <w:szCs w:val="24"/>
        </w:rPr>
      </w:pPr>
      <w:r>
        <w:rPr>
          <w:rFonts w:ascii="Times New Roman" w:hAnsi="Times New Roman" w:eastAsia="宋体"/>
          <w:color w:val="0000FF"/>
          <w:sz w:val="24"/>
          <w:szCs w:val="24"/>
        </w:rPr>
        <w:t>评价方法采用单因子标准指数法对监测结果进行评价。其单项水质参数i在第j点的标准指数为：</w:t>
      </w:r>
    </w:p>
    <w:p w14:paraId="116442D6">
      <w:pPr>
        <w:autoSpaceDE w:val="0"/>
        <w:autoSpaceDN w:val="0"/>
        <w:adjustRightInd w:val="0"/>
        <w:snapToGrid w:val="0"/>
        <w:spacing w:line="360" w:lineRule="auto"/>
        <w:jc w:val="center"/>
        <w:rPr>
          <w:rFonts w:ascii="Times New Roman" w:hAnsi="Times New Roman" w:eastAsia="宋体"/>
          <w:color w:val="0000FF"/>
          <w:sz w:val="24"/>
          <w:szCs w:val="24"/>
        </w:rPr>
      </w:pPr>
      <w:r>
        <w:rPr>
          <w:rFonts w:ascii="Times New Roman" w:hAnsi="Times New Roman" w:eastAsia="宋体"/>
          <w:color w:val="0000FF"/>
          <w:sz w:val="24"/>
          <w:szCs w:val="24"/>
        </w:rPr>
        <w:t>Sij=Cij/Csi</w:t>
      </w:r>
    </w:p>
    <w:p w14:paraId="4B0231EA">
      <w:pPr>
        <w:autoSpaceDE w:val="0"/>
        <w:autoSpaceDN w:val="0"/>
        <w:adjustRightInd w:val="0"/>
        <w:snapToGrid w:val="0"/>
        <w:spacing w:line="360" w:lineRule="auto"/>
        <w:ind w:firstLine="480" w:firstLineChars="200"/>
        <w:jc w:val="left"/>
        <w:rPr>
          <w:rFonts w:ascii="Times New Roman" w:hAnsi="Times New Roman" w:eastAsia="宋体"/>
          <w:color w:val="0000FF"/>
          <w:sz w:val="24"/>
          <w:szCs w:val="24"/>
        </w:rPr>
      </w:pPr>
      <w:r>
        <w:rPr>
          <w:rFonts w:ascii="Times New Roman" w:hAnsi="Times New Roman" w:eastAsia="宋体"/>
          <w:color w:val="0000FF"/>
          <w:sz w:val="24"/>
          <w:szCs w:val="24"/>
        </w:rPr>
        <w:t>对于pH，标准指数计算式为：</w:t>
      </w:r>
    </w:p>
    <w:p w14:paraId="207F97A6">
      <w:pPr>
        <w:autoSpaceDE w:val="0"/>
        <w:autoSpaceDN w:val="0"/>
        <w:adjustRightInd w:val="0"/>
        <w:snapToGrid w:val="0"/>
        <w:spacing w:line="360" w:lineRule="auto"/>
        <w:jc w:val="center"/>
        <w:rPr>
          <w:rFonts w:ascii="Times New Roman" w:hAnsi="Times New Roman" w:eastAsia="宋体"/>
          <w:color w:val="0000FF"/>
          <w:sz w:val="24"/>
          <w:szCs w:val="24"/>
        </w:rPr>
      </w:pPr>
      <w:r>
        <w:rPr>
          <w:rFonts w:ascii="Times New Roman" w:hAnsi="Times New Roman" w:eastAsia="宋体"/>
          <w:color w:val="0000FF"/>
          <w:sz w:val="24"/>
          <w:szCs w:val="24"/>
        </w:rPr>
        <w:object>
          <v:shape id="_x0000_i1025" o:spt="75" type="#_x0000_t75" style="height:36.75pt;width:91.5pt;" o:ole="t" filled="f" o:preferrelative="t" stroked="f" coordsize="21600,21600">
            <v:path/>
            <v:fill on="f" focussize="0,0"/>
            <v:stroke on="f"/>
            <v:imagedata r:id="rId9" o:title=""/>
            <o:lock v:ext="edit" aspectratio="t"/>
            <w10:wrap type="none"/>
            <w10:anchorlock/>
          </v:shape>
          <o:OLEObject Type="Embed" ProgID="Equation.DSMT4" ShapeID="_x0000_i1025" DrawAspect="Content" ObjectID="_1468075725" r:id="rId8">
            <o:LockedField>false</o:LockedField>
          </o:OLEObject>
        </w:object>
      </w:r>
      <w:r>
        <w:rPr>
          <w:rFonts w:ascii="Times New Roman" w:hAnsi="Times New Roman" w:eastAsia="宋体"/>
          <w:color w:val="0000FF"/>
          <w:sz w:val="24"/>
          <w:szCs w:val="24"/>
        </w:rPr>
        <w:object>
          <v:shape id="_x0000_i1026" o:spt="75" type="#_x0000_t75" style="height:19.5pt;width:51.75pt;" o:ole="t" filled="f" o:preferrelative="t" stroked="f" coordsize="21600,21600">
            <v:path/>
            <v:fill on="f" focussize="0,0"/>
            <v:stroke on="f"/>
            <v:imagedata r:id="rId11" o:title=""/>
            <o:lock v:ext="edit" aspectratio="t"/>
            <w10:wrap type="none"/>
            <w10:anchorlock/>
          </v:shape>
          <o:OLEObject Type="Embed" ProgID="Equation.DSMT4" ShapeID="_x0000_i1026" DrawAspect="Content" ObjectID="_1468075726" r:id="rId10">
            <o:LockedField>false</o:LockedField>
          </o:OLEObject>
        </w:object>
      </w:r>
    </w:p>
    <w:p w14:paraId="3FF7454E">
      <w:pPr>
        <w:autoSpaceDE w:val="0"/>
        <w:autoSpaceDN w:val="0"/>
        <w:adjustRightInd w:val="0"/>
        <w:snapToGrid w:val="0"/>
        <w:spacing w:line="360" w:lineRule="auto"/>
        <w:jc w:val="center"/>
        <w:rPr>
          <w:rFonts w:ascii="Times New Roman" w:hAnsi="Times New Roman" w:eastAsia="宋体"/>
          <w:color w:val="0000FF"/>
          <w:sz w:val="24"/>
          <w:szCs w:val="24"/>
        </w:rPr>
      </w:pPr>
      <w:r>
        <w:rPr>
          <w:rFonts w:ascii="Times New Roman" w:hAnsi="Times New Roman" w:eastAsia="宋体"/>
          <w:color w:val="0000FF"/>
          <w:sz w:val="24"/>
          <w:szCs w:val="24"/>
        </w:rPr>
        <w:object>
          <v:shape id="_x0000_i1027" o:spt="75" type="#_x0000_t75" style="height:36.75pt;width:90.75pt;" o:ole="t" filled="f" o:preferrelative="t" stroked="f" coordsize="21600,21600">
            <v:path/>
            <v:fill on="f" focussize="0,0"/>
            <v:stroke on="f"/>
            <v:imagedata r:id="rId13" o:title=""/>
            <o:lock v:ext="edit" aspectratio="t"/>
            <w10:wrap type="none"/>
            <w10:anchorlock/>
          </v:shape>
          <o:OLEObject Type="Embed" ProgID="Equation.DSMT4" ShapeID="_x0000_i1027" DrawAspect="Content" ObjectID="_1468075727" r:id="rId12">
            <o:LockedField>false</o:LockedField>
          </o:OLEObject>
        </w:object>
      </w:r>
      <w:r>
        <w:rPr>
          <w:rFonts w:ascii="Times New Roman" w:hAnsi="Times New Roman" w:eastAsia="宋体"/>
          <w:color w:val="0000FF"/>
          <w:sz w:val="24"/>
          <w:szCs w:val="24"/>
        </w:rPr>
        <w:object>
          <v:shape id="_x0000_i1028" o:spt="75" type="#_x0000_t75" style="height:19.5pt;width:52.5pt;" o:ole="t" filled="f" o:preferrelative="t" stroked="f" coordsize="21600,21600">
            <v:path/>
            <v:fill on="f" focussize="0,0"/>
            <v:stroke on="f"/>
            <v:imagedata r:id="rId15" o:title=""/>
            <o:lock v:ext="edit" aspectratio="t"/>
            <w10:wrap type="none"/>
            <w10:anchorlock/>
          </v:shape>
          <o:OLEObject Type="Embed" ProgID="Equation.DSMT4" ShapeID="_x0000_i1028" DrawAspect="Content" ObjectID="_1468075728" r:id="rId14">
            <o:LockedField>false</o:LockedField>
          </o:OLEObject>
        </w:object>
      </w:r>
    </w:p>
    <w:p w14:paraId="2DD47806">
      <w:pPr>
        <w:autoSpaceDE w:val="0"/>
        <w:autoSpaceDN w:val="0"/>
        <w:adjustRightInd w:val="0"/>
        <w:snapToGrid w:val="0"/>
        <w:spacing w:line="360" w:lineRule="auto"/>
        <w:ind w:firstLine="480" w:firstLineChars="200"/>
        <w:jc w:val="left"/>
        <w:rPr>
          <w:rFonts w:ascii="Times New Roman" w:hAnsi="Times New Roman" w:eastAsia="宋体"/>
          <w:color w:val="0000FF"/>
          <w:sz w:val="24"/>
          <w:szCs w:val="24"/>
        </w:rPr>
      </w:pPr>
      <w:r>
        <w:rPr>
          <w:rFonts w:ascii="Times New Roman" w:hAnsi="Times New Roman" w:eastAsia="宋体"/>
          <w:color w:val="0000FF"/>
          <w:sz w:val="24"/>
          <w:szCs w:val="24"/>
        </w:rPr>
        <w:t>式中：Si</w:t>
      </w:r>
      <w:r>
        <w:rPr>
          <w:rFonts w:hint="eastAsia" w:ascii="Times New Roman" w:hAnsi="Times New Roman" w:eastAsia="宋体"/>
          <w:color w:val="0000FF"/>
          <w:sz w:val="24"/>
          <w:szCs w:val="24"/>
          <w:lang w:eastAsia="zh-CN"/>
        </w:rPr>
        <w:t>，</w:t>
      </w:r>
      <w:r>
        <w:rPr>
          <w:rFonts w:ascii="Times New Roman" w:hAnsi="Times New Roman" w:eastAsia="宋体"/>
          <w:color w:val="0000FF"/>
          <w:sz w:val="24"/>
          <w:szCs w:val="24"/>
        </w:rPr>
        <w:t>j———某污染物的标准指数；</w:t>
      </w:r>
    </w:p>
    <w:p w14:paraId="7B2F4390">
      <w:pPr>
        <w:autoSpaceDE w:val="0"/>
        <w:autoSpaceDN w:val="0"/>
        <w:adjustRightInd w:val="0"/>
        <w:snapToGrid w:val="0"/>
        <w:spacing w:line="360" w:lineRule="auto"/>
        <w:ind w:firstLine="480" w:firstLineChars="200"/>
        <w:jc w:val="left"/>
        <w:rPr>
          <w:rFonts w:ascii="Times New Roman" w:hAnsi="Times New Roman" w:eastAsia="宋体"/>
          <w:color w:val="0000FF"/>
          <w:sz w:val="24"/>
          <w:szCs w:val="24"/>
        </w:rPr>
      </w:pPr>
      <w:r>
        <w:rPr>
          <w:rFonts w:ascii="Times New Roman" w:hAnsi="Times New Roman" w:eastAsia="宋体"/>
          <w:color w:val="0000FF"/>
          <w:sz w:val="24"/>
          <w:szCs w:val="24"/>
        </w:rPr>
        <w:t>Cij———某污染物的实际浓度，mg/l；</w:t>
      </w:r>
    </w:p>
    <w:p w14:paraId="018FD6E1">
      <w:pPr>
        <w:autoSpaceDE w:val="0"/>
        <w:autoSpaceDN w:val="0"/>
        <w:adjustRightInd w:val="0"/>
        <w:snapToGrid w:val="0"/>
        <w:spacing w:line="360" w:lineRule="auto"/>
        <w:ind w:firstLine="480" w:firstLineChars="200"/>
        <w:jc w:val="left"/>
        <w:rPr>
          <w:rFonts w:ascii="Times New Roman" w:hAnsi="Times New Roman" w:eastAsia="宋体"/>
          <w:color w:val="0000FF"/>
          <w:sz w:val="24"/>
          <w:szCs w:val="24"/>
        </w:rPr>
      </w:pPr>
      <w:r>
        <w:rPr>
          <w:rFonts w:ascii="Times New Roman" w:hAnsi="Times New Roman" w:eastAsia="宋体"/>
          <w:color w:val="0000FF"/>
          <w:sz w:val="24"/>
          <w:szCs w:val="24"/>
        </w:rPr>
        <w:t>Csi———某污染物的评价标准，mg/l；</w:t>
      </w:r>
    </w:p>
    <w:p w14:paraId="0E1DA23A">
      <w:pPr>
        <w:autoSpaceDE w:val="0"/>
        <w:autoSpaceDN w:val="0"/>
        <w:adjustRightInd w:val="0"/>
        <w:snapToGrid w:val="0"/>
        <w:spacing w:line="360" w:lineRule="auto"/>
        <w:ind w:firstLine="480" w:firstLineChars="200"/>
        <w:jc w:val="left"/>
        <w:rPr>
          <w:rFonts w:ascii="Times New Roman" w:hAnsi="Times New Roman" w:eastAsia="宋体"/>
          <w:color w:val="0000FF"/>
          <w:sz w:val="24"/>
          <w:szCs w:val="24"/>
        </w:rPr>
      </w:pPr>
      <w:r>
        <w:rPr>
          <w:rFonts w:ascii="Times New Roman" w:hAnsi="Times New Roman" w:eastAsia="宋体"/>
          <w:color w:val="0000FF"/>
          <w:sz w:val="24"/>
          <w:szCs w:val="24"/>
        </w:rPr>
        <w:t>SpH</w:t>
      </w:r>
      <w:r>
        <w:rPr>
          <w:rFonts w:hint="eastAsia" w:ascii="Times New Roman" w:hAnsi="Times New Roman" w:eastAsia="宋体"/>
          <w:color w:val="0000FF"/>
          <w:sz w:val="24"/>
          <w:szCs w:val="24"/>
          <w:lang w:eastAsia="zh-CN"/>
        </w:rPr>
        <w:t>，</w:t>
      </w:r>
      <w:r>
        <w:rPr>
          <w:rFonts w:ascii="Times New Roman" w:hAnsi="Times New Roman" w:eastAsia="宋体"/>
          <w:color w:val="0000FF"/>
          <w:sz w:val="24"/>
          <w:szCs w:val="24"/>
        </w:rPr>
        <w:t>j———pH标准指数；</w:t>
      </w:r>
    </w:p>
    <w:p w14:paraId="5DD69EF3">
      <w:pPr>
        <w:autoSpaceDE w:val="0"/>
        <w:autoSpaceDN w:val="0"/>
        <w:adjustRightInd w:val="0"/>
        <w:snapToGrid w:val="0"/>
        <w:spacing w:line="360" w:lineRule="auto"/>
        <w:ind w:firstLine="480" w:firstLineChars="200"/>
        <w:jc w:val="left"/>
        <w:rPr>
          <w:rFonts w:ascii="Times New Roman" w:hAnsi="Times New Roman" w:eastAsia="宋体"/>
          <w:color w:val="0000FF"/>
          <w:sz w:val="24"/>
          <w:szCs w:val="24"/>
        </w:rPr>
      </w:pPr>
      <w:r>
        <w:rPr>
          <w:rFonts w:ascii="Times New Roman" w:hAnsi="Times New Roman" w:eastAsia="宋体"/>
          <w:color w:val="0000FF"/>
          <w:sz w:val="24"/>
          <w:szCs w:val="24"/>
        </w:rPr>
        <w:t>pHj———j点实测pH值；</w:t>
      </w:r>
    </w:p>
    <w:p w14:paraId="5261EA90">
      <w:pPr>
        <w:autoSpaceDE w:val="0"/>
        <w:autoSpaceDN w:val="0"/>
        <w:adjustRightInd w:val="0"/>
        <w:snapToGrid w:val="0"/>
        <w:spacing w:line="360" w:lineRule="auto"/>
        <w:ind w:firstLine="480" w:firstLineChars="200"/>
        <w:jc w:val="left"/>
        <w:rPr>
          <w:rFonts w:ascii="Times New Roman" w:hAnsi="Times New Roman" w:eastAsia="宋体"/>
          <w:color w:val="0000FF"/>
          <w:sz w:val="24"/>
          <w:szCs w:val="24"/>
        </w:rPr>
      </w:pPr>
      <w:r>
        <w:rPr>
          <w:rFonts w:ascii="Times New Roman" w:hAnsi="Times New Roman" w:eastAsia="宋体"/>
          <w:color w:val="0000FF"/>
          <w:sz w:val="24"/>
          <w:szCs w:val="24"/>
        </w:rPr>
        <w:t>pHsd———标准中pH的下限值；</w:t>
      </w:r>
    </w:p>
    <w:p w14:paraId="054A9FEA">
      <w:pPr>
        <w:autoSpaceDE w:val="0"/>
        <w:autoSpaceDN w:val="0"/>
        <w:adjustRightInd w:val="0"/>
        <w:snapToGrid w:val="0"/>
        <w:spacing w:line="360" w:lineRule="auto"/>
        <w:ind w:firstLine="480" w:firstLineChars="200"/>
        <w:jc w:val="left"/>
        <w:rPr>
          <w:rFonts w:ascii="Times New Roman" w:hAnsi="Times New Roman" w:eastAsia="宋体"/>
          <w:color w:val="0000FF"/>
          <w:sz w:val="24"/>
          <w:szCs w:val="24"/>
        </w:rPr>
      </w:pPr>
      <w:r>
        <w:rPr>
          <w:rFonts w:ascii="Times New Roman" w:hAnsi="Times New Roman" w:eastAsia="宋体"/>
          <w:color w:val="0000FF"/>
          <w:sz w:val="24"/>
          <w:szCs w:val="24"/>
        </w:rPr>
        <w:t>pHsu———标准中pH的上限值。</w:t>
      </w:r>
    </w:p>
    <w:p w14:paraId="1D8992BA">
      <w:pPr>
        <w:autoSpaceDE w:val="0"/>
        <w:autoSpaceDN w:val="0"/>
        <w:adjustRightInd w:val="0"/>
        <w:snapToGrid w:val="0"/>
        <w:spacing w:line="360" w:lineRule="auto"/>
        <w:ind w:firstLine="480" w:firstLineChars="200"/>
        <w:jc w:val="left"/>
        <w:rPr>
          <w:rFonts w:ascii="Times New Roman" w:hAnsi="Times New Roman" w:eastAsia="宋体"/>
          <w:color w:val="0000FF"/>
          <w:sz w:val="24"/>
          <w:szCs w:val="24"/>
        </w:rPr>
      </w:pPr>
      <w:r>
        <w:rPr>
          <w:rFonts w:ascii="Times New Roman" w:hAnsi="Times New Roman" w:eastAsia="宋体"/>
          <w:color w:val="0000FF"/>
          <w:sz w:val="24"/>
          <w:szCs w:val="24"/>
        </w:rPr>
        <w:t>（7）监测与评价结果</w:t>
      </w:r>
    </w:p>
    <w:p w14:paraId="392F7AB2">
      <w:pPr>
        <w:pStyle w:val="21"/>
        <w:adjustRightInd w:val="0"/>
        <w:snapToGrid w:val="0"/>
        <w:spacing w:line="320" w:lineRule="exact"/>
        <w:rPr>
          <w:rFonts w:hint="eastAsia" w:ascii="Times New Roman" w:hAnsi="Times New Roman" w:eastAsia="宋体"/>
          <w:color w:val="0000FF"/>
          <w:sz w:val="24"/>
          <w:szCs w:val="24"/>
          <w:lang w:eastAsia="zh-CN"/>
        </w:rPr>
      </w:pPr>
      <w:r>
        <w:rPr>
          <w:rFonts w:ascii="Times New Roman" w:hAnsi="Times New Roman" w:eastAsia="宋体"/>
          <w:color w:val="0000FF"/>
          <w:sz w:val="24"/>
          <w:szCs w:val="24"/>
        </w:rPr>
        <w:t>表</w:t>
      </w:r>
      <w:r>
        <w:rPr>
          <w:rFonts w:hint="eastAsia" w:ascii="Times New Roman" w:hAnsi="Times New Roman" w:eastAsia="宋体"/>
          <w:color w:val="0000FF"/>
          <w:sz w:val="24"/>
          <w:szCs w:val="24"/>
          <w:lang w:val="en-US" w:eastAsia="zh-CN"/>
        </w:rPr>
        <w:t>2-3</w:t>
      </w:r>
      <w:r>
        <w:rPr>
          <w:rFonts w:ascii="Times New Roman" w:hAnsi="Times New Roman" w:eastAsia="宋体"/>
          <w:color w:val="0000FF"/>
          <w:sz w:val="24"/>
          <w:szCs w:val="24"/>
        </w:rPr>
        <w:t>地下水环境质量评价结果单位:mg/L(pH除外</w:t>
      </w:r>
      <w:r>
        <w:rPr>
          <w:rFonts w:hint="eastAsia" w:ascii="Times New Roman" w:hAnsi="Times New Roman" w:eastAsia="宋体"/>
          <w:color w:val="0000FF"/>
          <w:sz w:val="24"/>
          <w:szCs w:val="24"/>
          <w:lang w:eastAsia="zh-CN"/>
        </w:rPr>
        <w:t>）</w:t>
      </w:r>
    </w:p>
    <w:tbl>
      <w:tblPr>
        <w:tblStyle w:val="11"/>
        <w:tblW w:w="4998" w:type="pct"/>
        <w:jc w:val="center"/>
        <w:tblBorders>
          <w:top w:val="single" w:color="auto" w:sz="12" w:space="0"/>
          <w:left w:val="none" w:color="auto" w:sz="0" w:space="0"/>
          <w:bottom w:val="single" w:color="auto" w:sz="12" w:space="0"/>
          <w:right w:val="none" w:color="auto" w:sz="0" w:space="0"/>
          <w:insideH w:val="single" w:color="auto" w:sz="4" w:space="0"/>
          <w:insideV w:val="single" w:color="auto" w:sz="6" w:space="0"/>
        </w:tblBorders>
        <w:tblLayout w:type="autofit"/>
        <w:tblCellMar>
          <w:top w:w="0" w:type="dxa"/>
          <w:left w:w="108" w:type="dxa"/>
          <w:bottom w:w="0" w:type="dxa"/>
          <w:right w:w="108" w:type="dxa"/>
        </w:tblCellMar>
      </w:tblPr>
      <w:tblGrid>
        <w:gridCol w:w="427"/>
        <w:gridCol w:w="1305"/>
        <w:gridCol w:w="811"/>
        <w:gridCol w:w="1585"/>
        <w:gridCol w:w="1214"/>
        <w:gridCol w:w="899"/>
        <w:gridCol w:w="689"/>
        <w:gridCol w:w="899"/>
        <w:gridCol w:w="690"/>
      </w:tblGrid>
      <w:tr w14:paraId="2574C298">
        <w:tblPrEx>
          <w:tblBorders>
            <w:top w:val="single" w:color="auto" w:sz="12" w:space="0"/>
            <w:left w:val="none" w:color="auto" w:sz="0" w:space="0"/>
            <w:bottom w:val="single" w:color="auto" w:sz="12" w:space="0"/>
            <w:right w:val="none" w:color="auto" w:sz="0" w:space="0"/>
            <w:insideH w:val="single" w:color="auto" w:sz="4" w:space="0"/>
            <w:insideV w:val="single" w:color="auto" w:sz="6" w:space="0"/>
          </w:tblBorders>
          <w:tblCellMar>
            <w:top w:w="0" w:type="dxa"/>
            <w:left w:w="108" w:type="dxa"/>
            <w:bottom w:w="0" w:type="dxa"/>
            <w:right w:w="108" w:type="dxa"/>
          </w:tblCellMar>
        </w:tblPrEx>
        <w:trPr>
          <w:trHeight w:val="160" w:hRule="atLeast"/>
          <w:jc w:val="center"/>
        </w:trPr>
        <w:tc>
          <w:tcPr>
            <w:tcW w:w="256" w:type="pct"/>
            <w:vMerge w:val="restart"/>
            <w:tcBorders>
              <w:top w:val="single" w:color="auto" w:sz="12" w:space="0"/>
              <w:right w:val="single" w:color="auto" w:sz="6" w:space="0"/>
            </w:tcBorders>
            <w:noWrap w:val="0"/>
            <w:vAlign w:val="center"/>
          </w:tcPr>
          <w:p w14:paraId="66D094C8">
            <w:pPr>
              <w:keepNext w:val="0"/>
              <w:keepLines w:val="0"/>
              <w:pageBreakBefore w:val="0"/>
              <w:widowControl w:val="0"/>
              <w:tabs>
                <w:tab w:val="left" w:pos="720"/>
              </w:tabs>
              <w:kinsoku/>
              <w:wordWrap/>
              <w:overflowPunct/>
              <w:topLinePunct w:val="0"/>
              <w:autoSpaceDE/>
              <w:autoSpaceDN/>
              <w:bidi w:val="0"/>
              <w:adjustRightInd/>
              <w:snapToGrid/>
              <w:spacing w:line="240" w:lineRule="auto"/>
              <w:ind w:left="0" w:right="0"/>
              <w:jc w:val="center"/>
              <w:textAlignment w:val="auto"/>
              <w:rPr>
                <w:rFonts w:hint="default" w:ascii="Times New Roman" w:hAnsi="Times New Roman" w:eastAsia="宋体" w:cs="Times New Roman"/>
                <w:b/>
                <w:color w:val="0000FF"/>
                <w:sz w:val="21"/>
                <w:szCs w:val="21"/>
              </w:rPr>
            </w:pPr>
            <w:r>
              <w:rPr>
                <w:rFonts w:hint="default" w:ascii="Times New Roman" w:hAnsi="Times New Roman" w:eastAsia="宋体" w:cs="Times New Roman"/>
                <w:b/>
                <w:color w:val="0000FF"/>
                <w:sz w:val="21"/>
                <w:szCs w:val="21"/>
              </w:rPr>
              <w:t>序号</w:t>
            </w:r>
          </w:p>
        </w:tc>
        <w:tc>
          <w:tcPr>
            <w:tcW w:w="815" w:type="pct"/>
            <w:vMerge w:val="restart"/>
            <w:tcBorders>
              <w:top w:val="single" w:color="auto" w:sz="12" w:space="0"/>
              <w:left w:val="single" w:color="auto" w:sz="6" w:space="0"/>
              <w:right w:val="single" w:color="auto" w:sz="6" w:space="0"/>
            </w:tcBorders>
            <w:noWrap w:val="0"/>
            <w:vAlign w:val="center"/>
          </w:tcPr>
          <w:p w14:paraId="2EE57CA5">
            <w:pPr>
              <w:keepNext w:val="0"/>
              <w:keepLines w:val="0"/>
              <w:pageBreakBefore w:val="0"/>
              <w:widowControl w:val="0"/>
              <w:tabs>
                <w:tab w:val="left" w:pos="720"/>
              </w:tabs>
              <w:kinsoku/>
              <w:wordWrap/>
              <w:overflowPunct/>
              <w:topLinePunct w:val="0"/>
              <w:autoSpaceDE/>
              <w:autoSpaceDN/>
              <w:bidi w:val="0"/>
              <w:adjustRightInd/>
              <w:snapToGrid/>
              <w:spacing w:line="240" w:lineRule="auto"/>
              <w:ind w:left="0" w:right="0"/>
              <w:jc w:val="center"/>
              <w:textAlignment w:val="auto"/>
              <w:rPr>
                <w:rFonts w:hint="default" w:ascii="Times New Roman" w:hAnsi="Times New Roman" w:eastAsia="宋体" w:cs="Times New Roman"/>
                <w:b/>
                <w:color w:val="0000FF"/>
                <w:sz w:val="21"/>
                <w:szCs w:val="21"/>
              </w:rPr>
            </w:pPr>
            <w:r>
              <w:rPr>
                <w:rFonts w:hint="default" w:ascii="Times New Roman" w:hAnsi="Times New Roman" w:eastAsia="宋体" w:cs="Times New Roman"/>
                <w:b/>
                <w:color w:val="0000FF"/>
                <w:sz w:val="21"/>
                <w:szCs w:val="21"/>
              </w:rPr>
              <w:t>监测项目</w:t>
            </w:r>
          </w:p>
        </w:tc>
        <w:tc>
          <w:tcPr>
            <w:tcW w:w="488" w:type="pct"/>
            <w:vMerge w:val="restart"/>
            <w:tcBorders>
              <w:top w:val="single" w:color="auto" w:sz="12" w:space="0"/>
              <w:left w:val="single" w:color="auto" w:sz="6" w:space="0"/>
              <w:right w:val="single" w:color="auto" w:sz="6" w:space="0"/>
            </w:tcBorders>
            <w:noWrap w:val="0"/>
            <w:vAlign w:val="center"/>
          </w:tcPr>
          <w:p w14:paraId="170A627A">
            <w:pPr>
              <w:keepNext w:val="0"/>
              <w:keepLines w:val="0"/>
              <w:pageBreakBefore w:val="0"/>
              <w:widowControl w:val="0"/>
              <w:kinsoku/>
              <w:wordWrap/>
              <w:overflowPunct/>
              <w:topLinePunct w:val="0"/>
              <w:autoSpaceDE/>
              <w:autoSpaceDN/>
              <w:bidi w:val="0"/>
              <w:adjustRightInd/>
              <w:snapToGrid/>
              <w:spacing w:line="240" w:lineRule="auto"/>
              <w:ind w:left="0" w:right="0"/>
              <w:jc w:val="center"/>
              <w:textAlignment w:val="auto"/>
              <w:rPr>
                <w:rFonts w:hint="default" w:ascii="Times New Roman" w:hAnsi="Times New Roman" w:eastAsia="宋体" w:cs="Times New Roman"/>
                <w:b/>
                <w:color w:val="0000FF"/>
                <w:sz w:val="21"/>
                <w:szCs w:val="21"/>
              </w:rPr>
            </w:pPr>
            <w:r>
              <w:rPr>
                <w:rFonts w:hint="default" w:ascii="Times New Roman" w:hAnsi="Times New Roman" w:eastAsia="宋体" w:cs="Times New Roman"/>
                <w:b/>
                <w:color w:val="0000FF"/>
                <w:sz w:val="21"/>
                <w:szCs w:val="21"/>
              </w:rPr>
              <w:t>标准限值</w:t>
            </w:r>
          </w:p>
        </w:tc>
        <w:tc>
          <w:tcPr>
            <w:tcW w:w="1717" w:type="pct"/>
            <w:gridSpan w:val="2"/>
            <w:tcBorders>
              <w:top w:val="single" w:color="auto" w:sz="12" w:space="0"/>
              <w:left w:val="single" w:color="auto" w:sz="6" w:space="0"/>
              <w:bottom w:val="single" w:color="auto" w:sz="12" w:space="0"/>
            </w:tcBorders>
            <w:noWrap w:val="0"/>
            <w:vAlign w:val="center"/>
          </w:tcPr>
          <w:p w14:paraId="3EDE4DAC">
            <w:pPr>
              <w:keepNext w:val="0"/>
              <w:keepLines w:val="0"/>
              <w:pageBreakBefore w:val="0"/>
              <w:widowControl w:val="0"/>
              <w:kinsoku/>
              <w:wordWrap/>
              <w:overflowPunct/>
              <w:topLinePunct w:val="0"/>
              <w:autoSpaceDE/>
              <w:autoSpaceDN/>
              <w:bidi w:val="0"/>
              <w:adjustRightInd/>
              <w:snapToGrid/>
              <w:spacing w:line="240" w:lineRule="auto"/>
              <w:ind w:left="0" w:right="0"/>
              <w:jc w:val="center"/>
              <w:textAlignment w:val="auto"/>
              <w:rPr>
                <w:rFonts w:hint="default" w:ascii="Times New Roman" w:hAnsi="Times New Roman" w:eastAsia="宋体" w:cs="Times New Roman"/>
                <w:b/>
                <w:color w:val="0000FF"/>
                <w:sz w:val="21"/>
                <w:szCs w:val="21"/>
              </w:rPr>
            </w:pPr>
            <w:r>
              <w:rPr>
                <w:rFonts w:hint="default" w:ascii="Times New Roman" w:hAnsi="Times New Roman" w:eastAsia="宋体" w:cs="Times New Roman"/>
                <w:b/>
                <w:color w:val="0000FF"/>
                <w:sz w:val="21"/>
                <w:szCs w:val="21"/>
              </w:rPr>
              <w:t>黑沟村</w:t>
            </w:r>
          </w:p>
        </w:tc>
        <w:tc>
          <w:tcPr>
            <w:tcW w:w="445" w:type="pct"/>
            <w:tcBorders>
              <w:top w:val="single" w:color="auto" w:sz="12" w:space="0"/>
              <w:left w:val="single" w:color="auto" w:sz="6" w:space="0"/>
            </w:tcBorders>
            <w:noWrap w:val="0"/>
            <w:vAlign w:val="center"/>
          </w:tcPr>
          <w:p w14:paraId="483B10BD">
            <w:pPr>
              <w:keepNext w:val="0"/>
              <w:keepLines w:val="0"/>
              <w:pageBreakBefore w:val="0"/>
              <w:widowControl w:val="0"/>
              <w:kinsoku/>
              <w:wordWrap/>
              <w:overflowPunct/>
              <w:topLinePunct w:val="0"/>
              <w:autoSpaceDE/>
              <w:autoSpaceDN/>
              <w:bidi w:val="0"/>
              <w:adjustRightInd/>
              <w:snapToGrid/>
              <w:spacing w:line="240" w:lineRule="auto"/>
              <w:ind w:left="0" w:right="0"/>
              <w:jc w:val="center"/>
              <w:textAlignment w:val="auto"/>
              <w:rPr>
                <w:rFonts w:hint="default" w:ascii="Times New Roman" w:hAnsi="Times New Roman" w:eastAsia="宋体" w:cs="Times New Roman"/>
                <w:b/>
                <w:color w:val="0000FF"/>
                <w:sz w:val="21"/>
                <w:szCs w:val="21"/>
                <w:lang w:val="en-US" w:eastAsia="zh-CN"/>
              </w:rPr>
            </w:pPr>
          </w:p>
        </w:tc>
        <w:tc>
          <w:tcPr>
            <w:tcW w:w="414" w:type="pct"/>
            <w:tcBorders>
              <w:top w:val="single" w:color="auto" w:sz="12" w:space="0"/>
              <w:left w:val="single" w:color="auto" w:sz="6" w:space="0"/>
            </w:tcBorders>
            <w:noWrap w:val="0"/>
            <w:vAlign w:val="center"/>
          </w:tcPr>
          <w:p w14:paraId="387BB28F">
            <w:pPr>
              <w:keepNext w:val="0"/>
              <w:keepLines w:val="0"/>
              <w:pageBreakBefore w:val="0"/>
              <w:widowControl w:val="0"/>
              <w:kinsoku/>
              <w:wordWrap/>
              <w:overflowPunct/>
              <w:topLinePunct w:val="0"/>
              <w:autoSpaceDE/>
              <w:autoSpaceDN/>
              <w:bidi w:val="0"/>
              <w:adjustRightInd/>
              <w:snapToGrid/>
              <w:spacing w:line="240" w:lineRule="auto"/>
              <w:ind w:left="0" w:right="0"/>
              <w:jc w:val="center"/>
              <w:textAlignment w:val="auto"/>
              <w:rPr>
                <w:rFonts w:hint="default" w:ascii="Times New Roman" w:hAnsi="Times New Roman" w:eastAsia="宋体" w:cs="Times New Roman"/>
                <w:b/>
                <w:color w:val="0000FF"/>
                <w:sz w:val="21"/>
                <w:szCs w:val="21"/>
                <w:lang w:val="en-US" w:eastAsia="zh-CN"/>
              </w:rPr>
            </w:pPr>
          </w:p>
        </w:tc>
        <w:tc>
          <w:tcPr>
            <w:tcW w:w="446" w:type="pct"/>
            <w:tcBorders>
              <w:top w:val="single" w:color="auto" w:sz="12" w:space="0"/>
              <w:left w:val="single" w:color="auto" w:sz="6" w:space="0"/>
            </w:tcBorders>
            <w:noWrap w:val="0"/>
            <w:vAlign w:val="center"/>
          </w:tcPr>
          <w:p w14:paraId="7781386D">
            <w:pPr>
              <w:keepNext w:val="0"/>
              <w:keepLines w:val="0"/>
              <w:pageBreakBefore w:val="0"/>
              <w:widowControl w:val="0"/>
              <w:kinsoku/>
              <w:wordWrap/>
              <w:overflowPunct/>
              <w:topLinePunct w:val="0"/>
              <w:autoSpaceDE/>
              <w:autoSpaceDN/>
              <w:bidi w:val="0"/>
              <w:adjustRightInd/>
              <w:snapToGrid/>
              <w:spacing w:line="240" w:lineRule="auto"/>
              <w:ind w:left="0" w:right="0"/>
              <w:jc w:val="center"/>
              <w:textAlignment w:val="auto"/>
              <w:rPr>
                <w:rFonts w:hint="default" w:ascii="Times New Roman" w:hAnsi="Times New Roman" w:eastAsia="宋体" w:cs="Times New Roman"/>
                <w:b/>
                <w:color w:val="0000FF"/>
                <w:sz w:val="21"/>
                <w:szCs w:val="21"/>
                <w:lang w:val="en-US" w:eastAsia="zh-CN"/>
              </w:rPr>
            </w:pPr>
          </w:p>
        </w:tc>
        <w:tc>
          <w:tcPr>
            <w:tcW w:w="415" w:type="pct"/>
            <w:tcBorders>
              <w:top w:val="single" w:color="auto" w:sz="12" w:space="0"/>
              <w:left w:val="single" w:color="auto" w:sz="6" w:space="0"/>
            </w:tcBorders>
            <w:noWrap w:val="0"/>
            <w:vAlign w:val="center"/>
          </w:tcPr>
          <w:p w14:paraId="1F639A31">
            <w:pPr>
              <w:keepNext w:val="0"/>
              <w:keepLines w:val="0"/>
              <w:pageBreakBefore w:val="0"/>
              <w:widowControl w:val="0"/>
              <w:kinsoku/>
              <w:wordWrap/>
              <w:overflowPunct/>
              <w:topLinePunct w:val="0"/>
              <w:autoSpaceDE/>
              <w:autoSpaceDN/>
              <w:bidi w:val="0"/>
              <w:adjustRightInd/>
              <w:snapToGrid/>
              <w:spacing w:line="240" w:lineRule="auto"/>
              <w:ind w:left="0" w:right="0"/>
              <w:jc w:val="center"/>
              <w:textAlignment w:val="auto"/>
              <w:rPr>
                <w:rFonts w:hint="default" w:ascii="Times New Roman" w:hAnsi="Times New Roman" w:eastAsia="宋体" w:cs="Times New Roman"/>
                <w:b/>
                <w:color w:val="0000FF"/>
                <w:sz w:val="21"/>
                <w:szCs w:val="21"/>
                <w:lang w:val="en-US" w:eastAsia="zh-CN"/>
              </w:rPr>
            </w:pPr>
          </w:p>
        </w:tc>
      </w:tr>
      <w:tr w14:paraId="600C6792">
        <w:tblPrEx>
          <w:tblBorders>
            <w:top w:val="single" w:color="auto" w:sz="12" w:space="0"/>
            <w:left w:val="none" w:color="auto" w:sz="0" w:space="0"/>
            <w:bottom w:val="single" w:color="auto" w:sz="12" w:space="0"/>
            <w:right w:val="none" w:color="auto" w:sz="0" w:space="0"/>
            <w:insideH w:val="single" w:color="auto" w:sz="4" w:space="0"/>
            <w:insideV w:val="single" w:color="auto" w:sz="6" w:space="0"/>
          </w:tblBorders>
          <w:tblCellMar>
            <w:top w:w="0" w:type="dxa"/>
            <w:left w:w="108" w:type="dxa"/>
            <w:bottom w:w="0" w:type="dxa"/>
            <w:right w:w="108" w:type="dxa"/>
          </w:tblCellMar>
        </w:tblPrEx>
        <w:trPr>
          <w:trHeight w:val="160" w:hRule="atLeast"/>
          <w:jc w:val="center"/>
        </w:trPr>
        <w:tc>
          <w:tcPr>
            <w:tcW w:w="256" w:type="pct"/>
            <w:vMerge w:val="continue"/>
            <w:tcBorders>
              <w:bottom w:val="single" w:color="auto" w:sz="4" w:space="0"/>
              <w:right w:val="single" w:color="auto" w:sz="6" w:space="0"/>
            </w:tcBorders>
            <w:noWrap w:val="0"/>
            <w:vAlign w:val="center"/>
          </w:tcPr>
          <w:p w14:paraId="68B2EB7C">
            <w:pPr>
              <w:keepNext w:val="0"/>
              <w:keepLines w:val="0"/>
              <w:pageBreakBefore w:val="0"/>
              <w:widowControl w:val="0"/>
              <w:kinsoku/>
              <w:wordWrap/>
              <w:overflowPunct/>
              <w:topLinePunct w:val="0"/>
              <w:autoSpaceDE/>
              <w:autoSpaceDN/>
              <w:bidi w:val="0"/>
              <w:adjustRightInd/>
              <w:snapToGrid/>
              <w:spacing w:line="240" w:lineRule="auto"/>
              <w:ind w:left="0" w:right="0"/>
              <w:jc w:val="center"/>
              <w:textAlignment w:val="auto"/>
              <w:rPr>
                <w:rFonts w:hint="default" w:ascii="Times New Roman" w:hAnsi="Times New Roman" w:eastAsia="宋体" w:cs="Times New Roman"/>
                <w:color w:val="0000FF"/>
                <w:sz w:val="21"/>
                <w:szCs w:val="21"/>
              </w:rPr>
            </w:pPr>
          </w:p>
        </w:tc>
        <w:tc>
          <w:tcPr>
            <w:tcW w:w="815" w:type="pct"/>
            <w:vMerge w:val="continue"/>
            <w:tcBorders>
              <w:left w:val="single" w:color="auto" w:sz="6" w:space="0"/>
              <w:bottom w:val="single" w:color="auto" w:sz="4" w:space="0"/>
              <w:right w:val="single" w:color="auto" w:sz="6" w:space="0"/>
            </w:tcBorders>
            <w:noWrap w:val="0"/>
            <w:vAlign w:val="center"/>
          </w:tcPr>
          <w:p w14:paraId="70021825">
            <w:pPr>
              <w:keepNext w:val="0"/>
              <w:keepLines w:val="0"/>
              <w:pageBreakBefore w:val="0"/>
              <w:widowControl w:val="0"/>
              <w:kinsoku/>
              <w:wordWrap/>
              <w:overflowPunct/>
              <w:topLinePunct w:val="0"/>
              <w:autoSpaceDE/>
              <w:autoSpaceDN/>
              <w:bidi w:val="0"/>
              <w:adjustRightInd/>
              <w:snapToGrid/>
              <w:spacing w:line="240" w:lineRule="auto"/>
              <w:ind w:left="0" w:right="0"/>
              <w:jc w:val="center"/>
              <w:textAlignment w:val="auto"/>
              <w:rPr>
                <w:rFonts w:hint="default" w:ascii="Times New Roman" w:hAnsi="Times New Roman" w:eastAsia="宋体" w:cs="Times New Roman"/>
                <w:color w:val="0000FF"/>
                <w:sz w:val="21"/>
                <w:szCs w:val="21"/>
              </w:rPr>
            </w:pPr>
          </w:p>
        </w:tc>
        <w:tc>
          <w:tcPr>
            <w:tcW w:w="488" w:type="pct"/>
            <w:vMerge w:val="continue"/>
            <w:tcBorders>
              <w:left w:val="single" w:color="auto" w:sz="6" w:space="0"/>
              <w:bottom w:val="single" w:color="auto" w:sz="4" w:space="0"/>
              <w:right w:val="single" w:color="auto" w:sz="6" w:space="0"/>
            </w:tcBorders>
            <w:noWrap w:val="0"/>
            <w:vAlign w:val="center"/>
          </w:tcPr>
          <w:p w14:paraId="4ECA4921">
            <w:pPr>
              <w:keepNext w:val="0"/>
              <w:keepLines w:val="0"/>
              <w:pageBreakBefore w:val="0"/>
              <w:widowControl w:val="0"/>
              <w:kinsoku/>
              <w:wordWrap/>
              <w:overflowPunct/>
              <w:topLinePunct w:val="0"/>
              <w:autoSpaceDE/>
              <w:autoSpaceDN/>
              <w:bidi w:val="0"/>
              <w:adjustRightInd/>
              <w:snapToGrid/>
              <w:spacing w:line="240" w:lineRule="auto"/>
              <w:ind w:left="0" w:right="0"/>
              <w:jc w:val="center"/>
              <w:textAlignment w:val="auto"/>
              <w:rPr>
                <w:rFonts w:hint="default" w:ascii="Times New Roman" w:hAnsi="Times New Roman" w:eastAsia="宋体" w:cs="Times New Roman"/>
                <w:color w:val="0000FF"/>
                <w:sz w:val="21"/>
                <w:szCs w:val="21"/>
              </w:rPr>
            </w:pPr>
          </w:p>
        </w:tc>
        <w:tc>
          <w:tcPr>
            <w:tcW w:w="973" w:type="pct"/>
            <w:tcBorders>
              <w:top w:val="single" w:color="auto" w:sz="12" w:space="0"/>
              <w:left w:val="single" w:color="auto" w:sz="6" w:space="0"/>
              <w:bottom w:val="single" w:color="auto" w:sz="4" w:space="0"/>
              <w:right w:val="single" w:color="auto" w:sz="6" w:space="0"/>
            </w:tcBorders>
            <w:noWrap w:val="0"/>
            <w:vAlign w:val="top"/>
          </w:tcPr>
          <w:p w14:paraId="3B36CC0F">
            <w:pPr>
              <w:pStyle w:val="22"/>
              <w:spacing w:before="8" w:line="225" w:lineRule="exact"/>
              <w:jc w:val="left"/>
              <w:rPr>
                <w:rFonts w:hint="default" w:ascii="Times New Roman" w:hAnsi="Times New Roman" w:eastAsia="宋体" w:cs="Times New Roman"/>
                <w:b/>
                <w:color w:val="0000FF"/>
                <w:sz w:val="21"/>
                <w:szCs w:val="21"/>
              </w:rPr>
            </w:pPr>
            <w:r>
              <w:rPr>
                <w:rFonts w:hint="default" w:ascii="Times New Roman" w:hAnsi="Times New Roman" w:cs="Times New Roman"/>
                <w:color w:val="0000FF"/>
                <w:sz w:val="21"/>
                <w:szCs w:val="21"/>
              </w:rPr>
              <w:t>监测结果</w:t>
            </w:r>
          </w:p>
        </w:tc>
        <w:tc>
          <w:tcPr>
            <w:tcW w:w="744" w:type="pct"/>
            <w:tcBorders>
              <w:left w:val="single" w:color="auto" w:sz="6" w:space="0"/>
              <w:bottom w:val="single" w:color="auto" w:sz="4" w:space="0"/>
            </w:tcBorders>
            <w:noWrap w:val="0"/>
            <w:vAlign w:val="top"/>
          </w:tcPr>
          <w:p w14:paraId="13F65EC7">
            <w:pPr>
              <w:pStyle w:val="22"/>
              <w:spacing w:before="8" w:line="225" w:lineRule="exact"/>
              <w:ind w:left="24" w:leftChars="0" w:right="109" w:rightChars="0"/>
              <w:rPr>
                <w:rFonts w:hint="default" w:ascii="Times New Roman" w:hAnsi="Times New Roman" w:eastAsia="宋体" w:cs="Times New Roman"/>
                <w:b/>
                <w:color w:val="0000FF"/>
                <w:sz w:val="21"/>
                <w:szCs w:val="21"/>
              </w:rPr>
            </w:pPr>
            <w:r>
              <w:rPr>
                <w:rFonts w:hint="default" w:ascii="Times New Roman" w:hAnsi="Times New Roman" w:cs="Times New Roman"/>
                <w:color w:val="0000FF"/>
                <w:sz w:val="21"/>
                <w:szCs w:val="21"/>
              </w:rPr>
              <w:t>Pi</w:t>
            </w:r>
          </w:p>
        </w:tc>
        <w:tc>
          <w:tcPr>
            <w:tcW w:w="445" w:type="pct"/>
            <w:tcBorders>
              <w:left w:val="single" w:color="auto" w:sz="6" w:space="0"/>
              <w:bottom w:val="single" w:color="auto" w:sz="4" w:space="0"/>
            </w:tcBorders>
            <w:noWrap w:val="0"/>
            <w:vAlign w:val="top"/>
          </w:tcPr>
          <w:p w14:paraId="04FE4A8C">
            <w:pPr>
              <w:pStyle w:val="22"/>
              <w:spacing w:before="8" w:line="225" w:lineRule="exact"/>
              <w:ind w:left="24" w:leftChars="0" w:right="109" w:rightChars="0"/>
              <w:rPr>
                <w:rFonts w:hint="default" w:ascii="Times New Roman" w:hAnsi="Times New Roman" w:cs="Times New Roman"/>
                <w:color w:val="0000FF"/>
                <w:sz w:val="21"/>
                <w:szCs w:val="21"/>
              </w:rPr>
            </w:pPr>
          </w:p>
        </w:tc>
        <w:tc>
          <w:tcPr>
            <w:tcW w:w="414" w:type="pct"/>
            <w:tcBorders>
              <w:left w:val="single" w:color="auto" w:sz="6" w:space="0"/>
              <w:bottom w:val="single" w:color="auto" w:sz="4" w:space="0"/>
            </w:tcBorders>
            <w:noWrap w:val="0"/>
            <w:vAlign w:val="top"/>
          </w:tcPr>
          <w:p w14:paraId="53B46F82">
            <w:pPr>
              <w:pStyle w:val="22"/>
              <w:spacing w:before="8" w:line="225" w:lineRule="exact"/>
              <w:ind w:left="24" w:leftChars="0" w:right="109" w:rightChars="0"/>
              <w:rPr>
                <w:rFonts w:hint="default" w:ascii="Times New Roman" w:hAnsi="Times New Roman" w:cs="Times New Roman"/>
                <w:color w:val="0000FF"/>
                <w:sz w:val="21"/>
                <w:szCs w:val="21"/>
              </w:rPr>
            </w:pPr>
          </w:p>
        </w:tc>
        <w:tc>
          <w:tcPr>
            <w:tcW w:w="446" w:type="pct"/>
            <w:tcBorders>
              <w:left w:val="single" w:color="auto" w:sz="6" w:space="0"/>
              <w:bottom w:val="single" w:color="auto" w:sz="4" w:space="0"/>
            </w:tcBorders>
            <w:noWrap w:val="0"/>
            <w:vAlign w:val="top"/>
          </w:tcPr>
          <w:p w14:paraId="6A13EFF4">
            <w:pPr>
              <w:pStyle w:val="22"/>
              <w:spacing w:before="8" w:line="225" w:lineRule="exact"/>
              <w:ind w:left="24" w:leftChars="0" w:right="109" w:rightChars="0"/>
              <w:rPr>
                <w:rFonts w:hint="default" w:ascii="Times New Roman" w:hAnsi="Times New Roman" w:cs="Times New Roman"/>
                <w:color w:val="0000FF"/>
                <w:sz w:val="21"/>
                <w:szCs w:val="21"/>
              </w:rPr>
            </w:pPr>
          </w:p>
        </w:tc>
        <w:tc>
          <w:tcPr>
            <w:tcW w:w="415" w:type="pct"/>
            <w:tcBorders>
              <w:left w:val="single" w:color="auto" w:sz="6" w:space="0"/>
              <w:bottom w:val="single" w:color="auto" w:sz="4" w:space="0"/>
            </w:tcBorders>
            <w:noWrap w:val="0"/>
            <w:vAlign w:val="top"/>
          </w:tcPr>
          <w:p w14:paraId="250054C3">
            <w:pPr>
              <w:pStyle w:val="22"/>
              <w:spacing w:before="8" w:line="225" w:lineRule="exact"/>
              <w:ind w:left="24" w:leftChars="0" w:right="109" w:rightChars="0"/>
              <w:rPr>
                <w:rFonts w:hint="default" w:ascii="Times New Roman" w:hAnsi="Times New Roman" w:cs="Times New Roman"/>
                <w:color w:val="0000FF"/>
                <w:sz w:val="21"/>
                <w:szCs w:val="21"/>
              </w:rPr>
            </w:pPr>
          </w:p>
        </w:tc>
      </w:tr>
      <w:tr w14:paraId="0C4AEE57">
        <w:tblPrEx>
          <w:tblBorders>
            <w:top w:val="single" w:color="auto" w:sz="12" w:space="0"/>
            <w:left w:val="none" w:color="auto" w:sz="0" w:space="0"/>
            <w:bottom w:val="single" w:color="auto" w:sz="12" w:space="0"/>
            <w:right w:val="none" w:color="auto" w:sz="0" w:space="0"/>
            <w:insideH w:val="single" w:color="auto" w:sz="4" w:space="0"/>
            <w:insideV w:val="single" w:color="auto" w:sz="6" w:space="0"/>
          </w:tblBorders>
          <w:tblCellMar>
            <w:top w:w="0" w:type="dxa"/>
            <w:left w:w="108" w:type="dxa"/>
            <w:bottom w:w="0" w:type="dxa"/>
            <w:right w:w="108" w:type="dxa"/>
          </w:tblCellMar>
        </w:tblPrEx>
        <w:trPr>
          <w:trHeight w:val="351" w:hRule="atLeast"/>
          <w:jc w:val="center"/>
        </w:trPr>
        <w:tc>
          <w:tcPr>
            <w:tcW w:w="256" w:type="pct"/>
            <w:tcBorders>
              <w:top w:val="single" w:color="auto" w:sz="4" w:space="0"/>
              <w:bottom w:val="single" w:color="auto" w:sz="4" w:space="0"/>
              <w:right w:val="single" w:color="auto" w:sz="6" w:space="0"/>
            </w:tcBorders>
            <w:noWrap w:val="0"/>
            <w:vAlign w:val="center"/>
          </w:tcPr>
          <w:p w14:paraId="7386968B">
            <w:pPr>
              <w:keepNext w:val="0"/>
              <w:keepLines w:val="0"/>
              <w:pageBreakBefore w:val="0"/>
              <w:widowControl w:val="0"/>
              <w:tabs>
                <w:tab w:val="left" w:pos="720"/>
              </w:tabs>
              <w:kinsoku/>
              <w:wordWrap/>
              <w:overflowPunct/>
              <w:topLinePunct w:val="0"/>
              <w:autoSpaceDE/>
              <w:autoSpaceDN/>
              <w:bidi w:val="0"/>
              <w:adjustRightInd/>
              <w:snapToGrid/>
              <w:spacing w:line="240" w:lineRule="auto"/>
              <w:ind w:left="0" w:right="0"/>
              <w:jc w:val="center"/>
              <w:textAlignment w:val="auto"/>
              <w:rPr>
                <w:rFonts w:hint="default" w:ascii="Times New Roman" w:hAnsi="Times New Roman" w:eastAsia="宋体" w:cs="Times New Roman"/>
                <w:color w:val="0000FF"/>
                <w:sz w:val="21"/>
                <w:szCs w:val="21"/>
                <w:lang w:val="en-US" w:eastAsia="zh-CN"/>
              </w:rPr>
            </w:pPr>
            <w:r>
              <w:rPr>
                <w:rFonts w:hint="eastAsia" w:ascii="Times New Roman" w:hAnsi="Times New Roman" w:eastAsia="宋体" w:cs="Times New Roman"/>
                <w:color w:val="0000FF"/>
                <w:sz w:val="21"/>
                <w:szCs w:val="21"/>
                <w:lang w:val="en-US" w:eastAsia="zh-CN"/>
              </w:rPr>
              <w:t>1</w:t>
            </w:r>
          </w:p>
        </w:tc>
        <w:tc>
          <w:tcPr>
            <w:tcW w:w="815" w:type="pct"/>
            <w:tcBorders>
              <w:top w:val="single" w:color="auto" w:sz="4" w:space="0"/>
              <w:left w:val="single" w:color="auto" w:sz="6" w:space="0"/>
              <w:bottom w:val="single" w:color="auto" w:sz="4" w:space="0"/>
              <w:right w:val="single" w:color="auto" w:sz="6" w:space="0"/>
            </w:tcBorders>
            <w:noWrap w:val="0"/>
            <w:vAlign w:val="center"/>
          </w:tcPr>
          <w:p w14:paraId="63AA5D67">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rPr>
              <w:t>pH</w:t>
            </w:r>
          </w:p>
        </w:tc>
        <w:tc>
          <w:tcPr>
            <w:tcW w:w="488" w:type="pct"/>
            <w:tcBorders>
              <w:top w:val="single" w:color="auto" w:sz="4" w:space="0"/>
              <w:left w:val="single" w:color="auto" w:sz="6" w:space="0"/>
              <w:bottom w:val="single" w:color="auto" w:sz="4" w:space="0"/>
              <w:right w:val="single" w:color="auto" w:sz="6" w:space="0"/>
            </w:tcBorders>
            <w:noWrap w:val="0"/>
            <w:vAlign w:val="center"/>
          </w:tcPr>
          <w:p w14:paraId="05020EAE">
            <w:pPr>
              <w:keepNext w:val="0"/>
              <w:keepLines w:val="0"/>
              <w:pageBreakBefore w:val="0"/>
              <w:widowControl w:val="0"/>
              <w:tabs>
                <w:tab w:val="left" w:pos="720"/>
              </w:tabs>
              <w:kinsoku/>
              <w:wordWrap/>
              <w:overflowPunct/>
              <w:topLinePunct w:val="0"/>
              <w:autoSpaceDE/>
              <w:autoSpaceDN/>
              <w:bidi w:val="0"/>
              <w:adjustRightInd/>
              <w:snapToGrid/>
              <w:spacing w:line="240" w:lineRule="auto"/>
              <w:ind w:left="0" w:right="0"/>
              <w:jc w:val="center"/>
              <w:textAlignment w:val="auto"/>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rPr>
              <w:t>6.5-8.5</w:t>
            </w:r>
          </w:p>
        </w:tc>
        <w:tc>
          <w:tcPr>
            <w:tcW w:w="973" w:type="pct"/>
            <w:tcBorders>
              <w:top w:val="single" w:color="auto" w:sz="4" w:space="0"/>
              <w:left w:val="single" w:color="auto" w:sz="6" w:space="0"/>
              <w:bottom w:val="single" w:color="auto" w:sz="4" w:space="0"/>
              <w:right w:val="single" w:color="auto" w:sz="6" w:space="0"/>
            </w:tcBorders>
            <w:noWrap w:val="0"/>
            <w:vAlign w:val="center"/>
          </w:tcPr>
          <w:p w14:paraId="2203EE1A">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color w:val="0000FF"/>
                <w:sz w:val="21"/>
                <w:szCs w:val="21"/>
                <w:lang w:val="en-US" w:eastAsia="zh-CN"/>
              </w:rPr>
            </w:pPr>
            <w:r>
              <w:rPr>
                <w:rFonts w:hint="eastAsia" w:eastAsia="宋体" w:cs="Times New Roman"/>
                <w:color w:val="0000FF"/>
                <w:sz w:val="21"/>
                <w:szCs w:val="21"/>
                <w:lang w:val="en-US" w:eastAsia="zh-CN"/>
              </w:rPr>
              <w:t>7.38</w:t>
            </w:r>
          </w:p>
        </w:tc>
        <w:tc>
          <w:tcPr>
            <w:tcW w:w="744" w:type="pct"/>
            <w:tcBorders>
              <w:top w:val="single" w:color="auto" w:sz="4" w:space="0"/>
              <w:left w:val="single" w:color="auto" w:sz="6" w:space="0"/>
              <w:bottom w:val="single" w:color="auto" w:sz="4" w:space="0"/>
            </w:tcBorders>
            <w:noWrap w:val="0"/>
            <w:vAlign w:val="center"/>
          </w:tcPr>
          <w:p w14:paraId="57A80AF9">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color w:val="0000FF"/>
                <w:sz w:val="21"/>
                <w:szCs w:val="21"/>
                <w:lang w:val="en-US" w:eastAsia="zh-CN"/>
              </w:rPr>
            </w:pPr>
            <w:r>
              <w:rPr>
                <w:rFonts w:hint="eastAsia" w:eastAsia="宋体" w:cs="Times New Roman"/>
                <w:color w:val="0000FF"/>
                <w:sz w:val="21"/>
                <w:szCs w:val="21"/>
                <w:lang w:val="en-US" w:eastAsia="zh-CN"/>
              </w:rPr>
              <w:t>0.25</w:t>
            </w:r>
          </w:p>
        </w:tc>
        <w:tc>
          <w:tcPr>
            <w:tcW w:w="445" w:type="pct"/>
            <w:tcBorders>
              <w:top w:val="single" w:color="auto" w:sz="4" w:space="0"/>
              <w:left w:val="single" w:color="auto" w:sz="6" w:space="0"/>
              <w:bottom w:val="single" w:color="auto" w:sz="4" w:space="0"/>
            </w:tcBorders>
            <w:noWrap w:val="0"/>
            <w:vAlign w:val="center"/>
          </w:tcPr>
          <w:p w14:paraId="1E908EA9">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b w:val="0"/>
                <w:bCs/>
                <w:color w:val="0000FF"/>
                <w:sz w:val="21"/>
                <w:szCs w:val="21"/>
                <w:lang w:val="en-US" w:eastAsia="zh-CN"/>
              </w:rPr>
            </w:pPr>
            <w:r>
              <w:rPr>
                <w:rFonts w:hint="default" w:ascii="Times New Roman" w:hAnsi="Times New Roman" w:eastAsia="宋体" w:cs="Times New Roman"/>
                <w:b w:val="0"/>
                <w:bCs/>
                <w:color w:val="0000FF"/>
                <w:sz w:val="21"/>
                <w:szCs w:val="21"/>
                <w:lang w:val="en-US" w:eastAsia="zh-CN"/>
              </w:rPr>
              <w:t>7.66</w:t>
            </w:r>
          </w:p>
        </w:tc>
        <w:tc>
          <w:tcPr>
            <w:tcW w:w="414" w:type="pct"/>
            <w:tcBorders>
              <w:top w:val="single" w:color="auto" w:sz="4" w:space="0"/>
              <w:left w:val="single" w:color="auto" w:sz="6" w:space="0"/>
              <w:bottom w:val="single" w:color="auto" w:sz="4" w:space="0"/>
            </w:tcBorders>
            <w:noWrap w:val="0"/>
            <w:vAlign w:val="center"/>
          </w:tcPr>
          <w:p w14:paraId="24D8B4E9">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b w:val="0"/>
                <w:bCs/>
                <w:color w:val="0000FF"/>
                <w:sz w:val="21"/>
                <w:szCs w:val="21"/>
                <w:lang w:val="en-US" w:eastAsia="zh-CN"/>
              </w:rPr>
            </w:pPr>
            <w:r>
              <w:rPr>
                <w:rFonts w:hint="default" w:ascii="Times New Roman" w:hAnsi="Times New Roman" w:eastAsia="宋体" w:cs="Times New Roman"/>
                <w:b w:val="0"/>
                <w:bCs/>
                <w:color w:val="0000FF"/>
                <w:sz w:val="21"/>
                <w:szCs w:val="21"/>
                <w:lang w:val="en-US" w:eastAsia="zh-CN"/>
              </w:rPr>
              <w:t>0.44</w:t>
            </w:r>
          </w:p>
        </w:tc>
        <w:tc>
          <w:tcPr>
            <w:tcW w:w="446" w:type="pct"/>
            <w:tcBorders>
              <w:top w:val="single" w:color="auto" w:sz="4" w:space="0"/>
              <w:left w:val="single" w:color="auto" w:sz="6" w:space="0"/>
              <w:bottom w:val="single" w:color="auto" w:sz="4" w:space="0"/>
            </w:tcBorders>
            <w:noWrap w:val="0"/>
            <w:vAlign w:val="center"/>
          </w:tcPr>
          <w:p w14:paraId="0A5B788F">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b w:val="0"/>
                <w:bCs/>
                <w:color w:val="0000FF"/>
                <w:sz w:val="21"/>
                <w:szCs w:val="21"/>
                <w:lang w:val="en-US" w:eastAsia="zh-CN"/>
              </w:rPr>
            </w:pPr>
            <w:r>
              <w:rPr>
                <w:rFonts w:hint="default" w:ascii="Times New Roman" w:hAnsi="Times New Roman" w:eastAsia="宋体" w:cs="Times New Roman"/>
                <w:b w:val="0"/>
                <w:bCs/>
                <w:color w:val="0000FF"/>
                <w:sz w:val="21"/>
                <w:szCs w:val="21"/>
                <w:lang w:val="en-US" w:eastAsia="zh-CN"/>
              </w:rPr>
              <w:t>7.74</w:t>
            </w:r>
          </w:p>
        </w:tc>
        <w:tc>
          <w:tcPr>
            <w:tcW w:w="415" w:type="pct"/>
            <w:tcBorders>
              <w:top w:val="single" w:color="auto" w:sz="4" w:space="0"/>
              <w:left w:val="single" w:color="auto" w:sz="6" w:space="0"/>
              <w:bottom w:val="single" w:color="auto" w:sz="4" w:space="0"/>
            </w:tcBorders>
            <w:noWrap w:val="0"/>
            <w:vAlign w:val="center"/>
          </w:tcPr>
          <w:p w14:paraId="589F5821">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b w:val="0"/>
                <w:bCs/>
                <w:color w:val="0000FF"/>
                <w:sz w:val="21"/>
                <w:szCs w:val="21"/>
                <w:lang w:val="en-US" w:eastAsia="zh-CN"/>
              </w:rPr>
            </w:pPr>
            <w:r>
              <w:rPr>
                <w:rFonts w:hint="default" w:ascii="Times New Roman" w:hAnsi="Times New Roman" w:eastAsia="宋体" w:cs="Times New Roman"/>
                <w:b w:val="0"/>
                <w:bCs/>
                <w:color w:val="0000FF"/>
                <w:sz w:val="21"/>
                <w:szCs w:val="21"/>
                <w:lang w:val="en-US" w:eastAsia="zh-CN"/>
              </w:rPr>
              <w:t>0.49</w:t>
            </w:r>
          </w:p>
        </w:tc>
      </w:tr>
      <w:tr w14:paraId="4983D4EB">
        <w:tblPrEx>
          <w:tblBorders>
            <w:top w:val="single" w:color="auto" w:sz="12" w:space="0"/>
            <w:left w:val="none" w:color="auto" w:sz="0" w:space="0"/>
            <w:bottom w:val="single" w:color="auto" w:sz="12" w:space="0"/>
            <w:right w:val="none" w:color="auto" w:sz="0" w:space="0"/>
            <w:insideH w:val="single" w:color="auto" w:sz="4" w:space="0"/>
            <w:insideV w:val="single" w:color="auto" w:sz="6" w:space="0"/>
          </w:tblBorders>
          <w:tblCellMar>
            <w:top w:w="0" w:type="dxa"/>
            <w:left w:w="108" w:type="dxa"/>
            <w:bottom w:w="0" w:type="dxa"/>
            <w:right w:w="108" w:type="dxa"/>
          </w:tblCellMar>
        </w:tblPrEx>
        <w:trPr>
          <w:trHeight w:val="351" w:hRule="atLeast"/>
          <w:jc w:val="center"/>
        </w:trPr>
        <w:tc>
          <w:tcPr>
            <w:tcW w:w="256" w:type="pct"/>
            <w:tcBorders>
              <w:top w:val="single" w:color="auto" w:sz="4" w:space="0"/>
              <w:bottom w:val="single" w:color="auto" w:sz="4" w:space="0"/>
              <w:right w:val="single" w:color="auto" w:sz="6" w:space="0"/>
            </w:tcBorders>
            <w:noWrap w:val="0"/>
            <w:vAlign w:val="center"/>
          </w:tcPr>
          <w:p w14:paraId="7557FD29">
            <w:pPr>
              <w:keepNext w:val="0"/>
              <w:keepLines w:val="0"/>
              <w:pageBreakBefore w:val="0"/>
              <w:widowControl w:val="0"/>
              <w:tabs>
                <w:tab w:val="left" w:pos="720"/>
              </w:tabs>
              <w:kinsoku/>
              <w:wordWrap/>
              <w:overflowPunct/>
              <w:topLinePunct w:val="0"/>
              <w:autoSpaceDE/>
              <w:autoSpaceDN/>
              <w:bidi w:val="0"/>
              <w:adjustRightInd/>
              <w:snapToGrid/>
              <w:spacing w:line="240" w:lineRule="auto"/>
              <w:ind w:left="0" w:right="0"/>
              <w:jc w:val="center"/>
              <w:textAlignment w:val="auto"/>
              <w:rPr>
                <w:rFonts w:hint="default" w:ascii="Times New Roman" w:hAnsi="Times New Roman" w:eastAsia="宋体" w:cs="Times New Roman"/>
                <w:color w:val="0000FF"/>
                <w:sz w:val="21"/>
                <w:szCs w:val="21"/>
                <w:lang w:val="en-US" w:eastAsia="zh-CN"/>
              </w:rPr>
            </w:pPr>
            <w:r>
              <w:rPr>
                <w:rFonts w:hint="eastAsia" w:ascii="Times New Roman" w:hAnsi="Times New Roman" w:eastAsia="宋体" w:cs="Times New Roman"/>
                <w:color w:val="0000FF"/>
                <w:sz w:val="21"/>
                <w:szCs w:val="21"/>
                <w:lang w:val="en-US" w:eastAsia="zh-CN"/>
              </w:rPr>
              <w:t>2</w:t>
            </w:r>
          </w:p>
        </w:tc>
        <w:tc>
          <w:tcPr>
            <w:tcW w:w="815" w:type="pct"/>
            <w:tcBorders>
              <w:top w:val="single" w:color="auto" w:sz="4" w:space="0"/>
              <w:left w:val="single" w:color="auto" w:sz="6" w:space="0"/>
              <w:bottom w:val="single" w:color="auto" w:sz="4" w:space="0"/>
              <w:right w:val="single" w:color="auto" w:sz="6" w:space="0"/>
            </w:tcBorders>
            <w:noWrap w:val="0"/>
            <w:vAlign w:val="center"/>
          </w:tcPr>
          <w:p w14:paraId="7AD9CEA0">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rPr>
              <w:t>总硬度</w:t>
            </w:r>
          </w:p>
        </w:tc>
        <w:tc>
          <w:tcPr>
            <w:tcW w:w="488" w:type="pct"/>
            <w:tcBorders>
              <w:top w:val="single" w:color="auto" w:sz="4" w:space="0"/>
              <w:left w:val="single" w:color="auto" w:sz="6" w:space="0"/>
              <w:bottom w:val="single" w:color="auto" w:sz="4" w:space="0"/>
              <w:right w:val="single" w:color="auto" w:sz="6" w:space="0"/>
            </w:tcBorders>
            <w:noWrap w:val="0"/>
            <w:vAlign w:val="center"/>
          </w:tcPr>
          <w:p w14:paraId="267C2EC1">
            <w:pPr>
              <w:keepNext w:val="0"/>
              <w:keepLines w:val="0"/>
              <w:pageBreakBefore w:val="0"/>
              <w:widowControl w:val="0"/>
              <w:tabs>
                <w:tab w:val="left" w:pos="720"/>
              </w:tabs>
              <w:kinsoku/>
              <w:wordWrap/>
              <w:overflowPunct/>
              <w:topLinePunct w:val="0"/>
              <w:autoSpaceDE/>
              <w:autoSpaceDN/>
              <w:bidi w:val="0"/>
              <w:adjustRightInd/>
              <w:snapToGrid/>
              <w:spacing w:line="240" w:lineRule="auto"/>
              <w:ind w:left="0" w:right="0"/>
              <w:jc w:val="center"/>
              <w:textAlignment w:val="auto"/>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rPr>
              <w:t>≤450</w:t>
            </w:r>
          </w:p>
        </w:tc>
        <w:tc>
          <w:tcPr>
            <w:tcW w:w="973" w:type="pct"/>
            <w:tcBorders>
              <w:top w:val="single" w:color="auto" w:sz="4" w:space="0"/>
              <w:left w:val="single" w:color="auto" w:sz="6" w:space="0"/>
              <w:bottom w:val="single" w:color="auto" w:sz="4" w:space="0"/>
              <w:right w:val="single" w:color="auto" w:sz="6" w:space="0"/>
            </w:tcBorders>
            <w:noWrap w:val="0"/>
            <w:vAlign w:val="center"/>
          </w:tcPr>
          <w:p w14:paraId="3F327CB2">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0000FF"/>
                <w:sz w:val="21"/>
                <w:szCs w:val="21"/>
                <w:lang w:val="en-US" w:eastAsia="zh-CN"/>
              </w:rPr>
            </w:pPr>
            <w:r>
              <w:rPr>
                <w:rFonts w:hint="default" w:ascii="Times New Roman" w:hAnsi="Times New Roman" w:eastAsia="宋体" w:cs="Times New Roman"/>
                <w:color w:val="0000FF"/>
                <w:sz w:val="21"/>
                <w:szCs w:val="21"/>
                <w:lang w:val="en-US" w:eastAsia="zh-CN"/>
              </w:rPr>
              <w:t>172</w:t>
            </w:r>
          </w:p>
        </w:tc>
        <w:tc>
          <w:tcPr>
            <w:tcW w:w="744" w:type="pct"/>
            <w:tcBorders>
              <w:top w:val="single" w:color="auto" w:sz="4" w:space="0"/>
              <w:left w:val="single" w:color="auto" w:sz="6" w:space="0"/>
              <w:bottom w:val="single" w:color="auto" w:sz="4" w:space="0"/>
            </w:tcBorders>
            <w:noWrap w:val="0"/>
            <w:vAlign w:val="center"/>
          </w:tcPr>
          <w:p w14:paraId="51650DE5">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color w:val="0000FF"/>
                <w:sz w:val="21"/>
                <w:szCs w:val="21"/>
                <w:lang w:val="en-US" w:eastAsia="zh-CN"/>
              </w:rPr>
            </w:pPr>
            <w:r>
              <w:rPr>
                <w:rFonts w:hint="default" w:ascii="Times New Roman" w:hAnsi="Times New Roman" w:eastAsia="宋体" w:cs="Times New Roman"/>
                <w:color w:val="0000FF"/>
                <w:sz w:val="21"/>
                <w:szCs w:val="21"/>
                <w:lang w:val="en-US" w:eastAsia="zh-CN"/>
              </w:rPr>
              <w:t>0.38</w:t>
            </w:r>
          </w:p>
        </w:tc>
        <w:tc>
          <w:tcPr>
            <w:tcW w:w="445" w:type="pct"/>
            <w:tcBorders>
              <w:top w:val="single" w:color="auto" w:sz="4" w:space="0"/>
              <w:left w:val="single" w:color="auto" w:sz="6" w:space="0"/>
              <w:bottom w:val="single" w:color="auto" w:sz="4" w:space="0"/>
            </w:tcBorders>
            <w:noWrap w:val="0"/>
            <w:vAlign w:val="center"/>
          </w:tcPr>
          <w:p w14:paraId="461B8A26">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b w:val="0"/>
                <w:bCs/>
                <w:color w:val="0000FF"/>
                <w:sz w:val="21"/>
                <w:szCs w:val="21"/>
                <w:lang w:val="en-US" w:eastAsia="zh-CN"/>
              </w:rPr>
            </w:pPr>
            <w:r>
              <w:rPr>
                <w:rFonts w:hint="default" w:ascii="Times New Roman" w:hAnsi="Times New Roman" w:eastAsia="宋体" w:cs="Times New Roman"/>
                <w:color w:val="0000FF"/>
                <w:sz w:val="21"/>
                <w:szCs w:val="21"/>
                <w:lang w:val="en-US" w:eastAsia="zh-CN"/>
              </w:rPr>
              <w:t>440</w:t>
            </w:r>
          </w:p>
        </w:tc>
        <w:tc>
          <w:tcPr>
            <w:tcW w:w="414" w:type="pct"/>
            <w:tcBorders>
              <w:top w:val="single" w:color="auto" w:sz="4" w:space="0"/>
              <w:left w:val="single" w:color="auto" w:sz="6" w:space="0"/>
              <w:bottom w:val="single" w:color="auto" w:sz="4" w:space="0"/>
            </w:tcBorders>
            <w:noWrap w:val="0"/>
            <w:vAlign w:val="center"/>
          </w:tcPr>
          <w:p w14:paraId="7A590426">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b w:val="0"/>
                <w:bCs/>
                <w:color w:val="0000FF"/>
                <w:sz w:val="21"/>
                <w:szCs w:val="21"/>
                <w:lang w:val="en-US" w:eastAsia="zh-CN"/>
              </w:rPr>
            </w:pPr>
            <w:r>
              <w:rPr>
                <w:rFonts w:hint="default" w:ascii="Times New Roman" w:hAnsi="Times New Roman" w:eastAsia="宋体" w:cs="Times New Roman"/>
                <w:color w:val="0000FF"/>
                <w:sz w:val="21"/>
                <w:szCs w:val="21"/>
                <w:lang w:val="en-US" w:eastAsia="zh-CN"/>
              </w:rPr>
              <w:t>0.98</w:t>
            </w:r>
          </w:p>
        </w:tc>
        <w:tc>
          <w:tcPr>
            <w:tcW w:w="446" w:type="pct"/>
            <w:tcBorders>
              <w:top w:val="single" w:color="auto" w:sz="4" w:space="0"/>
              <w:left w:val="single" w:color="auto" w:sz="6" w:space="0"/>
              <w:bottom w:val="single" w:color="auto" w:sz="4" w:space="0"/>
            </w:tcBorders>
            <w:noWrap w:val="0"/>
            <w:vAlign w:val="center"/>
          </w:tcPr>
          <w:p w14:paraId="134CE765">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b w:val="0"/>
                <w:bCs/>
                <w:color w:val="0000FF"/>
                <w:sz w:val="21"/>
                <w:szCs w:val="21"/>
                <w:lang w:val="en-US" w:eastAsia="zh-CN"/>
              </w:rPr>
            </w:pPr>
            <w:r>
              <w:rPr>
                <w:rFonts w:hint="default" w:ascii="Times New Roman" w:hAnsi="Times New Roman" w:eastAsia="宋体" w:cs="Times New Roman"/>
                <w:color w:val="0000FF"/>
                <w:sz w:val="21"/>
                <w:szCs w:val="21"/>
                <w:lang w:val="en-US" w:eastAsia="zh-CN"/>
              </w:rPr>
              <w:t>201</w:t>
            </w:r>
          </w:p>
        </w:tc>
        <w:tc>
          <w:tcPr>
            <w:tcW w:w="415" w:type="pct"/>
            <w:tcBorders>
              <w:top w:val="single" w:color="auto" w:sz="4" w:space="0"/>
              <w:left w:val="single" w:color="auto" w:sz="6" w:space="0"/>
              <w:bottom w:val="single" w:color="auto" w:sz="4" w:space="0"/>
            </w:tcBorders>
            <w:noWrap w:val="0"/>
            <w:vAlign w:val="center"/>
          </w:tcPr>
          <w:p w14:paraId="0DC3B58C">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b w:val="0"/>
                <w:bCs/>
                <w:color w:val="0000FF"/>
                <w:sz w:val="21"/>
                <w:szCs w:val="21"/>
                <w:lang w:val="en-US" w:eastAsia="zh-CN"/>
              </w:rPr>
            </w:pPr>
            <w:r>
              <w:rPr>
                <w:rFonts w:hint="default" w:ascii="Times New Roman" w:hAnsi="Times New Roman" w:eastAsia="宋体" w:cs="Times New Roman"/>
                <w:color w:val="0000FF"/>
                <w:sz w:val="21"/>
                <w:szCs w:val="21"/>
                <w:lang w:val="en-US" w:eastAsia="zh-CN"/>
              </w:rPr>
              <w:t>0.45</w:t>
            </w:r>
          </w:p>
        </w:tc>
      </w:tr>
      <w:tr w14:paraId="588767BB">
        <w:tblPrEx>
          <w:tblBorders>
            <w:top w:val="single" w:color="auto" w:sz="12" w:space="0"/>
            <w:left w:val="none" w:color="auto" w:sz="0" w:space="0"/>
            <w:bottom w:val="single" w:color="auto" w:sz="12" w:space="0"/>
            <w:right w:val="none" w:color="auto" w:sz="0" w:space="0"/>
            <w:insideH w:val="single" w:color="auto" w:sz="4" w:space="0"/>
            <w:insideV w:val="single" w:color="auto" w:sz="6" w:space="0"/>
          </w:tblBorders>
          <w:tblCellMar>
            <w:top w:w="0" w:type="dxa"/>
            <w:left w:w="108" w:type="dxa"/>
            <w:bottom w:w="0" w:type="dxa"/>
            <w:right w:w="108" w:type="dxa"/>
          </w:tblCellMar>
        </w:tblPrEx>
        <w:trPr>
          <w:trHeight w:val="351" w:hRule="atLeast"/>
          <w:jc w:val="center"/>
        </w:trPr>
        <w:tc>
          <w:tcPr>
            <w:tcW w:w="256" w:type="pct"/>
            <w:tcBorders>
              <w:top w:val="single" w:color="auto" w:sz="4" w:space="0"/>
              <w:bottom w:val="single" w:color="auto" w:sz="4" w:space="0"/>
              <w:right w:val="single" w:color="auto" w:sz="6" w:space="0"/>
            </w:tcBorders>
            <w:noWrap w:val="0"/>
            <w:vAlign w:val="center"/>
          </w:tcPr>
          <w:p w14:paraId="1A1D8155">
            <w:pPr>
              <w:keepNext w:val="0"/>
              <w:keepLines w:val="0"/>
              <w:pageBreakBefore w:val="0"/>
              <w:widowControl w:val="0"/>
              <w:tabs>
                <w:tab w:val="left" w:pos="720"/>
              </w:tabs>
              <w:kinsoku/>
              <w:wordWrap/>
              <w:overflowPunct/>
              <w:topLinePunct w:val="0"/>
              <w:autoSpaceDE/>
              <w:autoSpaceDN/>
              <w:bidi w:val="0"/>
              <w:adjustRightInd/>
              <w:snapToGrid/>
              <w:spacing w:line="240" w:lineRule="auto"/>
              <w:ind w:left="0" w:right="0"/>
              <w:jc w:val="center"/>
              <w:textAlignment w:val="auto"/>
              <w:rPr>
                <w:rFonts w:hint="default" w:ascii="Times New Roman" w:hAnsi="Times New Roman" w:eastAsia="宋体" w:cs="Times New Roman"/>
                <w:color w:val="0000FF"/>
                <w:sz w:val="21"/>
                <w:szCs w:val="21"/>
                <w:lang w:val="en-US" w:eastAsia="zh-CN"/>
              </w:rPr>
            </w:pPr>
            <w:r>
              <w:rPr>
                <w:rFonts w:hint="eastAsia" w:ascii="Times New Roman" w:hAnsi="Times New Roman" w:eastAsia="宋体" w:cs="Times New Roman"/>
                <w:color w:val="0000FF"/>
                <w:sz w:val="21"/>
                <w:szCs w:val="21"/>
                <w:lang w:val="en-US" w:eastAsia="zh-CN"/>
              </w:rPr>
              <w:t>3</w:t>
            </w:r>
          </w:p>
        </w:tc>
        <w:tc>
          <w:tcPr>
            <w:tcW w:w="815" w:type="pct"/>
            <w:tcBorders>
              <w:top w:val="single" w:color="auto" w:sz="4" w:space="0"/>
              <w:left w:val="single" w:color="auto" w:sz="6" w:space="0"/>
              <w:bottom w:val="single" w:color="auto" w:sz="4" w:space="0"/>
              <w:right w:val="single" w:color="auto" w:sz="6" w:space="0"/>
            </w:tcBorders>
            <w:noWrap w:val="0"/>
            <w:vAlign w:val="center"/>
          </w:tcPr>
          <w:p w14:paraId="4D728D87">
            <w:pPr>
              <w:pStyle w:val="22"/>
              <w:keepNext w:val="0"/>
              <w:keepLines w:val="0"/>
              <w:pageBreakBefore w:val="0"/>
              <w:widowControl w:val="0"/>
              <w:kinsoku/>
              <w:wordWrap/>
              <w:overflowPunct/>
              <w:topLinePunct w:val="0"/>
              <w:autoSpaceDE/>
              <w:autoSpaceDN/>
              <w:bidi w:val="0"/>
              <w:adjustRightInd/>
              <w:snapToGrid/>
              <w:spacing w:line="240" w:lineRule="auto"/>
              <w:ind w:left="0" w:right="0"/>
              <w:jc w:val="center"/>
              <w:textAlignment w:val="auto"/>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rPr>
              <w:t>溶解性总固体</w:t>
            </w:r>
          </w:p>
        </w:tc>
        <w:tc>
          <w:tcPr>
            <w:tcW w:w="488" w:type="pct"/>
            <w:tcBorders>
              <w:top w:val="single" w:color="auto" w:sz="4" w:space="0"/>
              <w:left w:val="single" w:color="auto" w:sz="6" w:space="0"/>
              <w:bottom w:val="single" w:color="auto" w:sz="4" w:space="0"/>
              <w:right w:val="single" w:color="auto" w:sz="6" w:space="0"/>
            </w:tcBorders>
            <w:noWrap w:val="0"/>
            <w:vAlign w:val="center"/>
          </w:tcPr>
          <w:p w14:paraId="69D3483E">
            <w:pPr>
              <w:keepNext w:val="0"/>
              <w:keepLines w:val="0"/>
              <w:pageBreakBefore w:val="0"/>
              <w:widowControl w:val="0"/>
              <w:tabs>
                <w:tab w:val="left" w:pos="720"/>
              </w:tabs>
              <w:kinsoku/>
              <w:wordWrap/>
              <w:overflowPunct/>
              <w:topLinePunct w:val="0"/>
              <w:autoSpaceDE/>
              <w:autoSpaceDN/>
              <w:bidi w:val="0"/>
              <w:adjustRightInd/>
              <w:snapToGrid/>
              <w:spacing w:line="240" w:lineRule="auto"/>
              <w:ind w:left="0" w:right="0"/>
              <w:jc w:val="center"/>
              <w:textAlignment w:val="auto"/>
              <w:rPr>
                <w:rFonts w:hint="default" w:ascii="Times New Roman" w:hAnsi="Times New Roman" w:eastAsia="宋体" w:cs="Times New Roman"/>
                <w:color w:val="0000FF"/>
                <w:sz w:val="21"/>
                <w:szCs w:val="21"/>
                <w:lang w:val="en-US" w:eastAsia="zh-CN"/>
              </w:rPr>
            </w:pPr>
            <w:r>
              <w:rPr>
                <w:rFonts w:hint="default" w:ascii="Times New Roman" w:hAnsi="Times New Roman" w:eastAsia="宋体" w:cs="Times New Roman"/>
                <w:color w:val="0000FF"/>
                <w:sz w:val="21"/>
                <w:szCs w:val="21"/>
                <w:lang w:val="en-US" w:eastAsia="zh-CN"/>
              </w:rPr>
              <w:t>≤1000</w:t>
            </w:r>
          </w:p>
        </w:tc>
        <w:tc>
          <w:tcPr>
            <w:tcW w:w="973" w:type="pct"/>
            <w:tcBorders>
              <w:top w:val="single" w:color="auto" w:sz="4" w:space="0"/>
              <w:left w:val="single" w:color="auto" w:sz="6" w:space="0"/>
              <w:bottom w:val="single" w:color="auto" w:sz="4" w:space="0"/>
              <w:right w:val="single" w:color="auto" w:sz="6" w:space="0"/>
            </w:tcBorders>
            <w:noWrap w:val="0"/>
            <w:vAlign w:val="center"/>
          </w:tcPr>
          <w:p w14:paraId="1A3FE3C5">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color w:val="0000FF"/>
                <w:sz w:val="21"/>
                <w:szCs w:val="21"/>
                <w:lang w:val="en-US" w:eastAsia="zh-CN"/>
              </w:rPr>
            </w:pPr>
            <w:r>
              <w:rPr>
                <w:rFonts w:hint="eastAsia" w:eastAsia="宋体" w:cs="Times New Roman"/>
                <w:color w:val="0000FF"/>
                <w:sz w:val="21"/>
                <w:szCs w:val="21"/>
                <w:lang w:val="en-US" w:eastAsia="zh-CN"/>
              </w:rPr>
              <w:t>1410</w:t>
            </w:r>
          </w:p>
        </w:tc>
        <w:tc>
          <w:tcPr>
            <w:tcW w:w="744" w:type="pct"/>
            <w:tcBorders>
              <w:top w:val="single" w:color="auto" w:sz="4" w:space="0"/>
              <w:left w:val="single" w:color="auto" w:sz="6" w:space="0"/>
              <w:bottom w:val="single" w:color="auto" w:sz="4" w:space="0"/>
            </w:tcBorders>
            <w:noWrap w:val="0"/>
            <w:vAlign w:val="center"/>
          </w:tcPr>
          <w:p w14:paraId="1E87D9BE">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color w:val="0000FF"/>
                <w:sz w:val="21"/>
                <w:szCs w:val="21"/>
                <w:lang w:val="en-US" w:eastAsia="zh-CN"/>
              </w:rPr>
            </w:pPr>
            <w:r>
              <w:rPr>
                <w:rFonts w:hint="eastAsia" w:eastAsia="宋体" w:cs="Times New Roman"/>
                <w:color w:val="0000FF"/>
                <w:sz w:val="21"/>
                <w:szCs w:val="21"/>
                <w:lang w:val="en-US" w:eastAsia="zh-CN"/>
              </w:rPr>
              <w:t>1.41</w:t>
            </w:r>
          </w:p>
        </w:tc>
        <w:tc>
          <w:tcPr>
            <w:tcW w:w="445" w:type="pct"/>
            <w:tcBorders>
              <w:top w:val="single" w:color="auto" w:sz="4" w:space="0"/>
              <w:left w:val="single" w:color="auto" w:sz="6" w:space="0"/>
              <w:bottom w:val="single" w:color="auto" w:sz="4" w:space="0"/>
            </w:tcBorders>
            <w:noWrap w:val="0"/>
            <w:vAlign w:val="center"/>
          </w:tcPr>
          <w:p w14:paraId="71FF7567">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b w:val="0"/>
                <w:bCs/>
                <w:color w:val="0000FF"/>
                <w:sz w:val="21"/>
                <w:szCs w:val="21"/>
                <w:lang w:val="en-US" w:eastAsia="zh-CN"/>
              </w:rPr>
            </w:pPr>
            <w:r>
              <w:rPr>
                <w:rFonts w:hint="eastAsia" w:ascii="Times New Roman" w:hAnsi="Times New Roman" w:eastAsia="宋体" w:cs="Times New Roman"/>
                <w:b w:val="0"/>
                <w:bCs/>
                <w:color w:val="0000FF"/>
                <w:sz w:val="21"/>
                <w:szCs w:val="21"/>
                <w:lang w:val="en-US" w:eastAsia="zh-CN"/>
              </w:rPr>
              <w:t>1860</w:t>
            </w:r>
          </w:p>
        </w:tc>
        <w:tc>
          <w:tcPr>
            <w:tcW w:w="414" w:type="pct"/>
            <w:tcBorders>
              <w:top w:val="single" w:color="auto" w:sz="4" w:space="0"/>
              <w:left w:val="single" w:color="auto" w:sz="6" w:space="0"/>
              <w:bottom w:val="single" w:color="auto" w:sz="4" w:space="0"/>
            </w:tcBorders>
            <w:noWrap w:val="0"/>
            <w:vAlign w:val="center"/>
          </w:tcPr>
          <w:p w14:paraId="2E7CA13C">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b w:val="0"/>
                <w:bCs/>
                <w:color w:val="0000FF"/>
                <w:sz w:val="21"/>
                <w:szCs w:val="21"/>
                <w:lang w:val="en-US" w:eastAsia="zh-CN"/>
              </w:rPr>
            </w:pPr>
            <w:r>
              <w:rPr>
                <w:rFonts w:hint="eastAsia" w:ascii="Times New Roman" w:hAnsi="Times New Roman" w:eastAsia="宋体" w:cs="Times New Roman"/>
                <w:b w:val="0"/>
                <w:bCs/>
                <w:color w:val="0000FF"/>
                <w:sz w:val="21"/>
                <w:szCs w:val="21"/>
                <w:lang w:val="en-US" w:eastAsia="zh-CN"/>
              </w:rPr>
              <w:t>1.86</w:t>
            </w:r>
          </w:p>
        </w:tc>
        <w:tc>
          <w:tcPr>
            <w:tcW w:w="446" w:type="pct"/>
            <w:tcBorders>
              <w:top w:val="single" w:color="auto" w:sz="4" w:space="0"/>
              <w:left w:val="single" w:color="auto" w:sz="6" w:space="0"/>
              <w:bottom w:val="single" w:color="auto" w:sz="4" w:space="0"/>
            </w:tcBorders>
            <w:noWrap w:val="0"/>
            <w:vAlign w:val="center"/>
          </w:tcPr>
          <w:p w14:paraId="7B3131CD">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b w:val="0"/>
                <w:bCs/>
                <w:color w:val="0000FF"/>
                <w:sz w:val="21"/>
                <w:szCs w:val="21"/>
                <w:lang w:val="en-US" w:eastAsia="zh-CN"/>
              </w:rPr>
            </w:pPr>
            <w:r>
              <w:rPr>
                <w:rFonts w:hint="eastAsia" w:ascii="Times New Roman" w:hAnsi="Times New Roman" w:eastAsia="宋体" w:cs="Times New Roman"/>
                <w:b w:val="0"/>
                <w:bCs/>
                <w:color w:val="0000FF"/>
                <w:sz w:val="21"/>
                <w:szCs w:val="21"/>
                <w:lang w:val="en-US" w:eastAsia="zh-CN"/>
              </w:rPr>
              <w:t>1450</w:t>
            </w:r>
          </w:p>
        </w:tc>
        <w:tc>
          <w:tcPr>
            <w:tcW w:w="415" w:type="pct"/>
            <w:tcBorders>
              <w:top w:val="single" w:color="auto" w:sz="4" w:space="0"/>
              <w:left w:val="single" w:color="auto" w:sz="6" w:space="0"/>
              <w:bottom w:val="single" w:color="auto" w:sz="4" w:space="0"/>
            </w:tcBorders>
            <w:noWrap w:val="0"/>
            <w:vAlign w:val="center"/>
          </w:tcPr>
          <w:p w14:paraId="263B18FB">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b w:val="0"/>
                <w:bCs/>
                <w:color w:val="0000FF"/>
                <w:sz w:val="21"/>
                <w:szCs w:val="21"/>
                <w:lang w:val="en-US" w:eastAsia="zh-CN"/>
              </w:rPr>
            </w:pPr>
            <w:r>
              <w:rPr>
                <w:rFonts w:hint="eastAsia" w:ascii="Times New Roman" w:hAnsi="Times New Roman" w:eastAsia="宋体" w:cs="Times New Roman"/>
                <w:b w:val="0"/>
                <w:bCs/>
                <w:color w:val="0000FF"/>
                <w:sz w:val="21"/>
                <w:szCs w:val="21"/>
                <w:lang w:val="en-US" w:eastAsia="zh-CN"/>
              </w:rPr>
              <w:t>1.45</w:t>
            </w:r>
          </w:p>
        </w:tc>
      </w:tr>
      <w:tr w14:paraId="201012FA">
        <w:tblPrEx>
          <w:tblBorders>
            <w:top w:val="single" w:color="auto" w:sz="12" w:space="0"/>
            <w:left w:val="none" w:color="auto" w:sz="0" w:space="0"/>
            <w:bottom w:val="single" w:color="auto" w:sz="12" w:space="0"/>
            <w:right w:val="none" w:color="auto" w:sz="0" w:space="0"/>
            <w:insideH w:val="single" w:color="auto" w:sz="4" w:space="0"/>
            <w:insideV w:val="single" w:color="auto" w:sz="6" w:space="0"/>
          </w:tblBorders>
          <w:tblCellMar>
            <w:top w:w="0" w:type="dxa"/>
            <w:left w:w="108" w:type="dxa"/>
            <w:bottom w:w="0" w:type="dxa"/>
            <w:right w:w="108" w:type="dxa"/>
          </w:tblCellMar>
        </w:tblPrEx>
        <w:trPr>
          <w:trHeight w:val="351" w:hRule="atLeast"/>
          <w:jc w:val="center"/>
        </w:trPr>
        <w:tc>
          <w:tcPr>
            <w:tcW w:w="256" w:type="pct"/>
            <w:tcBorders>
              <w:top w:val="single" w:color="auto" w:sz="4" w:space="0"/>
              <w:bottom w:val="single" w:color="auto" w:sz="4" w:space="0"/>
              <w:right w:val="single" w:color="auto" w:sz="6" w:space="0"/>
            </w:tcBorders>
            <w:noWrap w:val="0"/>
            <w:vAlign w:val="center"/>
          </w:tcPr>
          <w:p w14:paraId="031505BC">
            <w:pPr>
              <w:keepNext w:val="0"/>
              <w:keepLines w:val="0"/>
              <w:pageBreakBefore w:val="0"/>
              <w:widowControl w:val="0"/>
              <w:tabs>
                <w:tab w:val="left" w:pos="720"/>
              </w:tabs>
              <w:kinsoku/>
              <w:wordWrap/>
              <w:overflowPunct/>
              <w:topLinePunct w:val="0"/>
              <w:autoSpaceDE/>
              <w:autoSpaceDN/>
              <w:bidi w:val="0"/>
              <w:adjustRightInd/>
              <w:snapToGrid/>
              <w:spacing w:line="240" w:lineRule="auto"/>
              <w:ind w:left="0" w:right="0"/>
              <w:jc w:val="center"/>
              <w:textAlignment w:val="auto"/>
              <w:rPr>
                <w:rFonts w:hint="default" w:ascii="Times New Roman" w:hAnsi="Times New Roman" w:eastAsia="宋体" w:cs="Times New Roman"/>
                <w:color w:val="0000FF"/>
                <w:sz w:val="21"/>
                <w:szCs w:val="21"/>
                <w:lang w:val="en-US" w:eastAsia="zh-CN"/>
              </w:rPr>
            </w:pPr>
            <w:r>
              <w:rPr>
                <w:rFonts w:hint="eastAsia" w:ascii="Times New Roman" w:hAnsi="Times New Roman" w:eastAsia="宋体" w:cs="Times New Roman"/>
                <w:color w:val="0000FF"/>
                <w:sz w:val="21"/>
                <w:szCs w:val="21"/>
                <w:lang w:val="en-US" w:eastAsia="zh-CN"/>
              </w:rPr>
              <w:t>4</w:t>
            </w:r>
          </w:p>
        </w:tc>
        <w:tc>
          <w:tcPr>
            <w:tcW w:w="815" w:type="pct"/>
            <w:tcBorders>
              <w:top w:val="single" w:color="auto" w:sz="4" w:space="0"/>
              <w:left w:val="single" w:color="auto" w:sz="6" w:space="0"/>
              <w:bottom w:val="single" w:color="auto" w:sz="4" w:space="0"/>
              <w:right w:val="single" w:color="auto" w:sz="6" w:space="0"/>
            </w:tcBorders>
            <w:noWrap w:val="0"/>
            <w:vAlign w:val="center"/>
          </w:tcPr>
          <w:p w14:paraId="33F3579E">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rPr>
              <w:t>硫酸盐</w:t>
            </w:r>
          </w:p>
        </w:tc>
        <w:tc>
          <w:tcPr>
            <w:tcW w:w="488" w:type="pct"/>
            <w:tcBorders>
              <w:top w:val="single" w:color="auto" w:sz="4" w:space="0"/>
              <w:left w:val="single" w:color="auto" w:sz="6" w:space="0"/>
              <w:bottom w:val="single" w:color="auto" w:sz="4" w:space="0"/>
              <w:right w:val="single" w:color="auto" w:sz="6" w:space="0"/>
            </w:tcBorders>
            <w:noWrap w:val="0"/>
            <w:vAlign w:val="center"/>
          </w:tcPr>
          <w:p w14:paraId="75FFD866">
            <w:pPr>
              <w:keepNext w:val="0"/>
              <w:keepLines w:val="0"/>
              <w:pageBreakBefore w:val="0"/>
              <w:widowControl w:val="0"/>
              <w:tabs>
                <w:tab w:val="left" w:pos="720"/>
              </w:tabs>
              <w:kinsoku/>
              <w:wordWrap/>
              <w:overflowPunct/>
              <w:topLinePunct w:val="0"/>
              <w:autoSpaceDE/>
              <w:autoSpaceDN/>
              <w:bidi w:val="0"/>
              <w:adjustRightInd/>
              <w:snapToGrid/>
              <w:spacing w:line="240" w:lineRule="auto"/>
              <w:ind w:left="0" w:right="0"/>
              <w:jc w:val="center"/>
              <w:textAlignment w:val="auto"/>
              <w:rPr>
                <w:rFonts w:hint="default" w:ascii="Times New Roman" w:hAnsi="Times New Roman" w:eastAsia="宋体" w:cs="Times New Roman"/>
                <w:color w:val="0000FF"/>
                <w:sz w:val="21"/>
                <w:szCs w:val="21"/>
                <w:lang w:val="en-US" w:eastAsia="zh-CN"/>
              </w:rPr>
            </w:pPr>
            <w:r>
              <w:rPr>
                <w:rFonts w:hint="default" w:ascii="Times New Roman" w:hAnsi="Times New Roman" w:eastAsia="宋体" w:cs="Times New Roman"/>
                <w:color w:val="0000FF"/>
                <w:sz w:val="21"/>
                <w:szCs w:val="21"/>
              </w:rPr>
              <w:t>≤</w:t>
            </w:r>
            <w:r>
              <w:rPr>
                <w:rFonts w:hint="default" w:ascii="Times New Roman" w:hAnsi="Times New Roman" w:eastAsia="宋体" w:cs="Times New Roman"/>
                <w:color w:val="0000FF"/>
                <w:sz w:val="21"/>
                <w:szCs w:val="21"/>
                <w:lang w:val="en-US" w:eastAsia="zh-CN"/>
              </w:rPr>
              <w:t>250</w:t>
            </w:r>
          </w:p>
        </w:tc>
        <w:tc>
          <w:tcPr>
            <w:tcW w:w="973" w:type="pct"/>
            <w:tcBorders>
              <w:top w:val="single" w:color="auto" w:sz="4" w:space="0"/>
              <w:left w:val="single" w:color="auto" w:sz="6" w:space="0"/>
              <w:bottom w:val="single" w:color="auto" w:sz="4" w:space="0"/>
              <w:right w:val="single" w:color="auto" w:sz="6" w:space="0"/>
            </w:tcBorders>
            <w:noWrap w:val="0"/>
            <w:vAlign w:val="center"/>
          </w:tcPr>
          <w:p w14:paraId="464DCC2A">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color w:val="0000FF"/>
                <w:sz w:val="21"/>
                <w:szCs w:val="21"/>
                <w:lang w:val="en-US" w:eastAsia="zh-CN"/>
              </w:rPr>
            </w:pPr>
            <w:r>
              <w:rPr>
                <w:rFonts w:hint="eastAsia" w:eastAsia="宋体" w:cs="Times New Roman"/>
                <w:color w:val="0000FF"/>
                <w:sz w:val="21"/>
                <w:szCs w:val="21"/>
                <w:lang w:val="en-US" w:eastAsia="zh-CN"/>
              </w:rPr>
              <w:t>75.2</w:t>
            </w:r>
          </w:p>
        </w:tc>
        <w:tc>
          <w:tcPr>
            <w:tcW w:w="744" w:type="pct"/>
            <w:tcBorders>
              <w:top w:val="single" w:color="auto" w:sz="4" w:space="0"/>
              <w:left w:val="single" w:color="auto" w:sz="6" w:space="0"/>
              <w:bottom w:val="single" w:color="auto" w:sz="4" w:space="0"/>
            </w:tcBorders>
            <w:noWrap w:val="0"/>
            <w:vAlign w:val="center"/>
          </w:tcPr>
          <w:p w14:paraId="5466B2B1">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color w:val="0000FF"/>
                <w:sz w:val="21"/>
                <w:szCs w:val="21"/>
                <w:lang w:val="en-US" w:eastAsia="zh-CN"/>
              </w:rPr>
            </w:pPr>
            <w:r>
              <w:rPr>
                <w:rFonts w:hint="eastAsia" w:eastAsia="宋体" w:cs="Times New Roman"/>
                <w:color w:val="0000FF"/>
                <w:sz w:val="21"/>
                <w:szCs w:val="21"/>
                <w:lang w:val="en-US" w:eastAsia="zh-CN"/>
              </w:rPr>
              <w:t>0.30</w:t>
            </w:r>
          </w:p>
        </w:tc>
        <w:tc>
          <w:tcPr>
            <w:tcW w:w="445" w:type="pct"/>
            <w:tcBorders>
              <w:top w:val="single" w:color="auto" w:sz="4" w:space="0"/>
              <w:left w:val="single" w:color="auto" w:sz="6" w:space="0"/>
              <w:bottom w:val="single" w:color="auto" w:sz="4" w:space="0"/>
            </w:tcBorders>
            <w:noWrap w:val="0"/>
            <w:vAlign w:val="center"/>
          </w:tcPr>
          <w:p w14:paraId="6CF80ECE">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b w:val="0"/>
                <w:bCs/>
                <w:color w:val="0000FF"/>
                <w:sz w:val="21"/>
                <w:szCs w:val="21"/>
                <w:lang w:val="en-US" w:eastAsia="zh-CN"/>
              </w:rPr>
            </w:pPr>
            <w:r>
              <w:rPr>
                <w:rFonts w:hint="eastAsia" w:ascii="Times New Roman" w:hAnsi="Times New Roman" w:eastAsia="宋体" w:cs="Times New Roman"/>
                <w:b w:val="0"/>
                <w:bCs/>
                <w:color w:val="0000FF"/>
                <w:sz w:val="21"/>
                <w:szCs w:val="21"/>
                <w:lang w:val="en-US" w:eastAsia="zh-CN"/>
              </w:rPr>
              <w:t>219</w:t>
            </w:r>
          </w:p>
        </w:tc>
        <w:tc>
          <w:tcPr>
            <w:tcW w:w="414" w:type="pct"/>
            <w:tcBorders>
              <w:top w:val="single" w:color="auto" w:sz="4" w:space="0"/>
              <w:left w:val="single" w:color="auto" w:sz="6" w:space="0"/>
              <w:bottom w:val="single" w:color="auto" w:sz="4" w:space="0"/>
            </w:tcBorders>
            <w:noWrap w:val="0"/>
            <w:vAlign w:val="center"/>
          </w:tcPr>
          <w:p w14:paraId="5CBD0C64">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b w:val="0"/>
                <w:bCs/>
                <w:color w:val="0000FF"/>
                <w:sz w:val="21"/>
                <w:szCs w:val="21"/>
                <w:lang w:val="en-US" w:eastAsia="zh-CN"/>
              </w:rPr>
            </w:pPr>
            <w:r>
              <w:rPr>
                <w:rFonts w:hint="eastAsia" w:ascii="Times New Roman" w:hAnsi="Times New Roman" w:eastAsia="宋体" w:cs="Times New Roman"/>
                <w:b w:val="0"/>
                <w:bCs/>
                <w:color w:val="0000FF"/>
                <w:sz w:val="21"/>
                <w:szCs w:val="21"/>
                <w:lang w:val="en-US" w:eastAsia="zh-CN"/>
              </w:rPr>
              <w:t>0.8</w:t>
            </w:r>
          </w:p>
        </w:tc>
        <w:tc>
          <w:tcPr>
            <w:tcW w:w="446" w:type="pct"/>
            <w:tcBorders>
              <w:top w:val="single" w:color="auto" w:sz="4" w:space="0"/>
              <w:left w:val="single" w:color="auto" w:sz="6" w:space="0"/>
              <w:bottom w:val="single" w:color="auto" w:sz="4" w:space="0"/>
            </w:tcBorders>
            <w:noWrap w:val="0"/>
            <w:vAlign w:val="center"/>
          </w:tcPr>
          <w:p w14:paraId="3499E0C6">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b w:val="0"/>
                <w:bCs/>
                <w:color w:val="0000FF"/>
                <w:sz w:val="21"/>
                <w:szCs w:val="21"/>
                <w:lang w:val="en-US" w:eastAsia="zh-CN"/>
              </w:rPr>
            </w:pPr>
            <w:r>
              <w:rPr>
                <w:rFonts w:hint="eastAsia" w:ascii="Times New Roman" w:hAnsi="Times New Roman" w:eastAsia="宋体" w:cs="Times New Roman"/>
                <w:b w:val="0"/>
                <w:bCs/>
                <w:color w:val="0000FF"/>
                <w:sz w:val="21"/>
                <w:szCs w:val="21"/>
                <w:lang w:val="en-US" w:eastAsia="zh-CN"/>
              </w:rPr>
              <w:t>69</w:t>
            </w:r>
          </w:p>
        </w:tc>
        <w:tc>
          <w:tcPr>
            <w:tcW w:w="415" w:type="pct"/>
            <w:tcBorders>
              <w:top w:val="single" w:color="auto" w:sz="4" w:space="0"/>
              <w:left w:val="single" w:color="auto" w:sz="6" w:space="0"/>
              <w:bottom w:val="single" w:color="auto" w:sz="4" w:space="0"/>
            </w:tcBorders>
            <w:noWrap w:val="0"/>
            <w:vAlign w:val="center"/>
          </w:tcPr>
          <w:p w14:paraId="5B9F1FF1">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b w:val="0"/>
                <w:bCs/>
                <w:color w:val="0000FF"/>
                <w:sz w:val="21"/>
                <w:szCs w:val="21"/>
                <w:lang w:val="en-US" w:eastAsia="zh-CN"/>
              </w:rPr>
            </w:pPr>
            <w:r>
              <w:rPr>
                <w:rFonts w:hint="eastAsia" w:ascii="Times New Roman" w:hAnsi="Times New Roman" w:eastAsia="宋体" w:cs="Times New Roman"/>
                <w:b w:val="0"/>
                <w:bCs/>
                <w:color w:val="0000FF"/>
                <w:sz w:val="21"/>
                <w:szCs w:val="21"/>
                <w:lang w:val="en-US" w:eastAsia="zh-CN"/>
              </w:rPr>
              <w:t>0.28</w:t>
            </w:r>
          </w:p>
        </w:tc>
      </w:tr>
      <w:tr w14:paraId="5D9BB1B7">
        <w:tblPrEx>
          <w:tblBorders>
            <w:top w:val="single" w:color="auto" w:sz="12" w:space="0"/>
            <w:left w:val="none" w:color="auto" w:sz="0" w:space="0"/>
            <w:bottom w:val="single" w:color="auto" w:sz="12" w:space="0"/>
            <w:right w:val="none" w:color="auto" w:sz="0" w:space="0"/>
            <w:insideH w:val="single" w:color="auto" w:sz="4" w:space="0"/>
            <w:insideV w:val="single" w:color="auto" w:sz="6" w:space="0"/>
          </w:tblBorders>
          <w:tblCellMar>
            <w:top w:w="0" w:type="dxa"/>
            <w:left w:w="108" w:type="dxa"/>
            <w:bottom w:w="0" w:type="dxa"/>
            <w:right w:w="108" w:type="dxa"/>
          </w:tblCellMar>
        </w:tblPrEx>
        <w:trPr>
          <w:trHeight w:val="351" w:hRule="atLeast"/>
          <w:jc w:val="center"/>
        </w:trPr>
        <w:tc>
          <w:tcPr>
            <w:tcW w:w="256" w:type="pct"/>
            <w:tcBorders>
              <w:top w:val="single" w:color="auto" w:sz="4" w:space="0"/>
              <w:bottom w:val="single" w:color="auto" w:sz="4" w:space="0"/>
              <w:right w:val="single" w:color="auto" w:sz="6" w:space="0"/>
            </w:tcBorders>
            <w:noWrap w:val="0"/>
            <w:vAlign w:val="center"/>
          </w:tcPr>
          <w:p w14:paraId="75E69ACC">
            <w:pPr>
              <w:keepNext w:val="0"/>
              <w:keepLines w:val="0"/>
              <w:pageBreakBefore w:val="0"/>
              <w:widowControl w:val="0"/>
              <w:tabs>
                <w:tab w:val="left" w:pos="720"/>
              </w:tabs>
              <w:kinsoku/>
              <w:wordWrap/>
              <w:overflowPunct/>
              <w:topLinePunct w:val="0"/>
              <w:autoSpaceDE/>
              <w:autoSpaceDN/>
              <w:bidi w:val="0"/>
              <w:adjustRightInd/>
              <w:snapToGrid/>
              <w:spacing w:line="240" w:lineRule="auto"/>
              <w:ind w:left="0" w:right="0"/>
              <w:jc w:val="center"/>
              <w:textAlignment w:val="auto"/>
              <w:rPr>
                <w:rFonts w:hint="default" w:ascii="Times New Roman" w:hAnsi="Times New Roman" w:eastAsia="宋体" w:cs="Times New Roman"/>
                <w:color w:val="0000FF"/>
                <w:sz w:val="21"/>
                <w:szCs w:val="21"/>
                <w:lang w:val="en-US" w:eastAsia="zh-CN"/>
              </w:rPr>
            </w:pPr>
            <w:r>
              <w:rPr>
                <w:rFonts w:hint="eastAsia" w:ascii="Times New Roman" w:hAnsi="Times New Roman" w:eastAsia="宋体" w:cs="Times New Roman"/>
                <w:color w:val="0000FF"/>
                <w:sz w:val="21"/>
                <w:szCs w:val="21"/>
                <w:lang w:val="en-US" w:eastAsia="zh-CN"/>
              </w:rPr>
              <w:t>5</w:t>
            </w:r>
          </w:p>
        </w:tc>
        <w:tc>
          <w:tcPr>
            <w:tcW w:w="815" w:type="pct"/>
            <w:tcBorders>
              <w:top w:val="single" w:color="auto" w:sz="4" w:space="0"/>
              <w:left w:val="single" w:color="auto" w:sz="6" w:space="0"/>
              <w:bottom w:val="single" w:color="auto" w:sz="4" w:space="0"/>
              <w:right w:val="single" w:color="auto" w:sz="6" w:space="0"/>
            </w:tcBorders>
            <w:noWrap w:val="0"/>
            <w:vAlign w:val="center"/>
          </w:tcPr>
          <w:p w14:paraId="39C0A906">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rPr>
              <w:t>氯化物</w:t>
            </w:r>
          </w:p>
        </w:tc>
        <w:tc>
          <w:tcPr>
            <w:tcW w:w="488" w:type="pct"/>
            <w:tcBorders>
              <w:top w:val="single" w:color="auto" w:sz="4" w:space="0"/>
              <w:left w:val="single" w:color="auto" w:sz="6" w:space="0"/>
              <w:bottom w:val="single" w:color="auto" w:sz="4" w:space="0"/>
              <w:right w:val="single" w:color="auto" w:sz="6" w:space="0"/>
            </w:tcBorders>
            <w:noWrap w:val="0"/>
            <w:vAlign w:val="center"/>
          </w:tcPr>
          <w:p w14:paraId="481B6063">
            <w:pPr>
              <w:keepNext w:val="0"/>
              <w:keepLines w:val="0"/>
              <w:pageBreakBefore w:val="0"/>
              <w:widowControl w:val="0"/>
              <w:tabs>
                <w:tab w:val="left" w:pos="720"/>
              </w:tabs>
              <w:kinsoku/>
              <w:wordWrap/>
              <w:overflowPunct/>
              <w:topLinePunct w:val="0"/>
              <w:autoSpaceDE/>
              <w:autoSpaceDN/>
              <w:bidi w:val="0"/>
              <w:adjustRightInd/>
              <w:snapToGrid/>
              <w:spacing w:line="240" w:lineRule="auto"/>
              <w:ind w:left="0" w:right="0"/>
              <w:jc w:val="center"/>
              <w:textAlignment w:val="auto"/>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rPr>
              <w:t>≤250</w:t>
            </w:r>
          </w:p>
        </w:tc>
        <w:tc>
          <w:tcPr>
            <w:tcW w:w="973" w:type="pct"/>
            <w:tcBorders>
              <w:top w:val="single" w:color="auto" w:sz="4" w:space="0"/>
              <w:left w:val="single" w:color="auto" w:sz="6" w:space="0"/>
              <w:bottom w:val="single" w:color="auto" w:sz="4" w:space="0"/>
              <w:right w:val="single" w:color="auto" w:sz="6" w:space="0"/>
            </w:tcBorders>
            <w:noWrap w:val="0"/>
            <w:vAlign w:val="center"/>
          </w:tcPr>
          <w:p w14:paraId="6911A5A2">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color w:val="0000FF"/>
                <w:sz w:val="21"/>
                <w:szCs w:val="21"/>
                <w:lang w:val="en-US" w:eastAsia="zh-CN"/>
              </w:rPr>
            </w:pPr>
            <w:r>
              <w:rPr>
                <w:rFonts w:hint="eastAsia" w:eastAsia="宋体" w:cs="Times New Roman"/>
                <w:color w:val="0000FF"/>
                <w:sz w:val="21"/>
                <w:szCs w:val="21"/>
                <w:lang w:val="en-US" w:eastAsia="zh-CN"/>
              </w:rPr>
              <w:t>22.3</w:t>
            </w:r>
          </w:p>
        </w:tc>
        <w:tc>
          <w:tcPr>
            <w:tcW w:w="744" w:type="pct"/>
            <w:tcBorders>
              <w:top w:val="single" w:color="auto" w:sz="4" w:space="0"/>
              <w:left w:val="single" w:color="auto" w:sz="6" w:space="0"/>
              <w:bottom w:val="single" w:color="auto" w:sz="4" w:space="0"/>
            </w:tcBorders>
            <w:noWrap w:val="0"/>
            <w:vAlign w:val="center"/>
          </w:tcPr>
          <w:p w14:paraId="5A6414AB">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color w:val="0000FF"/>
                <w:sz w:val="21"/>
                <w:szCs w:val="21"/>
                <w:lang w:val="en-US" w:eastAsia="zh-CN"/>
              </w:rPr>
            </w:pPr>
            <w:r>
              <w:rPr>
                <w:rFonts w:hint="eastAsia" w:eastAsia="宋体" w:cs="Times New Roman"/>
                <w:color w:val="0000FF"/>
                <w:sz w:val="21"/>
                <w:szCs w:val="21"/>
                <w:lang w:val="en-US" w:eastAsia="zh-CN"/>
              </w:rPr>
              <w:t>0.09</w:t>
            </w:r>
          </w:p>
        </w:tc>
        <w:tc>
          <w:tcPr>
            <w:tcW w:w="445" w:type="pct"/>
            <w:tcBorders>
              <w:top w:val="single" w:color="auto" w:sz="4" w:space="0"/>
              <w:left w:val="single" w:color="auto" w:sz="6" w:space="0"/>
              <w:bottom w:val="single" w:color="auto" w:sz="4" w:space="0"/>
            </w:tcBorders>
            <w:noWrap w:val="0"/>
            <w:vAlign w:val="center"/>
          </w:tcPr>
          <w:p w14:paraId="498D49C1">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b w:val="0"/>
                <w:bCs/>
                <w:color w:val="0000FF"/>
                <w:sz w:val="21"/>
                <w:szCs w:val="21"/>
                <w:lang w:val="en-US" w:eastAsia="zh-CN"/>
              </w:rPr>
            </w:pPr>
            <w:r>
              <w:rPr>
                <w:rFonts w:hint="eastAsia" w:ascii="Times New Roman" w:hAnsi="Times New Roman" w:eastAsia="宋体" w:cs="Times New Roman"/>
                <w:b w:val="0"/>
                <w:bCs/>
                <w:color w:val="0000FF"/>
                <w:sz w:val="21"/>
                <w:szCs w:val="21"/>
                <w:lang w:val="en-US" w:eastAsia="zh-CN"/>
              </w:rPr>
              <w:t>97.4</w:t>
            </w:r>
          </w:p>
        </w:tc>
        <w:tc>
          <w:tcPr>
            <w:tcW w:w="414" w:type="pct"/>
            <w:tcBorders>
              <w:top w:val="single" w:color="auto" w:sz="4" w:space="0"/>
              <w:left w:val="single" w:color="auto" w:sz="6" w:space="0"/>
              <w:bottom w:val="single" w:color="auto" w:sz="4" w:space="0"/>
            </w:tcBorders>
            <w:noWrap w:val="0"/>
            <w:vAlign w:val="center"/>
          </w:tcPr>
          <w:p w14:paraId="5F735BF8">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b w:val="0"/>
                <w:bCs/>
                <w:color w:val="0000FF"/>
                <w:sz w:val="21"/>
                <w:szCs w:val="21"/>
                <w:lang w:val="en-US" w:eastAsia="zh-CN"/>
              </w:rPr>
            </w:pPr>
            <w:r>
              <w:rPr>
                <w:rFonts w:hint="eastAsia" w:ascii="Times New Roman" w:hAnsi="Times New Roman" w:eastAsia="宋体" w:cs="Times New Roman"/>
                <w:b w:val="0"/>
                <w:bCs/>
                <w:color w:val="0000FF"/>
                <w:sz w:val="21"/>
                <w:szCs w:val="21"/>
                <w:lang w:val="en-US" w:eastAsia="zh-CN"/>
              </w:rPr>
              <w:t>0.39</w:t>
            </w:r>
          </w:p>
        </w:tc>
        <w:tc>
          <w:tcPr>
            <w:tcW w:w="446" w:type="pct"/>
            <w:tcBorders>
              <w:top w:val="single" w:color="auto" w:sz="4" w:space="0"/>
              <w:left w:val="single" w:color="auto" w:sz="6" w:space="0"/>
              <w:bottom w:val="single" w:color="auto" w:sz="4" w:space="0"/>
            </w:tcBorders>
            <w:noWrap w:val="0"/>
            <w:vAlign w:val="center"/>
          </w:tcPr>
          <w:p w14:paraId="634C8E6A">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b w:val="0"/>
                <w:bCs/>
                <w:color w:val="0000FF"/>
                <w:sz w:val="21"/>
                <w:szCs w:val="21"/>
                <w:lang w:val="en-US" w:eastAsia="zh-CN"/>
              </w:rPr>
            </w:pPr>
            <w:r>
              <w:rPr>
                <w:rFonts w:hint="eastAsia" w:ascii="Times New Roman" w:hAnsi="Times New Roman" w:eastAsia="宋体" w:cs="Times New Roman"/>
                <w:b w:val="0"/>
                <w:bCs/>
                <w:color w:val="0000FF"/>
                <w:sz w:val="21"/>
                <w:szCs w:val="21"/>
                <w:lang w:val="en-US" w:eastAsia="zh-CN"/>
              </w:rPr>
              <w:t>15.7</w:t>
            </w:r>
          </w:p>
        </w:tc>
        <w:tc>
          <w:tcPr>
            <w:tcW w:w="415" w:type="pct"/>
            <w:tcBorders>
              <w:top w:val="single" w:color="auto" w:sz="4" w:space="0"/>
              <w:left w:val="single" w:color="auto" w:sz="6" w:space="0"/>
              <w:bottom w:val="single" w:color="auto" w:sz="4" w:space="0"/>
            </w:tcBorders>
            <w:noWrap w:val="0"/>
            <w:vAlign w:val="center"/>
          </w:tcPr>
          <w:p w14:paraId="51FF5560">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b w:val="0"/>
                <w:bCs/>
                <w:color w:val="0000FF"/>
                <w:sz w:val="21"/>
                <w:szCs w:val="21"/>
                <w:lang w:val="en-US" w:eastAsia="zh-CN"/>
              </w:rPr>
            </w:pPr>
            <w:r>
              <w:rPr>
                <w:rFonts w:hint="eastAsia" w:ascii="Times New Roman" w:hAnsi="Times New Roman" w:eastAsia="宋体" w:cs="Times New Roman"/>
                <w:b w:val="0"/>
                <w:bCs/>
                <w:color w:val="0000FF"/>
                <w:sz w:val="21"/>
                <w:szCs w:val="21"/>
                <w:lang w:val="en-US" w:eastAsia="zh-CN"/>
              </w:rPr>
              <w:t>0.06</w:t>
            </w:r>
          </w:p>
        </w:tc>
      </w:tr>
      <w:tr w14:paraId="5DCE828C">
        <w:tblPrEx>
          <w:tblBorders>
            <w:top w:val="single" w:color="auto" w:sz="12" w:space="0"/>
            <w:left w:val="none" w:color="auto" w:sz="0" w:space="0"/>
            <w:bottom w:val="single" w:color="auto" w:sz="12" w:space="0"/>
            <w:right w:val="none" w:color="auto" w:sz="0" w:space="0"/>
            <w:insideH w:val="single" w:color="auto" w:sz="4" w:space="0"/>
            <w:insideV w:val="single" w:color="auto" w:sz="6" w:space="0"/>
          </w:tblBorders>
          <w:tblCellMar>
            <w:top w:w="0" w:type="dxa"/>
            <w:left w:w="108" w:type="dxa"/>
            <w:bottom w:w="0" w:type="dxa"/>
            <w:right w:w="108" w:type="dxa"/>
          </w:tblCellMar>
        </w:tblPrEx>
        <w:trPr>
          <w:trHeight w:val="351" w:hRule="atLeast"/>
          <w:jc w:val="center"/>
        </w:trPr>
        <w:tc>
          <w:tcPr>
            <w:tcW w:w="256" w:type="pct"/>
            <w:tcBorders>
              <w:top w:val="single" w:color="auto" w:sz="4" w:space="0"/>
              <w:bottom w:val="single" w:color="auto" w:sz="4" w:space="0"/>
              <w:right w:val="single" w:color="auto" w:sz="6" w:space="0"/>
            </w:tcBorders>
            <w:noWrap w:val="0"/>
            <w:vAlign w:val="center"/>
          </w:tcPr>
          <w:p w14:paraId="72FCD28F">
            <w:pPr>
              <w:keepNext w:val="0"/>
              <w:keepLines w:val="0"/>
              <w:pageBreakBefore w:val="0"/>
              <w:widowControl w:val="0"/>
              <w:tabs>
                <w:tab w:val="left" w:pos="720"/>
              </w:tabs>
              <w:kinsoku/>
              <w:wordWrap/>
              <w:overflowPunct/>
              <w:topLinePunct w:val="0"/>
              <w:autoSpaceDE/>
              <w:autoSpaceDN/>
              <w:bidi w:val="0"/>
              <w:adjustRightInd/>
              <w:snapToGrid/>
              <w:spacing w:line="240" w:lineRule="auto"/>
              <w:ind w:left="0" w:right="0"/>
              <w:jc w:val="center"/>
              <w:textAlignment w:val="auto"/>
              <w:rPr>
                <w:rFonts w:hint="default" w:ascii="Times New Roman" w:hAnsi="Times New Roman" w:eastAsia="宋体" w:cs="Times New Roman"/>
                <w:color w:val="0000FF"/>
                <w:sz w:val="21"/>
                <w:szCs w:val="21"/>
                <w:lang w:val="en-US" w:eastAsia="zh-CN"/>
              </w:rPr>
            </w:pPr>
            <w:r>
              <w:rPr>
                <w:rFonts w:hint="eastAsia" w:ascii="Times New Roman" w:hAnsi="Times New Roman" w:eastAsia="宋体" w:cs="Times New Roman"/>
                <w:color w:val="0000FF"/>
                <w:sz w:val="21"/>
                <w:szCs w:val="21"/>
                <w:lang w:val="en-US" w:eastAsia="zh-CN"/>
              </w:rPr>
              <w:t>6</w:t>
            </w:r>
          </w:p>
        </w:tc>
        <w:tc>
          <w:tcPr>
            <w:tcW w:w="815" w:type="pct"/>
            <w:tcBorders>
              <w:top w:val="single" w:color="auto" w:sz="4" w:space="0"/>
              <w:left w:val="single" w:color="auto" w:sz="6" w:space="0"/>
              <w:bottom w:val="single" w:color="auto" w:sz="4" w:space="0"/>
              <w:right w:val="single" w:color="auto" w:sz="6" w:space="0"/>
            </w:tcBorders>
            <w:noWrap w:val="0"/>
            <w:vAlign w:val="center"/>
          </w:tcPr>
          <w:p w14:paraId="305C557E">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rPr>
              <w:t>铁</w:t>
            </w:r>
          </w:p>
        </w:tc>
        <w:tc>
          <w:tcPr>
            <w:tcW w:w="488" w:type="pct"/>
            <w:tcBorders>
              <w:top w:val="single" w:color="auto" w:sz="4" w:space="0"/>
              <w:left w:val="single" w:color="auto" w:sz="6" w:space="0"/>
              <w:bottom w:val="single" w:color="auto" w:sz="4" w:space="0"/>
              <w:right w:val="single" w:color="auto" w:sz="6" w:space="0"/>
            </w:tcBorders>
            <w:noWrap w:val="0"/>
            <w:vAlign w:val="center"/>
          </w:tcPr>
          <w:p w14:paraId="1C2819B7">
            <w:pPr>
              <w:keepNext w:val="0"/>
              <w:keepLines w:val="0"/>
              <w:pageBreakBefore w:val="0"/>
              <w:widowControl w:val="0"/>
              <w:tabs>
                <w:tab w:val="left" w:pos="720"/>
              </w:tabs>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rPr>
              <w:t>≤0.</w:t>
            </w:r>
            <w:r>
              <w:rPr>
                <w:rFonts w:hint="default" w:ascii="Times New Roman" w:hAnsi="Times New Roman" w:eastAsia="宋体" w:cs="Times New Roman"/>
                <w:color w:val="0000FF"/>
                <w:sz w:val="21"/>
                <w:szCs w:val="21"/>
                <w:lang w:val="en-US" w:eastAsia="zh-CN"/>
              </w:rPr>
              <w:t>3</w:t>
            </w:r>
          </w:p>
        </w:tc>
        <w:tc>
          <w:tcPr>
            <w:tcW w:w="973" w:type="pct"/>
            <w:tcBorders>
              <w:top w:val="single" w:color="auto" w:sz="4" w:space="0"/>
              <w:left w:val="single" w:color="auto" w:sz="6" w:space="0"/>
              <w:bottom w:val="single" w:color="auto" w:sz="4" w:space="0"/>
              <w:right w:val="single" w:color="auto" w:sz="6" w:space="0"/>
            </w:tcBorders>
            <w:noWrap w:val="0"/>
            <w:vAlign w:val="center"/>
          </w:tcPr>
          <w:p w14:paraId="14EA7C3B">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0000FF"/>
                <w:sz w:val="21"/>
                <w:szCs w:val="21"/>
                <w:lang w:val="en-US" w:eastAsia="zh-CN"/>
              </w:rPr>
            </w:pPr>
            <w:r>
              <w:rPr>
                <w:rFonts w:hint="default" w:ascii="Times New Roman" w:hAnsi="Times New Roman" w:eastAsia="宋体" w:cs="Times New Roman"/>
                <w:color w:val="0000FF"/>
                <w:sz w:val="21"/>
                <w:szCs w:val="21"/>
                <w:lang w:val="en-US" w:eastAsia="zh-CN"/>
              </w:rPr>
              <w:t>0.06</w:t>
            </w:r>
          </w:p>
        </w:tc>
        <w:tc>
          <w:tcPr>
            <w:tcW w:w="744" w:type="pct"/>
            <w:tcBorders>
              <w:top w:val="single" w:color="auto" w:sz="4" w:space="0"/>
              <w:left w:val="single" w:color="auto" w:sz="6" w:space="0"/>
              <w:bottom w:val="single" w:color="auto" w:sz="4" w:space="0"/>
            </w:tcBorders>
            <w:noWrap w:val="0"/>
            <w:vAlign w:val="center"/>
          </w:tcPr>
          <w:p w14:paraId="50279ADF">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color w:val="0000FF"/>
                <w:sz w:val="21"/>
                <w:szCs w:val="21"/>
                <w:lang w:val="en-US" w:eastAsia="zh-CN"/>
              </w:rPr>
            </w:pPr>
            <w:r>
              <w:rPr>
                <w:rFonts w:hint="default" w:ascii="Times New Roman" w:hAnsi="Times New Roman" w:eastAsia="宋体" w:cs="Times New Roman"/>
                <w:color w:val="0000FF"/>
                <w:sz w:val="21"/>
                <w:szCs w:val="21"/>
                <w:lang w:val="en-US" w:eastAsia="zh-CN"/>
              </w:rPr>
              <w:t>0.20</w:t>
            </w:r>
          </w:p>
        </w:tc>
        <w:tc>
          <w:tcPr>
            <w:tcW w:w="445" w:type="pct"/>
            <w:tcBorders>
              <w:top w:val="single" w:color="auto" w:sz="4" w:space="0"/>
              <w:left w:val="single" w:color="auto" w:sz="6" w:space="0"/>
              <w:bottom w:val="single" w:color="auto" w:sz="4" w:space="0"/>
            </w:tcBorders>
            <w:noWrap w:val="0"/>
            <w:vAlign w:val="center"/>
          </w:tcPr>
          <w:p w14:paraId="0CC547E9">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b w:val="0"/>
                <w:bCs/>
                <w:color w:val="0000FF"/>
                <w:sz w:val="21"/>
                <w:szCs w:val="21"/>
                <w:lang w:val="en-US" w:eastAsia="zh-CN"/>
              </w:rPr>
            </w:pPr>
            <w:r>
              <w:rPr>
                <w:rFonts w:hint="default" w:ascii="Times New Roman" w:hAnsi="Times New Roman" w:eastAsia="宋体" w:cs="Times New Roman"/>
                <w:color w:val="0000FF"/>
                <w:sz w:val="21"/>
                <w:szCs w:val="21"/>
                <w:lang w:val="en-US" w:eastAsia="zh-CN"/>
              </w:rPr>
              <w:t>0.06</w:t>
            </w:r>
          </w:p>
        </w:tc>
        <w:tc>
          <w:tcPr>
            <w:tcW w:w="414" w:type="pct"/>
            <w:tcBorders>
              <w:top w:val="single" w:color="auto" w:sz="4" w:space="0"/>
              <w:left w:val="single" w:color="auto" w:sz="6" w:space="0"/>
              <w:bottom w:val="single" w:color="auto" w:sz="4" w:space="0"/>
            </w:tcBorders>
            <w:noWrap w:val="0"/>
            <w:vAlign w:val="center"/>
          </w:tcPr>
          <w:p w14:paraId="6DF2E2E6">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b w:val="0"/>
                <w:bCs/>
                <w:color w:val="0000FF"/>
                <w:sz w:val="21"/>
                <w:szCs w:val="21"/>
                <w:lang w:val="en-US" w:eastAsia="zh-CN"/>
              </w:rPr>
            </w:pPr>
            <w:r>
              <w:rPr>
                <w:rFonts w:hint="default" w:ascii="Times New Roman" w:hAnsi="Times New Roman" w:eastAsia="宋体" w:cs="Times New Roman"/>
                <w:color w:val="0000FF"/>
                <w:sz w:val="21"/>
                <w:szCs w:val="21"/>
                <w:lang w:val="en-US" w:eastAsia="zh-CN"/>
              </w:rPr>
              <w:t>0.20</w:t>
            </w:r>
          </w:p>
        </w:tc>
        <w:tc>
          <w:tcPr>
            <w:tcW w:w="446" w:type="pct"/>
            <w:tcBorders>
              <w:top w:val="single" w:color="auto" w:sz="4" w:space="0"/>
              <w:left w:val="single" w:color="auto" w:sz="6" w:space="0"/>
              <w:bottom w:val="single" w:color="auto" w:sz="4" w:space="0"/>
            </w:tcBorders>
            <w:noWrap w:val="0"/>
            <w:vAlign w:val="center"/>
          </w:tcPr>
          <w:p w14:paraId="73AE5E77">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b w:val="0"/>
                <w:bCs/>
                <w:color w:val="0000FF"/>
                <w:sz w:val="21"/>
                <w:szCs w:val="21"/>
                <w:lang w:val="en-US" w:eastAsia="zh-CN"/>
              </w:rPr>
            </w:pPr>
            <w:r>
              <w:rPr>
                <w:rFonts w:hint="default" w:ascii="Times New Roman" w:hAnsi="Times New Roman" w:eastAsia="宋体" w:cs="Times New Roman"/>
                <w:color w:val="0000FF"/>
                <w:sz w:val="21"/>
                <w:szCs w:val="21"/>
                <w:lang w:val="en-US" w:eastAsia="zh-CN"/>
              </w:rPr>
              <w:t>0.14</w:t>
            </w:r>
          </w:p>
        </w:tc>
        <w:tc>
          <w:tcPr>
            <w:tcW w:w="415" w:type="pct"/>
            <w:tcBorders>
              <w:top w:val="single" w:color="auto" w:sz="4" w:space="0"/>
              <w:left w:val="single" w:color="auto" w:sz="6" w:space="0"/>
              <w:bottom w:val="single" w:color="auto" w:sz="4" w:space="0"/>
            </w:tcBorders>
            <w:noWrap w:val="0"/>
            <w:vAlign w:val="center"/>
          </w:tcPr>
          <w:p w14:paraId="5B98FD12">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b w:val="0"/>
                <w:bCs/>
                <w:color w:val="0000FF"/>
                <w:sz w:val="21"/>
                <w:szCs w:val="21"/>
                <w:lang w:val="en-US" w:eastAsia="zh-CN"/>
              </w:rPr>
            </w:pPr>
            <w:r>
              <w:rPr>
                <w:rFonts w:hint="default" w:ascii="Times New Roman" w:hAnsi="Times New Roman" w:eastAsia="宋体" w:cs="Times New Roman"/>
                <w:color w:val="0000FF"/>
                <w:sz w:val="21"/>
                <w:szCs w:val="21"/>
                <w:lang w:val="en-US" w:eastAsia="zh-CN"/>
              </w:rPr>
              <w:t>0.47</w:t>
            </w:r>
          </w:p>
        </w:tc>
      </w:tr>
      <w:tr w14:paraId="6215CB49">
        <w:tblPrEx>
          <w:tblBorders>
            <w:top w:val="single" w:color="auto" w:sz="12" w:space="0"/>
            <w:left w:val="none" w:color="auto" w:sz="0" w:space="0"/>
            <w:bottom w:val="single" w:color="auto" w:sz="12" w:space="0"/>
            <w:right w:val="none" w:color="auto" w:sz="0" w:space="0"/>
            <w:insideH w:val="single" w:color="auto" w:sz="4" w:space="0"/>
            <w:insideV w:val="single" w:color="auto" w:sz="6" w:space="0"/>
          </w:tblBorders>
          <w:tblCellMar>
            <w:top w:w="0" w:type="dxa"/>
            <w:left w:w="108" w:type="dxa"/>
            <w:bottom w:w="0" w:type="dxa"/>
            <w:right w:w="108" w:type="dxa"/>
          </w:tblCellMar>
        </w:tblPrEx>
        <w:trPr>
          <w:trHeight w:val="351" w:hRule="atLeast"/>
          <w:jc w:val="center"/>
        </w:trPr>
        <w:tc>
          <w:tcPr>
            <w:tcW w:w="256" w:type="pct"/>
            <w:tcBorders>
              <w:top w:val="single" w:color="auto" w:sz="4" w:space="0"/>
              <w:bottom w:val="single" w:color="auto" w:sz="4" w:space="0"/>
              <w:right w:val="single" w:color="auto" w:sz="6" w:space="0"/>
            </w:tcBorders>
            <w:noWrap w:val="0"/>
            <w:vAlign w:val="center"/>
          </w:tcPr>
          <w:p w14:paraId="553A6C52">
            <w:pPr>
              <w:keepNext w:val="0"/>
              <w:keepLines w:val="0"/>
              <w:pageBreakBefore w:val="0"/>
              <w:widowControl w:val="0"/>
              <w:tabs>
                <w:tab w:val="left" w:pos="720"/>
              </w:tabs>
              <w:kinsoku/>
              <w:wordWrap/>
              <w:overflowPunct/>
              <w:topLinePunct w:val="0"/>
              <w:autoSpaceDE/>
              <w:autoSpaceDN/>
              <w:bidi w:val="0"/>
              <w:adjustRightInd/>
              <w:snapToGrid/>
              <w:spacing w:line="240" w:lineRule="auto"/>
              <w:ind w:left="0" w:right="0"/>
              <w:jc w:val="center"/>
              <w:textAlignment w:val="auto"/>
              <w:rPr>
                <w:rFonts w:hint="default" w:ascii="Times New Roman" w:hAnsi="Times New Roman" w:eastAsia="宋体" w:cs="Times New Roman"/>
                <w:color w:val="0000FF"/>
                <w:sz w:val="21"/>
                <w:szCs w:val="21"/>
                <w:lang w:val="en-US" w:eastAsia="zh-CN"/>
              </w:rPr>
            </w:pPr>
            <w:r>
              <w:rPr>
                <w:rFonts w:hint="eastAsia" w:ascii="Times New Roman" w:hAnsi="Times New Roman" w:eastAsia="宋体" w:cs="Times New Roman"/>
                <w:color w:val="0000FF"/>
                <w:sz w:val="21"/>
                <w:szCs w:val="21"/>
                <w:lang w:val="en-US" w:eastAsia="zh-CN"/>
              </w:rPr>
              <w:t>7</w:t>
            </w:r>
          </w:p>
        </w:tc>
        <w:tc>
          <w:tcPr>
            <w:tcW w:w="815" w:type="pct"/>
            <w:tcBorders>
              <w:top w:val="single" w:color="auto" w:sz="4" w:space="0"/>
              <w:left w:val="single" w:color="auto" w:sz="6" w:space="0"/>
              <w:bottom w:val="single" w:color="auto" w:sz="4" w:space="0"/>
              <w:right w:val="single" w:color="auto" w:sz="6" w:space="0"/>
            </w:tcBorders>
            <w:noWrap w:val="0"/>
            <w:vAlign w:val="center"/>
          </w:tcPr>
          <w:p w14:paraId="0CF0EF3A">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rPr>
              <w:t>锰</w:t>
            </w:r>
          </w:p>
        </w:tc>
        <w:tc>
          <w:tcPr>
            <w:tcW w:w="488" w:type="pct"/>
            <w:tcBorders>
              <w:top w:val="single" w:color="auto" w:sz="4" w:space="0"/>
              <w:left w:val="single" w:color="auto" w:sz="6" w:space="0"/>
              <w:bottom w:val="single" w:color="auto" w:sz="4" w:space="0"/>
              <w:right w:val="single" w:color="auto" w:sz="6" w:space="0"/>
            </w:tcBorders>
            <w:noWrap w:val="0"/>
            <w:vAlign w:val="center"/>
          </w:tcPr>
          <w:p w14:paraId="51B9EA22">
            <w:pPr>
              <w:keepNext w:val="0"/>
              <w:keepLines w:val="0"/>
              <w:pageBreakBefore w:val="0"/>
              <w:widowControl w:val="0"/>
              <w:tabs>
                <w:tab w:val="left" w:pos="720"/>
              </w:tabs>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rPr>
              <w:t>≤0.</w:t>
            </w:r>
            <w:r>
              <w:rPr>
                <w:rFonts w:hint="default" w:ascii="Times New Roman" w:hAnsi="Times New Roman" w:eastAsia="宋体" w:cs="Times New Roman"/>
                <w:color w:val="0000FF"/>
                <w:sz w:val="21"/>
                <w:szCs w:val="21"/>
                <w:lang w:val="en-US" w:eastAsia="zh-CN"/>
              </w:rPr>
              <w:t>1</w:t>
            </w:r>
          </w:p>
        </w:tc>
        <w:tc>
          <w:tcPr>
            <w:tcW w:w="973" w:type="pct"/>
            <w:tcBorders>
              <w:top w:val="single" w:color="auto" w:sz="4" w:space="0"/>
              <w:left w:val="single" w:color="auto" w:sz="6" w:space="0"/>
              <w:bottom w:val="single" w:color="auto" w:sz="4" w:space="0"/>
              <w:right w:val="single" w:color="auto" w:sz="6" w:space="0"/>
            </w:tcBorders>
            <w:noWrap w:val="0"/>
            <w:vAlign w:val="center"/>
          </w:tcPr>
          <w:p w14:paraId="5C39F904">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0000FF"/>
                <w:sz w:val="21"/>
                <w:szCs w:val="21"/>
                <w:lang w:val="en-US" w:eastAsia="zh-CN"/>
              </w:rPr>
            </w:pPr>
            <w:r>
              <w:rPr>
                <w:rFonts w:hint="default" w:ascii="Times New Roman" w:hAnsi="Times New Roman" w:eastAsia="宋体" w:cs="Times New Roman"/>
                <w:color w:val="0000FF"/>
                <w:sz w:val="21"/>
                <w:szCs w:val="21"/>
                <w:lang w:val="en-US" w:eastAsia="zh-CN"/>
              </w:rPr>
              <w:t>＜0.01</w:t>
            </w:r>
          </w:p>
        </w:tc>
        <w:tc>
          <w:tcPr>
            <w:tcW w:w="744" w:type="pct"/>
            <w:tcBorders>
              <w:top w:val="single" w:color="auto" w:sz="4" w:space="0"/>
              <w:left w:val="single" w:color="auto" w:sz="6" w:space="0"/>
              <w:bottom w:val="single" w:color="auto" w:sz="4" w:space="0"/>
            </w:tcBorders>
            <w:noWrap w:val="0"/>
            <w:vAlign w:val="center"/>
          </w:tcPr>
          <w:p w14:paraId="36A96177">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color w:val="0000FF"/>
                <w:sz w:val="21"/>
                <w:szCs w:val="21"/>
                <w:lang w:val="en-US" w:eastAsia="zh-CN"/>
              </w:rPr>
            </w:pPr>
            <w:r>
              <w:rPr>
                <w:rFonts w:hint="default" w:ascii="Times New Roman" w:hAnsi="Times New Roman" w:eastAsia="宋体" w:cs="Times New Roman"/>
                <w:color w:val="0000FF"/>
                <w:sz w:val="21"/>
                <w:szCs w:val="21"/>
                <w:lang w:val="en-US" w:eastAsia="zh-CN"/>
              </w:rPr>
              <w:t>0.10</w:t>
            </w:r>
          </w:p>
        </w:tc>
        <w:tc>
          <w:tcPr>
            <w:tcW w:w="445" w:type="pct"/>
            <w:tcBorders>
              <w:top w:val="single" w:color="auto" w:sz="4" w:space="0"/>
              <w:left w:val="single" w:color="auto" w:sz="6" w:space="0"/>
              <w:bottom w:val="single" w:color="auto" w:sz="4" w:space="0"/>
            </w:tcBorders>
            <w:noWrap w:val="0"/>
            <w:vAlign w:val="center"/>
          </w:tcPr>
          <w:p w14:paraId="5D3C0207">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b w:val="0"/>
                <w:bCs/>
                <w:color w:val="0000FF"/>
                <w:sz w:val="21"/>
                <w:szCs w:val="21"/>
                <w:lang w:val="en-US" w:eastAsia="zh-CN"/>
              </w:rPr>
            </w:pPr>
            <w:r>
              <w:rPr>
                <w:rFonts w:hint="default" w:ascii="Times New Roman" w:hAnsi="Times New Roman" w:eastAsia="宋体" w:cs="Times New Roman"/>
                <w:color w:val="0000FF"/>
                <w:sz w:val="21"/>
                <w:szCs w:val="21"/>
                <w:lang w:val="en-US" w:eastAsia="zh-CN"/>
              </w:rPr>
              <w:t>0.01</w:t>
            </w:r>
          </w:p>
        </w:tc>
        <w:tc>
          <w:tcPr>
            <w:tcW w:w="414" w:type="pct"/>
            <w:tcBorders>
              <w:top w:val="single" w:color="auto" w:sz="4" w:space="0"/>
              <w:left w:val="single" w:color="auto" w:sz="6" w:space="0"/>
              <w:bottom w:val="single" w:color="auto" w:sz="4" w:space="0"/>
            </w:tcBorders>
            <w:noWrap w:val="0"/>
            <w:vAlign w:val="center"/>
          </w:tcPr>
          <w:p w14:paraId="6EC8440E">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b w:val="0"/>
                <w:bCs/>
                <w:color w:val="0000FF"/>
                <w:sz w:val="21"/>
                <w:szCs w:val="21"/>
                <w:lang w:val="en-US" w:eastAsia="zh-CN"/>
              </w:rPr>
            </w:pPr>
            <w:r>
              <w:rPr>
                <w:rFonts w:hint="default" w:ascii="Times New Roman" w:hAnsi="Times New Roman" w:eastAsia="宋体" w:cs="Times New Roman"/>
                <w:color w:val="0000FF"/>
                <w:sz w:val="21"/>
                <w:szCs w:val="21"/>
                <w:lang w:val="en-US" w:eastAsia="zh-CN"/>
              </w:rPr>
              <w:t>0.10</w:t>
            </w:r>
          </w:p>
        </w:tc>
        <w:tc>
          <w:tcPr>
            <w:tcW w:w="446" w:type="pct"/>
            <w:tcBorders>
              <w:top w:val="single" w:color="auto" w:sz="4" w:space="0"/>
              <w:left w:val="single" w:color="auto" w:sz="6" w:space="0"/>
              <w:bottom w:val="single" w:color="auto" w:sz="4" w:space="0"/>
            </w:tcBorders>
            <w:noWrap w:val="0"/>
            <w:vAlign w:val="center"/>
          </w:tcPr>
          <w:p w14:paraId="1CC7D54D">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b w:val="0"/>
                <w:bCs/>
                <w:color w:val="0000FF"/>
                <w:sz w:val="21"/>
                <w:szCs w:val="21"/>
                <w:lang w:val="en-US" w:eastAsia="zh-CN"/>
              </w:rPr>
            </w:pPr>
            <w:r>
              <w:rPr>
                <w:rFonts w:hint="default" w:ascii="Times New Roman" w:hAnsi="Times New Roman" w:eastAsia="宋体" w:cs="Times New Roman"/>
                <w:color w:val="0000FF"/>
                <w:sz w:val="21"/>
                <w:szCs w:val="21"/>
                <w:lang w:val="en-US" w:eastAsia="zh-CN"/>
              </w:rPr>
              <w:t>＜0.01</w:t>
            </w:r>
          </w:p>
        </w:tc>
        <w:tc>
          <w:tcPr>
            <w:tcW w:w="415" w:type="pct"/>
            <w:tcBorders>
              <w:top w:val="single" w:color="auto" w:sz="4" w:space="0"/>
              <w:left w:val="single" w:color="auto" w:sz="6" w:space="0"/>
              <w:bottom w:val="single" w:color="auto" w:sz="4" w:space="0"/>
            </w:tcBorders>
            <w:noWrap w:val="0"/>
            <w:vAlign w:val="center"/>
          </w:tcPr>
          <w:p w14:paraId="5E7DF694">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b w:val="0"/>
                <w:bCs/>
                <w:color w:val="0000FF"/>
                <w:sz w:val="21"/>
                <w:szCs w:val="21"/>
                <w:lang w:val="en-US" w:eastAsia="zh-CN"/>
              </w:rPr>
            </w:pPr>
            <w:r>
              <w:rPr>
                <w:rFonts w:hint="default" w:ascii="Times New Roman" w:hAnsi="Times New Roman" w:eastAsia="宋体" w:cs="Times New Roman"/>
                <w:color w:val="0000FF"/>
                <w:sz w:val="21"/>
                <w:szCs w:val="21"/>
                <w:lang w:val="en-US" w:eastAsia="zh-CN"/>
              </w:rPr>
              <w:t>0.10</w:t>
            </w:r>
          </w:p>
        </w:tc>
      </w:tr>
      <w:tr w14:paraId="5CBEC1F0">
        <w:tblPrEx>
          <w:tblBorders>
            <w:top w:val="single" w:color="auto" w:sz="12" w:space="0"/>
            <w:left w:val="none" w:color="auto" w:sz="0" w:space="0"/>
            <w:bottom w:val="single" w:color="auto" w:sz="12" w:space="0"/>
            <w:right w:val="none" w:color="auto" w:sz="0" w:space="0"/>
            <w:insideH w:val="single" w:color="auto" w:sz="4" w:space="0"/>
            <w:insideV w:val="single" w:color="auto" w:sz="6" w:space="0"/>
          </w:tblBorders>
          <w:tblCellMar>
            <w:top w:w="0" w:type="dxa"/>
            <w:left w:w="108" w:type="dxa"/>
            <w:bottom w:w="0" w:type="dxa"/>
            <w:right w:w="108" w:type="dxa"/>
          </w:tblCellMar>
        </w:tblPrEx>
        <w:trPr>
          <w:trHeight w:val="351" w:hRule="atLeast"/>
          <w:jc w:val="center"/>
        </w:trPr>
        <w:tc>
          <w:tcPr>
            <w:tcW w:w="256" w:type="pct"/>
            <w:tcBorders>
              <w:top w:val="single" w:color="auto" w:sz="4" w:space="0"/>
              <w:bottom w:val="single" w:color="auto" w:sz="4" w:space="0"/>
              <w:right w:val="single" w:color="auto" w:sz="6" w:space="0"/>
            </w:tcBorders>
            <w:noWrap w:val="0"/>
            <w:vAlign w:val="center"/>
          </w:tcPr>
          <w:p w14:paraId="09DFEEC9">
            <w:pPr>
              <w:keepNext w:val="0"/>
              <w:keepLines w:val="0"/>
              <w:pageBreakBefore w:val="0"/>
              <w:widowControl w:val="0"/>
              <w:tabs>
                <w:tab w:val="left" w:pos="720"/>
              </w:tabs>
              <w:kinsoku/>
              <w:wordWrap/>
              <w:overflowPunct/>
              <w:topLinePunct w:val="0"/>
              <w:autoSpaceDE/>
              <w:autoSpaceDN/>
              <w:bidi w:val="0"/>
              <w:adjustRightInd/>
              <w:snapToGrid/>
              <w:spacing w:line="240" w:lineRule="auto"/>
              <w:ind w:left="0" w:right="0"/>
              <w:jc w:val="center"/>
              <w:textAlignment w:val="auto"/>
              <w:rPr>
                <w:rFonts w:hint="default" w:ascii="Times New Roman" w:hAnsi="Times New Roman" w:eastAsia="宋体" w:cs="Times New Roman"/>
                <w:color w:val="0000FF"/>
                <w:sz w:val="21"/>
                <w:szCs w:val="21"/>
                <w:lang w:val="en-US" w:eastAsia="zh-CN"/>
              </w:rPr>
            </w:pPr>
            <w:r>
              <w:rPr>
                <w:rFonts w:hint="eastAsia" w:ascii="Times New Roman" w:hAnsi="Times New Roman" w:eastAsia="宋体" w:cs="Times New Roman"/>
                <w:color w:val="0000FF"/>
                <w:sz w:val="21"/>
                <w:szCs w:val="21"/>
                <w:lang w:val="en-US" w:eastAsia="zh-CN"/>
              </w:rPr>
              <w:t>8</w:t>
            </w:r>
          </w:p>
        </w:tc>
        <w:tc>
          <w:tcPr>
            <w:tcW w:w="815" w:type="pct"/>
            <w:tcBorders>
              <w:top w:val="single" w:color="auto" w:sz="4" w:space="0"/>
              <w:left w:val="single" w:color="auto" w:sz="6" w:space="0"/>
              <w:bottom w:val="single" w:color="auto" w:sz="4" w:space="0"/>
              <w:right w:val="single" w:color="auto" w:sz="6" w:space="0"/>
            </w:tcBorders>
            <w:noWrap w:val="0"/>
            <w:vAlign w:val="center"/>
          </w:tcPr>
          <w:p w14:paraId="1BF11CEF">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rPr>
              <w:t>铜</w:t>
            </w:r>
          </w:p>
        </w:tc>
        <w:tc>
          <w:tcPr>
            <w:tcW w:w="488" w:type="pct"/>
            <w:tcBorders>
              <w:top w:val="single" w:color="auto" w:sz="4" w:space="0"/>
              <w:left w:val="single" w:color="auto" w:sz="6" w:space="0"/>
              <w:bottom w:val="single" w:color="auto" w:sz="4" w:space="0"/>
              <w:right w:val="single" w:color="auto" w:sz="6" w:space="0"/>
            </w:tcBorders>
            <w:noWrap w:val="0"/>
            <w:vAlign w:val="center"/>
          </w:tcPr>
          <w:p w14:paraId="4C5D0301">
            <w:pPr>
              <w:keepNext w:val="0"/>
              <w:keepLines w:val="0"/>
              <w:pageBreakBefore w:val="0"/>
              <w:widowControl w:val="0"/>
              <w:tabs>
                <w:tab w:val="left" w:pos="720"/>
              </w:tabs>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0000FF"/>
                <w:sz w:val="21"/>
                <w:szCs w:val="21"/>
                <w:lang w:val="en-US" w:eastAsia="zh-CN"/>
              </w:rPr>
            </w:pPr>
            <w:r>
              <w:rPr>
                <w:rFonts w:hint="default" w:ascii="Times New Roman" w:hAnsi="Times New Roman" w:eastAsia="宋体" w:cs="Times New Roman"/>
                <w:color w:val="0000FF"/>
                <w:sz w:val="21"/>
                <w:szCs w:val="21"/>
              </w:rPr>
              <w:t>≤</w:t>
            </w:r>
            <w:r>
              <w:rPr>
                <w:rFonts w:hint="default" w:ascii="Times New Roman" w:hAnsi="Times New Roman" w:eastAsia="宋体" w:cs="Times New Roman"/>
                <w:color w:val="0000FF"/>
                <w:sz w:val="21"/>
                <w:szCs w:val="21"/>
                <w:lang w:val="en-US" w:eastAsia="zh-CN"/>
              </w:rPr>
              <w:t>1.00</w:t>
            </w:r>
          </w:p>
        </w:tc>
        <w:tc>
          <w:tcPr>
            <w:tcW w:w="973" w:type="pct"/>
            <w:tcBorders>
              <w:top w:val="single" w:color="auto" w:sz="4" w:space="0"/>
              <w:left w:val="single" w:color="auto" w:sz="6" w:space="0"/>
              <w:bottom w:val="single" w:color="auto" w:sz="4" w:space="0"/>
              <w:right w:val="single" w:color="auto" w:sz="6" w:space="0"/>
            </w:tcBorders>
            <w:noWrap w:val="0"/>
            <w:vAlign w:val="center"/>
          </w:tcPr>
          <w:p w14:paraId="43E494E0">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0000FF"/>
                <w:sz w:val="21"/>
                <w:szCs w:val="21"/>
                <w:lang w:val="en-US" w:eastAsia="zh-CN"/>
              </w:rPr>
            </w:pPr>
            <w:r>
              <w:rPr>
                <w:rFonts w:hint="default" w:ascii="Times New Roman" w:hAnsi="Times New Roman" w:eastAsia="宋体" w:cs="Times New Roman"/>
                <w:color w:val="0000FF"/>
                <w:sz w:val="21"/>
                <w:szCs w:val="21"/>
                <w:lang w:val="en-US" w:eastAsia="zh-CN"/>
              </w:rPr>
              <w:t>＜0.05</w:t>
            </w:r>
          </w:p>
        </w:tc>
        <w:tc>
          <w:tcPr>
            <w:tcW w:w="744" w:type="pct"/>
            <w:tcBorders>
              <w:top w:val="single" w:color="auto" w:sz="4" w:space="0"/>
              <w:left w:val="single" w:color="auto" w:sz="6" w:space="0"/>
              <w:bottom w:val="single" w:color="auto" w:sz="4" w:space="0"/>
            </w:tcBorders>
            <w:noWrap w:val="0"/>
            <w:vAlign w:val="center"/>
          </w:tcPr>
          <w:p w14:paraId="275A4535">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0000FF"/>
                <w:sz w:val="21"/>
                <w:szCs w:val="21"/>
                <w:lang w:val="en-US" w:eastAsia="zh-CN"/>
              </w:rPr>
            </w:pPr>
            <w:r>
              <w:rPr>
                <w:rFonts w:hint="default" w:ascii="Times New Roman" w:hAnsi="Times New Roman" w:eastAsia="宋体" w:cs="Times New Roman"/>
                <w:color w:val="0000FF"/>
                <w:sz w:val="21"/>
                <w:szCs w:val="21"/>
                <w:lang w:val="en-US" w:eastAsia="zh-CN"/>
              </w:rPr>
              <w:t>＜0.05</w:t>
            </w:r>
          </w:p>
        </w:tc>
        <w:tc>
          <w:tcPr>
            <w:tcW w:w="445" w:type="pct"/>
            <w:tcBorders>
              <w:top w:val="single" w:color="auto" w:sz="4" w:space="0"/>
              <w:left w:val="single" w:color="auto" w:sz="6" w:space="0"/>
              <w:bottom w:val="single" w:color="auto" w:sz="4" w:space="0"/>
            </w:tcBorders>
            <w:noWrap w:val="0"/>
            <w:vAlign w:val="center"/>
          </w:tcPr>
          <w:p w14:paraId="08A0F87D">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b w:val="0"/>
                <w:bCs/>
                <w:color w:val="0000FF"/>
                <w:sz w:val="21"/>
                <w:szCs w:val="21"/>
                <w:lang w:val="en-US" w:eastAsia="zh-CN"/>
              </w:rPr>
            </w:pPr>
            <w:r>
              <w:rPr>
                <w:rFonts w:hint="default" w:ascii="Times New Roman" w:hAnsi="Times New Roman" w:eastAsia="宋体" w:cs="Times New Roman"/>
                <w:color w:val="0000FF"/>
                <w:sz w:val="21"/>
                <w:szCs w:val="21"/>
                <w:lang w:val="en-US" w:eastAsia="zh-CN"/>
              </w:rPr>
              <w:t>＜0.05</w:t>
            </w:r>
          </w:p>
        </w:tc>
        <w:tc>
          <w:tcPr>
            <w:tcW w:w="414" w:type="pct"/>
            <w:tcBorders>
              <w:top w:val="single" w:color="auto" w:sz="4" w:space="0"/>
              <w:left w:val="single" w:color="auto" w:sz="6" w:space="0"/>
              <w:bottom w:val="single" w:color="auto" w:sz="4" w:space="0"/>
            </w:tcBorders>
            <w:noWrap w:val="0"/>
            <w:vAlign w:val="center"/>
          </w:tcPr>
          <w:p w14:paraId="2DA63AFE">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b w:val="0"/>
                <w:bCs/>
                <w:color w:val="0000FF"/>
                <w:sz w:val="21"/>
                <w:szCs w:val="21"/>
                <w:lang w:val="en-US" w:eastAsia="zh-CN"/>
              </w:rPr>
            </w:pPr>
            <w:r>
              <w:rPr>
                <w:rFonts w:hint="default" w:ascii="Times New Roman" w:hAnsi="Times New Roman" w:eastAsia="宋体" w:cs="Times New Roman"/>
                <w:color w:val="0000FF"/>
                <w:sz w:val="21"/>
                <w:szCs w:val="21"/>
                <w:lang w:val="en-US" w:eastAsia="zh-CN"/>
              </w:rPr>
              <w:t>＜0.05</w:t>
            </w:r>
          </w:p>
        </w:tc>
        <w:tc>
          <w:tcPr>
            <w:tcW w:w="446" w:type="pct"/>
            <w:tcBorders>
              <w:top w:val="single" w:color="auto" w:sz="4" w:space="0"/>
              <w:left w:val="single" w:color="auto" w:sz="6" w:space="0"/>
              <w:bottom w:val="single" w:color="auto" w:sz="4" w:space="0"/>
            </w:tcBorders>
            <w:noWrap w:val="0"/>
            <w:vAlign w:val="center"/>
          </w:tcPr>
          <w:p w14:paraId="0223610A">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b w:val="0"/>
                <w:bCs/>
                <w:color w:val="0000FF"/>
                <w:sz w:val="21"/>
                <w:szCs w:val="21"/>
                <w:lang w:val="en-US" w:eastAsia="zh-CN"/>
              </w:rPr>
            </w:pPr>
            <w:r>
              <w:rPr>
                <w:rFonts w:hint="default" w:ascii="Times New Roman" w:hAnsi="Times New Roman" w:eastAsia="宋体" w:cs="Times New Roman"/>
                <w:color w:val="0000FF"/>
                <w:sz w:val="21"/>
                <w:szCs w:val="21"/>
                <w:lang w:val="en-US" w:eastAsia="zh-CN"/>
              </w:rPr>
              <w:t>＜0.05</w:t>
            </w:r>
          </w:p>
        </w:tc>
        <w:tc>
          <w:tcPr>
            <w:tcW w:w="415" w:type="pct"/>
            <w:tcBorders>
              <w:top w:val="single" w:color="auto" w:sz="4" w:space="0"/>
              <w:left w:val="single" w:color="auto" w:sz="6" w:space="0"/>
              <w:bottom w:val="single" w:color="auto" w:sz="4" w:space="0"/>
            </w:tcBorders>
            <w:noWrap w:val="0"/>
            <w:vAlign w:val="center"/>
          </w:tcPr>
          <w:p w14:paraId="3889F903">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b w:val="0"/>
                <w:bCs/>
                <w:color w:val="0000FF"/>
                <w:sz w:val="21"/>
                <w:szCs w:val="21"/>
                <w:lang w:val="en-US" w:eastAsia="zh-CN"/>
              </w:rPr>
            </w:pPr>
            <w:r>
              <w:rPr>
                <w:rFonts w:hint="default" w:ascii="Times New Roman" w:hAnsi="Times New Roman" w:eastAsia="宋体" w:cs="Times New Roman"/>
                <w:color w:val="0000FF"/>
                <w:sz w:val="21"/>
                <w:szCs w:val="21"/>
                <w:lang w:val="en-US" w:eastAsia="zh-CN"/>
              </w:rPr>
              <w:t>＜0.05</w:t>
            </w:r>
          </w:p>
        </w:tc>
      </w:tr>
      <w:tr w14:paraId="48A42BFE">
        <w:tblPrEx>
          <w:tblBorders>
            <w:top w:val="single" w:color="auto" w:sz="12" w:space="0"/>
            <w:left w:val="none" w:color="auto" w:sz="0" w:space="0"/>
            <w:bottom w:val="single" w:color="auto" w:sz="12" w:space="0"/>
            <w:right w:val="none" w:color="auto" w:sz="0" w:space="0"/>
            <w:insideH w:val="single" w:color="auto" w:sz="4" w:space="0"/>
            <w:insideV w:val="single" w:color="auto" w:sz="6" w:space="0"/>
          </w:tblBorders>
          <w:tblCellMar>
            <w:top w:w="0" w:type="dxa"/>
            <w:left w:w="108" w:type="dxa"/>
            <w:bottom w:w="0" w:type="dxa"/>
            <w:right w:w="108" w:type="dxa"/>
          </w:tblCellMar>
        </w:tblPrEx>
        <w:trPr>
          <w:trHeight w:val="351" w:hRule="atLeast"/>
          <w:jc w:val="center"/>
        </w:trPr>
        <w:tc>
          <w:tcPr>
            <w:tcW w:w="256" w:type="pct"/>
            <w:tcBorders>
              <w:top w:val="single" w:color="auto" w:sz="4" w:space="0"/>
              <w:bottom w:val="single" w:color="auto" w:sz="4" w:space="0"/>
              <w:right w:val="single" w:color="auto" w:sz="6" w:space="0"/>
            </w:tcBorders>
            <w:noWrap w:val="0"/>
            <w:vAlign w:val="center"/>
          </w:tcPr>
          <w:p w14:paraId="459CA9A9">
            <w:pPr>
              <w:keepNext w:val="0"/>
              <w:keepLines w:val="0"/>
              <w:pageBreakBefore w:val="0"/>
              <w:widowControl w:val="0"/>
              <w:tabs>
                <w:tab w:val="left" w:pos="720"/>
              </w:tabs>
              <w:kinsoku/>
              <w:wordWrap/>
              <w:overflowPunct/>
              <w:topLinePunct w:val="0"/>
              <w:autoSpaceDE/>
              <w:autoSpaceDN/>
              <w:bidi w:val="0"/>
              <w:adjustRightInd/>
              <w:snapToGrid/>
              <w:spacing w:line="240" w:lineRule="auto"/>
              <w:ind w:left="0" w:right="0"/>
              <w:jc w:val="center"/>
              <w:textAlignment w:val="auto"/>
              <w:rPr>
                <w:rFonts w:hint="default" w:ascii="Times New Roman" w:hAnsi="Times New Roman" w:eastAsia="宋体" w:cs="Times New Roman"/>
                <w:color w:val="0000FF"/>
                <w:sz w:val="21"/>
                <w:szCs w:val="21"/>
                <w:lang w:val="en-US" w:eastAsia="zh-CN"/>
              </w:rPr>
            </w:pPr>
            <w:r>
              <w:rPr>
                <w:rFonts w:hint="eastAsia" w:ascii="Times New Roman" w:hAnsi="Times New Roman" w:eastAsia="宋体" w:cs="Times New Roman"/>
                <w:color w:val="0000FF"/>
                <w:sz w:val="21"/>
                <w:szCs w:val="21"/>
                <w:lang w:val="en-US" w:eastAsia="zh-CN"/>
              </w:rPr>
              <w:t>9</w:t>
            </w:r>
          </w:p>
        </w:tc>
        <w:tc>
          <w:tcPr>
            <w:tcW w:w="815" w:type="pct"/>
            <w:tcBorders>
              <w:top w:val="single" w:color="auto" w:sz="4" w:space="0"/>
              <w:left w:val="single" w:color="auto" w:sz="6" w:space="0"/>
              <w:bottom w:val="single" w:color="auto" w:sz="4" w:space="0"/>
              <w:right w:val="single" w:color="auto" w:sz="6" w:space="0"/>
            </w:tcBorders>
            <w:noWrap w:val="0"/>
            <w:vAlign w:val="center"/>
          </w:tcPr>
          <w:p w14:paraId="2EFB5F25">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rPr>
              <w:t>锌</w:t>
            </w:r>
          </w:p>
        </w:tc>
        <w:tc>
          <w:tcPr>
            <w:tcW w:w="488" w:type="pct"/>
            <w:tcBorders>
              <w:top w:val="single" w:color="auto" w:sz="4" w:space="0"/>
              <w:left w:val="single" w:color="auto" w:sz="6" w:space="0"/>
              <w:bottom w:val="single" w:color="auto" w:sz="4" w:space="0"/>
              <w:right w:val="single" w:color="auto" w:sz="6" w:space="0"/>
            </w:tcBorders>
            <w:noWrap w:val="0"/>
            <w:vAlign w:val="center"/>
          </w:tcPr>
          <w:p w14:paraId="2C33BF1A">
            <w:pPr>
              <w:keepNext w:val="0"/>
              <w:keepLines w:val="0"/>
              <w:pageBreakBefore w:val="0"/>
              <w:widowControl w:val="0"/>
              <w:tabs>
                <w:tab w:val="left" w:pos="720"/>
              </w:tabs>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0000FF"/>
                <w:sz w:val="21"/>
                <w:szCs w:val="21"/>
                <w:lang w:val="en-US" w:eastAsia="zh-CN"/>
              </w:rPr>
            </w:pPr>
            <w:r>
              <w:rPr>
                <w:rFonts w:hint="default" w:ascii="Times New Roman" w:hAnsi="Times New Roman" w:eastAsia="宋体" w:cs="Times New Roman"/>
                <w:color w:val="0000FF"/>
                <w:sz w:val="21"/>
                <w:szCs w:val="21"/>
              </w:rPr>
              <w:t>≤</w:t>
            </w:r>
            <w:r>
              <w:rPr>
                <w:rFonts w:hint="default" w:ascii="Times New Roman" w:hAnsi="Times New Roman" w:eastAsia="宋体" w:cs="Times New Roman"/>
                <w:color w:val="0000FF"/>
                <w:sz w:val="21"/>
                <w:szCs w:val="21"/>
                <w:lang w:val="en-US" w:eastAsia="zh-CN"/>
              </w:rPr>
              <w:t>1.00</w:t>
            </w:r>
          </w:p>
        </w:tc>
        <w:tc>
          <w:tcPr>
            <w:tcW w:w="973" w:type="pct"/>
            <w:tcBorders>
              <w:top w:val="single" w:color="auto" w:sz="4" w:space="0"/>
              <w:left w:val="single" w:color="auto" w:sz="6" w:space="0"/>
              <w:bottom w:val="single" w:color="auto" w:sz="4" w:space="0"/>
              <w:right w:val="single" w:color="auto" w:sz="6" w:space="0"/>
            </w:tcBorders>
            <w:noWrap w:val="0"/>
            <w:vAlign w:val="center"/>
          </w:tcPr>
          <w:p w14:paraId="06BE35C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ascii="Times New Roman" w:hAnsi="Times New Roman" w:eastAsia="宋体" w:cs="Times New Roman"/>
                <w:color w:val="0000FF"/>
                <w:sz w:val="21"/>
                <w:szCs w:val="21"/>
                <w:lang w:val="en-US" w:eastAsia="zh-CN"/>
              </w:rPr>
            </w:pPr>
            <w:r>
              <w:rPr>
                <w:rFonts w:hint="eastAsia"/>
                <w:color w:val="0000FF"/>
              </w:rPr>
              <w:t>＜0.05</w:t>
            </w:r>
          </w:p>
        </w:tc>
        <w:tc>
          <w:tcPr>
            <w:tcW w:w="744" w:type="pct"/>
            <w:tcBorders>
              <w:top w:val="single" w:color="auto" w:sz="4" w:space="0"/>
              <w:left w:val="single" w:color="auto" w:sz="6" w:space="0"/>
              <w:bottom w:val="single" w:color="auto" w:sz="4" w:space="0"/>
            </w:tcBorders>
            <w:noWrap w:val="0"/>
            <w:vAlign w:val="center"/>
          </w:tcPr>
          <w:p w14:paraId="51752EA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ascii="Times New Roman" w:hAnsi="Times New Roman" w:eastAsia="宋体" w:cs="Times New Roman"/>
                <w:color w:val="0000FF"/>
                <w:sz w:val="21"/>
                <w:szCs w:val="21"/>
                <w:lang w:val="en-US" w:eastAsia="zh-CN"/>
              </w:rPr>
            </w:pPr>
            <w:r>
              <w:rPr>
                <w:rFonts w:hint="eastAsia"/>
                <w:color w:val="0000FF"/>
              </w:rPr>
              <w:t>＜0.05</w:t>
            </w:r>
          </w:p>
        </w:tc>
        <w:tc>
          <w:tcPr>
            <w:tcW w:w="445" w:type="pct"/>
            <w:tcBorders>
              <w:top w:val="single" w:color="auto" w:sz="4" w:space="0"/>
              <w:left w:val="single" w:color="auto" w:sz="6" w:space="0"/>
              <w:bottom w:val="single" w:color="auto" w:sz="4" w:space="0"/>
            </w:tcBorders>
            <w:noWrap w:val="0"/>
            <w:vAlign w:val="center"/>
          </w:tcPr>
          <w:p w14:paraId="4C07B665">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eastAsia" w:ascii="Times New Roman" w:hAnsi="Times New Roman" w:eastAsia="宋体" w:cs="Times New Roman"/>
                <w:b w:val="0"/>
                <w:bCs/>
                <w:color w:val="0000FF"/>
                <w:sz w:val="21"/>
                <w:szCs w:val="21"/>
                <w:lang w:val="en-US" w:eastAsia="zh-CN"/>
              </w:rPr>
            </w:pPr>
            <w:r>
              <w:rPr>
                <w:rFonts w:hint="eastAsia"/>
                <w:color w:val="0000FF"/>
              </w:rPr>
              <w:t>＜0.05</w:t>
            </w:r>
          </w:p>
        </w:tc>
        <w:tc>
          <w:tcPr>
            <w:tcW w:w="414" w:type="pct"/>
            <w:tcBorders>
              <w:top w:val="single" w:color="auto" w:sz="4" w:space="0"/>
              <w:left w:val="single" w:color="auto" w:sz="6" w:space="0"/>
              <w:bottom w:val="single" w:color="auto" w:sz="4" w:space="0"/>
            </w:tcBorders>
            <w:noWrap w:val="0"/>
            <w:vAlign w:val="center"/>
          </w:tcPr>
          <w:p w14:paraId="06F2938C">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eastAsia" w:ascii="Times New Roman" w:hAnsi="Times New Roman" w:eastAsia="宋体" w:cs="Times New Roman"/>
                <w:b w:val="0"/>
                <w:bCs/>
                <w:color w:val="0000FF"/>
                <w:sz w:val="21"/>
                <w:szCs w:val="21"/>
                <w:lang w:val="en-US" w:eastAsia="zh-CN"/>
              </w:rPr>
            </w:pPr>
            <w:r>
              <w:rPr>
                <w:rFonts w:hint="eastAsia"/>
                <w:color w:val="0000FF"/>
              </w:rPr>
              <w:t>＜0.05</w:t>
            </w:r>
          </w:p>
        </w:tc>
        <w:tc>
          <w:tcPr>
            <w:tcW w:w="446" w:type="pct"/>
            <w:tcBorders>
              <w:top w:val="single" w:color="auto" w:sz="4" w:space="0"/>
              <w:left w:val="single" w:color="auto" w:sz="6" w:space="0"/>
              <w:bottom w:val="single" w:color="auto" w:sz="4" w:space="0"/>
            </w:tcBorders>
            <w:noWrap w:val="0"/>
            <w:vAlign w:val="center"/>
          </w:tcPr>
          <w:p w14:paraId="13036FF4">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eastAsia" w:ascii="Times New Roman" w:hAnsi="Times New Roman" w:eastAsia="宋体" w:cs="Times New Roman"/>
                <w:b w:val="0"/>
                <w:bCs/>
                <w:color w:val="0000FF"/>
                <w:sz w:val="21"/>
                <w:szCs w:val="21"/>
                <w:lang w:val="en-US" w:eastAsia="zh-CN"/>
              </w:rPr>
            </w:pPr>
            <w:r>
              <w:rPr>
                <w:rFonts w:hint="eastAsia"/>
                <w:color w:val="0000FF"/>
              </w:rPr>
              <w:t>＜0.05</w:t>
            </w:r>
          </w:p>
        </w:tc>
        <w:tc>
          <w:tcPr>
            <w:tcW w:w="415" w:type="pct"/>
            <w:tcBorders>
              <w:top w:val="single" w:color="auto" w:sz="4" w:space="0"/>
              <w:left w:val="single" w:color="auto" w:sz="6" w:space="0"/>
              <w:bottom w:val="single" w:color="auto" w:sz="4" w:space="0"/>
            </w:tcBorders>
            <w:noWrap w:val="0"/>
            <w:vAlign w:val="center"/>
          </w:tcPr>
          <w:p w14:paraId="72764277">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eastAsia" w:ascii="Times New Roman" w:hAnsi="Times New Roman" w:eastAsia="宋体" w:cs="Times New Roman"/>
                <w:b w:val="0"/>
                <w:bCs/>
                <w:color w:val="0000FF"/>
                <w:sz w:val="21"/>
                <w:szCs w:val="21"/>
                <w:lang w:val="en-US" w:eastAsia="zh-CN"/>
              </w:rPr>
            </w:pPr>
            <w:r>
              <w:rPr>
                <w:rFonts w:hint="eastAsia"/>
                <w:color w:val="0000FF"/>
              </w:rPr>
              <w:t>＜0.05</w:t>
            </w:r>
          </w:p>
        </w:tc>
      </w:tr>
      <w:tr w14:paraId="647A23DB">
        <w:tblPrEx>
          <w:tblBorders>
            <w:top w:val="single" w:color="auto" w:sz="12" w:space="0"/>
            <w:left w:val="none" w:color="auto" w:sz="0" w:space="0"/>
            <w:bottom w:val="single" w:color="auto" w:sz="12" w:space="0"/>
            <w:right w:val="none" w:color="auto" w:sz="0" w:space="0"/>
            <w:insideH w:val="single" w:color="auto" w:sz="4" w:space="0"/>
            <w:insideV w:val="single" w:color="auto" w:sz="6" w:space="0"/>
          </w:tblBorders>
          <w:tblCellMar>
            <w:top w:w="0" w:type="dxa"/>
            <w:left w:w="108" w:type="dxa"/>
            <w:bottom w:w="0" w:type="dxa"/>
            <w:right w:w="108" w:type="dxa"/>
          </w:tblCellMar>
        </w:tblPrEx>
        <w:trPr>
          <w:trHeight w:val="90" w:hRule="atLeast"/>
          <w:jc w:val="center"/>
        </w:trPr>
        <w:tc>
          <w:tcPr>
            <w:tcW w:w="256" w:type="pct"/>
            <w:tcBorders>
              <w:top w:val="single" w:color="auto" w:sz="4" w:space="0"/>
              <w:bottom w:val="single" w:color="auto" w:sz="4" w:space="0"/>
              <w:right w:val="single" w:color="auto" w:sz="6" w:space="0"/>
            </w:tcBorders>
            <w:noWrap w:val="0"/>
            <w:vAlign w:val="center"/>
          </w:tcPr>
          <w:p w14:paraId="23E54A71">
            <w:pPr>
              <w:keepNext w:val="0"/>
              <w:keepLines w:val="0"/>
              <w:pageBreakBefore w:val="0"/>
              <w:widowControl w:val="0"/>
              <w:tabs>
                <w:tab w:val="left" w:pos="720"/>
              </w:tabs>
              <w:kinsoku/>
              <w:wordWrap/>
              <w:overflowPunct/>
              <w:topLinePunct w:val="0"/>
              <w:autoSpaceDE/>
              <w:autoSpaceDN/>
              <w:bidi w:val="0"/>
              <w:adjustRightInd/>
              <w:snapToGrid/>
              <w:spacing w:line="240" w:lineRule="auto"/>
              <w:ind w:left="0" w:right="0"/>
              <w:jc w:val="center"/>
              <w:textAlignment w:val="auto"/>
              <w:rPr>
                <w:rFonts w:hint="default" w:ascii="Times New Roman" w:hAnsi="Times New Roman" w:eastAsia="宋体" w:cs="Times New Roman"/>
                <w:color w:val="0000FF"/>
                <w:sz w:val="21"/>
                <w:szCs w:val="21"/>
                <w:lang w:val="en-US" w:eastAsia="zh-CN"/>
              </w:rPr>
            </w:pPr>
            <w:r>
              <w:rPr>
                <w:rFonts w:hint="eastAsia" w:ascii="Times New Roman" w:hAnsi="Times New Roman" w:eastAsia="宋体" w:cs="Times New Roman"/>
                <w:color w:val="0000FF"/>
                <w:sz w:val="21"/>
                <w:szCs w:val="21"/>
                <w:lang w:val="en-US" w:eastAsia="zh-CN"/>
              </w:rPr>
              <w:t>10</w:t>
            </w:r>
          </w:p>
        </w:tc>
        <w:tc>
          <w:tcPr>
            <w:tcW w:w="815" w:type="pct"/>
            <w:tcBorders>
              <w:top w:val="single" w:color="auto" w:sz="4" w:space="0"/>
              <w:left w:val="single" w:color="auto" w:sz="6" w:space="0"/>
              <w:bottom w:val="single" w:color="auto" w:sz="4" w:space="0"/>
              <w:right w:val="single" w:color="auto" w:sz="6" w:space="0"/>
            </w:tcBorders>
            <w:noWrap w:val="0"/>
            <w:vAlign w:val="center"/>
          </w:tcPr>
          <w:p w14:paraId="42D407E7">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rPr>
              <w:t>挥发</w:t>
            </w:r>
            <w:r>
              <w:rPr>
                <w:rFonts w:hint="default" w:ascii="Times New Roman" w:hAnsi="Times New Roman" w:eastAsia="宋体" w:cs="Times New Roman"/>
                <w:color w:val="0000FF"/>
                <w:sz w:val="21"/>
                <w:szCs w:val="21"/>
                <w:lang w:eastAsia="zh-CN"/>
              </w:rPr>
              <w:t>酚</w:t>
            </w:r>
          </w:p>
        </w:tc>
        <w:tc>
          <w:tcPr>
            <w:tcW w:w="488" w:type="pct"/>
            <w:tcBorders>
              <w:top w:val="single" w:color="auto" w:sz="4" w:space="0"/>
              <w:left w:val="single" w:color="auto" w:sz="6" w:space="0"/>
              <w:bottom w:val="single" w:color="auto" w:sz="4" w:space="0"/>
              <w:right w:val="single" w:color="auto" w:sz="6" w:space="0"/>
            </w:tcBorders>
            <w:noWrap w:val="0"/>
            <w:vAlign w:val="center"/>
          </w:tcPr>
          <w:p w14:paraId="168C92F1">
            <w:pPr>
              <w:keepNext w:val="0"/>
              <w:keepLines w:val="0"/>
              <w:pageBreakBefore w:val="0"/>
              <w:widowControl w:val="0"/>
              <w:tabs>
                <w:tab w:val="left" w:pos="720"/>
              </w:tabs>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rPr>
              <w:t>≤0.0</w:t>
            </w:r>
            <w:r>
              <w:rPr>
                <w:rFonts w:hint="default" w:ascii="Times New Roman" w:hAnsi="Times New Roman" w:eastAsia="宋体" w:cs="Times New Roman"/>
                <w:color w:val="0000FF"/>
                <w:sz w:val="21"/>
                <w:szCs w:val="21"/>
                <w:lang w:val="en-US" w:eastAsia="zh-CN"/>
              </w:rPr>
              <w:t>02</w:t>
            </w:r>
          </w:p>
        </w:tc>
        <w:tc>
          <w:tcPr>
            <w:tcW w:w="973" w:type="pct"/>
            <w:tcBorders>
              <w:top w:val="single" w:color="auto" w:sz="4" w:space="0"/>
              <w:left w:val="single" w:color="auto" w:sz="6" w:space="0"/>
              <w:bottom w:val="single" w:color="auto" w:sz="4" w:space="0"/>
              <w:right w:val="single" w:color="auto" w:sz="6" w:space="0"/>
            </w:tcBorders>
            <w:noWrap w:val="0"/>
            <w:vAlign w:val="center"/>
          </w:tcPr>
          <w:p w14:paraId="12D3AA9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ascii="Times New Roman" w:hAnsi="Times New Roman" w:eastAsia="宋体" w:cs="Times New Roman"/>
                <w:color w:val="0000FF"/>
                <w:sz w:val="21"/>
                <w:szCs w:val="21"/>
                <w:lang w:val="en-US" w:eastAsia="zh-CN"/>
              </w:rPr>
            </w:pPr>
            <w:r>
              <w:rPr>
                <w:rFonts w:hint="eastAsia"/>
                <w:color w:val="0000FF"/>
              </w:rPr>
              <w:t>＜0.0003</w:t>
            </w:r>
          </w:p>
        </w:tc>
        <w:tc>
          <w:tcPr>
            <w:tcW w:w="744" w:type="pct"/>
            <w:tcBorders>
              <w:top w:val="single" w:color="auto" w:sz="4" w:space="0"/>
              <w:left w:val="single" w:color="auto" w:sz="6" w:space="0"/>
              <w:bottom w:val="single" w:color="auto" w:sz="4" w:space="0"/>
            </w:tcBorders>
            <w:noWrap w:val="0"/>
            <w:vAlign w:val="center"/>
          </w:tcPr>
          <w:p w14:paraId="28A5A208">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eastAsia" w:ascii="Times New Roman" w:hAnsi="Times New Roman" w:eastAsia="宋体" w:cs="Times New Roman"/>
                <w:color w:val="0000FF"/>
                <w:sz w:val="21"/>
                <w:szCs w:val="21"/>
                <w:lang w:val="en-US" w:eastAsia="zh-CN"/>
              </w:rPr>
            </w:pPr>
            <w:r>
              <w:rPr>
                <w:rFonts w:hint="eastAsia"/>
                <w:color w:val="0000FF"/>
              </w:rPr>
              <w:t>＜0.15</w:t>
            </w:r>
          </w:p>
        </w:tc>
        <w:tc>
          <w:tcPr>
            <w:tcW w:w="445" w:type="pct"/>
            <w:tcBorders>
              <w:top w:val="single" w:color="auto" w:sz="4" w:space="0"/>
              <w:left w:val="single" w:color="auto" w:sz="6" w:space="0"/>
              <w:bottom w:val="single" w:color="auto" w:sz="4" w:space="0"/>
            </w:tcBorders>
            <w:noWrap w:val="0"/>
            <w:vAlign w:val="center"/>
          </w:tcPr>
          <w:p w14:paraId="133A77D3">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eastAsia" w:ascii="Times New Roman" w:hAnsi="Times New Roman" w:eastAsia="宋体" w:cs="Times New Roman"/>
                <w:b w:val="0"/>
                <w:bCs/>
                <w:color w:val="0000FF"/>
                <w:sz w:val="21"/>
                <w:szCs w:val="21"/>
                <w:lang w:val="en-US" w:eastAsia="zh-CN"/>
              </w:rPr>
            </w:pPr>
            <w:r>
              <w:rPr>
                <w:rFonts w:hint="eastAsia"/>
                <w:color w:val="0000FF"/>
              </w:rPr>
              <w:t>＜0.0003</w:t>
            </w:r>
          </w:p>
        </w:tc>
        <w:tc>
          <w:tcPr>
            <w:tcW w:w="414" w:type="pct"/>
            <w:tcBorders>
              <w:top w:val="single" w:color="auto" w:sz="4" w:space="0"/>
              <w:left w:val="single" w:color="auto" w:sz="6" w:space="0"/>
              <w:bottom w:val="single" w:color="auto" w:sz="4" w:space="0"/>
            </w:tcBorders>
            <w:noWrap w:val="0"/>
            <w:vAlign w:val="center"/>
          </w:tcPr>
          <w:p w14:paraId="74542B7C">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eastAsia" w:ascii="Times New Roman" w:hAnsi="Times New Roman" w:eastAsia="宋体" w:cs="Times New Roman"/>
                <w:b w:val="0"/>
                <w:bCs/>
                <w:color w:val="0000FF"/>
                <w:sz w:val="21"/>
                <w:szCs w:val="21"/>
                <w:lang w:val="en-US" w:eastAsia="zh-CN"/>
              </w:rPr>
            </w:pPr>
            <w:r>
              <w:rPr>
                <w:rFonts w:hint="eastAsia"/>
                <w:color w:val="0000FF"/>
              </w:rPr>
              <w:t>＜0.15</w:t>
            </w:r>
          </w:p>
        </w:tc>
        <w:tc>
          <w:tcPr>
            <w:tcW w:w="446" w:type="pct"/>
            <w:tcBorders>
              <w:top w:val="single" w:color="auto" w:sz="4" w:space="0"/>
              <w:left w:val="single" w:color="auto" w:sz="6" w:space="0"/>
              <w:bottom w:val="single" w:color="auto" w:sz="4" w:space="0"/>
            </w:tcBorders>
            <w:noWrap w:val="0"/>
            <w:vAlign w:val="center"/>
          </w:tcPr>
          <w:p w14:paraId="0503A4A3">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eastAsia" w:ascii="Times New Roman" w:hAnsi="Times New Roman" w:eastAsia="宋体" w:cs="Times New Roman"/>
                <w:b w:val="0"/>
                <w:bCs/>
                <w:color w:val="0000FF"/>
                <w:sz w:val="21"/>
                <w:szCs w:val="21"/>
                <w:lang w:val="en-US" w:eastAsia="zh-CN"/>
              </w:rPr>
            </w:pPr>
            <w:r>
              <w:rPr>
                <w:rFonts w:hint="eastAsia"/>
                <w:color w:val="0000FF"/>
              </w:rPr>
              <w:t>＜0.0003</w:t>
            </w:r>
          </w:p>
        </w:tc>
        <w:tc>
          <w:tcPr>
            <w:tcW w:w="415" w:type="pct"/>
            <w:tcBorders>
              <w:top w:val="single" w:color="auto" w:sz="4" w:space="0"/>
              <w:left w:val="single" w:color="auto" w:sz="6" w:space="0"/>
              <w:bottom w:val="single" w:color="auto" w:sz="4" w:space="0"/>
            </w:tcBorders>
            <w:noWrap w:val="0"/>
            <w:vAlign w:val="center"/>
          </w:tcPr>
          <w:p w14:paraId="6878188E">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eastAsia" w:ascii="Times New Roman" w:hAnsi="Times New Roman" w:eastAsia="宋体" w:cs="Times New Roman"/>
                <w:b w:val="0"/>
                <w:bCs/>
                <w:color w:val="0000FF"/>
                <w:sz w:val="21"/>
                <w:szCs w:val="21"/>
                <w:lang w:val="en-US" w:eastAsia="zh-CN"/>
              </w:rPr>
            </w:pPr>
            <w:r>
              <w:rPr>
                <w:rFonts w:hint="eastAsia"/>
                <w:color w:val="0000FF"/>
              </w:rPr>
              <w:t>＜0.15</w:t>
            </w:r>
          </w:p>
        </w:tc>
      </w:tr>
      <w:tr w14:paraId="1EC55992">
        <w:tblPrEx>
          <w:tblBorders>
            <w:top w:val="single" w:color="auto" w:sz="12" w:space="0"/>
            <w:left w:val="none" w:color="auto" w:sz="0" w:space="0"/>
            <w:bottom w:val="single" w:color="auto" w:sz="12" w:space="0"/>
            <w:right w:val="none" w:color="auto" w:sz="0" w:space="0"/>
            <w:insideH w:val="single" w:color="auto" w:sz="4" w:space="0"/>
            <w:insideV w:val="single" w:color="auto" w:sz="6" w:space="0"/>
          </w:tblBorders>
          <w:tblCellMar>
            <w:top w:w="0" w:type="dxa"/>
            <w:left w:w="108" w:type="dxa"/>
            <w:bottom w:w="0" w:type="dxa"/>
            <w:right w:w="108" w:type="dxa"/>
          </w:tblCellMar>
        </w:tblPrEx>
        <w:trPr>
          <w:trHeight w:val="351" w:hRule="atLeast"/>
          <w:jc w:val="center"/>
        </w:trPr>
        <w:tc>
          <w:tcPr>
            <w:tcW w:w="256" w:type="pct"/>
            <w:tcBorders>
              <w:top w:val="single" w:color="auto" w:sz="4" w:space="0"/>
              <w:bottom w:val="single" w:color="auto" w:sz="4" w:space="0"/>
              <w:right w:val="single" w:color="auto" w:sz="6" w:space="0"/>
            </w:tcBorders>
            <w:noWrap w:val="0"/>
            <w:vAlign w:val="center"/>
          </w:tcPr>
          <w:p w14:paraId="58EDD116">
            <w:pPr>
              <w:keepNext w:val="0"/>
              <w:keepLines w:val="0"/>
              <w:pageBreakBefore w:val="0"/>
              <w:widowControl w:val="0"/>
              <w:tabs>
                <w:tab w:val="left" w:pos="720"/>
              </w:tabs>
              <w:kinsoku/>
              <w:wordWrap/>
              <w:overflowPunct/>
              <w:topLinePunct w:val="0"/>
              <w:autoSpaceDE/>
              <w:autoSpaceDN/>
              <w:bidi w:val="0"/>
              <w:adjustRightInd/>
              <w:snapToGrid/>
              <w:spacing w:line="240" w:lineRule="auto"/>
              <w:ind w:left="0" w:right="0"/>
              <w:jc w:val="center"/>
              <w:textAlignment w:val="auto"/>
              <w:rPr>
                <w:rFonts w:hint="default" w:ascii="Times New Roman" w:hAnsi="Times New Roman" w:eastAsia="宋体" w:cs="Times New Roman"/>
                <w:color w:val="0000FF"/>
                <w:sz w:val="21"/>
                <w:szCs w:val="21"/>
                <w:lang w:val="en-US" w:eastAsia="zh-CN"/>
              </w:rPr>
            </w:pPr>
            <w:r>
              <w:rPr>
                <w:rFonts w:hint="eastAsia" w:ascii="Times New Roman" w:hAnsi="Times New Roman" w:eastAsia="宋体" w:cs="Times New Roman"/>
                <w:color w:val="0000FF"/>
                <w:sz w:val="21"/>
                <w:szCs w:val="21"/>
                <w:lang w:val="en-US" w:eastAsia="zh-CN"/>
              </w:rPr>
              <w:t>11</w:t>
            </w:r>
          </w:p>
        </w:tc>
        <w:tc>
          <w:tcPr>
            <w:tcW w:w="815" w:type="pct"/>
            <w:tcBorders>
              <w:top w:val="single" w:color="auto" w:sz="4" w:space="0"/>
              <w:left w:val="single" w:color="auto" w:sz="6" w:space="0"/>
              <w:bottom w:val="single" w:color="auto" w:sz="4" w:space="0"/>
              <w:right w:val="single" w:color="auto" w:sz="6" w:space="0"/>
            </w:tcBorders>
            <w:noWrap w:val="0"/>
            <w:vAlign w:val="center"/>
          </w:tcPr>
          <w:p w14:paraId="2CB1FB9B">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rPr>
              <w:t>阴离子表面活性剂</w:t>
            </w:r>
          </w:p>
        </w:tc>
        <w:tc>
          <w:tcPr>
            <w:tcW w:w="488" w:type="pct"/>
            <w:tcBorders>
              <w:top w:val="single" w:color="auto" w:sz="4" w:space="0"/>
              <w:left w:val="single" w:color="auto" w:sz="6" w:space="0"/>
              <w:bottom w:val="single" w:color="auto" w:sz="4" w:space="0"/>
              <w:right w:val="single" w:color="auto" w:sz="6" w:space="0"/>
            </w:tcBorders>
            <w:noWrap w:val="0"/>
            <w:vAlign w:val="center"/>
          </w:tcPr>
          <w:p w14:paraId="0B34ED65">
            <w:pPr>
              <w:keepNext w:val="0"/>
              <w:keepLines w:val="0"/>
              <w:pageBreakBefore w:val="0"/>
              <w:widowControl w:val="0"/>
              <w:tabs>
                <w:tab w:val="left" w:pos="720"/>
              </w:tabs>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rPr>
              <w:t>≤</w:t>
            </w:r>
            <w:r>
              <w:rPr>
                <w:rFonts w:hint="default" w:ascii="Times New Roman" w:hAnsi="Times New Roman" w:eastAsia="宋体" w:cs="Times New Roman"/>
                <w:color w:val="0000FF"/>
                <w:sz w:val="21"/>
                <w:szCs w:val="21"/>
                <w:lang w:val="en-US" w:eastAsia="zh-CN"/>
              </w:rPr>
              <w:t>0.3</w:t>
            </w:r>
          </w:p>
        </w:tc>
        <w:tc>
          <w:tcPr>
            <w:tcW w:w="973" w:type="pct"/>
            <w:tcBorders>
              <w:top w:val="single" w:color="auto" w:sz="4" w:space="0"/>
              <w:left w:val="single" w:color="auto" w:sz="6" w:space="0"/>
              <w:bottom w:val="single" w:color="auto" w:sz="4" w:space="0"/>
              <w:right w:val="single" w:color="auto" w:sz="6" w:space="0"/>
            </w:tcBorders>
            <w:noWrap w:val="0"/>
            <w:vAlign w:val="center"/>
          </w:tcPr>
          <w:p w14:paraId="7E80138B">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0000FF"/>
                <w:sz w:val="21"/>
                <w:szCs w:val="21"/>
                <w:lang w:val="en-US" w:eastAsia="zh-CN"/>
              </w:rPr>
            </w:pPr>
            <w:r>
              <w:rPr>
                <w:rFonts w:hint="default" w:ascii="Times New Roman" w:hAnsi="Times New Roman" w:eastAsia="宋体" w:cs="Times New Roman"/>
                <w:color w:val="0000FF"/>
                <w:sz w:val="21"/>
                <w:szCs w:val="21"/>
                <w:lang w:val="en-US" w:eastAsia="zh-CN"/>
              </w:rPr>
              <w:t>＜0.05</w:t>
            </w:r>
          </w:p>
        </w:tc>
        <w:tc>
          <w:tcPr>
            <w:tcW w:w="744" w:type="pct"/>
            <w:tcBorders>
              <w:top w:val="single" w:color="auto" w:sz="4" w:space="0"/>
              <w:left w:val="single" w:color="auto" w:sz="6" w:space="0"/>
              <w:bottom w:val="single" w:color="auto" w:sz="4" w:space="0"/>
            </w:tcBorders>
            <w:noWrap w:val="0"/>
            <w:vAlign w:val="center"/>
          </w:tcPr>
          <w:p w14:paraId="3EA2551C">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color w:val="0000FF"/>
                <w:sz w:val="21"/>
                <w:szCs w:val="21"/>
                <w:lang w:val="en-US" w:eastAsia="zh-CN"/>
              </w:rPr>
            </w:pPr>
            <w:r>
              <w:rPr>
                <w:rFonts w:hint="default" w:ascii="Times New Roman" w:hAnsi="Times New Roman" w:eastAsia="宋体" w:cs="Times New Roman"/>
                <w:color w:val="0000FF"/>
                <w:sz w:val="21"/>
                <w:szCs w:val="21"/>
                <w:lang w:val="en-US" w:eastAsia="zh-CN"/>
              </w:rPr>
              <w:t>＜0.17</w:t>
            </w:r>
          </w:p>
        </w:tc>
        <w:tc>
          <w:tcPr>
            <w:tcW w:w="445" w:type="pct"/>
            <w:tcBorders>
              <w:top w:val="single" w:color="auto" w:sz="4" w:space="0"/>
              <w:left w:val="single" w:color="auto" w:sz="6" w:space="0"/>
              <w:bottom w:val="single" w:color="auto" w:sz="4" w:space="0"/>
            </w:tcBorders>
            <w:noWrap w:val="0"/>
            <w:vAlign w:val="center"/>
          </w:tcPr>
          <w:p w14:paraId="4BF1C563">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b w:val="0"/>
                <w:bCs/>
                <w:color w:val="0000FF"/>
                <w:sz w:val="21"/>
                <w:szCs w:val="21"/>
                <w:lang w:val="en-US" w:eastAsia="zh-CN"/>
              </w:rPr>
            </w:pPr>
            <w:r>
              <w:rPr>
                <w:rFonts w:hint="default" w:ascii="Times New Roman" w:hAnsi="Times New Roman" w:eastAsia="宋体" w:cs="Times New Roman"/>
                <w:color w:val="0000FF"/>
                <w:sz w:val="21"/>
                <w:szCs w:val="21"/>
                <w:lang w:val="en-US" w:eastAsia="zh-CN"/>
              </w:rPr>
              <w:t>＜0.05</w:t>
            </w:r>
          </w:p>
        </w:tc>
        <w:tc>
          <w:tcPr>
            <w:tcW w:w="414" w:type="pct"/>
            <w:tcBorders>
              <w:top w:val="single" w:color="auto" w:sz="4" w:space="0"/>
              <w:left w:val="single" w:color="auto" w:sz="6" w:space="0"/>
              <w:bottom w:val="single" w:color="auto" w:sz="4" w:space="0"/>
            </w:tcBorders>
            <w:noWrap w:val="0"/>
            <w:vAlign w:val="center"/>
          </w:tcPr>
          <w:p w14:paraId="280B8AB4">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b w:val="0"/>
                <w:bCs/>
                <w:color w:val="0000FF"/>
                <w:sz w:val="21"/>
                <w:szCs w:val="21"/>
                <w:lang w:val="en-US" w:eastAsia="zh-CN"/>
              </w:rPr>
            </w:pPr>
            <w:r>
              <w:rPr>
                <w:rFonts w:hint="default" w:ascii="Times New Roman" w:hAnsi="Times New Roman" w:eastAsia="宋体" w:cs="Times New Roman"/>
                <w:color w:val="0000FF"/>
                <w:sz w:val="21"/>
                <w:szCs w:val="21"/>
                <w:lang w:val="en-US" w:eastAsia="zh-CN"/>
              </w:rPr>
              <w:t>＜0.17</w:t>
            </w:r>
          </w:p>
        </w:tc>
        <w:tc>
          <w:tcPr>
            <w:tcW w:w="446" w:type="pct"/>
            <w:tcBorders>
              <w:top w:val="single" w:color="auto" w:sz="4" w:space="0"/>
              <w:left w:val="single" w:color="auto" w:sz="6" w:space="0"/>
              <w:bottom w:val="single" w:color="auto" w:sz="4" w:space="0"/>
            </w:tcBorders>
            <w:noWrap w:val="0"/>
            <w:vAlign w:val="center"/>
          </w:tcPr>
          <w:p w14:paraId="09702BB0">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b w:val="0"/>
                <w:bCs/>
                <w:color w:val="0000FF"/>
                <w:sz w:val="21"/>
                <w:szCs w:val="21"/>
                <w:lang w:val="en-US" w:eastAsia="zh-CN"/>
              </w:rPr>
            </w:pPr>
            <w:r>
              <w:rPr>
                <w:rFonts w:hint="default" w:ascii="Times New Roman" w:hAnsi="Times New Roman" w:eastAsia="宋体" w:cs="Times New Roman"/>
                <w:color w:val="0000FF"/>
                <w:sz w:val="21"/>
                <w:szCs w:val="21"/>
                <w:lang w:val="en-US" w:eastAsia="zh-CN"/>
              </w:rPr>
              <w:t>＜0.05</w:t>
            </w:r>
          </w:p>
        </w:tc>
        <w:tc>
          <w:tcPr>
            <w:tcW w:w="415" w:type="pct"/>
            <w:tcBorders>
              <w:top w:val="single" w:color="auto" w:sz="4" w:space="0"/>
              <w:left w:val="single" w:color="auto" w:sz="6" w:space="0"/>
              <w:bottom w:val="single" w:color="auto" w:sz="4" w:space="0"/>
            </w:tcBorders>
            <w:noWrap w:val="0"/>
            <w:vAlign w:val="center"/>
          </w:tcPr>
          <w:p w14:paraId="7E9866C3">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b w:val="0"/>
                <w:bCs/>
                <w:color w:val="0000FF"/>
                <w:sz w:val="21"/>
                <w:szCs w:val="21"/>
                <w:lang w:val="en-US" w:eastAsia="zh-CN"/>
              </w:rPr>
            </w:pPr>
            <w:r>
              <w:rPr>
                <w:rFonts w:hint="default" w:ascii="Times New Roman" w:hAnsi="Times New Roman" w:eastAsia="宋体" w:cs="Times New Roman"/>
                <w:color w:val="0000FF"/>
                <w:sz w:val="21"/>
                <w:szCs w:val="21"/>
                <w:lang w:val="en-US" w:eastAsia="zh-CN"/>
              </w:rPr>
              <w:t>＜0.17</w:t>
            </w:r>
          </w:p>
        </w:tc>
      </w:tr>
      <w:tr w14:paraId="233E1126">
        <w:tblPrEx>
          <w:tblBorders>
            <w:top w:val="single" w:color="auto" w:sz="12" w:space="0"/>
            <w:left w:val="none" w:color="auto" w:sz="0" w:space="0"/>
            <w:bottom w:val="single" w:color="auto" w:sz="12" w:space="0"/>
            <w:right w:val="none" w:color="auto" w:sz="0" w:space="0"/>
            <w:insideH w:val="single" w:color="auto" w:sz="4" w:space="0"/>
            <w:insideV w:val="single" w:color="auto" w:sz="6" w:space="0"/>
          </w:tblBorders>
          <w:tblCellMar>
            <w:top w:w="0" w:type="dxa"/>
            <w:left w:w="108" w:type="dxa"/>
            <w:bottom w:w="0" w:type="dxa"/>
            <w:right w:w="108" w:type="dxa"/>
          </w:tblCellMar>
        </w:tblPrEx>
        <w:trPr>
          <w:trHeight w:val="351" w:hRule="atLeast"/>
          <w:jc w:val="center"/>
        </w:trPr>
        <w:tc>
          <w:tcPr>
            <w:tcW w:w="256" w:type="pct"/>
            <w:tcBorders>
              <w:top w:val="single" w:color="auto" w:sz="4" w:space="0"/>
              <w:bottom w:val="single" w:color="auto" w:sz="4" w:space="0"/>
              <w:right w:val="single" w:color="auto" w:sz="6" w:space="0"/>
            </w:tcBorders>
            <w:noWrap w:val="0"/>
            <w:vAlign w:val="center"/>
          </w:tcPr>
          <w:p w14:paraId="0AD691A8">
            <w:pPr>
              <w:keepNext w:val="0"/>
              <w:keepLines w:val="0"/>
              <w:pageBreakBefore w:val="0"/>
              <w:widowControl w:val="0"/>
              <w:tabs>
                <w:tab w:val="left" w:pos="720"/>
              </w:tabs>
              <w:kinsoku/>
              <w:wordWrap/>
              <w:overflowPunct/>
              <w:topLinePunct w:val="0"/>
              <w:autoSpaceDE/>
              <w:autoSpaceDN/>
              <w:bidi w:val="0"/>
              <w:adjustRightInd/>
              <w:snapToGrid/>
              <w:spacing w:line="240" w:lineRule="auto"/>
              <w:ind w:left="0" w:right="0"/>
              <w:jc w:val="center"/>
              <w:textAlignment w:val="auto"/>
              <w:rPr>
                <w:rFonts w:hint="default" w:ascii="Times New Roman" w:hAnsi="Times New Roman" w:eastAsia="宋体" w:cs="Times New Roman"/>
                <w:color w:val="0000FF"/>
                <w:sz w:val="21"/>
                <w:szCs w:val="21"/>
                <w:lang w:val="en-US" w:eastAsia="zh-CN"/>
              </w:rPr>
            </w:pPr>
            <w:r>
              <w:rPr>
                <w:rFonts w:hint="eastAsia" w:ascii="Times New Roman" w:hAnsi="Times New Roman" w:eastAsia="宋体" w:cs="Times New Roman"/>
                <w:color w:val="0000FF"/>
                <w:sz w:val="21"/>
                <w:szCs w:val="21"/>
                <w:lang w:val="en-US" w:eastAsia="zh-CN"/>
              </w:rPr>
              <w:t>12</w:t>
            </w:r>
          </w:p>
        </w:tc>
        <w:tc>
          <w:tcPr>
            <w:tcW w:w="815" w:type="pct"/>
            <w:tcBorders>
              <w:top w:val="single" w:color="auto" w:sz="4" w:space="0"/>
              <w:left w:val="single" w:color="auto" w:sz="6" w:space="0"/>
              <w:bottom w:val="single" w:color="auto" w:sz="4" w:space="0"/>
              <w:right w:val="single" w:color="auto" w:sz="6" w:space="0"/>
            </w:tcBorders>
            <w:noWrap w:val="0"/>
            <w:vAlign w:val="center"/>
          </w:tcPr>
          <w:p w14:paraId="62F98F22">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rPr>
              <w:t>耗氧量</w:t>
            </w:r>
          </w:p>
        </w:tc>
        <w:tc>
          <w:tcPr>
            <w:tcW w:w="488" w:type="pct"/>
            <w:tcBorders>
              <w:top w:val="single" w:color="auto" w:sz="4" w:space="0"/>
              <w:left w:val="single" w:color="auto" w:sz="6" w:space="0"/>
              <w:bottom w:val="single" w:color="auto" w:sz="4" w:space="0"/>
              <w:right w:val="single" w:color="auto" w:sz="6" w:space="0"/>
            </w:tcBorders>
            <w:noWrap w:val="0"/>
            <w:vAlign w:val="center"/>
          </w:tcPr>
          <w:p w14:paraId="4FE03A48">
            <w:pPr>
              <w:keepNext w:val="0"/>
              <w:keepLines w:val="0"/>
              <w:pageBreakBefore w:val="0"/>
              <w:widowControl w:val="0"/>
              <w:tabs>
                <w:tab w:val="left" w:pos="720"/>
              </w:tabs>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rPr>
              <w:t>≤3.0</w:t>
            </w:r>
          </w:p>
        </w:tc>
        <w:tc>
          <w:tcPr>
            <w:tcW w:w="973" w:type="pct"/>
            <w:tcBorders>
              <w:top w:val="single" w:color="auto" w:sz="4" w:space="0"/>
              <w:left w:val="single" w:color="auto" w:sz="6" w:space="0"/>
              <w:bottom w:val="single" w:color="auto" w:sz="4" w:space="0"/>
              <w:right w:val="single" w:color="auto" w:sz="6" w:space="0"/>
            </w:tcBorders>
            <w:noWrap w:val="0"/>
            <w:vAlign w:val="center"/>
          </w:tcPr>
          <w:p w14:paraId="085543FF">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0000FF"/>
                <w:sz w:val="21"/>
                <w:szCs w:val="21"/>
                <w:lang w:val="en-US" w:eastAsia="zh-CN"/>
              </w:rPr>
            </w:pPr>
            <w:r>
              <w:rPr>
                <w:rFonts w:hint="default" w:ascii="Times New Roman" w:hAnsi="Times New Roman" w:eastAsia="宋体" w:cs="Times New Roman"/>
                <w:color w:val="0000FF"/>
                <w:sz w:val="21"/>
                <w:szCs w:val="21"/>
                <w:lang w:val="en-US" w:eastAsia="zh-CN"/>
              </w:rPr>
              <w:t>0.76</w:t>
            </w:r>
          </w:p>
        </w:tc>
        <w:tc>
          <w:tcPr>
            <w:tcW w:w="744" w:type="pct"/>
            <w:tcBorders>
              <w:top w:val="single" w:color="auto" w:sz="4" w:space="0"/>
              <w:left w:val="single" w:color="auto" w:sz="6" w:space="0"/>
              <w:bottom w:val="single" w:color="auto" w:sz="4" w:space="0"/>
            </w:tcBorders>
            <w:noWrap w:val="0"/>
            <w:vAlign w:val="center"/>
          </w:tcPr>
          <w:p w14:paraId="7ED7A3E7">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color w:val="0000FF"/>
                <w:sz w:val="21"/>
                <w:szCs w:val="21"/>
                <w:lang w:val="en-US" w:eastAsia="zh-CN"/>
              </w:rPr>
            </w:pPr>
            <w:r>
              <w:rPr>
                <w:rFonts w:hint="default" w:ascii="Times New Roman" w:hAnsi="Times New Roman" w:eastAsia="宋体" w:cs="Times New Roman"/>
                <w:color w:val="0000FF"/>
                <w:sz w:val="21"/>
                <w:szCs w:val="21"/>
                <w:lang w:val="en-US" w:eastAsia="zh-CN"/>
              </w:rPr>
              <w:t>0.25</w:t>
            </w:r>
          </w:p>
        </w:tc>
        <w:tc>
          <w:tcPr>
            <w:tcW w:w="445" w:type="pct"/>
            <w:tcBorders>
              <w:top w:val="single" w:color="auto" w:sz="4" w:space="0"/>
              <w:left w:val="single" w:color="auto" w:sz="6" w:space="0"/>
              <w:bottom w:val="single" w:color="auto" w:sz="4" w:space="0"/>
            </w:tcBorders>
            <w:noWrap w:val="0"/>
            <w:vAlign w:val="center"/>
          </w:tcPr>
          <w:p w14:paraId="4732E77A">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b w:val="0"/>
                <w:bCs/>
                <w:color w:val="0000FF"/>
                <w:sz w:val="21"/>
                <w:szCs w:val="21"/>
                <w:lang w:val="en-US" w:eastAsia="zh-CN"/>
              </w:rPr>
            </w:pPr>
            <w:r>
              <w:rPr>
                <w:rFonts w:hint="default" w:ascii="Times New Roman" w:hAnsi="Times New Roman" w:eastAsia="宋体" w:cs="Times New Roman"/>
                <w:color w:val="0000FF"/>
                <w:sz w:val="21"/>
                <w:szCs w:val="21"/>
                <w:lang w:val="en-US" w:eastAsia="zh-CN"/>
              </w:rPr>
              <w:t>0.63</w:t>
            </w:r>
          </w:p>
        </w:tc>
        <w:tc>
          <w:tcPr>
            <w:tcW w:w="414" w:type="pct"/>
            <w:tcBorders>
              <w:top w:val="single" w:color="auto" w:sz="4" w:space="0"/>
              <w:left w:val="single" w:color="auto" w:sz="6" w:space="0"/>
              <w:bottom w:val="single" w:color="auto" w:sz="4" w:space="0"/>
            </w:tcBorders>
            <w:noWrap w:val="0"/>
            <w:vAlign w:val="center"/>
          </w:tcPr>
          <w:p w14:paraId="710011B3">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b w:val="0"/>
                <w:bCs/>
                <w:color w:val="0000FF"/>
                <w:sz w:val="21"/>
                <w:szCs w:val="21"/>
                <w:lang w:val="en-US" w:eastAsia="zh-CN"/>
              </w:rPr>
            </w:pPr>
            <w:r>
              <w:rPr>
                <w:rFonts w:hint="default" w:ascii="Times New Roman" w:hAnsi="Times New Roman" w:eastAsia="宋体" w:cs="Times New Roman"/>
                <w:color w:val="0000FF"/>
                <w:sz w:val="21"/>
                <w:szCs w:val="21"/>
                <w:lang w:val="en-US" w:eastAsia="zh-CN"/>
              </w:rPr>
              <w:t>0.21</w:t>
            </w:r>
          </w:p>
        </w:tc>
        <w:tc>
          <w:tcPr>
            <w:tcW w:w="446" w:type="pct"/>
            <w:tcBorders>
              <w:top w:val="single" w:color="auto" w:sz="4" w:space="0"/>
              <w:left w:val="single" w:color="auto" w:sz="6" w:space="0"/>
              <w:bottom w:val="single" w:color="auto" w:sz="4" w:space="0"/>
            </w:tcBorders>
            <w:noWrap w:val="0"/>
            <w:vAlign w:val="center"/>
          </w:tcPr>
          <w:p w14:paraId="4790E213">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b w:val="0"/>
                <w:bCs/>
                <w:color w:val="0000FF"/>
                <w:sz w:val="21"/>
                <w:szCs w:val="21"/>
                <w:lang w:val="en-US" w:eastAsia="zh-CN"/>
              </w:rPr>
            </w:pPr>
            <w:r>
              <w:rPr>
                <w:rFonts w:hint="default" w:ascii="Times New Roman" w:hAnsi="Times New Roman" w:eastAsia="宋体" w:cs="Times New Roman"/>
                <w:color w:val="0000FF"/>
                <w:sz w:val="21"/>
                <w:szCs w:val="21"/>
                <w:lang w:val="en-US" w:eastAsia="zh-CN"/>
              </w:rPr>
              <w:t>0.47</w:t>
            </w:r>
          </w:p>
        </w:tc>
        <w:tc>
          <w:tcPr>
            <w:tcW w:w="415" w:type="pct"/>
            <w:tcBorders>
              <w:top w:val="single" w:color="auto" w:sz="4" w:space="0"/>
              <w:left w:val="single" w:color="auto" w:sz="6" w:space="0"/>
              <w:bottom w:val="single" w:color="auto" w:sz="4" w:space="0"/>
            </w:tcBorders>
            <w:noWrap w:val="0"/>
            <w:vAlign w:val="center"/>
          </w:tcPr>
          <w:p w14:paraId="7FF3A3C4">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b w:val="0"/>
                <w:bCs/>
                <w:color w:val="0000FF"/>
                <w:sz w:val="21"/>
                <w:szCs w:val="21"/>
                <w:lang w:val="en-US" w:eastAsia="zh-CN"/>
              </w:rPr>
            </w:pPr>
            <w:r>
              <w:rPr>
                <w:rFonts w:hint="default" w:ascii="Times New Roman" w:hAnsi="Times New Roman" w:eastAsia="宋体" w:cs="Times New Roman"/>
                <w:color w:val="0000FF"/>
                <w:sz w:val="21"/>
                <w:szCs w:val="21"/>
                <w:lang w:val="en-US" w:eastAsia="zh-CN"/>
              </w:rPr>
              <w:t>0.16</w:t>
            </w:r>
          </w:p>
        </w:tc>
      </w:tr>
      <w:tr w14:paraId="77190B2C">
        <w:tblPrEx>
          <w:tblBorders>
            <w:top w:val="single" w:color="auto" w:sz="12" w:space="0"/>
            <w:left w:val="none" w:color="auto" w:sz="0" w:space="0"/>
            <w:bottom w:val="single" w:color="auto" w:sz="12" w:space="0"/>
            <w:right w:val="none" w:color="auto" w:sz="0" w:space="0"/>
            <w:insideH w:val="single" w:color="auto" w:sz="4" w:space="0"/>
            <w:insideV w:val="single" w:color="auto" w:sz="6" w:space="0"/>
          </w:tblBorders>
          <w:tblCellMar>
            <w:top w:w="0" w:type="dxa"/>
            <w:left w:w="108" w:type="dxa"/>
            <w:bottom w:w="0" w:type="dxa"/>
            <w:right w:w="108" w:type="dxa"/>
          </w:tblCellMar>
        </w:tblPrEx>
        <w:trPr>
          <w:trHeight w:val="351" w:hRule="atLeast"/>
          <w:jc w:val="center"/>
        </w:trPr>
        <w:tc>
          <w:tcPr>
            <w:tcW w:w="256" w:type="pct"/>
            <w:tcBorders>
              <w:top w:val="single" w:color="auto" w:sz="4" w:space="0"/>
              <w:bottom w:val="single" w:color="auto" w:sz="4" w:space="0"/>
              <w:right w:val="single" w:color="auto" w:sz="6" w:space="0"/>
            </w:tcBorders>
            <w:noWrap w:val="0"/>
            <w:vAlign w:val="center"/>
          </w:tcPr>
          <w:p w14:paraId="63FB2E7F">
            <w:pPr>
              <w:keepNext w:val="0"/>
              <w:keepLines w:val="0"/>
              <w:pageBreakBefore w:val="0"/>
              <w:widowControl w:val="0"/>
              <w:tabs>
                <w:tab w:val="left" w:pos="720"/>
              </w:tabs>
              <w:kinsoku/>
              <w:wordWrap/>
              <w:overflowPunct/>
              <w:topLinePunct w:val="0"/>
              <w:autoSpaceDE/>
              <w:autoSpaceDN/>
              <w:bidi w:val="0"/>
              <w:adjustRightInd/>
              <w:snapToGrid/>
              <w:spacing w:line="240" w:lineRule="auto"/>
              <w:ind w:left="0" w:right="0"/>
              <w:jc w:val="center"/>
              <w:textAlignment w:val="auto"/>
              <w:rPr>
                <w:rFonts w:hint="default" w:ascii="Times New Roman" w:hAnsi="Times New Roman" w:eastAsia="宋体" w:cs="Times New Roman"/>
                <w:color w:val="0000FF"/>
                <w:sz w:val="21"/>
                <w:szCs w:val="21"/>
                <w:lang w:val="en-US" w:eastAsia="zh-CN"/>
              </w:rPr>
            </w:pPr>
            <w:r>
              <w:rPr>
                <w:rFonts w:hint="eastAsia" w:ascii="Times New Roman" w:hAnsi="Times New Roman" w:eastAsia="宋体" w:cs="Times New Roman"/>
                <w:color w:val="0000FF"/>
                <w:sz w:val="21"/>
                <w:szCs w:val="21"/>
                <w:lang w:val="en-US" w:eastAsia="zh-CN"/>
              </w:rPr>
              <w:t>13</w:t>
            </w:r>
          </w:p>
        </w:tc>
        <w:tc>
          <w:tcPr>
            <w:tcW w:w="815" w:type="pct"/>
            <w:tcBorders>
              <w:top w:val="single" w:color="auto" w:sz="4" w:space="0"/>
              <w:left w:val="single" w:color="auto" w:sz="6" w:space="0"/>
              <w:bottom w:val="single" w:color="auto" w:sz="4" w:space="0"/>
              <w:right w:val="single" w:color="auto" w:sz="6" w:space="0"/>
            </w:tcBorders>
            <w:noWrap w:val="0"/>
            <w:vAlign w:val="center"/>
          </w:tcPr>
          <w:p w14:paraId="5D715EB4">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rPr>
              <w:t>氨氮</w:t>
            </w:r>
          </w:p>
        </w:tc>
        <w:tc>
          <w:tcPr>
            <w:tcW w:w="488" w:type="pct"/>
            <w:tcBorders>
              <w:top w:val="single" w:color="auto" w:sz="4" w:space="0"/>
              <w:left w:val="single" w:color="auto" w:sz="6" w:space="0"/>
              <w:bottom w:val="single" w:color="auto" w:sz="4" w:space="0"/>
              <w:right w:val="single" w:color="auto" w:sz="6" w:space="0"/>
            </w:tcBorders>
            <w:noWrap w:val="0"/>
            <w:vAlign w:val="center"/>
          </w:tcPr>
          <w:p w14:paraId="501FA88B">
            <w:pPr>
              <w:keepNext w:val="0"/>
              <w:keepLines w:val="0"/>
              <w:pageBreakBefore w:val="0"/>
              <w:widowControl w:val="0"/>
              <w:tabs>
                <w:tab w:val="left" w:pos="720"/>
              </w:tabs>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rPr>
              <w:t>≤.</w:t>
            </w:r>
            <w:r>
              <w:rPr>
                <w:rFonts w:hint="default" w:ascii="Times New Roman" w:hAnsi="Times New Roman" w:eastAsia="宋体" w:cs="Times New Roman"/>
                <w:color w:val="0000FF"/>
                <w:sz w:val="21"/>
                <w:szCs w:val="21"/>
                <w:lang w:val="en-US" w:eastAsia="zh-CN"/>
              </w:rPr>
              <w:t>0.5</w:t>
            </w:r>
          </w:p>
        </w:tc>
        <w:tc>
          <w:tcPr>
            <w:tcW w:w="973" w:type="pct"/>
            <w:tcBorders>
              <w:top w:val="single" w:color="auto" w:sz="4" w:space="0"/>
              <w:left w:val="single" w:color="auto" w:sz="6" w:space="0"/>
              <w:bottom w:val="single" w:color="auto" w:sz="4" w:space="0"/>
              <w:right w:val="single" w:color="auto" w:sz="6" w:space="0"/>
            </w:tcBorders>
            <w:noWrap w:val="0"/>
            <w:vAlign w:val="center"/>
          </w:tcPr>
          <w:p w14:paraId="5093A0F3">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ascii="Times New Roman" w:hAnsi="Times New Roman" w:eastAsia="宋体" w:cs="Times New Roman"/>
                <w:color w:val="0000FF"/>
                <w:sz w:val="21"/>
                <w:szCs w:val="21"/>
                <w:lang w:val="en-US" w:eastAsia="zh-CN"/>
              </w:rPr>
            </w:pPr>
            <w:r>
              <w:rPr>
                <w:rFonts w:hint="eastAsia"/>
                <w:color w:val="0000FF"/>
              </w:rPr>
              <w:t>0.06</w:t>
            </w:r>
          </w:p>
        </w:tc>
        <w:tc>
          <w:tcPr>
            <w:tcW w:w="744" w:type="pct"/>
            <w:tcBorders>
              <w:top w:val="single" w:color="auto" w:sz="4" w:space="0"/>
              <w:left w:val="single" w:color="auto" w:sz="6" w:space="0"/>
              <w:bottom w:val="single" w:color="auto" w:sz="4" w:space="0"/>
            </w:tcBorders>
            <w:noWrap w:val="0"/>
            <w:vAlign w:val="center"/>
          </w:tcPr>
          <w:p w14:paraId="7CDA3CE5">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ascii="Times New Roman" w:hAnsi="Times New Roman" w:eastAsia="宋体" w:cs="Times New Roman"/>
                <w:color w:val="0000FF"/>
                <w:sz w:val="21"/>
                <w:szCs w:val="21"/>
                <w:lang w:val="en-US" w:eastAsia="zh-CN"/>
              </w:rPr>
            </w:pPr>
            <w:r>
              <w:rPr>
                <w:rFonts w:hint="eastAsia"/>
                <w:color w:val="0000FF"/>
              </w:rPr>
              <w:t>0.12</w:t>
            </w:r>
          </w:p>
        </w:tc>
        <w:tc>
          <w:tcPr>
            <w:tcW w:w="445" w:type="pct"/>
            <w:tcBorders>
              <w:top w:val="single" w:color="auto" w:sz="4" w:space="0"/>
              <w:left w:val="single" w:color="auto" w:sz="6" w:space="0"/>
              <w:bottom w:val="single" w:color="auto" w:sz="4" w:space="0"/>
            </w:tcBorders>
            <w:noWrap w:val="0"/>
            <w:vAlign w:val="center"/>
          </w:tcPr>
          <w:p w14:paraId="68853F77">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b w:val="0"/>
                <w:bCs/>
                <w:color w:val="0000FF"/>
                <w:sz w:val="21"/>
                <w:szCs w:val="21"/>
                <w:lang w:val="en-US" w:eastAsia="zh-CN"/>
              </w:rPr>
            </w:pPr>
            <w:r>
              <w:rPr>
                <w:rFonts w:hint="eastAsia"/>
                <w:color w:val="0000FF"/>
              </w:rPr>
              <w:t>0.05</w:t>
            </w:r>
          </w:p>
        </w:tc>
        <w:tc>
          <w:tcPr>
            <w:tcW w:w="414" w:type="pct"/>
            <w:tcBorders>
              <w:top w:val="single" w:color="auto" w:sz="4" w:space="0"/>
              <w:left w:val="single" w:color="auto" w:sz="6" w:space="0"/>
              <w:bottom w:val="single" w:color="auto" w:sz="4" w:space="0"/>
            </w:tcBorders>
            <w:noWrap w:val="0"/>
            <w:vAlign w:val="center"/>
          </w:tcPr>
          <w:p w14:paraId="30795616">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eastAsia" w:ascii="Times New Roman" w:hAnsi="Times New Roman" w:eastAsia="宋体" w:cs="Times New Roman"/>
                <w:b w:val="0"/>
                <w:bCs/>
                <w:color w:val="0000FF"/>
                <w:sz w:val="21"/>
                <w:szCs w:val="21"/>
                <w:lang w:val="en-US" w:eastAsia="zh-CN"/>
              </w:rPr>
            </w:pPr>
            <w:r>
              <w:rPr>
                <w:rFonts w:hint="eastAsia"/>
                <w:color w:val="0000FF"/>
              </w:rPr>
              <w:t>0.10</w:t>
            </w:r>
          </w:p>
        </w:tc>
        <w:tc>
          <w:tcPr>
            <w:tcW w:w="446" w:type="pct"/>
            <w:tcBorders>
              <w:top w:val="single" w:color="auto" w:sz="4" w:space="0"/>
              <w:left w:val="single" w:color="auto" w:sz="6" w:space="0"/>
              <w:bottom w:val="single" w:color="auto" w:sz="4" w:space="0"/>
            </w:tcBorders>
            <w:noWrap w:val="0"/>
            <w:vAlign w:val="center"/>
          </w:tcPr>
          <w:p w14:paraId="6E67E567">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b w:val="0"/>
                <w:bCs/>
                <w:color w:val="0000FF"/>
                <w:sz w:val="21"/>
                <w:szCs w:val="21"/>
                <w:lang w:val="en-US" w:eastAsia="zh-CN"/>
              </w:rPr>
            </w:pPr>
            <w:r>
              <w:rPr>
                <w:rFonts w:hint="eastAsia"/>
                <w:color w:val="0000FF"/>
              </w:rPr>
              <w:t>0.04</w:t>
            </w:r>
          </w:p>
        </w:tc>
        <w:tc>
          <w:tcPr>
            <w:tcW w:w="415" w:type="pct"/>
            <w:tcBorders>
              <w:top w:val="single" w:color="auto" w:sz="4" w:space="0"/>
              <w:left w:val="single" w:color="auto" w:sz="6" w:space="0"/>
              <w:bottom w:val="single" w:color="auto" w:sz="4" w:space="0"/>
            </w:tcBorders>
            <w:noWrap w:val="0"/>
            <w:vAlign w:val="center"/>
          </w:tcPr>
          <w:p w14:paraId="3B5FDC68">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b w:val="0"/>
                <w:bCs/>
                <w:color w:val="0000FF"/>
                <w:sz w:val="21"/>
                <w:szCs w:val="21"/>
                <w:lang w:val="en-US" w:eastAsia="zh-CN"/>
              </w:rPr>
            </w:pPr>
            <w:r>
              <w:rPr>
                <w:rFonts w:hint="eastAsia"/>
                <w:color w:val="0000FF"/>
              </w:rPr>
              <w:t>0.08</w:t>
            </w:r>
          </w:p>
        </w:tc>
      </w:tr>
      <w:tr w14:paraId="5F7DFC0F">
        <w:tblPrEx>
          <w:tblBorders>
            <w:top w:val="single" w:color="auto" w:sz="12" w:space="0"/>
            <w:left w:val="none" w:color="auto" w:sz="0" w:space="0"/>
            <w:bottom w:val="single" w:color="auto" w:sz="12" w:space="0"/>
            <w:right w:val="none" w:color="auto" w:sz="0" w:space="0"/>
            <w:insideH w:val="single" w:color="auto" w:sz="4" w:space="0"/>
            <w:insideV w:val="single" w:color="auto" w:sz="6" w:space="0"/>
          </w:tblBorders>
          <w:tblCellMar>
            <w:top w:w="0" w:type="dxa"/>
            <w:left w:w="108" w:type="dxa"/>
            <w:bottom w:w="0" w:type="dxa"/>
            <w:right w:w="108" w:type="dxa"/>
          </w:tblCellMar>
        </w:tblPrEx>
        <w:trPr>
          <w:trHeight w:val="351" w:hRule="atLeast"/>
          <w:jc w:val="center"/>
        </w:trPr>
        <w:tc>
          <w:tcPr>
            <w:tcW w:w="256" w:type="pct"/>
            <w:tcBorders>
              <w:top w:val="single" w:color="auto" w:sz="4" w:space="0"/>
              <w:bottom w:val="single" w:color="auto" w:sz="4" w:space="0"/>
              <w:right w:val="single" w:color="auto" w:sz="6" w:space="0"/>
            </w:tcBorders>
            <w:noWrap w:val="0"/>
            <w:vAlign w:val="center"/>
          </w:tcPr>
          <w:p w14:paraId="55388701">
            <w:pPr>
              <w:keepNext w:val="0"/>
              <w:keepLines w:val="0"/>
              <w:pageBreakBefore w:val="0"/>
              <w:widowControl w:val="0"/>
              <w:tabs>
                <w:tab w:val="left" w:pos="720"/>
              </w:tabs>
              <w:kinsoku/>
              <w:wordWrap/>
              <w:overflowPunct/>
              <w:topLinePunct w:val="0"/>
              <w:autoSpaceDE/>
              <w:autoSpaceDN/>
              <w:bidi w:val="0"/>
              <w:adjustRightInd/>
              <w:snapToGrid/>
              <w:spacing w:line="240" w:lineRule="auto"/>
              <w:ind w:left="0" w:right="0"/>
              <w:jc w:val="center"/>
              <w:textAlignment w:val="auto"/>
              <w:rPr>
                <w:rFonts w:hint="default" w:ascii="Times New Roman" w:hAnsi="Times New Roman" w:eastAsia="宋体" w:cs="Times New Roman"/>
                <w:color w:val="0000FF"/>
                <w:sz w:val="21"/>
                <w:szCs w:val="21"/>
                <w:lang w:val="en-US" w:eastAsia="zh-CN"/>
              </w:rPr>
            </w:pPr>
            <w:r>
              <w:rPr>
                <w:rFonts w:hint="eastAsia" w:ascii="Times New Roman" w:hAnsi="Times New Roman" w:eastAsia="宋体" w:cs="Times New Roman"/>
                <w:color w:val="0000FF"/>
                <w:sz w:val="21"/>
                <w:szCs w:val="21"/>
                <w:lang w:val="en-US" w:eastAsia="zh-CN"/>
              </w:rPr>
              <w:t>14</w:t>
            </w:r>
          </w:p>
        </w:tc>
        <w:tc>
          <w:tcPr>
            <w:tcW w:w="815" w:type="pct"/>
            <w:tcBorders>
              <w:top w:val="single" w:color="auto" w:sz="4" w:space="0"/>
              <w:left w:val="single" w:color="auto" w:sz="6" w:space="0"/>
              <w:bottom w:val="single" w:color="auto" w:sz="4" w:space="0"/>
              <w:right w:val="single" w:color="auto" w:sz="6" w:space="0"/>
            </w:tcBorders>
            <w:noWrap w:val="0"/>
            <w:vAlign w:val="center"/>
          </w:tcPr>
          <w:p w14:paraId="54898922">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rPr>
              <w:t>总大肠菌群</w:t>
            </w:r>
          </w:p>
        </w:tc>
        <w:tc>
          <w:tcPr>
            <w:tcW w:w="488" w:type="pct"/>
            <w:tcBorders>
              <w:top w:val="single" w:color="auto" w:sz="4" w:space="0"/>
              <w:left w:val="single" w:color="auto" w:sz="6" w:space="0"/>
              <w:bottom w:val="single" w:color="auto" w:sz="4" w:space="0"/>
              <w:right w:val="single" w:color="auto" w:sz="6" w:space="0"/>
            </w:tcBorders>
            <w:noWrap w:val="0"/>
            <w:vAlign w:val="center"/>
          </w:tcPr>
          <w:p w14:paraId="70E3DE68">
            <w:pPr>
              <w:keepNext w:val="0"/>
              <w:keepLines w:val="0"/>
              <w:pageBreakBefore w:val="0"/>
              <w:widowControl w:val="0"/>
              <w:tabs>
                <w:tab w:val="left" w:pos="720"/>
              </w:tabs>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rPr>
              <w:t>≤0.3</w:t>
            </w:r>
          </w:p>
        </w:tc>
        <w:tc>
          <w:tcPr>
            <w:tcW w:w="973" w:type="pct"/>
            <w:tcBorders>
              <w:top w:val="single" w:color="auto" w:sz="4" w:space="0"/>
              <w:left w:val="single" w:color="auto" w:sz="6" w:space="0"/>
              <w:bottom w:val="single" w:color="auto" w:sz="4" w:space="0"/>
              <w:right w:val="single" w:color="auto" w:sz="6" w:space="0"/>
            </w:tcBorders>
            <w:noWrap w:val="0"/>
            <w:vAlign w:val="center"/>
          </w:tcPr>
          <w:p w14:paraId="2DE727B9">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rPr>
                <w:rFonts w:hint="default" w:ascii="Times New Roman" w:hAnsi="Times New Roman" w:eastAsia="宋体" w:cs="Times New Roman"/>
                <w:color w:val="0000FF"/>
                <w:sz w:val="21"/>
                <w:szCs w:val="21"/>
                <w:lang w:val="en-US" w:eastAsia="zh-CN"/>
              </w:rPr>
            </w:pPr>
            <w:r>
              <w:rPr>
                <w:rFonts w:hint="default" w:ascii="Times New Roman" w:hAnsi="Times New Roman" w:eastAsia="宋体" w:cs="Times New Roman"/>
                <w:color w:val="0000FF"/>
                <w:sz w:val="21"/>
                <w:szCs w:val="21"/>
                <w:lang w:val="en-US" w:eastAsia="zh-CN"/>
              </w:rPr>
              <w:t>＜2</w:t>
            </w:r>
          </w:p>
        </w:tc>
        <w:tc>
          <w:tcPr>
            <w:tcW w:w="744" w:type="pct"/>
            <w:tcBorders>
              <w:top w:val="single" w:color="auto" w:sz="4" w:space="0"/>
              <w:left w:val="single" w:color="auto" w:sz="6" w:space="0"/>
              <w:bottom w:val="single" w:color="auto" w:sz="4" w:space="0"/>
            </w:tcBorders>
            <w:noWrap w:val="0"/>
            <w:vAlign w:val="center"/>
          </w:tcPr>
          <w:p w14:paraId="5A1A5D6A">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0000FF"/>
                <w:sz w:val="21"/>
                <w:szCs w:val="21"/>
                <w:lang w:val="en-US" w:eastAsia="zh-CN"/>
              </w:rPr>
            </w:pPr>
            <w:r>
              <w:rPr>
                <w:rFonts w:hint="default" w:ascii="Times New Roman" w:hAnsi="Times New Roman" w:eastAsia="宋体" w:cs="Times New Roman"/>
                <w:color w:val="0000FF"/>
                <w:sz w:val="21"/>
                <w:szCs w:val="21"/>
                <w:lang w:val="en-US" w:eastAsia="zh-CN"/>
              </w:rPr>
              <w:t>＜0.67</w:t>
            </w:r>
          </w:p>
        </w:tc>
        <w:tc>
          <w:tcPr>
            <w:tcW w:w="445" w:type="pct"/>
            <w:tcBorders>
              <w:top w:val="single" w:color="auto" w:sz="4" w:space="0"/>
              <w:left w:val="single" w:color="auto" w:sz="6" w:space="0"/>
              <w:bottom w:val="single" w:color="auto" w:sz="4" w:space="0"/>
            </w:tcBorders>
            <w:noWrap w:val="0"/>
            <w:vAlign w:val="center"/>
          </w:tcPr>
          <w:p w14:paraId="371981E2">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rPr>
                <w:rFonts w:hint="default" w:ascii="Times New Roman" w:hAnsi="Times New Roman" w:eastAsia="宋体" w:cs="Times New Roman"/>
                <w:b w:val="0"/>
                <w:bCs/>
                <w:color w:val="0000FF"/>
                <w:sz w:val="21"/>
                <w:szCs w:val="21"/>
                <w:lang w:val="en-US" w:eastAsia="zh-CN"/>
              </w:rPr>
            </w:pPr>
            <w:r>
              <w:rPr>
                <w:rFonts w:hint="default" w:ascii="Times New Roman" w:hAnsi="Times New Roman" w:eastAsia="宋体" w:cs="Times New Roman"/>
                <w:color w:val="0000FF"/>
                <w:sz w:val="21"/>
                <w:szCs w:val="21"/>
                <w:lang w:val="en-US" w:eastAsia="zh-CN"/>
              </w:rPr>
              <w:t>＜2</w:t>
            </w:r>
          </w:p>
        </w:tc>
        <w:tc>
          <w:tcPr>
            <w:tcW w:w="414" w:type="pct"/>
            <w:tcBorders>
              <w:top w:val="single" w:color="auto" w:sz="4" w:space="0"/>
              <w:left w:val="single" w:color="auto" w:sz="6" w:space="0"/>
              <w:bottom w:val="single" w:color="auto" w:sz="4" w:space="0"/>
            </w:tcBorders>
            <w:noWrap w:val="0"/>
            <w:vAlign w:val="center"/>
          </w:tcPr>
          <w:p w14:paraId="19856121">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b w:val="0"/>
                <w:bCs/>
                <w:color w:val="0000FF"/>
                <w:sz w:val="21"/>
                <w:szCs w:val="21"/>
                <w:lang w:val="en-US" w:eastAsia="zh-CN"/>
              </w:rPr>
            </w:pPr>
            <w:r>
              <w:rPr>
                <w:rFonts w:hint="default" w:ascii="Times New Roman" w:hAnsi="Times New Roman" w:eastAsia="宋体" w:cs="Times New Roman"/>
                <w:color w:val="0000FF"/>
                <w:sz w:val="21"/>
                <w:szCs w:val="21"/>
                <w:lang w:val="en-US" w:eastAsia="zh-CN"/>
              </w:rPr>
              <w:t>＜0.67</w:t>
            </w:r>
          </w:p>
        </w:tc>
        <w:tc>
          <w:tcPr>
            <w:tcW w:w="446" w:type="pct"/>
            <w:tcBorders>
              <w:top w:val="single" w:color="auto" w:sz="4" w:space="0"/>
              <w:left w:val="single" w:color="auto" w:sz="6" w:space="0"/>
              <w:bottom w:val="single" w:color="auto" w:sz="4" w:space="0"/>
            </w:tcBorders>
            <w:noWrap w:val="0"/>
            <w:vAlign w:val="center"/>
          </w:tcPr>
          <w:p w14:paraId="56FB74B8">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rPr>
                <w:rFonts w:hint="default" w:ascii="Times New Roman" w:hAnsi="Times New Roman" w:eastAsia="宋体" w:cs="Times New Roman"/>
                <w:b w:val="0"/>
                <w:bCs/>
                <w:color w:val="0000FF"/>
                <w:sz w:val="21"/>
                <w:szCs w:val="21"/>
                <w:lang w:val="en-US" w:eastAsia="zh-CN"/>
              </w:rPr>
            </w:pPr>
            <w:r>
              <w:rPr>
                <w:rFonts w:hint="default" w:ascii="Times New Roman" w:hAnsi="Times New Roman" w:eastAsia="宋体" w:cs="Times New Roman"/>
                <w:color w:val="0000FF"/>
                <w:sz w:val="21"/>
                <w:szCs w:val="21"/>
                <w:lang w:val="en-US" w:eastAsia="zh-CN"/>
              </w:rPr>
              <w:t>＜2</w:t>
            </w:r>
          </w:p>
        </w:tc>
        <w:tc>
          <w:tcPr>
            <w:tcW w:w="415" w:type="pct"/>
            <w:tcBorders>
              <w:top w:val="single" w:color="auto" w:sz="4" w:space="0"/>
              <w:left w:val="single" w:color="auto" w:sz="6" w:space="0"/>
              <w:bottom w:val="single" w:color="auto" w:sz="4" w:space="0"/>
            </w:tcBorders>
            <w:noWrap w:val="0"/>
            <w:vAlign w:val="center"/>
          </w:tcPr>
          <w:p w14:paraId="6A78BA52">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b w:val="0"/>
                <w:bCs/>
                <w:color w:val="0000FF"/>
                <w:sz w:val="21"/>
                <w:szCs w:val="21"/>
                <w:lang w:val="en-US" w:eastAsia="zh-CN"/>
              </w:rPr>
            </w:pPr>
            <w:r>
              <w:rPr>
                <w:rFonts w:hint="default" w:ascii="Times New Roman" w:hAnsi="Times New Roman" w:eastAsia="宋体" w:cs="Times New Roman"/>
                <w:color w:val="0000FF"/>
                <w:sz w:val="21"/>
                <w:szCs w:val="21"/>
                <w:lang w:val="en-US" w:eastAsia="zh-CN"/>
              </w:rPr>
              <w:t>＜0.67</w:t>
            </w:r>
          </w:p>
        </w:tc>
      </w:tr>
      <w:tr w14:paraId="5D5167B0">
        <w:tblPrEx>
          <w:tblBorders>
            <w:top w:val="single" w:color="auto" w:sz="12" w:space="0"/>
            <w:left w:val="none" w:color="auto" w:sz="0" w:space="0"/>
            <w:bottom w:val="single" w:color="auto" w:sz="12" w:space="0"/>
            <w:right w:val="none" w:color="auto" w:sz="0" w:space="0"/>
            <w:insideH w:val="single" w:color="auto" w:sz="4" w:space="0"/>
            <w:insideV w:val="single" w:color="auto" w:sz="6" w:space="0"/>
          </w:tblBorders>
          <w:tblCellMar>
            <w:top w:w="0" w:type="dxa"/>
            <w:left w:w="108" w:type="dxa"/>
            <w:bottom w:w="0" w:type="dxa"/>
            <w:right w:w="108" w:type="dxa"/>
          </w:tblCellMar>
        </w:tblPrEx>
        <w:trPr>
          <w:trHeight w:val="351" w:hRule="atLeast"/>
          <w:jc w:val="center"/>
        </w:trPr>
        <w:tc>
          <w:tcPr>
            <w:tcW w:w="256" w:type="pct"/>
            <w:tcBorders>
              <w:top w:val="single" w:color="auto" w:sz="4" w:space="0"/>
              <w:bottom w:val="single" w:color="auto" w:sz="4" w:space="0"/>
              <w:right w:val="single" w:color="auto" w:sz="6" w:space="0"/>
            </w:tcBorders>
            <w:noWrap w:val="0"/>
            <w:vAlign w:val="center"/>
          </w:tcPr>
          <w:p w14:paraId="0938FA5C">
            <w:pPr>
              <w:keepNext w:val="0"/>
              <w:keepLines w:val="0"/>
              <w:pageBreakBefore w:val="0"/>
              <w:widowControl w:val="0"/>
              <w:tabs>
                <w:tab w:val="left" w:pos="720"/>
              </w:tabs>
              <w:kinsoku/>
              <w:wordWrap/>
              <w:overflowPunct/>
              <w:topLinePunct w:val="0"/>
              <w:autoSpaceDE/>
              <w:autoSpaceDN/>
              <w:bidi w:val="0"/>
              <w:adjustRightInd/>
              <w:snapToGrid/>
              <w:spacing w:line="240" w:lineRule="auto"/>
              <w:ind w:left="0" w:right="0"/>
              <w:jc w:val="center"/>
              <w:textAlignment w:val="auto"/>
              <w:rPr>
                <w:rFonts w:hint="default" w:ascii="Times New Roman" w:hAnsi="Times New Roman" w:eastAsia="宋体" w:cs="Times New Roman"/>
                <w:color w:val="0000FF"/>
                <w:sz w:val="21"/>
                <w:szCs w:val="21"/>
                <w:lang w:val="en-US" w:eastAsia="zh-CN"/>
              </w:rPr>
            </w:pPr>
            <w:r>
              <w:rPr>
                <w:rFonts w:hint="eastAsia" w:ascii="Times New Roman" w:hAnsi="Times New Roman" w:eastAsia="宋体" w:cs="Times New Roman"/>
                <w:color w:val="0000FF"/>
                <w:sz w:val="21"/>
                <w:szCs w:val="21"/>
                <w:lang w:val="en-US" w:eastAsia="zh-CN"/>
              </w:rPr>
              <w:t>15</w:t>
            </w:r>
          </w:p>
        </w:tc>
        <w:tc>
          <w:tcPr>
            <w:tcW w:w="815" w:type="pct"/>
            <w:tcBorders>
              <w:top w:val="single" w:color="auto" w:sz="4" w:space="0"/>
              <w:left w:val="single" w:color="auto" w:sz="6" w:space="0"/>
              <w:bottom w:val="single" w:color="auto" w:sz="4" w:space="0"/>
              <w:right w:val="single" w:color="auto" w:sz="6" w:space="0"/>
            </w:tcBorders>
            <w:noWrap w:val="0"/>
            <w:vAlign w:val="center"/>
          </w:tcPr>
          <w:p w14:paraId="2DE4535E">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rPr>
              <w:t>亚硝酸盐氮</w:t>
            </w:r>
          </w:p>
        </w:tc>
        <w:tc>
          <w:tcPr>
            <w:tcW w:w="488" w:type="pct"/>
            <w:tcBorders>
              <w:top w:val="single" w:color="auto" w:sz="4" w:space="0"/>
              <w:left w:val="single" w:color="auto" w:sz="6" w:space="0"/>
              <w:bottom w:val="single" w:color="auto" w:sz="4" w:space="0"/>
              <w:right w:val="single" w:color="auto" w:sz="6" w:space="0"/>
            </w:tcBorders>
            <w:noWrap w:val="0"/>
            <w:vAlign w:val="center"/>
          </w:tcPr>
          <w:p w14:paraId="7B1EE926">
            <w:pPr>
              <w:keepNext w:val="0"/>
              <w:keepLines w:val="0"/>
              <w:pageBreakBefore w:val="0"/>
              <w:widowControl w:val="0"/>
              <w:tabs>
                <w:tab w:val="left" w:pos="720"/>
              </w:tabs>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0000FF"/>
                <w:sz w:val="21"/>
                <w:szCs w:val="21"/>
                <w:lang w:val="en-US" w:eastAsia="zh-CN"/>
              </w:rPr>
            </w:pPr>
            <w:r>
              <w:rPr>
                <w:rFonts w:hint="default" w:ascii="Times New Roman" w:hAnsi="Times New Roman" w:eastAsia="宋体" w:cs="Times New Roman"/>
                <w:color w:val="0000FF"/>
                <w:sz w:val="21"/>
                <w:szCs w:val="21"/>
              </w:rPr>
              <w:t>≤</w:t>
            </w:r>
            <w:r>
              <w:rPr>
                <w:rFonts w:hint="default" w:ascii="Times New Roman" w:hAnsi="Times New Roman" w:eastAsia="宋体" w:cs="Times New Roman"/>
                <w:color w:val="0000FF"/>
                <w:sz w:val="21"/>
                <w:szCs w:val="21"/>
                <w:lang w:val="en-US" w:eastAsia="zh-CN"/>
              </w:rPr>
              <w:t>1.00</w:t>
            </w:r>
          </w:p>
        </w:tc>
        <w:tc>
          <w:tcPr>
            <w:tcW w:w="973" w:type="pct"/>
            <w:tcBorders>
              <w:top w:val="single" w:color="auto" w:sz="4" w:space="0"/>
              <w:left w:val="single" w:color="auto" w:sz="6" w:space="0"/>
              <w:bottom w:val="single" w:color="auto" w:sz="4" w:space="0"/>
              <w:right w:val="single" w:color="auto" w:sz="6" w:space="0"/>
            </w:tcBorders>
            <w:noWrap w:val="0"/>
            <w:vAlign w:val="center"/>
          </w:tcPr>
          <w:p w14:paraId="4E5E2EE4">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0000FF"/>
                <w:sz w:val="21"/>
                <w:szCs w:val="21"/>
                <w:lang w:val="en-US" w:eastAsia="zh-CN"/>
              </w:rPr>
            </w:pPr>
            <w:r>
              <w:rPr>
                <w:rFonts w:hint="default" w:ascii="Times New Roman" w:hAnsi="Times New Roman" w:eastAsia="宋体" w:cs="Times New Roman"/>
                <w:color w:val="0000FF"/>
                <w:sz w:val="21"/>
                <w:szCs w:val="21"/>
                <w:lang w:val="en-US" w:eastAsia="zh-CN"/>
              </w:rPr>
              <w:t>＜0.001</w:t>
            </w:r>
          </w:p>
        </w:tc>
        <w:tc>
          <w:tcPr>
            <w:tcW w:w="744" w:type="pct"/>
            <w:tcBorders>
              <w:top w:val="single" w:color="auto" w:sz="4" w:space="0"/>
              <w:left w:val="single" w:color="auto" w:sz="6" w:space="0"/>
              <w:bottom w:val="single" w:color="auto" w:sz="4" w:space="0"/>
            </w:tcBorders>
            <w:noWrap w:val="0"/>
            <w:vAlign w:val="center"/>
          </w:tcPr>
          <w:p w14:paraId="6F1C5D65">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0000FF"/>
                <w:sz w:val="21"/>
                <w:szCs w:val="21"/>
                <w:lang w:val="en-US" w:eastAsia="zh-CN"/>
              </w:rPr>
            </w:pPr>
            <w:r>
              <w:rPr>
                <w:rFonts w:hint="eastAsia" w:eastAsia="宋体" w:cs="Times New Roman"/>
                <w:color w:val="0000FF"/>
                <w:sz w:val="21"/>
                <w:szCs w:val="21"/>
                <w:lang w:val="en-US" w:eastAsia="zh-CN"/>
              </w:rPr>
              <w:t>0.001</w:t>
            </w:r>
          </w:p>
        </w:tc>
        <w:tc>
          <w:tcPr>
            <w:tcW w:w="445" w:type="pct"/>
            <w:tcBorders>
              <w:top w:val="single" w:color="auto" w:sz="4" w:space="0"/>
              <w:left w:val="single" w:color="auto" w:sz="6" w:space="0"/>
              <w:bottom w:val="single" w:color="auto" w:sz="4" w:space="0"/>
            </w:tcBorders>
            <w:noWrap w:val="0"/>
            <w:vAlign w:val="center"/>
          </w:tcPr>
          <w:p w14:paraId="3B3CA424">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b w:val="0"/>
                <w:bCs/>
                <w:color w:val="0000FF"/>
                <w:sz w:val="21"/>
                <w:szCs w:val="21"/>
                <w:lang w:val="en-US" w:eastAsia="zh-CN"/>
              </w:rPr>
            </w:pPr>
            <w:r>
              <w:rPr>
                <w:rFonts w:hint="default" w:ascii="Times New Roman" w:hAnsi="Times New Roman" w:eastAsia="宋体" w:cs="Times New Roman"/>
                <w:color w:val="0000FF"/>
                <w:sz w:val="21"/>
                <w:szCs w:val="21"/>
                <w:lang w:val="en-US" w:eastAsia="zh-CN"/>
              </w:rPr>
              <w:t>＜0.001</w:t>
            </w:r>
          </w:p>
        </w:tc>
        <w:tc>
          <w:tcPr>
            <w:tcW w:w="414" w:type="pct"/>
            <w:tcBorders>
              <w:top w:val="single" w:color="auto" w:sz="4" w:space="0"/>
              <w:left w:val="single" w:color="auto" w:sz="6" w:space="0"/>
              <w:bottom w:val="single" w:color="auto" w:sz="4" w:space="0"/>
            </w:tcBorders>
            <w:noWrap w:val="0"/>
            <w:vAlign w:val="center"/>
          </w:tcPr>
          <w:p w14:paraId="29FA6795">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b w:val="0"/>
                <w:bCs/>
                <w:color w:val="0000FF"/>
                <w:sz w:val="21"/>
                <w:szCs w:val="21"/>
                <w:lang w:val="en-US" w:eastAsia="zh-CN"/>
              </w:rPr>
            </w:pPr>
            <w:r>
              <w:rPr>
                <w:rFonts w:hint="eastAsia" w:eastAsia="宋体" w:cs="Times New Roman"/>
                <w:color w:val="0000FF"/>
                <w:sz w:val="21"/>
                <w:szCs w:val="21"/>
                <w:lang w:val="en-US" w:eastAsia="zh-CN"/>
              </w:rPr>
              <w:t>0.001</w:t>
            </w:r>
          </w:p>
        </w:tc>
        <w:tc>
          <w:tcPr>
            <w:tcW w:w="446" w:type="pct"/>
            <w:tcBorders>
              <w:top w:val="single" w:color="auto" w:sz="4" w:space="0"/>
              <w:left w:val="single" w:color="auto" w:sz="6" w:space="0"/>
              <w:bottom w:val="single" w:color="auto" w:sz="4" w:space="0"/>
            </w:tcBorders>
            <w:noWrap w:val="0"/>
            <w:vAlign w:val="center"/>
          </w:tcPr>
          <w:p w14:paraId="675538E4">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b w:val="0"/>
                <w:bCs/>
                <w:color w:val="0000FF"/>
                <w:sz w:val="21"/>
                <w:szCs w:val="21"/>
                <w:lang w:val="en-US" w:eastAsia="zh-CN"/>
              </w:rPr>
            </w:pPr>
            <w:r>
              <w:rPr>
                <w:rFonts w:hint="default" w:ascii="Times New Roman" w:hAnsi="Times New Roman" w:eastAsia="宋体" w:cs="Times New Roman"/>
                <w:color w:val="0000FF"/>
                <w:sz w:val="21"/>
                <w:szCs w:val="21"/>
                <w:lang w:val="en-US" w:eastAsia="zh-CN"/>
              </w:rPr>
              <w:t>＜0.001</w:t>
            </w:r>
          </w:p>
        </w:tc>
        <w:tc>
          <w:tcPr>
            <w:tcW w:w="415" w:type="pct"/>
            <w:tcBorders>
              <w:top w:val="single" w:color="auto" w:sz="4" w:space="0"/>
              <w:left w:val="single" w:color="auto" w:sz="6" w:space="0"/>
              <w:bottom w:val="single" w:color="auto" w:sz="4" w:space="0"/>
            </w:tcBorders>
            <w:noWrap w:val="0"/>
            <w:vAlign w:val="center"/>
          </w:tcPr>
          <w:p w14:paraId="784229CD">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b w:val="0"/>
                <w:bCs/>
                <w:color w:val="0000FF"/>
                <w:sz w:val="21"/>
                <w:szCs w:val="21"/>
                <w:lang w:val="en-US" w:eastAsia="zh-CN"/>
              </w:rPr>
            </w:pPr>
            <w:r>
              <w:rPr>
                <w:rFonts w:hint="eastAsia" w:eastAsia="宋体" w:cs="Times New Roman"/>
                <w:color w:val="0000FF"/>
                <w:sz w:val="21"/>
                <w:szCs w:val="21"/>
                <w:lang w:val="en-US" w:eastAsia="zh-CN"/>
              </w:rPr>
              <w:t>0.001</w:t>
            </w:r>
          </w:p>
        </w:tc>
      </w:tr>
      <w:tr w14:paraId="6C94282A">
        <w:tblPrEx>
          <w:tblBorders>
            <w:top w:val="single" w:color="auto" w:sz="12" w:space="0"/>
            <w:left w:val="none" w:color="auto" w:sz="0" w:space="0"/>
            <w:bottom w:val="single" w:color="auto" w:sz="12" w:space="0"/>
            <w:right w:val="none" w:color="auto" w:sz="0" w:space="0"/>
            <w:insideH w:val="single" w:color="auto" w:sz="4" w:space="0"/>
            <w:insideV w:val="single" w:color="auto" w:sz="6" w:space="0"/>
          </w:tblBorders>
          <w:tblCellMar>
            <w:top w:w="0" w:type="dxa"/>
            <w:left w:w="108" w:type="dxa"/>
            <w:bottom w:w="0" w:type="dxa"/>
            <w:right w:w="108" w:type="dxa"/>
          </w:tblCellMar>
        </w:tblPrEx>
        <w:trPr>
          <w:trHeight w:val="351" w:hRule="atLeast"/>
          <w:jc w:val="center"/>
        </w:trPr>
        <w:tc>
          <w:tcPr>
            <w:tcW w:w="256" w:type="pct"/>
            <w:tcBorders>
              <w:top w:val="single" w:color="auto" w:sz="4" w:space="0"/>
              <w:bottom w:val="single" w:color="auto" w:sz="4" w:space="0"/>
              <w:right w:val="single" w:color="auto" w:sz="6" w:space="0"/>
            </w:tcBorders>
            <w:noWrap w:val="0"/>
            <w:vAlign w:val="center"/>
          </w:tcPr>
          <w:p w14:paraId="1064CEC3">
            <w:pPr>
              <w:keepNext w:val="0"/>
              <w:keepLines w:val="0"/>
              <w:pageBreakBefore w:val="0"/>
              <w:widowControl w:val="0"/>
              <w:tabs>
                <w:tab w:val="left" w:pos="720"/>
              </w:tabs>
              <w:kinsoku/>
              <w:wordWrap/>
              <w:overflowPunct/>
              <w:topLinePunct w:val="0"/>
              <w:autoSpaceDE/>
              <w:autoSpaceDN/>
              <w:bidi w:val="0"/>
              <w:adjustRightInd/>
              <w:snapToGrid/>
              <w:spacing w:line="240" w:lineRule="auto"/>
              <w:ind w:left="0" w:right="0"/>
              <w:jc w:val="center"/>
              <w:textAlignment w:val="auto"/>
              <w:rPr>
                <w:rFonts w:hint="default" w:ascii="Times New Roman" w:hAnsi="Times New Roman" w:eastAsia="宋体" w:cs="Times New Roman"/>
                <w:color w:val="0000FF"/>
                <w:sz w:val="21"/>
                <w:szCs w:val="21"/>
                <w:lang w:val="en-US" w:eastAsia="zh-CN"/>
              </w:rPr>
            </w:pPr>
            <w:r>
              <w:rPr>
                <w:rFonts w:hint="eastAsia" w:ascii="Times New Roman" w:hAnsi="Times New Roman" w:eastAsia="宋体" w:cs="Times New Roman"/>
                <w:color w:val="0000FF"/>
                <w:sz w:val="21"/>
                <w:szCs w:val="21"/>
                <w:lang w:val="en-US" w:eastAsia="zh-CN"/>
              </w:rPr>
              <w:t>16</w:t>
            </w:r>
          </w:p>
        </w:tc>
        <w:tc>
          <w:tcPr>
            <w:tcW w:w="815" w:type="pct"/>
            <w:tcBorders>
              <w:top w:val="single" w:color="auto" w:sz="4" w:space="0"/>
              <w:left w:val="single" w:color="auto" w:sz="6" w:space="0"/>
              <w:bottom w:val="single" w:color="auto" w:sz="4" w:space="0"/>
              <w:right w:val="single" w:color="auto" w:sz="6" w:space="0"/>
            </w:tcBorders>
            <w:noWrap w:val="0"/>
            <w:vAlign w:val="center"/>
          </w:tcPr>
          <w:p w14:paraId="24654734">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lang w:eastAsia="zh-CN"/>
              </w:rPr>
              <w:t>硝酸盐</w:t>
            </w:r>
          </w:p>
        </w:tc>
        <w:tc>
          <w:tcPr>
            <w:tcW w:w="488" w:type="pct"/>
            <w:tcBorders>
              <w:top w:val="single" w:color="auto" w:sz="4" w:space="0"/>
              <w:left w:val="single" w:color="auto" w:sz="6" w:space="0"/>
              <w:bottom w:val="single" w:color="auto" w:sz="4" w:space="0"/>
              <w:right w:val="single" w:color="auto" w:sz="6" w:space="0"/>
            </w:tcBorders>
            <w:noWrap w:val="0"/>
            <w:vAlign w:val="center"/>
          </w:tcPr>
          <w:p w14:paraId="752B256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rPr>
              <w:t>≤</w:t>
            </w:r>
            <w:r>
              <w:rPr>
                <w:rFonts w:hint="default" w:ascii="Times New Roman" w:hAnsi="Times New Roman" w:eastAsia="宋体" w:cs="Times New Roman"/>
                <w:color w:val="0000FF"/>
                <w:sz w:val="21"/>
                <w:szCs w:val="21"/>
                <w:lang w:val="en-US" w:eastAsia="zh-CN"/>
              </w:rPr>
              <w:t>20.0</w:t>
            </w:r>
          </w:p>
        </w:tc>
        <w:tc>
          <w:tcPr>
            <w:tcW w:w="973" w:type="pct"/>
            <w:tcBorders>
              <w:top w:val="single" w:color="auto" w:sz="4" w:space="0"/>
              <w:left w:val="single" w:color="auto" w:sz="6" w:space="0"/>
              <w:bottom w:val="single" w:color="auto" w:sz="4" w:space="0"/>
              <w:right w:val="single" w:color="auto" w:sz="6" w:space="0"/>
            </w:tcBorders>
            <w:noWrap w:val="0"/>
            <w:vAlign w:val="center"/>
          </w:tcPr>
          <w:p w14:paraId="1A10BCB1">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rPr>
                <w:rFonts w:hint="default" w:ascii="Times New Roman" w:hAnsi="Times New Roman" w:eastAsia="宋体" w:cs="Times New Roman"/>
                <w:color w:val="0000FF"/>
                <w:sz w:val="21"/>
                <w:szCs w:val="21"/>
                <w:lang w:val="en-US" w:eastAsia="zh-CN"/>
              </w:rPr>
            </w:pPr>
            <w:r>
              <w:rPr>
                <w:rFonts w:hint="default" w:ascii="Times New Roman" w:hAnsi="Times New Roman" w:eastAsia="宋体" w:cs="Times New Roman"/>
                <w:color w:val="0000FF"/>
                <w:sz w:val="21"/>
                <w:szCs w:val="21"/>
                <w:lang w:val="en-US" w:eastAsia="zh-CN"/>
              </w:rPr>
              <w:t>3.69</w:t>
            </w:r>
          </w:p>
        </w:tc>
        <w:tc>
          <w:tcPr>
            <w:tcW w:w="744" w:type="pct"/>
            <w:tcBorders>
              <w:top w:val="single" w:color="auto" w:sz="4" w:space="0"/>
              <w:left w:val="single" w:color="auto" w:sz="6" w:space="0"/>
              <w:bottom w:val="single" w:color="auto" w:sz="4" w:space="0"/>
            </w:tcBorders>
            <w:noWrap w:val="0"/>
            <w:vAlign w:val="center"/>
          </w:tcPr>
          <w:p w14:paraId="484C3C0F">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color w:val="0000FF"/>
                <w:sz w:val="21"/>
                <w:szCs w:val="21"/>
                <w:lang w:val="en-US" w:eastAsia="zh-CN"/>
              </w:rPr>
            </w:pPr>
            <w:r>
              <w:rPr>
                <w:rFonts w:hint="default" w:ascii="Times New Roman" w:hAnsi="Times New Roman" w:eastAsia="宋体" w:cs="Times New Roman"/>
                <w:color w:val="0000FF"/>
                <w:sz w:val="21"/>
                <w:szCs w:val="21"/>
                <w:lang w:val="en-US" w:eastAsia="zh-CN"/>
              </w:rPr>
              <w:t>0.18</w:t>
            </w:r>
          </w:p>
        </w:tc>
        <w:tc>
          <w:tcPr>
            <w:tcW w:w="445" w:type="pct"/>
            <w:tcBorders>
              <w:top w:val="single" w:color="auto" w:sz="4" w:space="0"/>
              <w:left w:val="single" w:color="auto" w:sz="6" w:space="0"/>
              <w:bottom w:val="single" w:color="auto" w:sz="4" w:space="0"/>
            </w:tcBorders>
            <w:noWrap w:val="0"/>
            <w:vAlign w:val="center"/>
          </w:tcPr>
          <w:p w14:paraId="5527B5FB">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b w:val="0"/>
                <w:bCs/>
                <w:color w:val="0000FF"/>
                <w:sz w:val="21"/>
                <w:szCs w:val="21"/>
                <w:lang w:val="en-US" w:eastAsia="zh-CN"/>
              </w:rPr>
            </w:pPr>
            <w:r>
              <w:rPr>
                <w:rFonts w:hint="default" w:ascii="Times New Roman" w:hAnsi="Times New Roman" w:eastAsia="宋体" w:cs="Times New Roman"/>
                <w:color w:val="0000FF"/>
                <w:sz w:val="21"/>
                <w:szCs w:val="21"/>
                <w:lang w:val="en-US" w:eastAsia="zh-CN"/>
              </w:rPr>
              <w:t>6.5</w:t>
            </w:r>
          </w:p>
        </w:tc>
        <w:tc>
          <w:tcPr>
            <w:tcW w:w="414" w:type="pct"/>
            <w:tcBorders>
              <w:top w:val="single" w:color="auto" w:sz="4" w:space="0"/>
              <w:left w:val="single" w:color="auto" w:sz="6" w:space="0"/>
              <w:bottom w:val="single" w:color="auto" w:sz="4" w:space="0"/>
            </w:tcBorders>
            <w:noWrap w:val="0"/>
            <w:vAlign w:val="center"/>
          </w:tcPr>
          <w:p w14:paraId="75F0DB87">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b w:val="0"/>
                <w:bCs/>
                <w:color w:val="0000FF"/>
                <w:sz w:val="21"/>
                <w:szCs w:val="21"/>
                <w:lang w:val="en-US" w:eastAsia="zh-CN"/>
              </w:rPr>
            </w:pPr>
            <w:r>
              <w:rPr>
                <w:rFonts w:hint="default" w:ascii="Times New Roman" w:hAnsi="Times New Roman" w:eastAsia="宋体" w:cs="Times New Roman"/>
                <w:color w:val="0000FF"/>
                <w:sz w:val="21"/>
                <w:szCs w:val="21"/>
                <w:lang w:val="en-US" w:eastAsia="zh-CN"/>
              </w:rPr>
              <w:t>0.33</w:t>
            </w:r>
          </w:p>
        </w:tc>
        <w:tc>
          <w:tcPr>
            <w:tcW w:w="446" w:type="pct"/>
            <w:tcBorders>
              <w:top w:val="single" w:color="auto" w:sz="4" w:space="0"/>
              <w:left w:val="single" w:color="auto" w:sz="6" w:space="0"/>
              <w:bottom w:val="single" w:color="auto" w:sz="4" w:space="0"/>
            </w:tcBorders>
            <w:noWrap w:val="0"/>
            <w:vAlign w:val="center"/>
          </w:tcPr>
          <w:p w14:paraId="4A7B161E">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b w:val="0"/>
                <w:bCs/>
                <w:color w:val="0000FF"/>
                <w:sz w:val="21"/>
                <w:szCs w:val="21"/>
                <w:lang w:val="en-US" w:eastAsia="zh-CN"/>
              </w:rPr>
            </w:pPr>
            <w:r>
              <w:rPr>
                <w:rFonts w:hint="default" w:ascii="Times New Roman" w:hAnsi="Times New Roman" w:eastAsia="宋体" w:cs="Times New Roman"/>
                <w:color w:val="0000FF"/>
                <w:sz w:val="21"/>
                <w:szCs w:val="21"/>
                <w:lang w:val="en-US" w:eastAsia="zh-CN"/>
              </w:rPr>
              <w:t>3.74</w:t>
            </w:r>
          </w:p>
        </w:tc>
        <w:tc>
          <w:tcPr>
            <w:tcW w:w="415" w:type="pct"/>
            <w:tcBorders>
              <w:top w:val="single" w:color="auto" w:sz="4" w:space="0"/>
              <w:left w:val="single" w:color="auto" w:sz="6" w:space="0"/>
              <w:bottom w:val="single" w:color="auto" w:sz="4" w:space="0"/>
            </w:tcBorders>
            <w:noWrap w:val="0"/>
            <w:vAlign w:val="center"/>
          </w:tcPr>
          <w:p w14:paraId="6ECF9856">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b w:val="0"/>
                <w:bCs/>
                <w:color w:val="0000FF"/>
                <w:sz w:val="21"/>
                <w:szCs w:val="21"/>
                <w:lang w:val="en-US" w:eastAsia="zh-CN"/>
              </w:rPr>
            </w:pPr>
            <w:r>
              <w:rPr>
                <w:rFonts w:hint="default" w:ascii="Times New Roman" w:hAnsi="Times New Roman" w:eastAsia="宋体" w:cs="Times New Roman"/>
                <w:color w:val="0000FF"/>
                <w:sz w:val="21"/>
                <w:szCs w:val="21"/>
                <w:lang w:val="en-US" w:eastAsia="zh-CN"/>
              </w:rPr>
              <w:t>0.19</w:t>
            </w:r>
          </w:p>
        </w:tc>
      </w:tr>
      <w:tr w14:paraId="00A21A29">
        <w:tblPrEx>
          <w:tblBorders>
            <w:top w:val="single" w:color="auto" w:sz="12" w:space="0"/>
            <w:left w:val="none" w:color="auto" w:sz="0" w:space="0"/>
            <w:bottom w:val="single" w:color="auto" w:sz="12" w:space="0"/>
            <w:right w:val="none" w:color="auto" w:sz="0" w:space="0"/>
            <w:insideH w:val="single" w:color="auto" w:sz="4" w:space="0"/>
            <w:insideV w:val="single" w:color="auto" w:sz="6" w:space="0"/>
          </w:tblBorders>
          <w:tblCellMar>
            <w:top w:w="0" w:type="dxa"/>
            <w:left w:w="108" w:type="dxa"/>
            <w:bottom w:w="0" w:type="dxa"/>
            <w:right w:w="108" w:type="dxa"/>
          </w:tblCellMar>
        </w:tblPrEx>
        <w:trPr>
          <w:trHeight w:val="351" w:hRule="atLeast"/>
          <w:jc w:val="center"/>
        </w:trPr>
        <w:tc>
          <w:tcPr>
            <w:tcW w:w="256" w:type="pct"/>
            <w:tcBorders>
              <w:top w:val="single" w:color="auto" w:sz="4" w:space="0"/>
              <w:bottom w:val="single" w:color="auto" w:sz="4" w:space="0"/>
              <w:right w:val="single" w:color="auto" w:sz="6" w:space="0"/>
            </w:tcBorders>
            <w:noWrap w:val="0"/>
            <w:vAlign w:val="center"/>
          </w:tcPr>
          <w:p w14:paraId="7A34FB8E">
            <w:pPr>
              <w:keepNext w:val="0"/>
              <w:keepLines w:val="0"/>
              <w:pageBreakBefore w:val="0"/>
              <w:widowControl w:val="0"/>
              <w:tabs>
                <w:tab w:val="left" w:pos="720"/>
              </w:tabs>
              <w:kinsoku/>
              <w:wordWrap/>
              <w:overflowPunct/>
              <w:topLinePunct w:val="0"/>
              <w:autoSpaceDE/>
              <w:autoSpaceDN/>
              <w:bidi w:val="0"/>
              <w:adjustRightInd/>
              <w:snapToGrid/>
              <w:spacing w:line="240" w:lineRule="auto"/>
              <w:ind w:left="0" w:right="0"/>
              <w:jc w:val="center"/>
              <w:textAlignment w:val="auto"/>
              <w:rPr>
                <w:rFonts w:hint="default" w:ascii="Times New Roman" w:hAnsi="Times New Roman" w:eastAsia="宋体" w:cs="Times New Roman"/>
                <w:color w:val="0000FF"/>
                <w:sz w:val="21"/>
                <w:szCs w:val="21"/>
                <w:lang w:val="en-US" w:eastAsia="zh-CN"/>
              </w:rPr>
            </w:pPr>
            <w:r>
              <w:rPr>
                <w:rFonts w:hint="eastAsia" w:ascii="Times New Roman" w:hAnsi="Times New Roman" w:eastAsia="宋体" w:cs="Times New Roman"/>
                <w:color w:val="0000FF"/>
                <w:sz w:val="21"/>
                <w:szCs w:val="21"/>
                <w:lang w:val="en-US" w:eastAsia="zh-CN"/>
              </w:rPr>
              <w:t>17</w:t>
            </w:r>
          </w:p>
        </w:tc>
        <w:tc>
          <w:tcPr>
            <w:tcW w:w="815" w:type="pct"/>
            <w:tcBorders>
              <w:top w:val="single" w:color="auto" w:sz="4" w:space="0"/>
              <w:left w:val="single" w:color="auto" w:sz="6" w:space="0"/>
              <w:bottom w:val="single" w:color="auto" w:sz="4" w:space="0"/>
              <w:right w:val="single" w:color="auto" w:sz="6" w:space="0"/>
            </w:tcBorders>
            <w:noWrap w:val="0"/>
            <w:vAlign w:val="center"/>
          </w:tcPr>
          <w:p w14:paraId="340EF3D0">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rPr>
              <w:t>氰化物</w:t>
            </w:r>
          </w:p>
        </w:tc>
        <w:tc>
          <w:tcPr>
            <w:tcW w:w="488" w:type="pct"/>
            <w:tcBorders>
              <w:top w:val="single" w:color="auto" w:sz="4" w:space="0"/>
              <w:left w:val="single" w:color="auto" w:sz="6" w:space="0"/>
              <w:bottom w:val="single" w:color="auto" w:sz="4" w:space="0"/>
              <w:right w:val="single" w:color="auto" w:sz="6" w:space="0"/>
            </w:tcBorders>
            <w:noWrap w:val="0"/>
            <w:vAlign w:val="center"/>
          </w:tcPr>
          <w:p w14:paraId="0C6B21FF">
            <w:pPr>
              <w:keepNext w:val="0"/>
              <w:keepLines w:val="0"/>
              <w:pageBreakBefore w:val="0"/>
              <w:widowControl w:val="0"/>
              <w:tabs>
                <w:tab w:val="left" w:pos="720"/>
              </w:tabs>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0000FF"/>
                <w:sz w:val="21"/>
                <w:szCs w:val="21"/>
                <w:lang w:val="en-US" w:eastAsia="zh-CN"/>
              </w:rPr>
            </w:pPr>
            <w:r>
              <w:rPr>
                <w:rFonts w:hint="default" w:ascii="Times New Roman" w:hAnsi="Times New Roman" w:eastAsia="宋体" w:cs="Times New Roman"/>
                <w:color w:val="0000FF"/>
                <w:sz w:val="21"/>
                <w:szCs w:val="21"/>
              </w:rPr>
              <w:t>≤0.0</w:t>
            </w:r>
            <w:r>
              <w:rPr>
                <w:rFonts w:hint="default" w:ascii="Times New Roman" w:hAnsi="Times New Roman" w:eastAsia="宋体" w:cs="Times New Roman"/>
                <w:color w:val="0000FF"/>
                <w:sz w:val="21"/>
                <w:szCs w:val="21"/>
                <w:lang w:val="en-US" w:eastAsia="zh-CN"/>
              </w:rPr>
              <w:t>5</w:t>
            </w:r>
          </w:p>
        </w:tc>
        <w:tc>
          <w:tcPr>
            <w:tcW w:w="973" w:type="pct"/>
            <w:tcBorders>
              <w:top w:val="single" w:color="auto" w:sz="4" w:space="0"/>
              <w:left w:val="single" w:color="auto" w:sz="6" w:space="0"/>
              <w:bottom w:val="single" w:color="auto" w:sz="4" w:space="0"/>
              <w:right w:val="single" w:color="auto" w:sz="6" w:space="0"/>
            </w:tcBorders>
            <w:noWrap w:val="0"/>
            <w:vAlign w:val="center"/>
          </w:tcPr>
          <w:p w14:paraId="551E33F7">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0000FF"/>
                <w:sz w:val="21"/>
                <w:szCs w:val="21"/>
                <w:lang w:val="en-US" w:eastAsia="zh-CN"/>
              </w:rPr>
            </w:pPr>
            <w:r>
              <w:rPr>
                <w:rFonts w:hint="default" w:ascii="Times New Roman" w:hAnsi="Times New Roman" w:eastAsia="宋体" w:cs="Times New Roman"/>
                <w:color w:val="0000FF"/>
                <w:sz w:val="21"/>
                <w:szCs w:val="21"/>
                <w:lang w:val="en-US" w:eastAsia="zh-CN"/>
              </w:rPr>
              <w:t>＜0.002</w:t>
            </w:r>
          </w:p>
        </w:tc>
        <w:tc>
          <w:tcPr>
            <w:tcW w:w="744" w:type="pct"/>
            <w:tcBorders>
              <w:top w:val="single" w:color="auto" w:sz="4" w:space="0"/>
              <w:left w:val="single" w:color="auto" w:sz="6" w:space="0"/>
              <w:bottom w:val="single" w:color="auto" w:sz="4" w:space="0"/>
            </w:tcBorders>
            <w:noWrap w:val="0"/>
            <w:vAlign w:val="center"/>
          </w:tcPr>
          <w:p w14:paraId="27346757">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color w:val="0000FF"/>
                <w:sz w:val="21"/>
                <w:szCs w:val="21"/>
                <w:lang w:val="en-US" w:eastAsia="zh-CN"/>
              </w:rPr>
            </w:pPr>
            <w:r>
              <w:rPr>
                <w:rFonts w:hint="default" w:ascii="Times New Roman" w:hAnsi="Times New Roman" w:eastAsia="宋体" w:cs="Times New Roman"/>
                <w:color w:val="0000FF"/>
                <w:sz w:val="21"/>
                <w:szCs w:val="21"/>
                <w:lang w:val="en-US" w:eastAsia="zh-CN"/>
              </w:rPr>
              <w:t>＜0.04</w:t>
            </w:r>
          </w:p>
        </w:tc>
        <w:tc>
          <w:tcPr>
            <w:tcW w:w="445" w:type="pct"/>
            <w:tcBorders>
              <w:top w:val="single" w:color="auto" w:sz="4" w:space="0"/>
              <w:left w:val="single" w:color="auto" w:sz="6" w:space="0"/>
              <w:bottom w:val="single" w:color="auto" w:sz="4" w:space="0"/>
            </w:tcBorders>
            <w:noWrap w:val="0"/>
            <w:vAlign w:val="center"/>
          </w:tcPr>
          <w:p w14:paraId="50375C36">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b w:val="0"/>
                <w:bCs/>
                <w:color w:val="0000FF"/>
                <w:sz w:val="21"/>
                <w:szCs w:val="21"/>
                <w:lang w:val="en-US" w:eastAsia="zh-CN"/>
              </w:rPr>
            </w:pPr>
            <w:r>
              <w:rPr>
                <w:rFonts w:hint="default" w:ascii="Times New Roman" w:hAnsi="Times New Roman" w:eastAsia="宋体" w:cs="Times New Roman"/>
                <w:color w:val="0000FF"/>
                <w:sz w:val="21"/>
                <w:szCs w:val="21"/>
                <w:lang w:val="en-US" w:eastAsia="zh-CN"/>
              </w:rPr>
              <w:t>＜0.002</w:t>
            </w:r>
          </w:p>
        </w:tc>
        <w:tc>
          <w:tcPr>
            <w:tcW w:w="414" w:type="pct"/>
            <w:tcBorders>
              <w:top w:val="single" w:color="auto" w:sz="4" w:space="0"/>
              <w:left w:val="single" w:color="auto" w:sz="6" w:space="0"/>
              <w:bottom w:val="single" w:color="auto" w:sz="4" w:space="0"/>
            </w:tcBorders>
            <w:noWrap w:val="0"/>
            <w:vAlign w:val="center"/>
          </w:tcPr>
          <w:p w14:paraId="1E4A312A">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b w:val="0"/>
                <w:bCs/>
                <w:color w:val="0000FF"/>
                <w:sz w:val="21"/>
                <w:szCs w:val="21"/>
                <w:lang w:val="en-US" w:eastAsia="zh-CN"/>
              </w:rPr>
            </w:pPr>
            <w:r>
              <w:rPr>
                <w:rFonts w:hint="default" w:ascii="Times New Roman" w:hAnsi="Times New Roman" w:eastAsia="宋体" w:cs="Times New Roman"/>
                <w:color w:val="0000FF"/>
                <w:sz w:val="21"/>
                <w:szCs w:val="21"/>
                <w:lang w:val="en-US" w:eastAsia="zh-CN"/>
              </w:rPr>
              <w:t>＜0.04</w:t>
            </w:r>
          </w:p>
        </w:tc>
        <w:tc>
          <w:tcPr>
            <w:tcW w:w="446" w:type="pct"/>
            <w:tcBorders>
              <w:top w:val="single" w:color="auto" w:sz="4" w:space="0"/>
              <w:left w:val="single" w:color="auto" w:sz="6" w:space="0"/>
              <w:bottom w:val="single" w:color="auto" w:sz="4" w:space="0"/>
            </w:tcBorders>
            <w:noWrap w:val="0"/>
            <w:vAlign w:val="center"/>
          </w:tcPr>
          <w:p w14:paraId="695CAF6E">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b w:val="0"/>
                <w:bCs/>
                <w:color w:val="0000FF"/>
                <w:sz w:val="21"/>
                <w:szCs w:val="21"/>
                <w:lang w:val="en-US" w:eastAsia="zh-CN"/>
              </w:rPr>
            </w:pPr>
            <w:r>
              <w:rPr>
                <w:rFonts w:hint="default" w:ascii="Times New Roman" w:hAnsi="Times New Roman" w:eastAsia="宋体" w:cs="Times New Roman"/>
                <w:color w:val="0000FF"/>
                <w:sz w:val="21"/>
                <w:szCs w:val="21"/>
                <w:lang w:val="en-US" w:eastAsia="zh-CN"/>
              </w:rPr>
              <w:t>＜0.002</w:t>
            </w:r>
          </w:p>
        </w:tc>
        <w:tc>
          <w:tcPr>
            <w:tcW w:w="415" w:type="pct"/>
            <w:tcBorders>
              <w:top w:val="single" w:color="auto" w:sz="4" w:space="0"/>
              <w:left w:val="single" w:color="auto" w:sz="6" w:space="0"/>
              <w:bottom w:val="single" w:color="auto" w:sz="4" w:space="0"/>
            </w:tcBorders>
            <w:noWrap w:val="0"/>
            <w:vAlign w:val="center"/>
          </w:tcPr>
          <w:p w14:paraId="224422F8">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b w:val="0"/>
                <w:bCs/>
                <w:color w:val="0000FF"/>
                <w:sz w:val="21"/>
                <w:szCs w:val="21"/>
                <w:lang w:val="en-US" w:eastAsia="zh-CN"/>
              </w:rPr>
            </w:pPr>
            <w:r>
              <w:rPr>
                <w:rFonts w:hint="default" w:ascii="Times New Roman" w:hAnsi="Times New Roman" w:eastAsia="宋体" w:cs="Times New Roman"/>
                <w:color w:val="0000FF"/>
                <w:sz w:val="21"/>
                <w:szCs w:val="21"/>
                <w:lang w:val="en-US" w:eastAsia="zh-CN"/>
              </w:rPr>
              <w:t>＜0.04</w:t>
            </w:r>
          </w:p>
        </w:tc>
      </w:tr>
      <w:tr w14:paraId="6E5FC84C">
        <w:tblPrEx>
          <w:tblBorders>
            <w:top w:val="single" w:color="auto" w:sz="12" w:space="0"/>
            <w:left w:val="none" w:color="auto" w:sz="0" w:space="0"/>
            <w:bottom w:val="single" w:color="auto" w:sz="12" w:space="0"/>
            <w:right w:val="none" w:color="auto" w:sz="0" w:space="0"/>
            <w:insideH w:val="single" w:color="auto" w:sz="4" w:space="0"/>
            <w:insideV w:val="single" w:color="auto" w:sz="6" w:space="0"/>
          </w:tblBorders>
          <w:tblCellMar>
            <w:top w:w="0" w:type="dxa"/>
            <w:left w:w="108" w:type="dxa"/>
            <w:bottom w:w="0" w:type="dxa"/>
            <w:right w:w="108" w:type="dxa"/>
          </w:tblCellMar>
        </w:tblPrEx>
        <w:trPr>
          <w:trHeight w:val="351" w:hRule="atLeast"/>
          <w:jc w:val="center"/>
        </w:trPr>
        <w:tc>
          <w:tcPr>
            <w:tcW w:w="256" w:type="pct"/>
            <w:tcBorders>
              <w:top w:val="single" w:color="auto" w:sz="4" w:space="0"/>
              <w:bottom w:val="single" w:color="auto" w:sz="4" w:space="0"/>
              <w:right w:val="single" w:color="auto" w:sz="6" w:space="0"/>
            </w:tcBorders>
            <w:noWrap w:val="0"/>
            <w:vAlign w:val="center"/>
          </w:tcPr>
          <w:p w14:paraId="4B9B7ABD">
            <w:pPr>
              <w:keepNext w:val="0"/>
              <w:keepLines w:val="0"/>
              <w:pageBreakBefore w:val="0"/>
              <w:widowControl w:val="0"/>
              <w:tabs>
                <w:tab w:val="left" w:pos="720"/>
              </w:tabs>
              <w:kinsoku/>
              <w:wordWrap/>
              <w:overflowPunct/>
              <w:topLinePunct w:val="0"/>
              <w:autoSpaceDE/>
              <w:autoSpaceDN/>
              <w:bidi w:val="0"/>
              <w:adjustRightInd/>
              <w:snapToGrid/>
              <w:spacing w:line="240" w:lineRule="auto"/>
              <w:ind w:left="0" w:right="0"/>
              <w:jc w:val="center"/>
              <w:textAlignment w:val="auto"/>
              <w:rPr>
                <w:rFonts w:hint="default" w:ascii="Times New Roman" w:hAnsi="Times New Roman" w:eastAsia="宋体" w:cs="Times New Roman"/>
                <w:color w:val="0000FF"/>
                <w:sz w:val="21"/>
                <w:szCs w:val="21"/>
                <w:lang w:val="en-US" w:eastAsia="zh-CN"/>
              </w:rPr>
            </w:pPr>
            <w:r>
              <w:rPr>
                <w:rFonts w:hint="eastAsia" w:ascii="Times New Roman" w:hAnsi="Times New Roman" w:eastAsia="宋体" w:cs="Times New Roman"/>
                <w:color w:val="0000FF"/>
                <w:sz w:val="21"/>
                <w:szCs w:val="21"/>
                <w:lang w:val="en-US" w:eastAsia="zh-CN"/>
              </w:rPr>
              <w:t>18</w:t>
            </w:r>
          </w:p>
        </w:tc>
        <w:tc>
          <w:tcPr>
            <w:tcW w:w="815" w:type="pct"/>
            <w:tcBorders>
              <w:top w:val="single" w:color="auto" w:sz="4" w:space="0"/>
              <w:left w:val="single" w:color="auto" w:sz="6" w:space="0"/>
              <w:bottom w:val="single" w:color="auto" w:sz="4" w:space="0"/>
              <w:right w:val="single" w:color="auto" w:sz="6" w:space="0"/>
            </w:tcBorders>
            <w:noWrap w:val="0"/>
            <w:vAlign w:val="center"/>
          </w:tcPr>
          <w:p w14:paraId="1268ED9D">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rPr>
              <w:t>氟化物</w:t>
            </w:r>
          </w:p>
        </w:tc>
        <w:tc>
          <w:tcPr>
            <w:tcW w:w="488" w:type="pct"/>
            <w:tcBorders>
              <w:top w:val="single" w:color="auto" w:sz="4" w:space="0"/>
              <w:left w:val="single" w:color="auto" w:sz="6" w:space="0"/>
              <w:bottom w:val="single" w:color="auto" w:sz="4" w:space="0"/>
              <w:right w:val="single" w:color="auto" w:sz="6" w:space="0"/>
            </w:tcBorders>
            <w:noWrap w:val="0"/>
            <w:vAlign w:val="center"/>
          </w:tcPr>
          <w:p w14:paraId="706C8E7A">
            <w:pPr>
              <w:keepNext w:val="0"/>
              <w:keepLines w:val="0"/>
              <w:pageBreakBefore w:val="0"/>
              <w:widowControl w:val="0"/>
              <w:tabs>
                <w:tab w:val="left" w:pos="720"/>
              </w:tabs>
              <w:kinsoku/>
              <w:wordWrap/>
              <w:overflowPunct/>
              <w:topLinePunct w:val="0"/>
              <w:autoSpaceDE/>
              <w:autoSpaceDN/>
              <w:bidi w:val="0"/>
              <w:adjustRightInd/>
              <w:snapToGrid/>
              <w:spacing w:line="240" w:lineRule="auto"/>
              <w:ind w:left="0" w:right="0"/>
              <w:jc w:val="center"/>
              <w:textAlignment w:val="auto"/>
              <w:rPr>
                <w:rFonts w:hint="default" w:ascii="Times New Roman" w:hAnsi="Times New Roman" w:eastAsia="宋体" w:cs="Times New Roman"/>
                <w:color w:val="0000FF"/>
                <w:sz w:val="21"/>
                <w:szCs w:val="21"/>
                <w:lang w:val="en-US" w:eastAsia="zh-CN"/>
              </w:rPr>
            </w:pPr>
            <w:r>
              <w:rPr>
                <w:rFonts w:hint="default" w:ascii="Times New Roman" w:hAnsi="Times New Roman" w:eastAsia="宋体" w:cs="Times New Roman"/>
                <w:color w:val="0000FF"/>
                <w:sz w:val="21"/>
                <w:szCs w:val="21"/>
              </w:rPr>
              <w:t>≤</w:t>
            </w:r>
            <w:r>
              <w:rPr>
                <w:rFonts w:hint="default" w:ascii="Times New Roman" w:hAnsi="Times New Roman" w:eastAsia="宋体" w:cs="Times New Roman"/>
                <w:color w:val="0000FF"/>
                <w:sz w:val="21"/>
                <w:szCs w:val="21"/>
                <w:lang w:val="en-US" w:eastAsia="zh-CN"/>
              </w:rPr>
              <w:t>1.0</w:t>
            </w:r>
          </w:p>
        </w:tc>
        <w:tc>
          <w:tcPr>
            <w:tcW w:w="973" w:type="pct"/>
            <w:tcBorders>
              <w:top w:val="single" w:color="auto" w:sz="4" w:space="0"/>
              <w:left w:val="single" w:color="auto" w:sz="6" w:space="0"/>
              <w:bottom w:val="single" w:color="auto" w:sz="4" w:space="0"/>
              <w:right w:val="single" w:color="auto" w:sz="6" w:space="0"/>
            </w:tcBorders>
            <w:noWrap w:val="0"/>
            <w:vAlign w:val="center"/>
          </w:tcPr>
          <w:p w14:paraId="28CDF50C">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color w:val="0000FF"/>
                <w:sz w:val="21"/>
                <w:szCs w:val="21"/>
                <w:lang w:val="en-US" w:eastAsia="zh-CN"/>
              </w:rPr>
            </w:pPr>
            <w:r>
              <w:rPr>
                <w:rFonts w:hint="default" w:ascii="Times New Roman" w:hAnsi="Times New Roman" w:eastAsia="宋体" w:cs="Times New Roman"/>
                <w:color w:val="0000FF"/>
                <w:sz w:val="21"/>
                <w:szCs w:val="21"/>
                <w:lang w:val="en-US" w:eastAsia="zh-CN"/>
              </w:rPr>
              <w:t>0.21</w:t>
            </w:r>
          </w:p>
        </w:tc>
        <w:tc>
          <w:tcPr>
            <w:tcW w:w="744" w:type="pct"/>
            <w:tcBorders>
              <w:top w:val="single" w:color="auto" w:sz="4" w:space="0"/>
              <w:left w:val="single" w:color="auto" w:sz="6" w:space="0"/>
              <w:bottom w:val="single" w:color="auto" w:sz="4" w:space="0"/>
            </w:tcBorders>
            <w:noWrap w:val="0"/>
            <w:vAlign w:val="center"/>
          </w:tcPr>
          <w:p w14:paraId="15CFEDDB">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color w:val="0000FF"/>
                <w:sz w:val="21"/>
                <w:szCs w:val="21"/>
                <w:lang w:val="en-US" w:eastAsia="zh-CN"/>
              </w:rPr>
            </w:pPr>
            <w:r>
              <w:rPr>
                <w:rFonts w:hint="default" w:ascii="Times New Roman" w:hAnsi="Times New Roman" w:eastAsia="宋体" w:cs="Times New Roman"/>
                <w:color w:val="0000FF"/>
                <w:sz w:val="21"/>
                <w:szCs w:val="21"/>
                <w:lang w:val="en-US" w:eastAsia="zh-CN"/>
              </w:rPr>
              <w:t>0.21</w:t>
            </w:r>
          </w:p>
        </w:tc>
        <w:tc>
          <w:tcPr>
            <w:tcW w:w="445" w:type="pct"/>
            <w:tcBorders>
              <w:top w:val="single" w:color="auto" w:sz="4" w:space="0"/>
              <w:left w:val="single" w:color="auto" w:sz="6" w:space="0"/>
              <w:bottom w:val="single" w:color="auto" w:sz="4" w:space="0"/>
            </w:tcBorders>
            <w:noWrap w:val="0"/>
            <w:vAlign w:val="center"/>
          </w:tcPr>
          <w:p w14:paraId="3E207480">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b w:val="0"/>
                <w:bCs/>
                <w:color w:val="0000FF"/>
                <w:sz w:val="21"/>
                <w:szCs w:val="21"/>
                <w:lang w:val="en-US" w:eastAsia="zh-CN"/>
              </w:rPr>
            </w:pPr>
            <w:r>
              <w:rPr>
                <w:rFonts w:hint="default" w:ascii="Times New Roman" w:hAnsi="Times New Roman" w:eastAsia="宋体" w:cs="Times New Roman"/>
                <w:color w:val="0000FF"/>
                <w:sz w:val="21"/>
                <w:szCs w:val="21"/>
                <w:lang w:val="en-US" w:eastAsia="zh-CN"/>
              </w:rPr>
              <w:t>0.19</w:t>
            </w:r>
          </w:p>
        </w:tc>
        <w:tc>
          <w:tcPr>
            <w:tcW w:w="414" w:type="pct"/>
            <w:tcBorders>
              <w:top w:val="single" w:color="auto" w:sz="4" w:space="0"/>
              <w:left w:val="single" w:color="auto" w:sz="6" w:space="0"/>
              <w:bottom w:val="single" w:color="auto" w:sz="4" w:space="0"/>
            </w:tcBorders>
            <w:noWrap w:val="0"/>
            <w:vAlign w:val="center"/>
          </w:tcPr>
          <w:p w14:paraId="794595F3">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b w:val="0"/>
                <w:bCs/>
                <w:color w:val="0000FF"/>
                <w:sz w:val="21"/>
                <w:szCs w:val="21"/>
                <w:lang w:val="en-US" w:eastAsia="zh-CN"/>
              </w:rPr>
            </w:pPr>
            <w:r>
              <w:rPr>
                <w:rFonts w:hint="default" w:ascii="Times New Roman" w:hAnsi="Times New Roman" w:eastAsia="宋体" w:cs="Times New Roman"/>
                <w:color w:val="0000FF"/>
                <w:sz w:val="21"/>
                <w:szCs w:val="21"/>
                <w:lang w:val="en-US" w:eastAsia="zh-CN"/>
              </w:rPr>
              <w:t>0.19</w:t>
            </w:r>
          </w:p>
        </w:tc>
        <w:tc>
          <w:tcPr>
            <w:tcW w:w="446" w:type="pct"/>
            <w:tcBorders>
              <w:top w:val="single" w:color="auto" w:sz="4" w:space="0"/>
              <w:left w:val="single" w:color="auto" w:sz="6" w:space="0"/>
              <w:bottom w:val="single" w:color="auto" w:sz="4" w:space="0"/>
            </w:tcBorders>
            <w:noWrap w:val="0"/>
            <w:vAlign w:val="center"/>
          </w:tcPr>
          <w:p w14:paraId="62DC8A0F">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b w:val="0"/>
                <w:bCs/>
                <w:color w:val="0000FF"/>
                <w:sz w:val="21"/>
                <w:szCs w:val="21"/>
                <w:lang w:val="en-US" w:eastAsia="zh-CN"/>
              </w:rPr>
            </w:pPr>
            <w:r>
              <w:rPr>
                <w:rFonts w:hint="default" w:ascii="Times New Roman" w:hAnsi="Times New Roman" w:eastAsia="宋体" w:cs="Times New Roman"/>
                <w:color w:val="0000FF"/>
                <w:sz w:val="21"/>
                <w:szCs w:val="21"/>
                <w:lang w:val="en-US" w:eastAsia="zh-CN"/>
              </w:rPr>
              <w:t>0.22</w:t>
            </w:r>
          </w:p>
        </w:tc>
        <w:tc>
          <w:tcPr>
            <w:tcW w:w="415" w:type="pct"/>
            <w:tcBorders>
              <w:top w:val="single" w:color="auto" w:sz="4" w:space="0"/>
              <w:left w:val="single" w:color="auto" w:sz="6" w:space="0"/>
              <w:bottom w:val="single" w:color="auto" w:sz="4" w:space="0"/>
            </w:tcBorders>
            <w:noWrap w:val="0"/>
            <w:vAlign w:val="center"/>
          </w:tcPr>
          <w:p w14:paraId="3636B7EB">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b w:val="0"/>
                <w:bCs/>
                <w:color w:val="0000FF"/>
                <w:sz w:val="21"/>
                <w:szCs w:val="21"/>
                <w:lang w:val="en-US" w:eastAsia="zh-CN"/>
              </w:rPr>
            </w:pPr>
            <w:r>
              <w:rPr>
                <w:rFonts w:hint="default" w:ascii="Times New Roman" w:hAnsi="Times New Roman" w:eastAsia="宋体" w:cs="Times New Roman"/>
                <w:color w:val="0000FF"/>
                <w:sz w:val="21"/>
                <w:szCs w:val="21"/>
                <w:lang w:val="en-US" w:eastAsia="zh-CN"/>
              </w:rPr>
              <w:t>0.22</w:t>
            </w:r>
          </w:p>
        </w:tc>
      </w:tr>
      <w:tr w14:paraId="0A7C4BC0">
        <w:tblPrEx>
          <w:tblBorders>
            <w:top w:val="single" w:color="auto" w:sz="12" w:space="0"/>
            <w:left w:val="none" w:color="auto" w:sz="0" w:space="0"/>
            <w:bottom w:val="single" w:color="auto" w:sz="12" w:space="0"/>
            <w:right w:val="none" w:color="auto" w:sz="0" w:space="0"/>
            <w:insideH w:val="single" w:color="auto" w:sz="4" w:space="0"/>
            <w:insideV w:val="single" w:color="auto" w:sz="6" w:space="0"/>
          </w:tblBorders>
          <w:tblCellMar>
            <w:top w:w="0" w:type="dxa"/>
            <w:left w:w="108" w:type="dxa"/>
            <w:bottom w:w="0" w:type="dxa"/>
            <w:right w:w="108" w:type="dxa"/>
          </w:tblCellMar>
        </w:tblPrEx>
        <w:trPr>
          <w:trHeight w:val="351" w:hRule="atLeast"/>
          <w:jc w:val="center"/>
        </w:trPr>
        <w:tc>
          <w:tcPr>
            <w:tcW w:w="256" w:type="pct"/>
            <w:tcBorders>
              <w:top w:val="single" w:color="auto" w:sz="4" w:space="0"/>
              <w:bottom w:val="single" w:color="auto" w:sz="4" w:space="0"/>
              <w:right w:val="single" w:color="auto" w:sz="6" w:space="0"/>
            </w:tcBorders>
            <w:noWrap w:val="0"/>
            <w:vAlign w:val="center"/>
          </w:tcPr>
          <w:p w14:paraId="174DC3B8">
            <w:pPr>
              <w:keepNext w:val="0"/>
              <w:keepLines w:val="0"/>
              <w:pageBreakBefore w:val="0"/>
              <w:widowControl w:val="0"/>
              <w:tabs>
                <w:tab w:val="left" w:pos="720"/>
              </w:tabs>
              <w:kinsoku/>
              <w:wordWrap/>
              <w:overflowPunct/>
              <w:topLinePunct w:val="0"/>
              <w:autoSpaceDE/>
              <w:autoSpaceDN/>
              <w:bidi w:val="0"/>
              <w:adjustRightInd/>
              <w:snapToGrid/>
              <w:spacing w:line="240" w:lineRule="auto"/>
              <w:ind w:left="0" w:right="0"/>
              <w:jc w:val="center"/>
              <w:textAlignment w:val="auto"/>
              <w:rPr>
                <w:rFonts w:hint="default" w:ascii="Times New Roman" w:hAnsi="Times New Roman" w:eastAsia="宋体" w:cs="Times New Roman"/>
                <w:color w:val="0000FF"/>
                <w:sz w:val="21"/>
                <w:szCs w:val="21"/>
                <w:lang w:val="en-US" w:eastAsia="zh-CN"/>
              </w:rPr>
            </w:pPr>
            <w:r>
              <w:rPr>
                <w:rFonts w:hint="eastAsia" w:ascii="Times New Roman" w:hAnsi="Times New Roman" w:eastAsia="宋体" w:cs="Times New Roman"/>
                <w:color w:val="0000FF"/>
                <w:sz w:val="21"/>
                <w:szCs w:val="21"/>
                <w:lang w:val="en-US" w:eastAsia="zh-CN"/>
              </w:rPr>
              <w:t>19</w:t>
            </w:r>
          </w:p>
        </w:tc>
        <w:tc>
          <w:tcPr>
            <w:tcW w:w="815" w:type="pct"/>
            <w:tcBorders>
              <w:top w:val="single" w:color="auto" w:sz="4" w:space="0"/>
              <w:left w:val="single" w:color="auto" w:sz="6" w:space="0"/>
              <w:bottom w:val="single" w:color="auto" w:sz="4" w:space="0"/>
              <w:right w:val="single" w:color="auto" w:sz="6" w:space="0"/>
            </w:tcBorders>
            <w:noWrap w:val="0"/>
            <w:vAlign w:val="center"/>
          </w:tcPr>
          <w:p w14:paraId="0812073F">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0000FF"/>
                <w:kern w:val="2"/>
                <w:sz w:val="21"/>
                <w:szCs w:val="21"/>
                <w:lang w:val="zh-CN" w:eastAsia="zh-CN" w:bidi="zh-CN"/>
              </w:rPr>
            </w:pPr>
            <w:r>
              <w:rPr>
                <w:rFonts w:hint="default" w:ascii="Times New Roman" w:hAnsi="Times New Roman" w:eastAsia="宋体" w:cs="Times New Roman"/>
                <w:color w:val="0000FF"/>
                <w:sz w:val="21"/>
                <w:szCs w:val="21"/>
              </w:rPr>
              <w:t>汞</w:t>
            </w:r>
          </w:p>
        </w:tc>
        <w:tc>
          <w:tcPr>
            <w:tcW w:w="488" w:type="pct"/>
            <w:tcBorders>
              <w:top w:val="single" w:color="auto" w:sz="4" w:space="0"/>
              <w:left w:val="single" w:color="auto" w:sz="6" w:space="0"/>
              <w:bottom w:val="single" w:color="auto" w:sz="4" w:space="0"/>
              <w:right w:val="single" w:color="auto" w:sz="6" w:space="0"/>
            </w:tcBorders>
            <w:noWrap w:val="0"/>
            <w:vAlign w:val="center"/>
          </w:tcPr>
          <w:p w14:paraId="622A90DC">
            <w:pPr>
              <w:keepNext w:val="0"/>
              <w:keepLines w:val="0"/>
              <w:pageBreakBefore w:val="0"/>
              <w:widowControl w:val="0"/>
              <w:tabs>
                <w:tab w:val="left" w:pos="720"/>
              </w:tabs>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0000FF"/>
                <w:kern w:val="2"/>
                <w:sz w:val="21"/>
                <w:szCs w:val="21"/>
                <w:lang w:val="en-US" w:eastAsia="zh-CN" w:bidi="ar-SA"/>
              </w:rPr>
            </w:pPr>
            <w:r>
              <w:rPr>
                <w:rFonts w:hint="default" w:ascii="Times New Roman" w:hAnsi="Times New Roman" w:eastAsia="宋体" w:cs="Times New Roman"/>
                <w:color w:val="0000FF"/>
                <w:sz w:val="21"/>
                <w:szCs w:val="21"/>
              </w:rPr>
              <w:t>≤</w:t>
            </w:r>
            <w:r>
              <w:rPr>
                <w:rFonts w:hint="default" w:ascii="Times New Roman" w:hAnsi="Times New Roman" w:eastAsia="宋体" w:cs="Times New Roman"/>
                <w:color w:val="0000FF"/>
                <w:sz w:val="21"/>
                <w:szCs w:val="21"/>
                <w:lang w:val="en-US" w:eastAsia="zh-CN"/>
              </w:rPr>
              <w:t>0.001</w:t>
            </w:r>
          </w:p>
        </w:tc>
        <w:tc>
          <w:tcPr>
            <w:tcW w:w="973" w:type="pct"/>
            <w:tcBorders>
              <w:top w:val="single" w:color="auto" w:sz="4" w:space="0"/>
              <w:left w:val="single" w:color="auto" w:sz="6" w:space="0"/>
              <w:bottom w:val="single" w:color="auto" w:sz="4" w:space="0"/>
              <w:right w:val="single" w:color="auto" w:sz="6" w:space="0"/>
            </w:tcBorders>
            <w:noWrap w:val="0"/>
            <w:vAlign w:val="center"/>
          </w:tcPr>
          <w:p w14:paraId="6D4FD15F">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0000FF"/>
                <w:kern w:val="2"/>
                <w:sz w:val="21"/>
                <w:szCs w:val="21"/>
                <w:lang w:val="en-US" w:eastAsia="zh-CN" w:bidi="zh-CN"/>
              </w:rPr>
            </w:pPr>
            <w:r>
              <w:rPr>
                <w:rFonts w:hint="default" w:ascii="Times New Roman" w:hAnsi="Times New Roman" w:eastAsia="宋体" w:cs="Times New Roman"/>
                <w:color w:val="0000FF"/>
                <w:kern w:val="2"/>
                <w:sz w:val="21"/>
                <w:szCs w:val="21"/>
                <w:lang w:val="en-US" w:eastAsia="zh-CN" w:bidi="zh-CN"/>
              </w:rPr>
              <w:t>＜0.00004</w:t>
            </w:r>
          </w:p>
        </w:tc>
        <w:tc>
          <w:tcPr>
            <w:tcW w:w="744" w:type="pct"/>
            <w:tcBorders>
              <w:top w:val="single" w:color="auto" w:sz="4" w:space="0"/>
              <w:left w:val="single" w:color="auto" w:sz="6" w:space="0"/>
              <w:bottom w:val="single" w:color="auto" w:sz="4" w:space="0"/>
            </w:tcBorders>
            <w:noWrap w:val="0"/>
            <w:vAlign w:val="center"/>
          </w:tcPr>
          <w:p w14:paraId="19E9459C">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color w:val="0000FF"/>
                <w:sz w:val="21"/>
                <w:szCs w:val="21"/>
                <w:lang w:val="en-US" w:eastAsia="zh-CN"/>
              </w:rPr>
            </w:pPr>
            <w:r>
              <w:rPr>
                <w:rFonts w:hint="default" w:ascii="Times New Roman" w:hAnsi="Times New Roman" w:eastAsia="宋体" w:cs="Times New Roman"/>
                <w:color w:val="0000FF"/>
                <w:kern w:val="2"/>
                <w:sz w:val="21"/>
                <w:szCs w:val="21"/>
                <w:lang w:val="en-US" w:eastAsia="zh-CN" w:bidi="zh-CN"/>
              </w:rPr>
              <w:t>＜0.04</w:t>
            </w:r>
          </w:p>
        </w:tc>
        <w:tc>
          <w:tcPr>
            <w:tcW w:w="445" w:type="pct"/>
            <w:tcBorders>
              <w:top w:val="single" w:color="auto" w:sz="4" w:space="0"/>
              <w:left w:val="single" w:color="auto" w:sz="6" w:space="0"/>
              <w:bottom w:val="single" w:color="auto" w:sz="4" w:space="0"/>
            </w:tcBorders>
            <w:noWrap w:val="0"/>
            <w:vAlign w:val="center"/>
          </w:tcPr>
          <w:p w14:paraId="37679D8E">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b w:val="0"/>
                <w:bCs/>
                <w:color w:val="0000FF"/>
                <w:sz w:val="21"/>
                <w:szCs w:val="21"/>
                <w:lang w:val="en-US" w:eastAsia="zh-CN"/>
              </w:rPr>
            </w:pPr>
            <w:r>
              <w:rPr>
                <w:rFonts w:hint="default" w:ascii="Times New Roman" w:hAnsi="Times New Roman" w:eastAsia="宋体" w:cs="Times New Roman"/>
                <w:color w:val="0000FF"/>
                <w:kern w:val="2"/>
                <w:sz w:val="21"/>
                <w:szCs w:val="21"/>
                <w:lang w:val="en-US" w:eastAsia="zh-CN" w:bidi="zh-CN"/>
              </w:rPr>
              <w:t>＜0.00004</w:t>
            </w:r>
          </w:p>
        </w:tc>
        <w:tc>
          <w:tcPr>
            <w:tcW w:w="414" w:type="pct"/>
            <w:tcBorders>
              <w:top w:val="single" w:color="auto" w:sz="4" w:space="0"/>
              <w:left w:val="single" w:color="auto" w:sz="6" w:space="0"/>
              <w:bottom w:val="single" w:color="auto" w:sz="4" w:space="0"/>
            </w:tcBorders>
            <w:noWrap w:val="0"/>
            <w:vAlign w:val="center"/>
          </w:tcPr>
          <w:p w14:paraId="0B76190A">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b w:val="0"/>
                <w:bCs/>
                <w:color w:val="0000FF"/>
                <w:sz w:val="21"/>
                <w:szCs w:val="21"/>
                <w:lang w:val="en-US" w:eastAsia="zh-CN"/>
              </w:rPr>
            </w:pPr>
            <w:r>
              <w:rPr>
                <w:rFonts w:hint="default" w:ascii="Times New Roman" w:hAnsi="Times New Roman" w:eastAsia="宋体" w:cs="Times New Roman"/>
                <w:color w:val="0000FF"/>
                <w:kern w:val="2"/>
                <w:sz w:val="21"/>
                <w:szCs w:val="21"/>
                <w:lang w:val="en-US" w:eastAsia="zh-CN" w:bidi="zh-CN"/>
              </w:rPr>
              <w:t>＜0.04</w:t>
            </w:r>
          </w:p>
        </w:tc>
        <w:tc>
          <w:tcPr>
            <w:tcW w:w="446" w:type="pct"/>
            <w:tcBorders>
              <w:top w:val="single" w:color="auto" w:sz="4" w:space="0"/>
              <w:left w:val="single" w:color="auto" w:sz="6" w:space="0"/>
              <w:bottom w:val="single" w:color="auto" w:sz="4" w:space="0"/>
            </w:tcBorders>
            <w:noWrap w:val="0"/>
            <w:vAlign w:val="center"/>
          </w:tcPr>
          <w:p w14:paraId="1FAF7325">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b w:val="0"/>
                <w:bCs/>
                <w:color w:val="0000FF"/>
                <w:sz w:val="21"/>
                <w:szCs w:val="21"/>
                <w:lang w:val="en-US" w:eastAsia="zh-CN"/>
              </w:rPr>
            </w:pPr>
            <w:r>
              <w:rPr>
                <w:rFonts w:hint="default" w:ascii="Times New Roman" w:hAnsi="Times New Roman" w:eastAsia="宋体" w:cs="Times New Roman"/>
                <w:color w:val="0000FF"/>
                <w:kern w:val="2"/>
                <w:sz w:val="21"/>
                <w:szCs w:val="21"/>
                <w:lang w:val="en-US" w:eastAsia="zh-CN" w:bidi="zh-CN"/>
              </w:rPr>
              <w:t>＜0.00004</w:t>
            </w:r>
          </w:p>
        </w:tc>
        <w:tc>
          <w:tcPr>
            <w:tcW w:w="415" w:type="pct"/>
            <w:tcBorders>
              <w:top w:val="single" w:color="auto" w:sz="4" w:space="0"/>
              <w:left w:val="single" w:color="auto" w:sz="6" w:space="0"/>
              <w:bottom w:val="single" w:color="auto" w:sz="4" w:space="0"/>
            </w:tcBorders>
            <w:noWrap w:val="0"/>
            <w:vAlign w:val="center"/>
          </w:tcPr>
          <w:p w14:paraId="04D9DF29">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b w:val="0"/>
                <w:bCs/>
                <w:color w:val="0000FF"/>
                <w:sz w:val="21"/>
                <w:szCs w:val="21"/>
                <w:lang w:val="en-US" w:eastAsia="zh-CN"/>
              </w:rPr>
            </w:pPr>
            <w:r>
              <w:rPr>
                <w:rFonts w:hint="default" w:ascii="Times New Roman" w:hAnsi="Times New Roman" w:eastAsia="宋体" w:cs="Times New Roman"/>
                <w:color w:val="0000FF"/>
                <w:kern w:val="2"/>
                <w:sz w:val="21"/>
                <w:szCs w:val="21"/>
                <w:lang w:val="en-US" w:eastAsia="zh-CN" w:bidi="zh-CN"/>
              </w:rPr>
              <w:t>＜0.04</w:t>
            </w:r>
          </w:p>
        </w:tc>
      </w:tr>
      <w:tr w14:paraId="53554F07">
        <w:tblPrEx>
          <w:tblBorders>
            <w:top w:val="single" w:color="auto" w:sz="12" w:space="0"/>
            <w:left w:val="none" w:color="auto" w:sz="0" w:space="0"/>
            <w:bottom w:val="single" w:color="auto" w:sz="12" w:space="0"/>
            <w:right w:val="none" w:color="auto" w:sz="0" w:space="0"/>
            <w:insideH w:val="single" w:color="auto" w:sz="4" w:space="0"/>
            <w:insideV w:val="single" w:color="auto" w:sz="6" w:space="0"/>
          </w:tblBorders>
          <w:tblCellMar>
            <w:top w:w="0" w:type="dxa"/>
            <w:left w:w="108" w:type="dxa"/>
            <w:bottom w:w="0" w:type="dxa"/>
            <w:right w:w="108" w:type="dxa"/>
          </w:tblCellMar>
        </w:tblPrEx>
        <w:trPr>
          <w:trHeight w:val="351" w:hRule="atLeast"/>
          <w:jc w:val="center"/>
        </w:trPr>
        <w:tc>
          <w:tcPr>
            <w:tcW w:w="256" w:type="pct"/>
            <w:tcBorders>
              <w:top w:val="single" w:color="auto" w:sz="4" w:space="0"/>
              <w:bottom w:val="single" w:color="auto" w:sz="4" w:space="0"/>
              <w:right w:val="single" w:color="auto" w:sz="6" w:space="0"/>
            </w:tcBorders>
            <w:noWrap w:val="0"/>
            <w:vAlign w:val="center"/>
          </w:tcPr>
          <w:p w14:paraId="08FAF909">
            <w:pPr>
              <w:keepNext w:val="0"/>
              <w:keepLines w:val="0"/>
              <w:pageBreakBefore w:val="0"/>
              <w:widowControl w:val="0"/>
              <w:tabs>
                <w:tab w:val="left" w:pos="720"/>
              </w:tabs>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0000FF"/>
                <w:sz w:val="21"/>
                <w:szCs w:val="21"/>
                <w:lang w:val="en-US" w:eastAsia="zh-CN"/>
              </w:rPr>
            </w:pPr>
            <w:r>
              <w:rPr>
                <w:rFonts w:hint="eastAsia" w:ascii="Times New Roman" w:hAnsi="Times New Roman" w:eastAsia="宋体" w:cs="Times New Roman"/>
                <w:color w:val="0000FF"/>
                <w:sz w:val="21"/>
                <w:szCs w:val="21"/>
                <w:lang w:val="en-US" w:eastAsia="zh-CN"/>
              </w:rPr>
              <w:t>20</w:t>
            </w:r>
          </w:p>
        </w:tc>
        <w:tc>
          <w:tcPr>
            <w:tcW w:w="815" w:type="pct"/>
            <w:tcBorders>
              <w:top w:val="single" w:color="auto" w:sz="4" w:space="0"/>
              <w:left w:val="single" w:color="auto" w:sz="6" w:space="0"/>
              <w:bottom w:val="single" w:color="auto" w:sz="4" w:space="0"/>
              <w:right w:val="single" w:color="auto" w:sz="6" w:space="0"/>
            </w:tcBorders>
            <w:noWrap w:val="0"/>
            <w:vAlign w:val="center"/>
          </w:tcPr>
          <w:p w14:paraId="51CF9614">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0000FF"/>
                <w:kern w:val="2"/>
                <w:sz w:val="21"/>
                <w:szCs w:val="21"/>
                <w:lang w:val="zh-CN" w:eastAsia="zh-CN" w:bidi="zh-CN"/>
              </w:rPr>
            </w:pPr>
            <w:r>
              <w:rPr>
                <w:rFonts w:hint="default" w:ascii="Times New Roman" w:hAnsi="Times New Roman" w:eastAsia="宋体" w:cs="Times New Roman"/>
                <w:color w:val="0000FF"/>
                <w:sz w:val="21"/>
                <w:szCs w:val="21"/>
              </w:rPr>
              <w:t>砷</w:t>
            </w:r>
          </w:p>
        </w:tc>
        <w:tc>
          <w:tcPr>
            <w:tcW w:w="488" w:type="pct"/>
            <w:tcBorders>
              <w:top w:val="single" w:color="auto" w:sz="4" w:space="0"/>
              <w:left w:val="single" w:color="auto" w:sz="6" w:space="0"/>
              <w:bottom w:val="single" w:color="auto" w:sz="4" w:space="0"/>
              <w:right w:val="single" w:color="auto" w:sz="6" w:space="0"/>
            </w:tcBorders>
            <w:noWrap w:val="0"/>
            <w:vAlign w:val="center"/>
          </w:tcPr>
          <w:p w14:paraId="5AC82F87">
            <w:pPr>
              <w:keepNext w:val="0"/>
              <w:keepLines w:val="0"/>
              <w:pageBreakBefore w:val="0"/>
              <w:widowControl w:val="0"/>
              <w:tabs>
                <w:tab w:val="left" w:pos="720"/>
              </w:tabs>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0000FF"/>
                <w:kern w:val="2"/>
                <w:sz w:val="21"/>
                <w:szCs w:val="21"/>
                <w:lang w:val="en-US" w:eastAsia="zh-CN" w:bidi="ar-SA"/>
              </w:rPr>
            </w:pPr>
            <w:r>
              <w:rPr>
                <w:rFonts w:hint="default" w:ascii="Times New Roman" w:hAnsi="Times New Roman" w:eastAsia="宋体" w:cs="Times New Roman"/>
                <w:color w:val="0000FF"/>
                <w:sz w:val="21"/>
                <w:szCs w:val="21"/>
              </w:rPr>
              <w:t>≤</w:t>
            </w:r>
            <w:r>
              <w:rPr>
                <w:rFonts w:hint="default" w:ascii="Times New Roman" w:hAnsi="Times New Roman" w:eastAsia="宋体" w:cs="Times New Roman"/>
                <w:color w:val="0000FF"/>
                <w:sz w:val="21"/>
                <w:szCs w:val="21"/>
                <w:lang w:val="en-US" w:eastAsia="zh-CN"/>
              </w:rPr>
              <w:t>0.01</w:t>
            </w:r>
          </w:p>
        </w:tc>
        <w:tc>
          <w:tcPr>
            <w:tcW w:w="973" w:type="pct"/>
            <w:tcBorders>
              <w:top w:val="single" w:color="auto" w:sz="4" w:space="0"/>
              <w:left w:val="single" w:color="auto" w:sz="6" w:space="0"/>
              <w:bottom w:val="single" w:color="auto" w:sz="4" w:space="0"/>
              <w:right w:val="single" w:color="auto" w:sz="6" w:space="0"/>
            </w:tcBorders>
            <w:noWrap w:val="0"/>
            <w:vAlign w:val="center"/>
          </w:tcPr>
          <w:p w14:paraId="62E6E7B4">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0000FF"/>
                <w:kern w:val="2"/>
                <w:sz w:val="21"/>
                <w:szCs w:val="21"/>
                <w:lang w:val="en-US" w:eastAsia="zh-CN" w:bidi="zh-CN"/>
              </w:rPr>
            </w:pPr>
            <w:r>
              <w:rPr>
                <w:rFonts w:hint="default" w:ascii="Times New Roman" w:hAnsi="Times New Roman" w:eastAsia="宋体" w:cs="Times New Roman"/>
                <w:color w:val="0000FF"/>
                <w:kern w:val="2"/>
                <w:sz w:val="21"/>
                <w:szCs w:val="21"/>
                <w:lang w:val="en-US" w:eastAsia="zh-CN" w:bidi="zh-CN"/>
              </w:rPr>
              <w:t>0.0003</w:t>
            </w:r>
          </w:p>
        </w:tc>
        <w:tc>
          <w:tcPr>
            <w:tcW w:w="744" w:type="pct"/>
            <w:tcBorders>
              <w:top w:val="single" w:color="auto" w:sz="4" w:space="0"/>
              <w:left w:val="single" w:color="auto" w:sz="6" w:space="0"/>
              <w:bottom w:val="single" w:color="auto" w:sz="4" w:space="0"/>
            </w:tcBorders>
            <w:noWrap w:val="0"/>
            <w:vAlign w:val="center"/>
          </w:tcPr>
          <w:p w14:paraId="3EE58806">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color w:val="0000FF"/>
                <w:sz w:val="21"/>
                <w:szCs w:val="21"/>
                <w:lang w:val="en-US" w:eastAsia="zh-CN"/>
              </w:rPr>
            </w:pPr>
            <w:r>
              <w:rPr>
                <w:rFonts w:hint="default" w:ascii="Times New Roman" w:hAnsi="Times New Roman" w:eastAsia="宋体" w:cs="Times New Roman"/>
                <w:color w:val="0000FF"/>
                <w:kern w:val="2"/>
                <w:sz w:val="21"/>
                <w:szCs w:val="21"/>
                <w:lang w:val="en-US" w:eastAsia="zh-CN" w:bidi="zh-CN"/>
              </w:rPr>
              <w:t>0.03</w:t>
            </w:r>
          </w:p>
        </w:tc>
        <w:tc>
          <w:tcPr>
            <w:tcW w:w="445" w:type="pct"/>
            <w:tcBorders>
              <w:top w:val="single" w:color="auto" w:sz="4" w:space="0"/>
              <w:left w:val="single" w:color="auto" w:sz="6" w:space="0"/>
              <w:bottom w:val="single" w:color="auto" w:sz="4" w:space="0"/>
            </w:tcBorders>
            <w:noWrap w:val="0"/>
            <w:vAlign w:val="center"/>
          </w:tcPr>
          <w:p w14:paraId="67544C24">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b w:val="0"/>
                <w:bCs/>
                <w:color w:val="0000FF"/>
                <w:sz w:val="21"/>
                <w:szCs w:val="21"/>
                <w:lang w:val="en-US" w:eastAsia="zh-CN"/>
              </w:rPr>
            </w:pPr>
            <w:r>
              <w:rPr>
                <w:rFonts w:hint="default" w:ascii="Times New Roman" w:hAnsi="Times New Roman" w:eastAsia="宋体" w:cs="Times New Roman"/>
                <w:color w:val="0000FF"/>
                <w:kern w:val="2"/>
                <w:sz w:val="21"/>
                <w:szCs w:val="21"/>
                <w:lang w:val="en-US" w:eastAsia="zh-CN" w:bidi="zh-CN"/>
              </w:rPr>
              <w:t>0.0003</w:t>
            </w:r>
          </w:p>
        </w:tc>
        <w:tc>
          <w:tcPr>
            <w:tcW w:w="414" w:type="pct"/>
            <w:tcBorders>
              <w:top w:val="single" w:color="auto" w:sz="4" w:space="0"/>
              <w:left w:val="single" w:color="auto" w:sz="6" w:space="0"/>
              <w:bottom w:val="single" w:color="auto" w:sz="4" w:space="0"/>
            </w:tcBorders>
            <w:noWrap w:val="0"/>
            <w:vAlign w:val="center"/>
          </w:tcPr>
          <w:p w14:paraId="6B5CD2C1">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b w:val="0"/>
                <w:bCs/>
                <w:color w:val="0000FF"/>
                <w:sz w:val="21"/>
                <w:szCs w:val="21"/>
                <w:lang w:val="en-US" w:eastAsia="zh-CN"/>
              </w:rPr>
            </w:pPr>
            <w:r>
              <w:rPr>
                <w:rFonts w:hint="default" w:ascii="Times New Roman" w:hAnsi="Times New Roman" w:eastAsia="宋体" w:cs="Times New Roman"/>
                <w:color w:val="0000FF"/>
                <w:kern w:val="2"/>
                <w:sz w:val="21"/>
                <w:szCs w:val="21"/>
                <w:lang w:val="en-US" w:eastAsia="zh-CN" w:bidi="zh-CN"/>
              </w:rPr>
              <w:t>0.03</w:t>
            </w:r>
          </w:p>
        </w:tc>
        <w:tc>
          <w:tcPr>
            <w:tcW w:w="446" w:type="pct"/>
            <w:tcBorders>
              <w:top w:val="single" w:color="auto" w:sz="4" w:space="0"/>
              <w:left w:val="single" w:color="auto" w:sz="6" w:space="0"/>
              <w:bottom w:val="single" w:color="auto" w:sz="4" w:space="0"/>
            </w:tcBorders>
            <w:noWrap w:val="0"/>
            <w:vAlign w:val="center"/>
          </w:tcPr>
          <w:p w14:paraId="14A68186">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b w:val="0"/>
                <w:bCs/>
                <w:color w:val="0000FF"/>
                <w:sz w:val="21"/>
                <w:szCs w:val="21"/>
                <w:lang w:val="en-US" w:eastAsia="zh-CN"/>
              </w:rPr>
            </w:pPr>
            <w:r>
              <w:rPr>
                <w:rFonts w:hint="default" w:ascii="Times New Roman" w:hAnsi="Times New Roman" w:eastAsia="宋体" w:cs="Times New Roman"/>
                <w:color w:val="0000FF"/>
                <w:kern w:val="2"/>
                <w:sz w:val="21"/>
                <w:szCs w:val="21"/>
                <w:lang w:val="en-US" w:eastAsia="zh-CN" w:bidi="zh-CN"/>
              </w:rPr>
              <w:t>0.0003</w:t>
            </w:r>
          </w:p>
        </w:tc>
        <w:tc>
          <w:tcPr>
            <w:tcW w:w="415" w:type="pct"/>
            <w:tcBorders>
              <w:top w:val="single" w:color="auto" w:sz="4" w:space="0"/>
              <w:left w:val="single" w:color="auto" w:sz="6" w:space="0"/>
              <w:bottom w:val="single" w:color="auto" w:sz="4" w:space="0"/>
            </w:tcBorders>
            <w:noWrap w:val="0"/>
            <w:vAlign w:val="center"/>
          </w:tcPr>
          <w:p w14:paraId="7B1852B9">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b w:val="0"/>
                <w:bCs/>
                <w:color w:val="0000FF"/>
                <w:sz w:val="21"/>
                <w:szCs w:val="21"/>
                <w:lang w:val="en-US" w:eastAsia="zh-CN"/>
              </w:rPr>
            </w:pPr>
            <w:r>
              <w:rPr>
                <w:rFonts w:hint="default" w:ascii="Times New Roman" w:hAnsi="Times New Roman" w:eastAsia="宋体" w:cs="Times New Roman"/>
                <w:color w:val="0000FF"/>
                <w:kern w:val="2"/>
                <w:sz w:val="21"/>
                <w:szCs w:val="21"/>
                <w:lang w:val="en-US" w:eastAsia="zh-CN" w:bidi="zh-CN"/>
              </w:rPr>
              <w:t>0.03</w:t>
            </w:r>
          </w:p>
        </w:tc>
      </w:tr>
      <w:tr w14:paraId="413C1750">
        <w:tblPrEx>
          <w:tblBorders>
            <w:top w:val="single" w:color="auto" w:sz="12" w:space="0"/>
            <w:left w:val="none" w:color="auto" w:sz="0" w:space="0"/>
            <w:bottom w:val="single" w:color="auto" w:sz="12" w:space="0"/>
            <w:right w:val="none" w:color="auto" w:sz="0" w:space="0"/>
            <w:insideH w:val="single" w:color="auto" w:sz="4" w:space="0"/>
            <w:insideV w:val="single" w:color="auto" w:sz="6" w:space="0"/>
          </w:tblBorders>
          <w:tblCellMar>
            <w:top w:w="0" w:type="dxa"/>
            <w:left w:w="108" w:type="dxa"/>
            <w:bottom w:w="0" w:type="dxa"/>
            <w:right w:w="108" w:type="dxa"/>
          </w:tblCellMar>
        </w:tblPrEx>
        <w:trPr>
          <w:trHeight w:val="351" w:hRule="atLeast"/>
          <w:jc w:val="center"/>
        </w:trPr>
        <w:tc>
          <w:tcPr>
            <w:tcW w:w="256" w:type="pct"/>
            <w:tcBorders>
              <w:top w:val="single" w:color="auto" w:sz="4" w:space="0"/>
              <w:bottom w:val="single" w:color="auto" w:sz="4" w:space="0"/>
              <w:right w:val="single" w:color="auto" w:sz="6" w:space="0"/>
            </w:tcBorders>
            <w:noWrap w:val="0"/>
            <w:vAlign w:val="center"/>
          </w:tcPr>
          <w:p w14:paraId="66C3DD72">
            <w:pPr>
              <w:keepNext w:val="0"/>
              <w:keepLines w:val="0"/>
              <w:pageBreakBefore w:val="0"/>
              <w:widowControl w:val="0"/>
              <w:tabs>
                <w:tab w:val="left" w:pos="720"/>
              </w:tabs>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0000FF"/>
                <w:sz w:val="21"/>
                <w:szCs w:val="21"/>
                <w:lang w:val="en-US" w:eastAsia="zh-CN"/>
              </w:rPr>
            </w:pPr>
            <w:r>
              <w:rPr>
                <w:rFonts w:hint="eastAsia" w:ascii="Times New Roman" w:hAnsi="Times New Roman" w:eastAsia="宋体" w:cs="Times New Roman"/>
                <w:color w:val="0000FF"/>
                <w:sz w:val="21"/>
                <w:szCs w:val="21"/>
                <w:lang w:val="en-US" w:eastAsia="zh-CN"/>
              </w:rPr>
              <w:t>21</w:t>
            </w:r>
          </w:p>
        </w:tc>
        <w:tc>
          <w:tcPr>
            <w:tcW w:w="815" w:type="pct"/>
            <w:tcBorders>
              <w:top w:val="single" w:color="auto" w:sz="4" w:space="0"/>
              <w:left w:val="single" w:color="auto" w:sz="6" w:space="0"/>
              <w:bottom w:val="single" w:color="auto" w:sz="4" w:space="0"/>
              <w:right w:val="single" w:color="auto" w:sz="6" w:space="0"/>
            </w:tcBorders>
            <w:noWrap w:val="0"/>
            <w:vAlign w:val="center"/>
          </w:tcPr>
          <w:p w14:paraId="3280B45B">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0000FF"/>
                <w:kern w:val="2"/>
                <w:sz w:val="21"/>
                <w:szCs w:val="21"/>
                <w:lang w:val="zh-CN" w:eastAsia="zh-CN" w:bidi="zh-CN"/>
              </w:rPr>
            </w:pPr>
            <w:r>
              <w:rPr>
                <w:rFonts w:hint="default" w:ascii="Times New Roman" w:hAnsi="Times New Roman" w:eastAsia="宋体" w:cs="Times New Roman"/>
                <w:color w:val="0000FF"/>
                <w:sz w:val="21"/>
                <w:szCs w:val="21"/>
              </w:rPr>
              <w:t>硒</w:t>
            </w:r>
          </w:p>
        </w:tc>
        <w:tc>
          <w:tcPr>
            <w:tcW w:w="488" w:type="pct"/>
            <w:tcBorders>
              <w:top w:val="single" w:color="auto" w:sz="4" w:space="0"/>
              <w:left w:val="single" w:color="auto" w:sz="6" w:space="0"/>
              <w:bottom w:val="single" w:color="auto" w:sz="4" w:space="0"/>
              <w:right w:val="single" w:color="auto" w:sz="6" w:space="0"/>
            </w:tcBorders>
            <w:noWrap w:val="0"/>
            <w:vAlign w:val="center"/>
          </w:tcPr>
          <w:p w14:paraId="2E2FEAE7">
            <w:pPr>
              <w:keepNext w:val="0"/>
              <w:keepLines w:val="0"/>
              <w:pageBreakBefore w:val="0"/>
              <w:widowControl w:val="0"/>
              <w:tabs>
                <w:tab w:val="left" w:pos="720"/>
              </w:tabs>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0000FF"/>
                <w:kern w:val="2"/>
                <w:sz w:val="21"/>
                <w:szCs w:val="21"/>
                <w:lang w:val="en-US" w:eastAsia="zh-CN" w:bidi="ar-SA"/>
              </w:rPr>
            </w:pPr>
            <w:r>
              <w:rPr>
                <w:rFonts w:hint="default" w:ascii="Times New Roman" w:hAnsi="Times New Roman" w:eastAsia="宋体" w:cs="Times New Roman"/>
                <w:color w:val="0000FF"/>
                <w:sz w:val="21"/>
                <w:szCs w:val="21"/>
              </w:rPr>
              <w:t>≤</w:t>
            </w:r>
            <w:r>
              <w:rPr>
                <w:rFonts w:hint="default" w:ascii="Times New Roman" w:hAnsi="Times New Roman" w:eastAsia="宋体" w:cs="Times New Roman"/>
                <w:color w:val="0000FF"/>
                <w:sz w:val="21"/>
                <w:szCs w:val="21"/>
                <w:lang w:val="en-US" w:eastAsia="zh-CN"/>
              </w:rPr>
              <w:t>0.01</w:t>
            </w:r>
          </w:p>
        </w:tc>
        <w:tc>
          <w:tcPr>
            <w:tcW w:w="973" w:type="pct"/>
            <w:tcBorders>
              <w:top w:val="single" w:color="auto" w:sz="4" w:space="0"/>
              <w:left w:val="single" w:color="auto" w:sz="6" w:space="0"/>
              <w:bottom w:val="single" w:color="auto" w:sz="4" w:space="0"/>
              <w:right w:val="single" w:color="auto" w:sz="6" w:space="0"/>
            </w:tcBorders>
            <w:noWrap w:val="0"/>
            <w:vAlign w:val="center"/>
          </w:tcPr>
          <w:p w14:paraId="61D976E3">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0000FF"/>
                <w:kern w:val="2"/>
                <w:sz w:val="21"/>
                <w:szCs w:val="21"/>
                <w:lang w:val="en-US" w:eastAsia="zh-CN" w:bidi="zh-CN"/>
              </w:rPr>
            </w:pPr>
            <w:r>
              <w:rPr>
                <w:rFonts w:hint="default" w:ascii="Times New Roman" w:hAnsi="Times New Roman" w:eastAsia="宋体" w:cs="Times New Roman"/>
                <w:color w:val="0000FF"/>
                <w:kern w:val="2"/>
                <w:sz w:val="21"/>
                <w:szCs w:val="21"/>
                <w:lang w:val="en-US" w:eastAsia="zh-CN" w:bidi="zh-CN"/>
              </w:rPr>
              <w:t>＜0.0004</w:t>
            </w:r>
          </w:p>
        </w:tc>
        <w:tc>
          <w:tcPr>
            <w:tcW w:w="744" w:type="pct"/>
            <w:tcBorders>
              <w:top w:val="single" w:color="auto" w:sz="4" w:space="0"/>
              <w:left w:val="single" w:color="auto" w:sz="6" w:space="0"/>
              <w:bottom w:val="single" w:color="auto" w:sz="4" w:space="0"/>
            </w:tcBorders>
            <w:noWrap w:val="0"/>
            <w:vAlign w:val="center"/>
          </w:tcPr>
          <w:p w14:paraId="13B79CD6">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color w:val="0000FF"/>
                <w:sz w:val="21"/>
                <w:szCs w:val="21"/>
                <w:lang w:val="en-US" w:eastAsia="zh-CN"/>
              </w:rPr>
            </w:pPr>
            <w:r>
              <w:rPr>
                <w:rFonts w:hint="default" w:ascii="Times New Roman" w:hAnsi="Times New Roman" w:eastAsia="宋体" w:cs="Times New Roman"/>
                <w:color w:val="0000FF"/>
                <w:kern w:val="2"/>
                <w:sz w:val="21"/>
                <w:szCs w:val="21"/>
                <w:lang w:val="en-US" w:eastAsia="zh-CN" w:bidi="zh-CN"/>
              </w:rPr>
              <w:t>＜0.04</w:t>
            </w:r>
          </w:p>
        </w:tc>
        <w:tc>
          <w:tcPr>
            <w:tcW w:w="445" w:type="pct"/>
            <w:tcBorders>
              <w:top w:val="single" w:color="auto" w:sz="4" w:space="0"/>
              <w:left w:val="single" w:color="auto" w:sz="6" w:space="0"/>
              <w:bottom w:val="single" w:color="auto" w:sz="4" w:space="0"/>
            </w:tcBorders>
            <w:noWrap w:val="0"/>
            <w:vAlign w:val="center"/>
          </w:tcPr>
          <w:p w14:paraId="1A278120">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b w:val="0"/>
                <w:bCs/>
                <w:color w:val="0000FF"/>
                <w:sz w:val="21"/>
                <w:szCs w:val="21"/>
                <w:lang w:val="en-US" w:eastAsia="zh-CN"/>
              </w:rPr>
            </w:pPr>
            <w:r>
              <w:rPr>
                <w:rFonts w:hint="default" w:ascii="Times New Roman" w:hAnsi="Times New Roman" w:eastAsia="宋体" w:cs="Times New Roman"/>
                <w:color w:val="0000FF"/>
                <w:kern w:val="2"/>
                <w:sz w:val="21"/>
                <w:szCs w:val="21"/>
                <w:lang w:val="en-US" w:eastAsia="zh-CN" w:bidi="zh-CN"/>
              </w:rPr>
              <w:t>＜0.0004</w:t>
            </w:r>
          </w:p>
        </w:tc>
        <w:tc>
          <w:tcPr>
            <w:tcW w:w="414" w:type="pct"/>
            <w:tcBorders>
              <w:top w:val="single" w:color="auto" w:sz="4" w:space="0"/>
              <w:left w:val="single" w:color="auto" w:sz="6" w:space="0"/>
              <w:bottom w:val="single" w:color="auto" w:sz="4" w:space="0"/>
            </w:tcBorders>
            <w:noWrap w:val="0"/>
            <w:vAlign w:val="center"/>
          </w:tcPr>
          <w:p w14:paraId="6F0920FC">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b w:val="0"/>
                <w:bCs/>
                <w:color w:val="0000FF"/>
                <w:sz w:val="21"/>
                <w:szCs w:val="21"/>
                <w:lang w:val="en-US" w:eastAsia="zh-CN"/>
              </w:rPr>
            </w:pPr>
            <w:r>
              <w:rPr>
                <w:rFonts w:hint="default" w:ascii="Times New Roman" w:hAnsi="Times New Roman" w:eastAsia="宋体" w:cs="Times New Roman"/>
                <w:color w:val="0000FF"/>
                <w:kern w:val="2"/>
                <w:sz w:val="21"/>
                <w:szCs w:val="21"/>
                <w:lang w:val="en-US" w:eastAsia="zh-CN" w:bidi="zh-CN"/>
              </w:rPr>
              <w:t>＜0.04</w:t>
            </w:r>
          </w:p>
        </w:tc>
        <w:tc>
          <w:tcPr>
            <w:tcW w:w="446" w:type="pct"/>
            <w:tcBorders>
              <w:top w:val="single" w:color="auto" w:sz="4" w:space="0"/>
              <w:left w:val="single" w:color="auto" w:sz="6" w:space="0"/>
              <w:bottom w:val="single" w:color="auto" w:sz="4" w:space="0"/>
            </w:tcBorders>
            <w:noWrap w:val="0"/>
            <w:vAlign w:val="center"/>
          </w:tcPr>
          <w:p w14:paraId="059E2FD5">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b w:val="0"/>
                <w:bCs/>
                <w:color w:val="0000FF"/>
                <w:sz w:val="21"/>
                <w:szCs w:val="21"/>
                <w:lang w:val="en-US" w:eastAsia="zh-CN"/>
              </w:rPr>
            </w:pPr>
            <w:r>
              <w:rPr>
                <w:rFonts w:hint="default" w:ascii="Times New Roman" w:hAnsi="Times New Roman" w:eastAsia="宋体" w:cs="Times New Roman"/>
                <w:color w:val="0000FF"/>
                <w:kern w:val="2"/>
                <w:sz w:val="21"/>
                <w:szCs w:val="21"/>
                <w:lang w:val="en-US" w:eastAsia="zh-CN" w:bidi="zh-CN"/>
              </w:rPr>
              <w:t>＜0.0004</w:t>
            </w:r>
          </w:p>
        </w:tc>
        <w:tc>
          <w:tcPr>
            <w:tcW w:w="415" w:type="pct"/>
            <w:tcBorders>
              <w:top w:val="single" w:color="auto" w:sz="4" w:space="0"/>
              <w:left w:val="single" w:color="auto" w:sz="6" w:space="0"/>
              <w:bottom w:val="single" w:color="auto" w:sz="4" w:space="0"/>
            </w:tcBorders>
            <w:noWrap w:val="0"/>
            <w:vAlign w:val="center"/>
          </w:tcPr>
          <w:p w14:paraId="72548079">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b w:val="0"/>
                <w:bCs/>
                <w:color w:val="0000FF"/>
                <w:sz w:val="21"/>
                <w:szCs w:val="21"/>
                <w:lang w:val="en-US" w:eastAsia="zh-CN"/>
              </w:rPr>
            </w:pPr>
            <w:r>
              <w:rPr>
                <w:rFonts w:hint="default" w:ascii="Times New Roman" w:hAnsi="Times New Roman" w:eastAsia="宋体" w:cs="Times New Roman"/>
                <w:color w:val="0000FF"/>
                <w:kern w:val="2"/>
                <w:sz w:val="21"/>
                <w:szCs w:val="21"/>
                <w:lang w:val="en-US" w:eastAsia="zh-CN" w:bidi="zh-CN"/>
              </w:rPr>
              <w:t>＜0.04</w:t>
            </w:r>
          </w:p>
        </w:tc>
      </w:tr>
      <w:tr w14:paraId="441B7249">
        <w:tblPrEx>
          <w:tblBorders>
            <w:top w:val="single" w:color="auto" w:sz="12" w:space="0"/>
            <w:left w:val="none" w:color="auto" w:sz="0" w:space="0"/>
            <w:bottom w:val="single" w:color="auto" w:sz="12" w:space="0"/>
            <w:right w:val="none" w:color="auto" w:sz="0" w:space="0"/>
            <w:insideH w:val="single" w:color="auto" w:sz="4" w:space="0"/>
            <w:insideV w:val="single" w:color="auto" w:sz="6" w:space="0"/>
          </w:tblBorders>
          <w:tblCellMar>
            <w:top w:w="0" w:type="dxa"/>
            <w:left w:w="108" w:type="dxa"/>
            <w:bottom w:w="0" w:type="dxa"/>
            <w:right w:w="108" w:type="dxa"/>
          </w:tblCellMar>
        </w:tblPrEx>
        <w:trPr>
          <w:trHeight w:val="351" w:hRule="atLeast"/>
          <w:jc w:val="center"/>
        </w:trPr>
        <w:tc>
          <w:tcPr>
            <w:tcW w:w="256" w:type="pct"/>
            <w:tcBorders>
              <w:top w:val="single" w:color="auto" w:sz="4" w:space="0"/>
              <w:bottom w:val="single" w:color="auto" w:sz="4" w:space="0"/>
              <w:right w:val="single" w:color="auto" w:sz="6" w:space="0"/>
            </w:tcBorders>
            <w:noWrap w:val="0"/>
            <w:vAlign w:val="center"/>
          </w:tcPr>
          <w:p w14:paraId="70036FAE">
            <w:pPr>
              <w:keepNext w:val="0"/>
              <w:keepLines w:val="0"/>
              <w:pageBreakBefore w:val="0"/>
              <w:widowControl w:val="0"/>
              <w:tabs>
                <w:tab w:val="left" w:pos="720"/>
              </w:tabs>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0000FF"/>
                <w:sz w:val="21"/>
                <w:szCs w:val="21"/>
                <w:lang w:val="en-US" w:eastAsia="zh-CN"/>
              </w:rPr>
            </w:pPr>
            <w:r>
              <w:rPr>
                <w:rFonts w:hint="eastAsia" w:ascii="Times New Roman" w:hAnsi="Times New Roman" w:eastAsia="宋体" w:cs="Times New Roman"/>
                <w:color w:val="0000FF"/>
                <w:sz w:val="21"/>
                <w:szCs w:val="21"/>
                <w:lang w:val="en-US" w:eastAsia="zh-CN"/>
              </w:rPr>
              <w:t>22</w:t>
            </w:r>
          </w:p>
        </w:tc>
        <w:tc>
          <w:tcPr>
            <w:tcW w:w="815" w:type="pct"/>
            <w:tcBorders>
              <w:top w:val="single" w:color="auto" w:sz="4" w:space="0"/>
              <w:left w:val="single" w:color="auto" w:sz="6" w:space="0"/>
              <w:bottom w:val="single" w:color="auto" w:sz="4" w:space="0"/>
              <w:right w:val="single" w:color="auto" w:sz="6" w:space="0"/>
            </w:tcBorders>
            <w:noWrap w:val="0"/>
            <w:vAlign w:val="center"/>
          </w:tcPr>
          <w:p w14:paraId="4619F95B">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rPr>
              <w:t>镉</w:t>
            </w:r>
          </w:p>
        </w:tc>
        <w:tc>
          <w:tcPr>
            <w:tcW w:w="488" w:type="pct"/>
            <w:tcBorders>
              <w:top w:val="single" w:color="auto" w:sz="4" w:space="0"/>
              <w:left w:val="single" w:color="auto" w:sz="6" w:space="0"/>
              <w:bottom w:val="single" w:color="auto" w:sz="4" w:space="0"/>
              <w:right w:val="single" w:color="auto" w:sz="6" w:space="0"/>
            </w:tcBorders>
            <w:noWrap w:val="0"/>
            <w:vAlign w:val="center"/>
          </w:tcPr>
          <w:p w14:paraId="56CBAA78">
            <w:pPr>
              <w:keepNext w:val="0"/>
              <w:keepLines w:val="0"/>
              <w:pageBreakBefore w:val="0"/>
              <w:widowControl w:val="0"/>
              <w:tabs>
                <w:tab w:val="left" w:pos="720"/>
              </w:tabs>
              <w:kinsoku/>
              <w:wordWrap/>
              <w:overflowPunct/>
              <w:topLinePunct w:val="0"/>
              <w:autoSpaceDE/>
              <w:autoSpaceDN/>
              <w:bidi w:val="0"/>
              <w:adjustRightInd/>
              <w:snapToGrid/>
              <w:spacing w:line="240" w:lineRule="auto"/>
              <w:ind w:left="0" w:right="0"/>
              <w:jc w:val="center"/>
              <w:textAlignment w:val="auto"/>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rPr>
              <w:t>≤0.0</w:t>
            </w:r>
            <w:r>
              <w:rPr>
                <w:rFonts w:hint="default" w:ascii="Times New Roman" w:hAnsi="Times New Roman" w:eastAsia="宋体" w:cs="Times New Roman"/>
                <w:color w:val="0000FF"/>
                <w:sz w:val="21"/>
                <w:szCs w:val="21"/>
                <w:lang w:val="en-US" w:eastAsia="zh-CN"/>
              </w:rPr>
              <w:t>0</w:t>
            </w:r>
            <w:r>
              <w:rPr>
                <w:rFonts w:hint="default" w:ascii="Times New Roman" w:hAnsi="Times New Roman" w:eastAsia="宋体" w:cs="Times New Roman"/>
                <w:color w:val="0000FF"/>
                <w:sz w:val="21"/>
                <w:szCs w:val="21"/>
              </w:rPr>
              <w:t>5</w:t>
            </w:r>
          </w:p>
        </w:tc>
        <w:tc>
          <w:tcPr>
            <w:tcW w:w="973" w:type="pct"/>
            <w:tcBorders>
              <w:top w:val="single" w:color="auto" w:sz="4" w:space="0"/>
              <w:left w:val="single" w:color="auto" w:sz="6" w:space="0"/>
              <w:bottom w:val="single" w:color="auto" w:sz="4" w:space="0"/>
              <w:right w:val="single" w:color="auto" w:sz="6" w:space="0"/>
            </w:tcBorders>
            <w:noWrap w:val="0"/>
            <w:vAlign w:val="center"/>
          </w:tcPr>
          <w:p w14:paraId="1DB7783A">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eastAsia" w:ascii="Times New Roman" w:hAnsi="Times New Roman" w:eastAsia="宋体" w:cs="Times New Roman"/>
                <w:color w:val="0000FF"/>
                <w:sz w:val="21"/>
                <w:szCs w:val="21"/>
                <w:lang w:eastAsia="zh-CN"/>
              </w:rPr>
            </w:pPr>
            <w:r>
              <w:rPr>
                <w:rFonts w:hint="default" w:ascii="Times New Roman" w:hAnsi="Times New Roman" w:eastAsia="宋体" w:cs="Times New Roman"/>
                <w:color w:val="0000FF"/>
                <w:sz w:val="21"/>
                <w:szCs w:val="21"/>
              </w:rPr>
              <w:t>0.001</w:t>
            </w:r>
          </w:p>
        </w:tc>
        <w:tc>
          <w:tcPr>
            <w:tcW w:w="744" w:type="pct"/>
            <w:tcBorders>
              <w:top w:val="single" w:color="auto" w:sz="4" w:space="0"/>
              <w:left w:val="single" w:color="auto" w:sz="6" w:space="0"/>
              <w:bottom w:val="single" w:color="auto" w:sz="4" w:space="0"/>
            </w:tcBorders>
            <w:noWrap w:val="0"/>
            <w:vAlign w:val="center"/>
          </w:tcPr>
          <w:p w14:paraId="6F723914">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color w:val="0000FF"/>
                <w:sz w:val="21"/>
                <w:szCs w:val="21"/>
                <w:lang w:val="en-US" w:eastAsia="zh-CN"/>
              </w:rPr>
            </w:pPr>
            <w:r>
              <w:rPr>
                <w:rFonts w:hint="default" w:ascii="Times New Roman" w:hAnsi="Times New Roman" w:eastAsia="宋体" w:cs="Times New Roman"/>
                <w:color w:val="0000FF"/>
                <w:sz w:val="21"/>
                <w:szCs w:val="21"/>
              </w:rPr>
              <w:t>0.20</w:t>
            </w:r>
          </w:p>
        </w:tc>
        <w:tc>
          <w:tcPr>
            <w:tcW w:w="445" w:type="pct"/>
            <w:tcBorders>
              <w:top w:val="single" w:color="auto" w:sz="4" w:space="0"/>
              <w:left w:val="single" w:color="auto" w:sz="6" w:space="0"/>
              <w:bottom w:val="single" w:color="auto" w:sz="4" w:space="0"/>
            </w:tcBorders>
            <w:noWrap w:val="0"/>
            <w:vAlign w:val="center"/>
          </w:tcPr>
          <w:p w14:paraId="51EE04A2">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ascii="Times New Roman" w:hAnsi="Times New Roman" w:eastAsia="宋体" w:cs="Times New Roman"/>
                <w:b w:val="0"/>
                <w:bCs/>
                <w:color w:val="0000FF"/>
                <w:sz w:val="21"/>
                <w:szCs w:val="21"/>
                <w:lang w:val="en-US" w:eastAsia="zh-CN"/>
              </w:rPr>
            </w:pPr>
            <w:r>
              <w:rPr>
                <w:rFonts w:hint="default" w:ascii="Times New Roman" w:hAnsi="Times New Roman" w:eastAsia="宋体" w:cs="Times New Roman"/>
                <w:color w:val="0000FF"/>
                <w:sz w:val="21"/>
                <w:szCs w:val="21"/>
              </w:rPr>
              <w:t>0.001</w:t>
            </w:r>
          </w:p>
        </w:tc>
        <w:tc>
          <w:tcPr>
            <w:tcW w:w="414" w:type="pct"/>
            <w:tcBorders>
              <w:top w:val="single" w:color="auto" w:sz="4" w:space="0"/>
              <w:left w:val="single" w:color="auto" w:sz="6" w:space="0"/>
              <w:bottom w:val="single" w:color="auto" w:sz="4" w:space="0"/>
            </w:tcBorders>
            <w:noWrap w:val="0"/>
            <w:vAlign w:val="center"/>
          </w:tcPr>
          <w:p w14:paraId="34CA6998">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b w:val="0"/>
                <w:bCs/>
                <w:color w:val="0000FF"/>
                <w:sz w:val="21"/>
                <w:szCs w:val="21"/>
                <w:lang w:val="en-US" w:eastAsia="zh-CN"/>
              </w:rPr>
            </w:pPr>
            <w:r>
              <w:rPr>
                <w:rFonts w:hint="default" w:ascii="Times New Roman" w:hAnsi="Times New Roman" w:eastAsia="宋体" w:cs="Times New Roman"/>
                <w:color w:val="0000FF"/>
                <w:sz w:val="21"/>
                <w:szCs w:val="21"/>
              </w:rPr>
              <w:t>0.20</w:t>
            </w:r>
          </w:p>
        </w:tc>
        <w:tc>
          <w:tcPr>
            <w:tcW w:w="446" w:type="pct"/>
            <w:tcBorders>
              <w:top w:val="single" w:color="auto" w:sz="4" w:space="0"/>
              <w:left w:val="single" w:color="auto" w:sz="6" w:space="0"/>
              <w:bottom w:val="single" w:color="auto" w:sz="4" w:space="0"/>
            </w:tcBorders>
            <w:noWrap w:val="0"/>
            <w:vAlign w:val="center"/>
          </w:tcPr>
          <w:p w14:paraId="3AF8B747">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ascii="Times New Roman" w:hAnsi="Times New Roman" w:eastAsia="宋体" w:cs="Times New Roman"/>
                <w:b w:val="0"/>
                <w:bCs/>
                <w:color w:val="0000FF"/>
                <w:sz w:val="21"/>
                <w:szCs w:val="21"/>
                <w:lang w:val="en-US" w:eastAsia="zh-CN"/>
              </w:rPr>
            </w:pPr>
            <w:r>
              <w:rPr>
                <w:rFonts w:hint="default" w:ascii="Times New Roman" w:hAnsi="Times New Roman" w:eastAsia="宋体" w:cs="Times New Roman"/>
                <w:color w:val="0000FF"/>
                <w:sz w:val="21"/>
                <w:szCs w:val="21"/>
              </w:rPr>
              <w:t>0.001</w:t>
            </w:r>
          </w:p>
        </w:tc>
        <w:tc>
          <w:tcPr>
            <w:tcW w:w="415" w:type="pct"/>
            <w:tcBorders>
              <w:top w:val="single" w:color="auto" w:sz="4" w:space="0"/>
              <w:left w:val="single" w:color="auto" w:sz="6" w:space="0"/>
              <w:bottom w:val="single" w:color="auto" w:sz="4" w:space="0"/>
            </w:tcBorders>
            <w:noWrap w:val="0"/>
            <w:vAlign w:val="center"/>
          </w:tcPr>
          <w:p w14:paraId="7E700F5D">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b w:val="0"/>
                <w:bCs/>
                <w:color w:val="0000FF"/>
                <w:sz w:val="21"/>
                <w:szCs w:val="21"/>
                <w:lang w:val="en-US" w:eastAsia="zh-CN"/>
              </w:rPr>
            </w:pPr>
            <w:r>
              <w:rPr>
                <w:rFonts w:hint="default" w:ascii="Times New Roman" w:hAnsi="Times New Roman" w:eastAsia="宋体" w:cs="Times New Roman"/>
                <w:color w:val="0000FF"/>
                <w:sz w:val="21"/>
                <w:szCs w:val="21"/>
              </w:rPr>
              <w:t>0.20</w:t>
            </w:r>
          </w:p>
        </w:tc>
      </w:tr>
      <w:tr w14:paraId="1316B084">
        <w:tblPrEx>
          <w:tblBorders>
            <w:top w:val="single" w:color="auto" w:sz="12" w:space="0"/>
            <w:left w:val="none" w:color="auto" w:sz="0" w:space="0"/>
            <w:bottom w:val="single" w:color="auto" w:sz="12" w:space="0"/>
            <w:right w:val="none" w:color="auto" w:sz="0" w:space="0"/>
            <w:insideH w:val="single" w:color="auto" w:sz="4" w:space="0"/>
            <w:insideV w:val="single" w:color="auto" w:sz="6" w:space="0"/>
          </w:tblBorders>
          <w:tblCellMar>
            <w:top w:w="0" w:type="dxa"/>
            <w:left w:w="108" w:type="dxa"/>
            <w:bottom w:w="0" w:type="dxa"/>
            <w:right w:w="108" w:type="dxa"/>
          </w:tblCellMar>
        </w:tblPrEx>
        <w:trPr>
          <w:trHeight w:val="351" w:hRule="atLeast"/>
          <w:jc w:val="center"/>
        </w:trPr>
        <w:tc>
          <w:tcPr>
            <w:tcW w:w="256" w:type="pct"/>
            <w:tcBorders>
              <w:top w:val="single" w:color="auto" w:sz="4" w:space="0"/>
              <w:bottom w:val="single" w:color="auto" w:sz="4" w:space="0"/>
              <w:right w:val="single" w:color="auto" w:sz="6" w:space="0"/>
            </w:tcBorders>
            <w:noWrap w:val="0"/>
            <w:vAlign w:val="center"/>
          </w:tcPr>
          <w:p w14:paraId="05E4A422">
            <w:pPr>
              <w:keepNext w:val="0"/>
              <w:keepLines w:val="0"/>
              <w:pageBreakBefore w:val="0"/>
              <w:widowControl w:val="0"/>
              <w:tabs>
                <w:tab w:val="left" w:pos="720"/>
              </w:tabs>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0000FF"/>
                <w:sz w:val="21"/>
                <w:szCs w:val="21"/>
                <w:lang w:val="en-US" w:eastAsia="zh-CN"/>
              </w:rPr>
            </w:pPr>
            <w:r>
              <w:rPr>
                <w:rFonts w:hint="eastAsia" w:ascii="Times New Roman" w:hAnsi="Times New Roman" w:eastAsia="宋体" w:cs="Times New Roman"/>
                <w:color w:val="0000FF"/>
                <w:sz w:val="21"/>
                <w:szCs w:val="21"/>
                <w:lang w:val="en-US" w:eastAsia="zh-CN"/>
              </w:rPr>
              <w:t>23</w:t>
            </w:r>
          </w:p>
        </w:tc>
        <w:tc>
          <w:tcPr>
            <w:tcW w:w="815" w:type="pct"/>
            <w:tcBorders>
              <w:top w:val="single" w:color="auto" w:sz="4" w:space="0"/>
              <w:left w:val="single" w:color="auto" w:sz="6" w:space="0"/>
              <w:bottom w:val="single" w:color="auto" w:sz="4" w:space="0"/>
              <w:right w:val="single" w:color="auto" w:sz="6" w:space="0"/>
            </w:tcBorders>
            <w:noWrap w:val="0"/>
            <w:vAlign w:val="center"/>
          </w:tcPr>
          <w:p w14:paraId="795DC03F">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0000FF"/>
                <w:kern w:val="2"/>
                <w:sz w:val="21"/>
                <w:szCs w:val="21"/>
                <w:lang w:val="zh-CN" w:eastAsia="zh-CN" w:bidi="zh-CN"/>
              </w:rPr>
            </w:pPr>
            <w:r>
              <w:rPr>
                <w:rFonts w:hint="default" w:ascii="Times New Roman" w:hAnsi="Times New Roman" w:eastAsia="宋体" w:cs="Times New Roman"/>
                <w:color w:val="0000FF"/>
                <w:sz w:val="21"/>
                <w:szCs w:val="21"/>
              </w:rPr>
              <w:t>六价铬</w:t>
            </w:r>
          </w:p>
        </w:tc>
        <w:tc>
          <w:tcPr>
            <w:tcW w:w="488" w:type="pct"/>
            <w:tcBorders>
              <w:top w:val="single" w:color="auto" w:sz="4" w:space="0"/>
              <w:left w:val="single" w:color="auto" w:sz="6" w:space="0"/>
              <w:bottom w:val="single" w:color="auto" w:sz="4" w:space="0"/>
              <w:right w:val="single" w:color="auto" w:sz="6" w:space="0"/>
            </w:tcBorders>
            <w:noWrap w:val="0"/>
            <w:vAlign w:val="center"/>
          </w:tcPr>
          <w:p w14:paraId="31D3C316">
            <w:pPr>
              <w:keepNext w:val="0"/>
              <w:keepLines w:val="0"/>
              <w:pageBreakBefore w:val="0"/>
              <w:widowControl w:val="0"/>
              <w:tabs>
                <w:tab w:val="left" w:pos="720"/>
              </w:tabs>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0000FF"/>
                <w:kern w:val="2"/>
                <w:sz w:val="21"/>
                <w:szCs w:val="21"/>
                <w:lang w:val="en-US" w:eastAsia="zh-CN" w:bidi="ar-SA"/>
              </w:rPr>
            </w:pPr>
            <w:r>
              <w:rPr>
                <w:rFonts w:hint="default" w:ascii="Times New Roman" w:hAnsi="Times New Roman" w:eastAsia="宋体" w:cs="Times New Roman"/>
                <w:color w:val="0000FF"/>
                <w:sz w:val="21"/>
                <w:szCs w:val="21"/>
              </w:rPr>
              <w:t>≤0.0</w:t>
            </w:r>
            <w:r>
              <w:rPr>
                <w:rFonts w:hint="default" w:ascii="Times New Roman" w:hAnsi="Times New Roman" w:eastAsia="宋体" w:cs="Times New Roman"/>
                <w:color w:val="0000FF"/>
                <w:sz w:val="21"/>
                <w:szCs w:val="21"/>
                <w:lang w:val="en-US" w:eastAsia="zh-CN"/>
              </w:rPr>
              <w:t>5</w:t>
            </w:r>
          </w:p>
        </w:tc>
        <w:tc>
          <w:tcPr>
            <w:tcW w:w="973" w:type="pct"/>
            <w:tcBorders>
              <w:top w:val="single" w:color="auto" w:sz="4" w:space="0"/>
              <w:left w:val="single" w:color="auto" w:sz="6" w:space="0"/>
              <w:bottom w:val="single" w:color="auto" w:sz="4" w:space="0"/>
              <w:right w:val="single" w:color="auto" w:sz="6" w:space="0"/>
            </w:tcBorders>
            <w:noWrap w:val="0"/>
            <w:vAlign w:val="center"/>
          </w:tcPr>
          <w:p w14:paraId="6E1C68C7">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0000FF"/>
                <w:kern w:val="2"/>
                <w:sz w:val="21"/>
                <w:szCs w:val="21"/>
                <w:lang w:val="en-US" w:eastAsia="zh-CN" w:bidi="zh-CN"/>
              </w:rPr>
            </w:pPr>
            <w:r>
              <w:rPr>
                <w:rFonts w:hint="default" w:ascii="Times New Roman" w:hAnsi="Times New Roman" w:eastAsia="宋体" w:cs="Times New Roman"/>
                <w:color w:val="0000FF"/>
                <w:kern w:val="2"/>
                <w:sz w:val="21"/>
                <w:szCs w:val="21"/>
                <w:lang w:val="en-US" w:eastAsia="zh-CN" w:bidi="zh-CN"/>
              </w:rPr>
              <w:t>＜0.004</w:t>
            </w:r>
          </w:p>
        </w:tc>
        <w:tc>
          <w:tcPr>
            <w:tcW w:w="744" w:type="pct"/>
            <w:tcBorders>
              <w:top w:val="single" w:color="auto" w:sz="4" w:space="0"/>
              <w:left w:val="single" w:color="auto" w:sz="6" w:space="0"/>
              <w:bottom w:val="single" w:color="auto" w:sz="4" w:space="0"/>
            </w:tcBorders>
            <w:noWrap w:val="0"/>
            <w:vAlign w:val="center"/>
          </w:tcPr>
          <w:p w14:paraId="6ACAF00D">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color w:val="0000FF"/>
                <w:sz w:val="21"/>
                <w:szCs w:val="21"/>
                <w:lang w:val="en-US" w:eastAsia="zh-CN"/>
              </w:rPr>
            </w:pPr>
            <w:r>
              <w:rPr>
                <w:rFonts w:hint="default" w:ascii="Times New Roman" w:hAnsi="Times New Roman" w:eastAsia="宋体" w:cs="Times New Roman"/>
                <w:color w:val="0000FF"/>
                <w:kern w:val="2"/>
                <w:sz w:val="21"/>
                <w:szCs w:val="21"/>
                <w:lang w:val="en-US" w:eastAsia="zh-CN" w:bidi="zh-CN"/>
              </w:rPr>
              <w:t>＜0.08</w:t>
            </w:r>
          </w:p>
        </w:tc>
        <w:tc>
          <w:tcPr>
            <w:tcW w:w="445" w:type="pct"/>
            <w:tcBorders>
              <w:top w:val="single" w:color="auto" w:sz="4" w:space="0"/>
              <w:left w:val="single" w:color="auto" w:sz="6" w:space="0"/>
              <w:bottom w:val="single" w:color="auto" w:sz="4" w:space="0"/>
            </w:tcBorders>
            <w:noWrap w:val="0"/>
            <w:vAlign w:val="center"/>
          </w:tcPr>
          <w:p w14:paraId="05A57936">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b w:val="0"/>
                <w:bCs/>
                <w:color w:val="0000FF"/>
                <w:sz w:val="21"/>
                <w:szCs w:val="21"/>
                <w:lang w:val="en-US" w:eastAsia="zh-CN"/>
              </w:rPr>
            </w:pPr>
            <w:r>
              <w:rPr>
                <w:rFonts w:hint="default" w:ascii="Times New Roman" w:hAnsi="Times New Roman" w:eastAsia="宋体" w:cs="Times New Roman"/>
                <w:color w:val="0000FF"/>
                <w:kern w:val="2"/>
                <w:sz w:val="21"/>
                <w:szCs w:val="21"/>
                <w:lang w:val="en-US" w:eastAsia="zh-CN" w:bidi="zh-CN"/>
              </w:rPr>
              <w:t>＜0.004</w:t>
            </w:r>
          </w:p>
        </w:tc>
        <w:tc>
          <w:tcPr>
            <w:tcW w:w="414" w:type="pct"/>
            <w:tcBorders>
              <w:top w:val="single" w:color="auto" w:sz="4" w:space="0"/>
              <w:left w:val="single" w:color="auto" w:sz="6" w:space="0"/>
              <w:bottom w:val="single" w:color="auto" w:sz="4" w:space="0"/>
            </w:tcBorders>
            <w:noWrap w:val="0"/>
            <w:vAlign w:val="center"/>
          </w:tcPr>
          <w:p w14:paraId="5CC5B848">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b w:val="0"/>
                <w:bCs/>
                <w:color w:val="0000FF"/>
                <w:sz w:val="21"/>
                <w:szCs w:val="21"/>
                <w:lang w:val="en-US" w:eastAsia="zh-CN"/>
              </w:rPr>
            </w:pPr>
            <w:r>
              <w:rPr>
                <w:rFonts w:hint="default" w:ascii="Times New Roman" w:hAnsi="Times New Roman" w:eastAsia="宋体" w:cs="Times New Roman"/>
                <w:color w:val="0000FF"/>
                <w:kern w:val="2"/>
                <w:sz w:val="21"/>
                <w:szCs w:val="21"/>
                <w:lang w:val="en-US" w:eastAsia="zh-CN" w:bidi="zh-CN"/>
              </w:rPr>
              <w:t>＜0.08</w:t>
            </w:r>
          </w:p>
        </w:tc>
        <w:tc>
          <w:tcPr>
            <w:tcW w:w="446" w:type="pct"/>
            <w:tcBorders>
              <w:top w:val="single" w:color="auto" w:sz="4" w:space="0"/>
              <w:left w:val="single" w:color="auto" w:sz="6" w:space="0"/>
              <w:bottom w:val="single" w:color="auto" w:sz="4" w:space="0"/>
            </w:tcBorders>
            <w:noWrap w:val="0"/>
            <w:vAlign w:val="center"/>
          </w:tcPr>
          <w:p w14:paraId="46B5525B">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b w:val="0"/>
                <w:bCs/>
                <w:color w:val="0000FF"/>
                <w:sz w:val="21"/>
                <w:szCs w:val="21"/>
                <w:lang w:val="en-US" w:eastAsia="zh-CN"/>
              </w:rPr>
            </w:pPr>
            <w:r>
              <w:rPr>
                <w:rFonts w:hint="default" w:ascii="Times New Roman" w:hAnsi="Times New Roman" w:eastAsia="宋体" w:cs="Times New Roman"/>
                <w:color w:val="0000FF"/>
                <w:kern w:val="2"/>
                <w:sz w:val="21"/>
                <w:szCs w:val="21"/>
                <w:lang w:val="en-US" w:eastAsia="zh-CN" w:bidi="zh-CN"/>
              </w:rPr>
              <w:t>＜0.004</w:t>
            </w:r>
          </w:p>
        </w:tc>
        <w:tc>
          <w:tcPr>
            <w:tcW w:w="415" w:type="pct"/>
            <w:tcBorders>
              <w:top w:val="single" w:color="auto" w:sz="4" w:space="0"/>
              <w:left w:val="single" w:color="auto" w:sz="6" w:space="0"/>
              <w:bottom w:val="single" w:color="auto" w:sz="4" w:space="0"/>
            </w:tcBorders>
            <w:noWrap w:val="0"/>
            <w:vAlign w:val="center"/>
          </w:tcPr>
          <w:p w14:paraId="6827F843">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b w:val="0"/>
                <w:bCs/>
                <w:color w:val="0000FF"/>
                <w:sz w:val="21"/>
                <w:szCs w:val="21"/>
                <w:lang w:val="en-US" w:eastAsia="zh-CN"/>
              </w:rPr>
            </w:pPr>
            <w:r>
              <w:rPr>
                <w:rFonts w:hint="default" w:ascii="Times New Roman" w:hAnsi="Times New Roman" w:eastAsia="宋体" w:cs="Times New Roman"/>
                <w:color w:val="0000FF"/>
                <w:kern w:val="2"/>
                <w:sz w:val="21"/>
                <w:szCs w:val="21"/>
                <w:lang w:val="en-US" w:eastAsia="zh-CN" w:bidi="zh-CN"/>
              </w:rPr>
              <w:t>＜0.08</w:t>
            </w:r>
          </w:p>
        </w:tc>
      </w:tr>
      <w:tr w14:paraId="1AB7993C">
        <w:tblPrEx>
          <w:tblBorders>
            <w:top w:val="single" w:color="auto" w:sz="12" w:space="0"/>
            <w:left w:val="none" w:color="auto" w:sz="0" w:space="0"/>
            <w:bottom w:val="single" w:color="auto" w:sz="12" w:space="0"/>
            <w:right w:val="none" w:color="auto" w:sz="0" w:space="0"/>
            <w:insideH w:val="single" w:color="auto" w:sz="4" w:space="0"/>
            <w:insideV w:val="single" w:color="auto" w:sz="6" w:space="0"/>
          </w:tblBorders>
          <w:tblCellMar>
            <w:top w:w="0" w:type="dxa"/>
            <w:left w:w="108" w:type="dxa"/>
            <w:bottom w:w="0" w:type="dxa"/>
            <w:right w:w="108" w:type="dxa"/>
          </w:tblCellMar>
        </w:tblPrEx>
        <w:trPr>
          <w:trHeight w:val="351" w:hRule="atLeast"/>
          <w:jc w:val="center"/>
        </w:trPr>
        <w:tc>
          <w:tcPr>
            <w:tcW w:w="256" w:type="pct"/>
            <w:tcBorders>
              <w:top w:val="single" w:color="auto" w:sz="4" w:space="0"/>
              <w:bottom w:val="single" w:color="auto" w:sz="4" w:space="0"/>
              <w:right w:val="single" w:color="auto" w:sz="6" w:space="0"/>
            </w:tcBorders>
            <w:noWrap w:val="0"/>
            <w:vAlign w:val="center"/>
          </w:tcPr>
          <w:p w14:paraId="0DB589FF">
            <w:pPr>
              <w:keepNext w:val="0"/>
              <w:keepLines w:val="0"/>
              <w:pageBreakBefore w:val="0"/>
              <w:widowControl w:val="0"/>
              <w:tabs>
                <w:tab w:val="left" w:pos="720"/>
              </w:tabs>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0000FF"/>
                <w:sz w:val="21"/>
                <w:szCs w:val="21"/>
                <w:lang w:val="en-US" w:eastAsia="zh-CN"/>
              </w:rPr>
            </w:pPr>
            <w:r>
              <w:rPr>
                <w:rFonts w:hint="eastAsia" w:ascii="Times New Roman" w:hAnsi="Times New Roman" w:eastAsia="宋体" w:cs="Times New Roman"/>
                <w:color w:val="0000FF"/>
                <w:sz w:val="21"/>
                <w:szCs w:val="21"/>
                <w:lang w:val="en-US" w:eastAsia="zh-CN"/>
              </w:rPr>
              <w:t>24</w:t>
            </w:r>
          </w:p>
        </w:tc>
        <w:tc>
          <w:tcPr>
            <w:tcW w:w="815" w:type="pct"/>
            <w:tcBorders>
              <w:top w:val="single" w:color="auto" w:sz="4" w:space="0"/>
              <w:left w:val="single" w:color="auto" w:sz="6" w:space="0"/>
              <w:bottom w:val="single" w:color="auto" w:sz="4" w:space="0"/>
              <w:right w:val="single" w:color="auto" w:sz="6" w:space="0"/>
            </w:tcBorders>
            <w:noWrap w:val="0"/>
            <w:vAlign w:val="center"/>
          </w:tcPr>
          <w:p w14:paraId="31FFDD1B">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rPr>
              <w:t>铅</w:t>
            </w:r>
          </w:p>
        </w:tc>
        <w:tc>
          <w:tcPr>
            <w:tcW w:w="488" w:type="pct"/>
            <w:tcBorders>
              <w:top w:val="single" w:color="auto" w:sz="4" w:space="0"/>
              <w:left w:val="single" w:color="auto" w:sz="6" w:space="0"/>
              <w:bottom w:val="single" w:color="auto" w:sz="4" w:space="0"/>
              <w:right w:val="single" w:color="auto" w:sz="6" w:space="0"/>
            </w:tcBorders>
            <w:noWrap w:val="0"/>
            <w:vAlign w:val="center"/>
          </w:tcPr>
          <w:p w14:paraId="0E9CB209">
            <w:pPr>
              <w:keepNext w:val="0"/>
              <w:keepLines w:val="0"/>
              <w:pageBreakBefore w:val="0"/>
              <w:widowControl w:val="0"/>
              <w:tabs>
                <w:tab w:val="left" w:pos="720"/>
              </w:tabs>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0000FF"/>
                <w:sz w:val="21"/>
                <w:szCs w:val="21"/>
                <w:lang w:eastAsia="zh-CN"/>
              </w:rPr>
            </w:pPr>
            <w:r>
              <w:rPr>
                <w:rFonts w:hint="default" w:ascii="Times New Roman" w:hAnsi="Times New Roman" w:eastAsia="宋体" w:cs="Times New Roman"/>
                <w:color w:val="0000FF"/>
                <w:sz w:val="21"/>
                <w:szCs w:val="21"/>
              </w:rPr>
              <w:t>≤0.0</w:t>
            </w:r>
            <w:r>
              <w:rPr>
                <w:rFonts w:hint="default" w:ascii="Times New Roman" w:hAnsi="Times New Roman" w:eastAsia="宋体" w:cs="Times New Roman"/>
                <w:color w:val="0000FF"/>
                <w:sz w:val="21"/>
                <w:szCs w:val="21"/>
                <w:lang w:val="en-US" w:eastAsia="zh-CN"/>
              </w:rPr>
              <w:t>1</w:t>
            </w:r>
          </w:p>
        </w:tc>
        <w:tc>
          <w:tcPr>
            <w:tcW w:w="973" w:type="pct"/>
            <w:tcBorders>
              <w:top w:val="single" w:color="auto" w:sz="4" w:space="0"/>
              <w:left w:val="single" w:color="auto" w:sz="6" w:space="0"/>
              <w:bottom w:val="single" w:color="auto" w:sz="4" w:space="0"/>
              <w:right w:val="single" w:color="auto" w:sz="6" w:space="0"/>
            </w:tcBorders>
            <w:noWrap w:val="0"/>
            <w:vAlign w:val="center"/>
          </w:tcPr>
          <w:p w14:paraId="312E2650">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color w:val="0000FF"/>
                <w:sz w:val="21"/>
                <w:szCs w:val="21"/>
                <w:lang w:val="en-US" w:eastAsia="zh-CN"/>
              </w:rPr>
            </w:pPr>
            <w:r>
              <w:rPr>
                <w:rFonts w:hint="default" w:ascii="Times New Roman" w:hAnsi="Times New Roman" w:eastAsia="宋体" w:cs="Times New Roman"/>
                <w:color w:val="0000FF"/>
                <w:sz w:val="21"/>
                <w:szCs w:val="21"/>
                <w:lang w:val="en-US" w:eastAsia="zh-CN"/>
              </w:rPr>
              <w:t>＜0.01</w:t>
            </w:r>
          </w:p>
        </w:tc>
        <w:tc>
          <w:tcPr>
            <w:tcW w:w="744" w:type="pct"/>
            <w:tcBorders>
              <w:top w:val="single" w:color="auto" w:sz="4" w:space="0"/>
              <w:left w:val="single" w:color="auto" w:sz="6" w:space="0"/>
              <w:bottom w:val="single" w:color="auto" w:sz="4" w:space="0"/>
            </w:tcBorders>
            <w:noWrap w:val="0"/>
            <w:vAlign w:val="center"/>
          </w:tcPr>
          <w:p w14:paraId="67BD95E0">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color w:val="0000FF"/>
                <w:sz w:val="21"/>
                <w:szCs w:val="21"/>
                <w:lang w:val="en-US" w:eastAsia="zh-CN"/>
              </w:rPr>
            </w:pPr>
            <w:r>
              <w:rPr>
                <w:rFonts w:hint="default" w:ascii="Times New Roman" w:hAnsi="Times New Roman" w:eastAsia="宋体" w:cs="Times New Roman"/>
                <w:color w:val="0000FF"/>
                <w:sz w:val="21"/>
                <w:szCs w:val="21"/>
                <w:lang w:val="en-US" w:eastAsia="zh-CN"/>
              </w:rPr>
              <w:t>＜1.00</w:t>
            </w:r>
          </w:p>
        </w:tc>
        <w:tc>
          <w:tcPr>
            <w:tcW w:w="445" w:type="pct"/>
            <w:tcBorders>
              <w:top w:val="single" w:color="auto" w:sz="4" w:space="0"/>
              <w:left w:val="single" w:color="auto" w:sz="6" w:space="0"/>
              <w:bottom w:val="single" w:color="auto" w:sz="4" w:space="0"/>
            </w:tcBorders>
            <w:noWrap w:val="0"/>
            <w:vAlign w:val="center"/>
          </w:tcPr>
          <w:p w14:paraId="6EEEDC66">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b w:val="0"/>
                <w:bCs/>
                <w:color w:val="0000FF"/>
                <w:sz w:val="21"/>
                <w:szCs w:val="21"/>
                <w:lang w:val="en-US" w:eastAsia="zh-CN"/>
              </w:rPr>
            </w:pPr>
            <w:r>
              <w:rPr>
                <w:rFonts w:hint="default" w:ascii="Times New Roman" w:hAnsi="Times New Roman" w:eastAsia="宋体" w:cs="Times New Roman"/>
                <w:color w:val="0000FF"/>
                <w:sz w:val="21"/>
                <w:szCs w:val="21"/>
                <w:lang w:val="en-US" w:eastAsia="zh-CN"/>
              </w:rPr>
              <w:t>＜0.01</w:t>
            </w:r>
          </w:p>
        </w:tc>
        <w:tc>
          <w:tcPr>
            <w:tcW w:w="414" w:type="pct"/>
            <w:tcBorders>
              <w:top w:val="single" w:color="auto" w:sz="4" w:space="0"/>
              <w:left w:val="single" w:color="auto" w:sz="6" w:space="0"/>
              <w:bottom w:val="single" w:color="auto" w:sz="4" w:space="0"/>
            </w:tcBorders>
            <w:noWrap w:val="0"/>
            <w:vAlign w:val="center"/>
          </w:tcPr>
          <w:p w14:paraId="20F679B1">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b w:val="0"/>
                <w:bCs/>
                <w:color w:val="0000FF"/>
                <w:sz w:val="21"/>
                <w:szCs w:val="21"/>
                <w:lang w:val="en-US" w:eastAsia="zh-CN"/>
              </w:rPr>
            </w:pPr>
            <w:r>
              <w:rPr>
                <w:rFonts w:hint="default" w:ascii="Times New Roman" w:hAnsi="Times New Roman" w:eastAsia="宋体" w:cs="Times New Roman"/>
                <w:color w:val="0000FF"/>
                <w:sz w:val="21"/>
                <w:szCs w:val="21"/>
                <w:lang w:val="en-US" w:eastAsia="zh-CN"/>
              </w:rPr>
              <w:t>＜1.00</w:t>
            </w:r>
          </w:p>
        </w:tc>
        <w:tc>
          <w:tcPr>
            <w:tcW w:w="446" w:type="pct"/>
            <w:tcBorders>
              <w:top w:val="single" w:color="auto" w:sz="4" w:space="0"/>
              <w:left w:val="single" w:color="auto" w:sz="6" w:space="0"/>
              <w:bottom w:val="single" w:color="auto" w:sz="4" w:space="0"/>
            </w:tcBorders>
            <w:noWrap w:val="0"/>
            <w:vAlign w:val="center"/>
          </w:tcPr>
          <w:p w14:paraId="7685D409">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b w:val="0"/>
                <w:bCs/>
                <w:color w:val="0000FF"/>
                <w:sz w:val="21"/>
                <w:szCs w:val="21"/>
                <w:lang w:val="en-US" w:eastAsia="zh-CN"/>
              </w:rPr>
            </w:pPr>
            <w:r>
              <w:rPr>
                <w:rFonts w:hint="default" w:ascii="Times New Roman" w:hAnsi="Times New Roman" w:eastAsia="宋体" w:cs="Times New Roman"/>
                <w:color w:val="0000FF"/>
                <w:sz w:val="21"/>
                <w:szCs w:val="21"/>
                <w:lang w:val="en-US" w:eastAsia="zh-CN"/>
              </w:rPr>
              <w:t>＜0.01</w:t>
            </w:r>
          </w:p>
        </w:tc>
        <w:tc>
          <w:tcPr>
            <w:tcW w:w="415" w:type="pct"/>
            <w:tcBorders>
              <w:top w:val="single" w:color="auto" w:sz="4" w:space="0"/>
              <w:left w:val="single" w:color="auto" w:sz="6" w:space="0"/>
              <w:bottom w:val="single" w:color="auto" w:sz="4" w:space="0"/>
            </w:tcBorders>
            <w:noWrap w:val="0"/>
            <w:vAlign w:val="center"/>
          </w:tcPr>
          <w:p w14:paraId="7152EABF">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宋体" w:cs="Times New Roman"/>
                <w:b w:val="0"/>
                <w:bCs/>
                <w:color w:val="0000FF"/>
                <w:sz w:val="21"/>
                <w:szCs w:val="21"/>
                <w:lang w:val="en-US" w:eastAsia="zh-CN"/>
              </w:rPr>
            </w:pPr>
            <w:r>
              <w:rPr>
                <w:rFonts w:hint="default" w:ascii="Times New Roman" w:hAnsi="Times New Roman" w:eastAsia="宋体" w:cs="Times New Roman"/>
                <w:color w:val="0000FF"/>
                <w:sz w:val="21"/>
                <w:szCs w:val="21"/>
                <w:lang w:val="en-US" w:eastAsia="zh-CN"/>
              </w:rPr>
              <w:t>＜1.00</w:t>
            </w:r>
          </w:p>
        </w:tc>
      </w:tr>
    </w:tbl>
    <w:p w14:paraId="76559616">
      <w:pPr>
        <w:spacing w:before="156" w:beforeLines="50" w:line="360" w:lineRule="auto"/>
        <w:ind w:firstLine="480" w:firstLineChars="200"/>
        <w:rPr>
          <w:rFonts w:ascii="Times New Roman" w:hAnsi="Times New Roman" w:eastAsia="宋体"/>
          <w:color w:val="0000FF"/>
          <w:sz w:val="24"/>
          <w:szCs w:val="24"/>
        </w:rPr>
      </w:pPr>
      <w:r>
        <w:rPr>
          <w:rFonts w:ascii="Times New Roman" w:hAnsi="Times New Roman" w:eastAsia="宋体"/>
          <w:color w:val="0000FF"/>
          <w:sz w:val="24"/>
          <w:szCs w:val="24"/>
        </w:rPr>
        <w:t>由监测结果可以看出，各项监测因子均能满足《地下水质量标准》（GB/T14848-2017）中的Ⅲ类标准要求。因此，项目区域地下水质量良好。</w:t>
      </w:r>
    </w:p>
    <w:p w14:paraId="29C22D41">
      <w:pPr>
        <w:pStyle w:val="2"/>
        <w:rPr>
          <w:rFonts w:hint="eastAsia" w:ascii="宋体" w:hAnsi="宋体" w:cs="宋体"/>
          <w:bCs/>
          <w:sz w:val="24"/>
          <w:szCs w:val="24"/>
          <w:lang w:val="zh-CN"/>
        </w:rPr>
      </w:pPr>
      <w:r>
        <w:rPr>
          <w:rFonts w:hint="eastAsia" w:ascii="宋体" w:hAnsi="宋体" w:cs="宋体"/>
          <w:bCs/>
          <w:sz w:val="24"/>
          <w:szCs w:val="24"/>
          <w:lang w:val="zh-CN"/>
        </w:rPr>
        <w:t>意见</w:t>
      </w:r>
      <w:r>
        <w:rPr>
          <w:rFonts w:hint="eastAsia" w:ascii="宋体" w:hAnsi="宋体" w:cs="宋体"/>
          <w:bCs/>
          <w:sz w:val="24"/>
          <w:szCs w:val="24"/>
          <w:lang w:val="en-US" w:eastAsia="zh-CN"/>
        </w:rPr>
        <w:t>8、</w:t>
      </w:r>
      <w:r>
        <w:rPr>
          <w:rFonts w:hint="eastAsia" w:ascii="宋体" w:hAnsi="宋体" w:cs="宋体"/>
          <w:bCs/>
          <w:sz w:val="24"/>
          <w:szCs w:val="24"/>
          <w:lang w:val="zh-CN"/>
        </w:rPr>
        <w:t>完善事故情况下油品及铅酸电池废液泄漏对地下水及土壤的影响分析内容。</w:t>
      </w:r>
    </w:p>
    <w:p w14:paraId="38CC82F0">
      <w:pPr>
        <w:pStyle w:val="2"/>
        <w:rPr>
          <w:rFonts w:hint="eastAsia" w:ascii="宋体" w:hAnsi="宋体" w:cs="宋体"/>
          <w:bCs/>
          <w:sz w:val="24"/>
          <w:szCs w:val="24"/>
          <w:lang w:val="zh-CN"/>
        </w:rPr>
      </w:pPr>
      <w:r>
        <w:rPr>
          <w:rFonts w:hint="eastAsia" w:ascii="宋体" w:hAnsi="宋体" w:cs="宋体"/>
          <w:bCs/>
          <w:sz w:val="24"/>
          <w:szCs w:val="24"/>
          <w:vertAlign w:val="baseline"/>
          <w:lang w:val="zh-CN"/>
        </w:rPr>
        <w:t>已修改，见报告</w:t>
      </w:r>
      <w:r>
        <w:rPr>
          <w:rFonts w:hint="eastAsia" w:ascii="宋体" w:hAnsi="宋体" w:cs="宋体"/>
          <w:bCs/>
          <w:sz w:val="24"/>
          <w:szCs w:val="24"/>
          <w:vertAlign w:val="baseline"/>
          <w:lang w:val="en-US" w:eastAsia="zh-CN"/>
        </w:rPr>
        <w:t>P65、71-72</w:t>
      </w:r>
    </w:p>
    <w:p w14:paraId="4A8D16A9">
      <w:pPr>
        <w:overflowPunct w:val="0"/>
        <w:adjustRightInd w:val="0"/>
        <w:snapToGrid w:val="0"/>
        <w:spacing w:line="360" w:lineRule="auto"/>
        <w:ind w:firstLine="482" w:firstLineChars="200"/>
        <w:rPr>
          <w:rFonts w:hint="eastAsia" w:ascii="Times New Roman" w:hAnsi="Times New Roman" w:eastAsia="宋体"/>
          <w:b/>
          <w:bCs w:val="0"/>
          <w:color w:val="0000FF"/>
          <w:sz w:val="24"/>
        </w:rPr>
      </w:pPr>
      <w:r>
        <w:rPr>
          <w:rFonts w:hint="eastAsia" w:ascii="Times New Roman" w:hAnsi="Times New Roman" w:eastAsia="宋体"/>
          <w:b/>
          <w:bCs w:val="0"/>
          <w:color w:val="0000FF"/>
          <w:sz w:val="24"/>
          <w:lang w:val="en-US" w:eastAsia="zh-CN"/>
        </w:rPr>
        <w:t>2.6</w:t>
      </w:r>
      <w:r>
        <w:rPr>
          <w:rFonts w:hint="eastAsia" w:ascii="Times New Roman" w:hAnsi="Times New Roman" w:eastAsia="宋体"/>
          <w:b/>
          <w:bCs w:val="0"/>
          <w:color w:val="0000FF"/>
          <w:sz w:val="24"/>
        </w:rPr>
        <w:t>地下水污染途径分析及评价</w:t>
      </w:r>
    </w:p>
    <w:p w14:paraId="349B82D6">
      <w:pPr>
        <w:overflowPunct w:val="0"/>
        <w:adjustRightInd w:val="0"/>
        <w:snapToGrid w:val="0"/>
        <w:spacing w:line="360" w:lineRule="auto"/>
        <w:ind w:firstLine="480" w:firstLineChars="200"/>
        <w:rPr>
          <w:rFonts w:hint="eastAsia" w:ascii="Times New Roman" w:hAnsi="Times New Roman" w:eastAsia="宋体"/>
          <w:bCs/>
          <w:color w:val="0000FF"/>
          <w:sz w:val="24"/>
        </w:rPr>
      </w:pPr>
      <w:r>
        <w:rPr>
          <w:rFonts w:hint="eastAsia" w:ascii="Times New Roman" w:hAnsi="Times New Roman" w:eastAsia="宋体"/>
          <w:bCs/>
          <w:color w:val="0000FF"/>
          <w:sz w:val="24"/>
        </w:rPr>
        <w:t>项目运行过程中用水可能会对周边地下水环境产生影响，本节分别进行正常状况、非正常状况下地下水的环境影响评价，以分析项目对周边地下水环境影响的程度。项目主要污染源有</w:t>
      </w:r>
      <w:r>
        <w:rPr>
          <w:rFonts w:hint="eastAsia" w:ascii="Times New Roman" w:hAnsi="Times New Roman" w:eastAsia="宋体"/>
          <w:bCs/>
          <w:color w:val="0000FF"/>
          <w:sz w:val="24"/>
          <w:lang w:eastAsia="zh-CN"/>
        </w:rPr>
        <w:t>废机油和废铅酸蓄电池泄漏液</w:t>
      </w:r>
      <w:r>
        <w:rPr>
          <w:rFonts w:hint="eastAsia" w:ascii="Times New Roman" w:hAnsi="Times New Roman" w:eastAsia="宋体"/>
          <w:bCs/>
          <w:color w:val="0000FF"/>
          <w:sz w:val="24"/>
        </w:rPr>
        <w:t>，渗漏造成的地下水污染途径主要是通过上部土层孔隙缓慢渗流补给地下水，污染下游地区地下水。渗漏污染方向与地下水径流方向一致。</w:t>
      </w:r>
    </w:p>
    <w:p w14:paraId="79F31E4A">
      <w:pPr>
        <w:overflowPunct w:val="0"/>
        <w:adjustRightInd w:val="0"/>
        <w:snapToGrid w:val="0"/>
        <w:spacing w:line="360" w:lineRule="auto"/>
        <w:ind w:firstLine="480" w:firstLineChars="200"/>
        <w:rPr>
          <w:rFonts w:hint="eastAsia" w:ascii="Times New Roman" w:hAnsi="Times New Roman" w:eastAsia="宋体"/>
          <w:bCs/>
          <w:color w:val="0000FF"/>
          <w:sz w:val="24"/>
        </w:rPr>
      </w:pPr>
      <w:r>
        <w:rPr>
          <w:rFonts w:hint="eastAsia" w:ascii="Times New Roman" w:hAnsi="Times New Roman" w:eastAsia="宋体"/>
          <w:bCs/>
          <w:color w:val="0000FF"/>
          <w:sz w:val="24"/>
        </w:rPr>
        <w:t>①正常状况地下水污染途径</w:t>
      </w:r>
    </w:p>
    <w:p w14:paraId="20A5681E">
      <w:pPr>
        <w:overflowPunct w:val="0"/>
        <w:adjustRightInd w:val="0"/>
        <w:snapToGrid w:val="0"/>
        <w:spacing w:line="360" w:lineRule="auto"/>
        <w:ind w:firstLine="480" w:firstLineChars="200"/>
        <w:rPr>
          <w:rFonts w:hint="eastAsia" w:ascii="Times New Roman" w:hAnsi="Times New Roman" w:eastAsia="宋体"/>
          <w:bCs/>
          <w:color w:val="0000FF"/>
          <w:sz w:val="24"/>
        </w:rPr>
      </w:pPr>
      <w:r>
        <w:rPr>
          <w:rFonts w:hint="eastAsia" w:ascii="Times New Roman" w:hAnsi="Times New Roman" w:eastAsia="宋体"/>
          <w:bCs/>
          <w:color w:val="0000FF"/>
          <w:sz w:val="24"/>
        </w:rPr>
        <w:t>正常状况下，污染源得到有效防护，污染物不会外排，微量的滴漏可能出现，可及时进行回收。因此，从源头上得到控制。本项目进行废机油</w:t>
      </w:r>
      <w:r>
        <w:rPr>
          <w:rFonts w:hint="eastAsia" w:ascii="Times New Roman" w:hAnsi="Times New Roman" w:eastAsia="宋体"/>
          <w:bCs/>
          <w:color w:val="0000FF"/>
          <w:sz w:val="24"/>
          <w:lang w:eastAsia="zh-CN"/>
        </w:rPr>
        <w:t>。废铅酸蓄电池</w:t>
      </w:r>
      <w:r>
        <w:rPr>
          <w:rFonts w:hint="eastAsia" w:ascii="Times New Roman" w:hAnsi="Times New Roman" w:eastAsia="宋体"/>
          <w:bCs/>
          <w:color w:val="0000FF"/>
          <w:sz w:val="24"/>
        </w:rPr>
        <w:t>的收集和暂存，不涉及后续处置环节，采用加盖密封的</w:t>
      </w:r>
      <w:r>
        <w:rPr>
          <w:rFonts w:hint="eastAsia" w:ascii="Times New Roman" w:hAnsi="Times New Roman" w:eastAsia="宋体"/>
          <w:bCs/>
          <w:color w:val="0000FF"/>
          <w:sz w:val="24"/>
          <w:lang w:eastAsia="zh-CN"/>
        </w:rPr>
        <w:t>耐酸容器</w:t>
      </w:r>
      <w:r>
        <w:rPr>
          <w:rFonts w:hint="eastAsia" w:ascii="Times New Roman" w:hAnsi="Times New Roman" w:eastAsia="宋体"/>
          <w:bCs/>
          <w:color w:val="0000FF"/>
          <w:sz w:val="24"/>
        </w:rPr>
        <w:t>和油罐进行分区暂存，厂区内实现全过程密闭。在施工期对厂区地面进行防渗处理，即使有少量的污染物泄漏，也很难通过防渗层渗入包气带。在正常状况下，地面经防渗处理，污染物从源头和末端均得到控制，没有污染地下水的通道，污染物渗入污染地下水发生概率较小。</w:t>
      </w:r>
    </w:p>
    <w:p w14:paraId="6503ADB6">
      <w:pPr>
        <w:overflowPunct w:val="0"/>
        <w:adjustRightInd w:val="0"/>
        <w:snapToGrid w:val="0"/>
        <w:spacing w:line="360" w:lineRule="auto"/>
        <w:ind w:firstLine="480" w:firstLineChars="200"/>
        <w:rPr>
          <w:rFonts w:hint="eastAsia" w:ascii="Times New Roman" w:hAnsi="Times New Roman" w:eastAsia="宋体"/>
          <w:bCs/>
          <w:color w:val="0000FF"/>
          <w:sz w:val="24"/>
        </w:rPr>
      </w:pPr>
      <w:r>
        <w:rPr>
          <w:rFonts w:hint="eastAsia" w:ascii="Times New Roman" w:hAnsi="Times New Roman" w:eastAsia="宋体"/>
          <w:bCs/>
          <w:color w:val="0000FF"/>
          <w:sz w:val="24"/>
        </w:rPr>
        <w:t>因此，正常情况下项目建设在严格按照防渗要求加强环保措施后，可最大限度把污染物与地下水隔离，将有效预防污废水无序扩散，由此造成地下水污染的可能性小，对下游地下水水质影响不大。</w:t>
      </w:r>
    </w:p>
    <w:p w14:paraId="09528FBC">
      <w:pPr>
        <w:overflowPunct w:val="0"/>
        <w:adjustRightInd w:val="0"/>
        <w:snapToGrid w:val="0"/>
        <w:spacing w:line="360" w:lineRule="auto"/>
        <w:ind w:firstLine="480" w:firstLineChars="200"/>
        <w:rPr>
          <w:rFonts w:hint="eastAsia" w:ascii="Times New Roman" w:hAnsi="Times New Roman" w:eastAsia="宋体"/>
          <w:bCs/>
          <w:color w:val="0000FF"/>
          <w:sz w:val="24"/>
        </w:rPr>
      </w:pPr>
      <w:r>
        <w:rPr>
          <w:rFonts w:hint="eastAsia" w:ascii="Times New Roman" w:hAnsi="Times New Roman" w:eastAsia="宋体"/>
          <w:bCs/>
          <w:color w:val="0000FF"/>
          <w:sz w:val="24"/>
        </w:rPr>
        <w:t>②非正常状况下地下水污染途径</w:t>
      </w:r>
    </w:p>
    <w:p w14:paraId="038F1784">
      <w:pPr>
        <w:overflowPunct w:val="0"/>
        <w:adjustRightInd w:val="0"/>
        <w:snapToGrid w:val="0"/>
        <w:spacing w:line="360" w:lineRule="auto"/>
        <w:ind w:firstLine="480" w:firstLineChars="200"/>
        <w:rPr>
          <w:rFonts w:hint="eastAsia" w:ascii="Times New Roman" w:hAnsi="Times New Roman" w:eastAsia="宋体"/>
          <w:bCs/>
          <w:color w:val="0000FF"/>
          <w:sz w:val="24"/>
        </w:rPr>
      </w:pPr>
      <w:r>
        <w:rPr>
          <w:rFonts w:hint="eastAsia" w:ascii="Times New Roman" w:hAnsi="Times New Roman" w:eastAsia="宋体"/>
          <w:bCs/>
          <w:color w:val="0000FF"/>
          <w:sz w:val="24"/>
        </w:rPr>
        <w:t>非正常状况是指建设项目的工艺设备或地下水环境保护措施因系统老化、腐蚀等原因不能正常运行或保护效果达不到设计要求时的运行状况。针对本项目地下水环境来说主要是指在项目在生产运行期间储油罐等污染源由于因防渗系统或管道连接等老化、腐蚀等原因不能正常运行或保护效果达不到设计时造成污染物质泄漏，从而对地下水环境造成影响的情况。</w:t>
      </w:r>
    </w:p>
    <w:p w14:paraId="1BD9897B">
      <w:pPr>
        <w:overflowPunct w:val="0"/>
        <w:adjustRightInd w:val="0"/>
        <w:snapToGrid w:val="0"/>
        <w:spacing w:line="360" w:lineRule="auto"/>
        <w:ind w:firstLine="480" w:firstLineChars="200"/>
        <w:rPr>
          <w:rFonts w:hint="eastAsia" w:ascii="Times New Roman" w:hAnsi="Times New Roman" w:eastAsia="宋体"/>
          <w:bCs/>
          <w:color w:val="0000FF"/>
          <w:sz w:val="24"/>
        </w:rPr>
      </w:pPr>
      <w:r>
        <w:rPr>
          <w:rFonts w:hint="eastAsia" w:ascii="Times New Roman" w:hAnsi="Times New Roman" w:eastAsia="宋体"/>
          <w:bCs/>
          <w:color w:val="0000FF"/>
          <w:sz w:val="24"/>
        </w:rPr>
        <w:t>本项目主要为储油罐、</w:t>
      </w:r>
      <w:r>
        <w:rPr>
          <w:rFonts w:hint="eastAsia" w:ascii="Times New Roman" w:hAnsi="Times New Roman" w:eastAsia="宋体"/>
          <w:bCs/>
          <w:color w:val="0000FF"/>
          <w:sz w:val="24"/>
          <w:lang w:eastAsia="zh-CN"/>
        </w:rPr>
        <w:t>耐酸容器</w:t>
      </w:r>
      <w:r>
        <w:rPr>
          <w:rFonts w:hint="eastAsia" w:ascii="Times New Roman" w:hAnsi="Times New Roman" w:eastAsia="宋体"/>
          <w:bCs/>
          <w:color w:val="0000FF"/>
          <w:sz w:val="24"/>
        </w:rPr>
        <w:t>，会出现非正常状况下，污染物穿过损坏或不合格的防渗层、未防渗的地面等，泄漏的污染物在重力作用下从地表逐步渗入深层，并造成局部的地下水环境受到污染，泄漏的污染物随地下水的流动不断扩散，最后导致地下水污染范围不断扩大，假设项目环境管理水平高，在非正常状况下企业环境管理人员及时发现并在一定时间内，采取措施对防渗措施进行修复，污染物即被切断，因此项目非正常状况下对地下水的污染途径可定义为间歇入渗型。</w:t>
      </w:r>
    </w:p>
    <w:p w14:paraId="0F92ADA4">
      <w:pPr>
        <w:overflowPunct w:val="0"/>
        <w:adjustRightInd w:val="0"/>
        <w:snapToGrid w:val="0"/>
        <w:spacing w:line="360" w:lineRule="auto"/>
        <w:ind w:firstLine="480" w:firstLineChars="200"/>
        <w:rPr>
          <w:rFonts w:hint="eastAsia" w:ascii="Times New Roman" w:hAnsi="Times New Roman" w:eastAsia="宋体"/>
          <w:bCs/>
          <w:color w:val="0000FF"/>
          <w:sz w:val="24"/>
        </w:rPr>
      </w:pPr>
      <w:r>
        <w:rPr>
          <w:rFonts w:hint="eastAsia" w:ascii="Times New Roman" w:hAnsi="Times New Roman" w:eastAsia="宋体"/>
          <w:bCs/>
          <w:color w:val="0000FF"/>
          <w:sz w:val="24"/>
        </w:rPr>
        <w:t>③事故状态</w:t>
      </w:r>
    </w:p>
    <w:p w14:paraId="289EC6F8">
      <w:pPr>
        <w:overflowPunct w:val="0"/>
        <w:adjustRightInd w:val="0"/>
        <w:snapToGrid w:val="0"/>
        <w:spacing w:line="360" w:lineRule="auto"/>
        <w:ind w:firstLine="480" w:firstLineChars="200"/>
        <w:rPr>
          <w:rFonts w:hint="eastAsia" w:ascii="Times New Roman" w:hAnsi="Times New Roman" w:eastAsia="宋体"/>
          <w:bCs/>
          <w:color w:val="0000FF"/>
          <w:sz w:val="24"/>
        </w:rPr>
      </w:pPr>
      <w:r>
        <w:rPr>
          <w:rFonts w:hint="eastAsia" w:ascii="Times New Roman" w:hAnsi="Times New Roman" w:eastAsia="宋体"/>
          <w:bCs/>
          <w:color w:val="0000FF"/>
          <w:sz w:val="24"/>
        </w:rPr>
        <w:t>事故状况是指厂区装置发生重大事故，造成有废机油</w:t>
      </w:r>
      <w:r>
        <w:rPr>
          <w:rFonts w:hint="eastAsia" w:ascii="Times New Roman" w:hAnsi="Times New Roman" w:eastAsia="宋体"/>
          <w:bCs/>
          <w:color w:val="0000FF"/>
          <w:sz w:val="24"/>
          <w:lang w:eastAsia="zh-CN"/>
        </w:rPr>
        <w:t>、废铅酸蓄电池</w:t>
      </w:r>
      <w:r>
        <w:rPr>
          <w:rFonts w:hint="eastAsia" w:ascii="Times New Roman" w:hAnsi="Times New Roman" w:eastAsia="宋体"/>
          <w:bCs/>
          <w:color w:val="0000FF"/>
          <w:sz w:val="24"/>
        </w:rPr>
        <w:t>的大量泄漏，引起火灾、爆炸险情，大量的污染物混入消防废水或液态物料得不到及时有效收集和处理，通过包气带渗入地下水中，造成地下水重大污染事故，由于事故造成污染物外泄数量多，散落流失面积大，回收或收集处理难度大，可能长期流失在地表环境中，因此，成为地下水的面状长期污染源。</w:t>
      </w:r>
    </w:p>
    <w:p w14:paraId="566C88D1">
      <w:pPr>
        <w:tabs>
          <w:tab w:val="left" w:pos="1091"/>
        </w:tabs>
        <w:adjustRightInd w:val="0"/>
        <w:snapToGrid w:val="0"/>
        <w:spacing w:line="360" w:lineRule="auto"/>
        <w:ind w:firstLine="472" w:firstLineChars="196"/>
        <w:rPr>
          <w:rFonts w:hint="eastAsia" w:ascii="Times New Roman" w:hAnsi="Times New Roman" w:eastAsia="宋体"/>
          <w:b/>
          <w:bCs/>
          <w:color w:val="0000FF"/>
          <w:sz w:val="24"/>
          <w:szCs w:val="24"/>
          <w:lang w:eastAsia="zh-CN"/>
        </w:rPr>
      </w:pPr>
      <w:r>
        <w:rPr>
          <w:rFonts w:ascii="Times New Roman" w:hAnsi="Times New Roman" w:eastAsia="宋体"/>
          <w:b/>
          <w:bCs/>
          <w:color w:val="0000FF"/>
          <w:sz w:val="24"/>
          <w:szCs w:val="24"/>
        </w:rPr>
        <w:t>6.</w:t>
      </w:r>
      <w:r>
        <w:rPr>
          <w:rFonts w:hint="eastAsia" w:ascii="Times New Roman" w:hAnsi="Times New Roman" w:eastAsia="宋体"/>
          <w:b/>
          <w:bCs/>
          <w:color w:val="0000FF"/>
          <w:sz w:val="24"/>
          <w:szCs w:val="24"/>
          <w:lang w:val="en-US" w:eastAsia="zh-CN"/>
        </w:rPr>
        <w:t>2事故</w:t>
      </w:r>
      <w:r>
        <w:rPr>
          <w:rFonts w:ascii="Times New Roman" w:hAnsi="Times New Roman" w:eastAsia="宋体"/>
          <w:b/>
          <w:bCs/>
          <w:color w:val="0000FF"/>
          <w:sz w:val="24"/>
          <w:szCs w:val="24"/>
        </w:rPr>
        <w:t>污染状况</w:t>
      </w:r>
    </w:p>
    <w:p w14:paraId="5846F0D3">
      <w:pPr>
        <w:tabs>
          <w:tab w:val="left" w:pos="1091"/>
        </w:tabs>
        <w:adjustRightInd w:val="0"/>
        <w:snapToGrid w:val="0"/>
        <w:spacing w:line="360" w:lineRule="auto"/>
        <w:ind w:firstLine="470" w:firstLineChars="196"/>
        <w:rPr>
          <w:rFonts w:hint="eastAsia" w:ascii="Times New Roman" w:hAnsi="Times New Roman" w:eastAsia="宋体"/>
          <w:color w:val="0000FF"/>
          <w:sz w:val="24"/>
          <w:szCs w:val="24"/>
          <w:lang w:eastAsia="zh-CN"/>
        </w:rPr>
      </w:pPr>
      <w:r>
        <w:rPr>
          <w:rFonts w:ascii="Times New Roman" w:hAnsi="Times New Roman" w:eastAsia="宋体"/>
          <w:color w:val="0000FF"/>
          <w:sz w:val="24"/>
          <w:szCs w:val="24"/>
        </w:rPr>
        <w:t>本企业土壤污染主要是废机油泄漏至外环境，对地块造成的土壤污染。对土壤环境的影响分析如下：</w:t>
      </w:r>
    </w:p>
    <w:p w14:paraId="35CA323C">
      <w:pPr>
        <w:tabs>
          <w:tab w:val="left" w:pos="1091"/>
        </w:tabs>
        <w:adjustRightInd w:val="0"/>
        <w:snapToGrid w:val="0"/>
        <w:spacing w:line="360" w:lineRule="auto"/>
        <w:ind w:firstLine="470" w:firstLineChars="196"/>
        <w:rPr>
          <w:rFonts w:hint="eastAsia" w:ascii="Times New Roman" w:hAnsi="Times New Roman" w:eastAsia="宋体"/>
          <w:color w:val="0000FF"/>
          <w:sz w:val="24"/>
          <w:szCs w:val="24"/>
          <w:lang w:eastAsia="zh-CN"/>
        </w:rPr>
      </w:pPr>
      <w:r>
        <w:rPr>
          <w:rFonts w:ascii="Times New Roman" w:hAnsi="Times New Roman" w:eastAsia="宋体"/>
          <w:color w:val="0000FF"/>
          <w:sz w:val="24"/>
          <w:szCs w:val="24"/>
        </w:rPr>
        <w:t>（1）废机油泄露对土壤的污染，有别于工业和生活污水对土壤污染。当废机油流入土壤，会灌满一定深度土壤的空隙，影响土壤的通透性，破坏原有的土壤水、气和固的三相结构，影响土壤中微生物的生长，从而影响土壤中植物根系的呼吸及水分养料的吸收，甚至使植物根系腐烂坏死，危害植物的生长。</w:t>
      </w:r>
    </w:p>
    <w:p w14:paraId="01D4452F">
      <w:pPr>
        <w:tabs>
          <w:tab w:val="left" w:pos="1091"/>
        </w:tabs>
        <w:adjustRightInd w:val="0"/>
        <w:snapToGrid w:val="0"/>
        <w:spacing w:line="360" w:lineRule="auto"/>
        <w:ind w:firstLine="470" w:firstLineChars="196"/>
        <w:rPr>
          <w:rFonts w:hint="eastAsia" w:ascii="Times New Roman" w:hAnsi="Times New Roman" w:eastAsia="宋体"/>
          <w:color w:val="0000FF"/>
          <w:sz w:val="24"/>
          <w:szCs w:val="24"/>
          <w:lang w:eastAsia="zh-CN"/>
        </w:rPr>
      </w:pPr>
      <w:r>
        <w:rPr>
          <w:rFonts w:ascii="Times New Roman" w:hAnsi="Times New Roman" w:eastAsia="宋体"/>
          <w:color w:val="0000FF"/>
          <w:sz w:val="24"/>
          <w:szCs w:val="24"/>
        </w:rPr>
        <w:t>（2）因为废机油富含反应基能与无机氮、磷结合并限制硝化作用和脱磷酸作用，从而使土壤有机氮、磷的含量减少，影响作物的营养吸收。</w:t>
      </w:r>
    </w:p>
    <w:p w14:paraId="41A8872A">
      <w:pPr>
        <w:tabs>
          <w:tab w:val="left" w:pos="1091"/>
        </w:tabs>
        <w:adjustRightInd w:val="0"/>
        <w:snapToGrid w:val="0"/>
        <w:spacing w:line="360" w:lineRule="auto"/>
        <w:ind w:firstLine="470" w:firstLineChars="196"/>
        <w:rPr>
          <w:rFonts w:hint="eastAsia" w:ascii="Times New Roman" w:hAnsi="Times New Roman" w:eastAsia="宋体"/>
          <w:color w:val="0000FF"/>
          <w:sz w:val="24"/>
          <w:szCs w:val="24"/>
          <w:lang w:eastAsia="zh-CN"/>
        </w:rPr>
      </w:pPr>
      <w:r>
        <w:rPr>
          <w:rFonts w:ascii="Times New Roman" w:hAnsi="Times New Roman" w:eastAsia="宋体"/>
          <w:color w:val="0000FF"/>
          <w:sz w:val="24"/>
          <w:szCs w:val="24"/>
        </w:rPr>
        <w:t>（3）由于废机油的粘稠性，废机油在土壤中将原本散状的土壤颗粒，胶粘在一起，改变了土壤原有的结构特征，不利于土壤中的微生物的生长和繁殖，也不利于土壤中植物根系的生长与对土壤有机物的吸收和输运，加剧了对土壤的污染。</w:t>
      </w:r>
    </w:p>
    <w:p w14:paraId="1C9FEAEE">
      <w:pPr>
        <w:tabs>
          <w:tab w:val="left" w:pos="1091"/>
        </w:tabs>
        <w:adjustRightInd w:val="0"/>
        <w:snapToGrid w:val="0"/>
        <w:spacing w:line="360" w:lineRule="auto"/>
        <w:ind w:firstLine="470" w:firstLineChars="196"/>
        <w:rPr>
          <w:rFonts w:hint="eastAsia" w:ascii="Times New Roman" w:hAnsi="Times New Roman" w:eastAsia="宋体"/>
          <w:color w:val="0000FF"/>
          <w:sz w:val="24"/>
          <w:szCs w:val="24"/>
          <w:lang w:eastAsia="zh-CN"/>
        </w:rPr>
      </w:pPr>
      <w:r>
        <w:rPr>
          <w:rFonts w:ascii="Times New Roman" w:hAnsi="Times New Roman" w:eastAsia="宋体"/>
          <w:color w:val="0000FF"/>
          <w:sz w:val="24"/>
          <w:szCs w:val="24"/>
        </w:rPr>
        <w:t>（4）土壤中的石油会不断扩散到他处或深处，其中烃不易被土壤吸附的部分能渗入地下水，污染地下水，导致地下水水质恶化。</w:t>
      </w:r>
    </w:p>
    <w:p w14:paraId="269ED2CC">
      <w:pPr>
        <w:tabs>
          <w:tab w:val="left" w:pos="1091"/>
        </w:tabs>
        <w:adjustRightInd w:val="0"/>
        <w:snapToGrid w:val="0"/>
        <w:spacing w:line="360" w:lineRule="auto"/>
        <w:ind w:firstLine="472" w:firstLineChars="196"/>
        <w:rPr>
          <w:rFonts w:hint="eastAsia" w:ascii="Times New Roman" w:hAnsi="Times New Roman" w:eastAsia="宋体"/>
          <w:color w:val="0000FF"/>
          <w:sz w:val="24"/>
          <w:szCs w:val="24"/>
          <w:lang w:eastAsia="zh-CN"/>
        </w:rPr>
      </w:pPr>
      <w:r>
        <w:rPr>
          <w:rFonts w:ascii="Times New Roman" w:hAnsi="Times New Roman" w:eastAsia="宋体"/>
          <w:b/>
          <w:bCs/>
          <w:color w:val="0000FF"/>
          <w:sz w:val="24"/>
          <w:szCs w:val="24"/>
        </w:rPr>
        <w:t>6.2处置措施</w:t>
      </w:r>
    </w:p>
    <w:p w14:paraId="4A424AA7">
      <w:pPr>
        <w:tabs>
          <w:tab w:val="left" w:pos="1091"/>
        </w:tabs>
        <w:adjustRightInd w:val="0"/>
        <w:snapToGrid w:val="0"/>
        <w:spacing w:line="360" w:lineRule="auto"/>
        <w:ind w:firstLine="470" w:firstLineChars="196"/>
        <w:rPr>
          <w:rFonts w:hint="eastAsia" w:ascii="Times New Roman" w:hAnsi="Times New Roman" w:eastAsia="宋体"/>
          <w:color w:val="0000FF"/>
          <w:sz w:val="24"/>
          <w:szCs w:val="24"/>
          <w:lang w:eastAsia="zh-CN"/>
        </w:rPr>
      </w:pPr>
      <w:r>
        <w:rPr>
          <w:rFonts w:ascii="Times New Roman" w:hAnsi="Times New Roman" w:eastAsia="宋体"/>
          <w:color w:val="0000FF"/>
          <w:sz w:val="24"/>
          <w:szCs w:val="24"/>
        </w:rPr>
        <w:t>（1）当发生土壤污染时，首先应根据企业土壤环境污染事件影响范围和程度，转移、撤离或疏散可能受到危害的企业工作人员或周边居民，并进行妥善安置；</w:t>
      </w:r>
    </w:p>
    <w:p w14:paraId="354E728F">
      <w:pPr>
        <w:tabs>
          <w:tab w:val="left" w:pos="1091"/>
        </w:tabs>
        <w:adjustRightInd w:val="0"/>
        <w:snapToGrid w:val="0"/>
        <w:spacing w:line="360" w:lineRule="auto"/>
        <w:ind w:firstLine="470" w:firstLineChars="196"/>
        <w:rPr>
          <w:rFonts w:hint="eastAsia" w:ascii="Times New Roman" w:hAnsi="Times New Roman" w:eastAsia="宋体"/>
          <w:color w:val="0000FF"/>
          <w:sz w:val="24"/>
          <w:szCs w:val="24"/>
          <w:lang w:eastAsia="zh-CN"/>
        </w:rPr>
      </w:pPr>
      <w:r>
        <w:rPr>
          <w:rFonts w:ascii="Times New Roman" w:hAnsi="Times New Roman" w:eastAsia="宋体"/>
          <w:color w:val="0000FF"/>
          <w:sz w:val="24"/>
          <w:szCs w:val="24"/>
        </w:rPr>
        <w:t>（2）然后值班应急人员迅速关闭泄漏源或关闭相应生产工序，采取截留、围堰、堵漏等措施控制危害源，必要时进行停产；再次通过开展土壤环境污染和生态破坏情况监测、评估工作，核实确定污染物性质、事件危害区域及危害程度，制定相应的环境污染治理和生态修复措施；</w:t>
      </w:r>
    </w:p>
    <w:p w14:paraId="65DD0FFA">
      <w:pPr>
        <w:tabs>
          <w:tab w:val="left" w:pos="1091"/>
        </w:tabs>
        <w:adjustRightInd w:val="0"/>
        <w:snapToGrid w:val="0"/>
        <w:spacing w:line="360" w:lineRule="auto"/>
        <w:ind w:firstLine="470" w:firstLineChars="196"/>
        <w:rPr>
          <w:rFonts w:hint="eastAsia" w:ascii="Times New Roman" w:hAnsi="Times New Roman" w:eastAsia="宋体"/>
          <w:color w:val="0000FF"/>
          <w:sz w:val="24"/>
          <w:szCs w:val="24"/>
          <w:lang w:eastAsia="zh-CN"/>
        </w:rPr>
      </w:pPr>
      <w:r>
        <w:rPr>
          <w:rFonts w:ascii="Times New Roman" w:hAnsi="Times New Roman" w:eastAsia="宋体"/>
          <w:color w:val="0000FF"/>
          <w:sz w:val="24"/>
          <w:szCs w:val="24"/>
        </w:rPr>
        <w:t>（3）对于企业贮存、输送等过程少量泄露造成的污染土壤地块，用沙土、蛭石或其他惰性材料吸收残留的液体，采取深挖、扩大面积收集被污染的土壤，利用耐酸碱腐蚀容器将收集的土壤转移至专业场所处置消解，外购渣土进行复原，种植相关植物进行生态恢复；</w:t>
      </w:r>
    </w:p>
    <w:p w14:paraId="14B877BB">
      <w:pPr>
        <w:tabs>
          <w:tab w:val="left" w:pos="1091"/>
        </w:tabs>
        <w:adjustRightInd w:val="0"/>
        <w:snapToGrid w:val="0"/>
        <w:spacing w:line="360" w:lineRule="auto"/>
        <w:ind w:firstLine="470" w:firstLineChars="196"/>
        <w:rPr>
          <w:rFonts w:hint="eastAsia" w:ascii="Times New Roman" w:hAnsi="Times New Roman" w:eastAsia="宋体"/>
          <w:color w:val="0000FF"/>
          <w:sz w:val="24"/>
          <w:szCs w:val="24"/>
          <w:lang w:eastAsia="zh-CN"/>
        </w:rPr>
      </w:pPr>
      <w:r>
        <w:rPr>
          <w:rFonts w:ascii="Times New Roman" w:hAnsi="Times New Roman" w:eastAsia="宋体"/>
          <w:color w:val="0000FF"/>
          <w:sz w:val="24"/>
          <w:szCs w:val="24"/>
        </w:rPr>
        <w:t>（4）被污染的地块采用吸附法和植物法相结合的方式进行降解处置，收集处理后的土壤，种植植物进一步对土壤中的污染物进行富集，同时种植植被起到生态环境稳定修复的作用，制定相关应急预案及土壤监测计划</w:t>
      </w:r>
      <w:r>
        <w:rPr>
          <w:rStyle w:val="14"/>
          <w:rFonts w:hint="eastAsia"/>
          <w:color w:val="0000FF"/>
          <w:lang w:eastAsia="zh-CN"/>
        </w:rPr>
        <w:t>。</w:t>
      </w:r>
    </w:p>
    <w:p w14:paraId="36B938A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24"/>
          <w:lang w:val="zh-CN"/>
        </w:rPr>
      </w:pPr>
    </w:p>
    <w:p w14:paraId="2002CEE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24"/>
          <w:lang w:val="zh-CN"/>
        </w:rPr>
      </w:pPr>
      <w:r>
        <w:rPr>
          <w:rFonts w:hint="eastAsia"/>
          <w:b/>
          <w:bCs/>
          <w:sz w:val="24"/>
          <w:szCs w:val="24"/>
          <w:lang w:val="zh-CN"/>
        </w:rPr>
        <w:t>意见</w:t>
      </w:r>
      <w:r>
        <w:rPr>
          <w:rFonts w:hint="eastAsia"/>
          <w:b/>
          <w:bCs/>
          <w:sz w:val="24"/>
          <w:szCs w:val="24"/>
          <w:lang w:val="en-US" w:eastAsia="zh-CN"/>
        </w:rPr>
        <w:t>9、</w:t>
      </w:r>
      <w:r>
        <w:rPr>
          <w:rFonts w:hint="eastAsia"/>
          <w:b/>
          <w:bCs/>
          <w:sz w:val="24"/>
          <w:szCs w:val="24"/>
          <w:lang w:val="zh-CN"/>
        </w:rPr>
        <w:t>按环境风险评价导则要求，进一步完善环境风险评价内容。细化环境风险防范措施，补充环境风险评价自查表。</w:t>
      </w:r>
    </w:p>
    <w:p w14:paraId="35271887">
      <w:pPr>
        <w:pStyle w:val="2"/>
        <w:rPr>
          <w:rFonts w:hint="eastAsia" w:ascii="宋体" w:hAnsi="宋体" w:cs="宋体"/>
          <w:bCs/>
          <w:sz w:val="24"/>
          <w:szCs w:val="24"/>
          <w:vertAlign w:val="baseline"/>
          <w:lang w:val="en-US" w:eastAsia="zh-CN"/>
        </w:rPr>
      </w:pPr>
      <w:r>
        <w:rPr>
          <w:rFonts w:hint="eastAsia" w:ascii="宋体" w:hAnsi="宋体" w:cs="宋体"/>
          <w:bCs/>
          <w:sz w:val="24"/>
          <w:szCs w:val="24"/>
          <w:vertAlign w:val="baseline"/>
          <w:lang w:val="zh-CN"/>
        </w:rPr>
        <w:t>已修改，见报告</w:t>
      </w:r>
      <w:r>
        <w:rPr>
          <w:rFonts w:hint="eastAsia" w:ascii="宋体" w:hAnsi="宋体" w:cs="宋体"/>
          <w:bCs/>
          <w:sz w:val="24"/>
          <w:szCs w:val="24"/>
          <w:vertAlign w:val="baseline"/>
          <w:lang w:val="en-US" w:eastAsia="zh-CN"/>
        </w:rPr>
        <w:t>P85-86。</w:t>
      </w:r>
    </w:p>
    <w:p w14:paraId="651480CE">
      <w:pPr>
        <w:keepNext w:val="0"/>
        <w:keepLines w:val="0"/>
        <w:suppressLineNumbers w:val="0"/>
        <w:spacing w:before="0" w:beforeAutospacing="0" w:after="0" w:afterAutospacing="0" w:line="360" w:lineRule="auto"/>
        <w:ind w:left="0" w:right="0" w:firstLine="482" w:firstLineChars="200"/>
        <w:rPr>
          <w:rFonts w:hint="default" w:ascii="Times New Roman" w:hAnsi="Times New Roman" w:eastAsia="宋体" w:cs="Times New Roman"/>
          <w:b/>
          <w:bCs/>
          <w:color w:val="0000FF"/>
          <w:sz w:val="24"/>
          <w:szCs w:val="24"/>
        </w:rPr>
      </w:pPr>
      <w:r>
        <w:rPr>
          <w:rFonts w:hint="eastAsia" w:cs="Times New Roman"/>
          <w:b/>
          <w:bCs/>
          <w:color w:val="0000FF"/>
          <w:sz w:val="24"/>
          <w:szCs w:val="24"/>
          <w:lang w:val="en-US" w:eastAsia="zh-CN"/>
        </w:rPr>
        <w:t>7.7</w:t>
      </w:r>
      <w:r>
        <w:rPr>
          <w:rFonts w:hint="default" w:ascii="Times New Roman" w:hAnsi="Times New Roman" w:eastAsia="宋体" w:cs="Times New Roman"/>
          <w:b/>
          <w:bCs/>
          <w:color w:val="0000FF"/>
          <w:sz w:val="24"/>
          <w:szCs w:val="24"/>
        </w:rPr>
        <w:t>风险评价结论</w:t>
      </w:r>
    </w:p>
    <w:p w14:paraId="57138BA4">
      <w:pPr>
        <w:keepNext w:val="0"/>
        <w:keepLines w:val="0"/>
        <w:suppressLineNumbers w:val="0"/>
        <w:spacing w:before="0" w:beforeAutospacing="0" w:after="0" w:afterAutospacing="0" w:line="360" w:lineRule="auto"/>
        <w:ind w:left="0" w:right="0" w:firstLine="480" w:firstLineChars="200"/>
        <w:rPr>
          <w:rFonts w:hint="default" w:ascii="Times New Roman" w:hAnsi="Times New Roman" w:eastAsia="宋体" w:cs="Times New Roman"/>
          <w:color w:val="0000FF"/>
          <w:sz w:val="24"/>
          <w:szCs w:val="24"/>
        </w:rPr>
      </w:pPr>
      <w:r>
        <w:rPr>
          <w:rFonts w:hint="default" w:ascii="Times New Roman" w:hAnsi="Times New Roman" w:eastAsia="宋体" w:cs="Times New Roman"/>
          <w:color w:val="0000FF"/>
          <w:sz w:val="24"/>
          <w:szCs w:val="24"/>
        </w:rPr>
        <w:t>本项目风险潜势为I，进行简单分析，具体如下表。</w:t>
      </w:r>
    </w:p>
    <w:p w14:paraId="5283DACF">
      <w:pPr>
        <w:keepNext w:val="0"/>
        <w:keepLines w:val="0"/>
        <w:suppressLineNumbers w:val="0"/>
        <w:spacing w:before="0" w:beforeAutospacing="0" w:after="0" w:afterAutospacing="0"/>
        <w:ind w:left="0" w:right="0"/>
        <w:jc w:val="center"/>
        <w:rPr>
          <w:rFonts w:hint="default" w:ascii="Times New Roman" w:hAnsi="Times New Roman" w:eastAsia="宋体" w:cs="Times New Roman"/>
          <w:b/>
          <w:bCs/>
          <w:color w:val="0000FF"/>
          <w:szCs w:val="22"/>
        </w:rPr>
      </w:pPr>
      <w:r>
        <w:rPr>
          <w:rFonts w:hint="default" w:ascii="Times New Roman" w:hAnsi="Times New Roman" w:eastAsia="宋体" w:cs="Times New Roman"/>
          <w:b/>
          <w:bCs/>
          <w:color w:val="0000FF"/>
          <w:szCs w:val="22"/>
        </w:rPr>
        <w:t>表</w:t>
      </w:r>
      <w:r>
        <w:rPr>
          <w:rFonts w:hint="eastAsia" w:cs="Times New Roman"/>
          <w:b/>
          <w:bCs/>
          <w:color w:val="0000FF"/>
          <w:szCs w:val="22"/>
          <w:lang w:val="en-US" w:eastAsia="zh-CN"/>
        </w:rPr>
        <w:t>5-9</w:t>
      </w:r>
      <w:r>
        <w:rPr>
          <w:rFonts w:hint="default" w:ascii="Times New Roman" w:hAnsi="Times New Roman" w:eastAsia="宋体" w:cs="Times New Roman"/>
          <w:b/>
          <w:bCs/>
          <w:color w:val="0000FF"/>
          <w:szCs w:val="22"/>
        </w:rPr>
        <w:t>建设项目环境风险简单分析内容表</w:t>
      </w:r>
    </w:p>
    <w:tbl>
      <w:tblPr>
        <w:tblStyle w:val="11"/>
        <w:tblW w:w="9071" w:type="dxa"/>
        <w:tblInd w:w="5"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589"/>
        <w:gridCol w:w="6482"/>
      </w:tblGrid>
      <w:tr w14:paraId="2F00839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2589" w:type="dxa"/>
            <w:tcBorders>
              <w:top w:val="single" w:color="auto" w:sz="12" w:space="0"/>
              <w:bottom w:val="single" w:color="auto" w:sz="12" w:space="0"/>
              <w:right w:val="single" w:color="auto" w:sz="4" w:space="0"/>
            </w:tcBorders>
            <w:noWrap w:val="0"/>
            <w:vAlign w:val="center"/>
          </w:tcPr>
          <w:p w14:paraId="4D2C7DFE">
            <w:pPr>
              <w:keepNext w:val="0"/>
              <w:keepLines w:val="0"/>
              <w:suppressLineNumbers w:val="0"/>
              <w:spacing w:before="0" w:beforeAutospacing="0" w:after="0" w:afterAutospacing="0"/>
              <w:ind w:left="0" w:right="0"/>
              <w:jc w:val="center"/>
              <w:rPr>
                <w:rFonts w:hint="default" w:ascii="Times New Roman" w:hAnsi="Times New Roman" w:eastAsia="宋体" w:cs="Times New Roman"/>
                <w:b/>
                <w:bCs/>
                <w:color w:val="0000FF"/>
                <w:szCs w:val="21"/>
              </w:rPr>
            </w:pPr>
            <w:r>
              <w:rPr>
                <w:rFonts w:hint="default" w:ascii="Times New Roman" w:hAnsi="Times New Roman" w:eastAsia="宋体" w:cs="Times New Roman"/>
                <w:b/>
                <w:bCs/>
                <w:color w:val="0000FF"/>
                <w:szCs w:val="21"/>
              </w:rPr>
              <w:t>建设项目名称</w:t>
            </w:r>
          </w:p>
        </w:tc>
        <w:tc>
          <w:tcPr>
            <w:tcW w:w="6482" w:type="dxa"/>
            <w:tcBorders>
              <w:top w:val="single" w:color="auto" w:sz="12" w:space="0"/>
              <w:left w:val="single" w:color="auto" w:sz="4" w:space="0"/>
              <w:bottom w:val="single" w:color="auto" w:sz="12" w:space="0"/>
            </w:tcBorders>
            <w:noWrap w:val="0"/>
            <w:vAlign w:val="center"/>
          </w:tcPr>
          <w:p w14:paraId="47F23508">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lang w:eastAsia="zh-CN"/>
              </w:rPr>
            </w:pPr>
            <w:r>
              <w:rPr>
                <w:rFonts w:hint="default" w:ascii="Times New Roman" w:hAnsi="Times New Roman" w:eastAsia="宋体"/>
                <w:color w:val="0000FF"/>
                <w:sz w:val="24"/>
                <w:lang w:val="en-US" w:eastAsia="zh-CN"/>
              </w:rPr>
              <w:t>新疆鸿裕翔能源环保科技有限公司</w:t>
            </w:r>
            <w:r>
              <w:rPr>
                <w:rFonts w:hint="eastAsia" w:ascii="Times New Roman" w:hAnsi="Times New Roman" w:eastAsia="宋体"/>
                <w:color w:val="0000FF"/>
                <w:sz w:val="24"/>
                <w:lang w:val="en-US" w:eastAsia="zh-CN"/>
              </w:rPr>
              <w:t>废机油、废铅蓄电池的回收建设项目</w:t>
            </w:r>
          </w:p>
        </w:tc>
      </w:tr>
      <w:tr w14:paraId="639CCF4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2589" w:type="dxa"/>
            <w:tcBorders>
              <w:top w:val="single" w:color="auto" w:sz="12" w:space="0"/>
              <w:bottom w:val="single" w:color="auto" w:sz="4" w:space="0"/>
              <w:right w:val="single" w:color="auto" w:sz="4" w:space="0"/>
            </w:tcBorders>
            <w:noWrap w:val="0"/>
            <w:vAlign w:val="center"/>
          </w:tcPr>
          <w:p w14:paraId="058B097D">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建设地点</w:t>
            </w:r>
          </w:p>
        </w:tc>
        <w:tc>
          <w:tcPr>
            <w:tcW w:w="6482" w:type="dxa"/>
            <w:tcBorders>
              <w:top w:val="single" w:color="auto" w:sz="12" w:space="0"/>
              <w:left w:val="single" w:color="auto" w:sz="4" w:space="0"/>
              <w:bottom w:val="single" w:color="auto" w:sz="4" w:space="0"/>
            </w:tcBorders>
            <w:noWrap w:val="0"/>
            <w:vAlign w:val="center"/>
          </w:tcPr>
          <w:p w14:paraId="71FF979D">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 w:val="21"/>
                <w:szCs w:val="21"/>
                <w:lang w:val="en-US" w:eastAsia="zh-CN"/>
              </w:rPr>
            </w:pPr>
            <w:r>
              <w:rPr>
                <w:rFonts w:hint="eastAsia" w:ascii="Times New Roman" w:hAnsi="Times New Roman" w:eastAsia="宋体"/>
                <w:color w:val="0000FF"/>
                <w:sz w:val="24"/>
                <w:lang w:eastAsia="zh-CN"/>
              </w:rPr>
              <w:t>新疆奇台县新港物流</w:t>
            </w:r>
            <w:r>
              <w:rPr>
                <w:rFonts w:hint="default" w:ascii="Times New Roman" w:hAnsi="Times New Roman" w:eastAsia="宋体" w:cs="Times New Roman"/>
                <w:color w:val="0000FF"/>
                <w:sz w:val="24"/>
                <w:lang w:eastAsia="zh-CN"/>
              </w:rPr>
              <w:t>·</w:t>
            </w:r>
            <w:r>
              <w:rPr>
                <w:rFonts w:hint="eastAsia" w:ascii="Times New Roman" w:hAnsi="Times New Roman" w:eastAsia="宋体"/>
                <w:color w:val="0000FF"/>
                <w:sz w:val="24"/>
                <w:lang w:eastAsia="zh-CN"/>
              </w:rPr>
              <w:t>新港云仓</w:t>
            </w:r>
            <w:r>
              <w:rPr>
                <w:rFonts w:ascii="Times New Roman" w:hAnsi="Times New Roman" w:eastAsia="宋体"/>
                <w:color w:val="0000FF"/>
                <w:sz w:val="24"/>
              </w:rPr>
              <w:t>厂区内</w:t>
            </w:r>
          </w:p>
        </w:tc>
      </w:tr>
      <w:tr w14:paraId="4A6551D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2589" w:type="dxa"/>
            <w:tcBorders>
              <w:top w:val="single" w:color="auto" w:sz="4" w:space="0"/>
              <w:bottom w:val="single" w:color="auto" w:sz="4" w:space="0"/>
              <w:right w:val="single" w:color="auto" w:sz="4" w:space="0"/>
            </w:tcBorders>
            <w:noWrap w:val="0"/>
            <w:vAlign w:val="center"/>
          </w:tcPr>
          <w:p w14:paraId="08FF789B">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地理坐标</w:t>
            </w:r>
          </w:p>
        </w:tc>
        <w:tc>
          <w:tcPr>
            <w:tcW w:w="6482" w:type="dxa"/>
            <w:tcBorders>
              <w:top w:val="single" w:color="auto" w:sz="4" w:space="0"/>
              <w:left w:val="single" w:color="auto" w:sz="4" w:space="0"/>
              <w:bottom w:val="single" w:color="auto" w:sz="4" w:space="0"/>
            </w:tcBorders>
            <w:noWrap w:val="0"/>
            <w:vAlign w:val="center"/>
          </w:tcPr>
          <w:p w14:paraId="11C4EED7">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 w:val="21"/>
                <w:szCs w:val="21"/>
              </w:rPr>
            </w:pPr>
            <w:r>
              <w:rPr>
                <w:rFonts w:hint="eastAsia" w:ascii="Times New Roman" w:hAnsi="Times New Roman" w:eastAsia="宋体"/>
                <w:color w:val="0000FF"/>
                <w:sz w:val="24"/>
                <w:lang w:eastAsia="zh-CN"/>
              </w:rPr>
              <w:t>E89°32′45.55″，N44°1′24.07″</w:t>
            </w:r>
          </w:p>
        </w:tc>
      </w:tr>
      <w:tr w14:paraId="4B1D256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2589" w:type="dxa"/>
            <w:tcBorders>
              <w:top w:val="single" w:color="auto" w:sz="4" w:space="0"/>
              <w:bottom w:val="single" w:color="auto" w:sz="4" w:space="0"/>
              <w:right w:val="single" w:color="auto" w:sz="4" w:space="0"/>
            </w:tcBorders>
            <w:noWrap w:val="0"/>
            <w:vAlign w:val="center"/>
          </w:tcPr>
          <w:p w14:paraId="614E9DE9">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主要危险物质及分布</w:t>
            </w:r>
          </w:p>
        </w:tc>
        <w:tc>
          <w:tcPr>
            <w:tcW w:w="6482" w:type="dxa"/>
            <w:tcBorders>
              <w:top w:val="single" w:color="auto" w:sz="4" w:space="0"/>
              <w:left w:val="single" w:color="auto" w:sz="4" w:space="0"/>
              <w:bottom w:val="single" w:color="auto" w:sz="4" w:space="0"/>
            </w:tcBorders>
            <w:noWrap w:val="0"/>
            <w:vAlign w:val="center"/>
          </w:tcPr>
          <w:p w14:paraId="294975EA">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 w:val="21"/>
                <w:szCs w:val="21"/>
                <w:lang w:eastAsia="zh-CN"/>
              </w:rPr>
            </w:pPr>
            <w:r>
              <w:rPr>
                <w:rFonts w:hint="eastAsia" w:ascii="Times New Roman" w:hAnsi="Times New Roman" w:eastAsia="宋体" w:cs="Times New Roman"/>
                <w:color w:val="0000FF"/>
                <w:sz w:val="21"/>
                <w:szCs w:val="21"/>
                <w:lang w:eastAsia="zh-CN"/>
              </w:rPr>
              <w:t>生产车间</w:t>
            </w:r>
          </w:p>
        </w:tc>
      </w:tr>
      <w:tr w14:paraId="4405C33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2589" w:type="dxa"/>
            <w:tcBorders>
              <w:top w:val="single" w:color="auto" w:sz="4" w:space="0"/>
              <w:bottom w:val="single" w:color="auto" w:sz="4" w:space="0"/>
              <w:right w:val="single" w:color="auto" w:sz="4" w:space="0"/>
            </w:tcBorders>
            <w:noWrap w:val="0"/>
            <w:vAlign w:val="center"/>
          </w:tcPr>
          <w:p w14:paraId="5D9AAC97">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环境影响途径及危害后果（大气、地表水、地下水）</w:t>
            </w:r>
          </w:p>
        </w:tc>
        <w:tc>
          <w:tcPr>
            <w:tcW w:w="6482" w:type="dxa"/>
            <w:tcBorders>
              <w:top w:val="single" w:color="auto" w:sz="4" w:space="0"/>
              <w:left w:val="single" w:color="auto" w:sz="4" w:space="0"/>
              <w:bottom w:val="single" w:color="auto" w:sz="4" w:space="0"/>
            </w:tcBorders>
            <w:noWrap w:val="0"/>
            <w:vAlign w:val="center"/>
          </w:tcPr>
          <w:p w14:paraId="61ECC9F2">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 w:val="21"/>
                <w:szCs w:val="21"/>
              </w:rPr>
            </w:pPr>
            <w:r>
              <w:rPr>
                <w:rFonts w:hint="eastAsia" w:cs="Times New Roman"/>
                <w:color w:val="0000FF"/>
                <w:sz w:val="21"/>
                <w:szCs w:val="21"/>
                <w:lang w:val="en-US" w:eastAsia="zh-CN"/>
              </w:rPr>
              <w:t>危险废物泄露</w:t>
            </w:r>
            <w:r>
              <w:rPr>
                <w:rFonts w:hint="default" w:ascii="Times New Roman" w:hAnsi="Times New Roman" w:eastAsia="宋体" w:cs="Times New Roman"/>
                <w:color w:val="0000FF"/>
                <w:sz w:val="21"/>
                <w:szCs w:val="21"/>
              </w:rPr>
              <w:t>发生事故造成水</w:t>
            </w:r>
            <w:r>
              <w:rPr>
                <w:rFonts w:hint="eastAsia" w:ascii="Times New Roman" w:hAnsi="Times New Roman" w:eastAsia="宋体" w:cs="Times New Roman"/>
                <w:color w:val="0000FF"/>
                <w:sz w:val="21"/>
                <w:szCs w:val="21"/>
                <w:lang w:eastAsia="zh-CN"/>
              </w:rPr>
              <w:t>、土壤</w:t>
            </w:r>
            <w:r>
              <w:rPr>
                <w:rFonts w:hint="default" w:ascii="Times New Roman" w:hAnsi="Times New Roman" w:eastAsia="宋体" w:cs="Times New Roman"/>
                <w:color w:val="0000FF"/>
                <w:sz w:val="21"/>
                <w:szCs w:val="21"/>
              </w:rPr>
              <w:t>污染事故</w:t>
            </w:r>
          </w:p>
        </w:tc>
      </w:tr>
      <w:tr w14:paraId="3DCE759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2589" w:type="dxa"/>
            <w:tcBorders>
              <w:top w:val="single" w:color="auto" w:sz="4" w:space="0"/>
              <w:bottom w:val="single" w:color="auto" w:sz="4" w:space="0"/>
              <w:right w:val="single" w:color="auto" w:sz="4" w:space="0"/>
            </w:tcBorders>
            <w:noWrap w:val="0"/>
            <w:vAlign w:val="center"/>
          </w:tcPr>
          <w:p w14:paraId="26CB55A8">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风险防范措施要求</w:t>
            </w:r>
          </w:p>
        </w:tc>
        <w:tc>
          <w:tcPr>
            <w:tcW w:w="6482" w:type="dxa"/>
            <w:tcBorders>
              <w:top w:val="single" w:color="auto" w:sz="4" w:space="0"/>
              <w:left w:val="single" w:color="auto" w:sz="4" w:space="0"/>
              <w:bottom w:val="single" w:color="auto" w:sz="4" w:space="0"/>
            </w:tcBorders>
            <w:noWrap w:val="0"/>
            <w:vAlign w:val="center"/>
          </w:tcPr>
          <w:p w14:paraId="4A1C8FD8">
            <w:pPr>
              <w:keepNext w:val="0"/>
              <w:keepLines w:val="0"/>
              <w:suppressLineNumbers w:val="0"/>
              <w:spacing w:before="0" w:beforeAutospacing="0" w:after="0" w:afterAutospacing="0"/>
              <w:ind w:left="0" w:right="0"/>
              <w:jc w:val="left"/>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1）该项目客观上存在着不安全因素，对周围环境存在着潜在的威胁。发生环境安全事故后，对周围环境有严重的损害，所以在贯彻“安全第一，预防为主”的方针同时，应树立环境风险意识，强化环境风险责任，体现出环境保护的内容。</w:t>
            </w:r>
          </w:p>
          <w:p w14:paraId="6E3E4756">
            <w:pPr>
              <w:keepNext w:val="0"/>
              <w:keepLines w:val="0"/>
              <w:suppressLineNumbers w:val="0"/>
              <w:spacing w:before="0" w:beforeAutospacing="0" w:after="0" w:afterAutospacing="0"/>
              <w:ind w:left="0" w:right="0"/>
              <w:jc w:val="left"/>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（2）建立严格的环境管理制度及操作规程，严格培训操作人员，严格遵守各项规章制度。</w:t>
            </w:r>
          </w:p>
          <w:p w14:paraId="4FA36F52">
            <w:pPr>
              <w:keepNext w:val="0"/>
              <w:keepLines w:val="0"/>
              <w:suppressLineNumbers w:val="0"/>
              <w:spacing w:before="0" w:beforeAutospacing="0" w:after="0" w:afterAutospacing="0"/>
              <w:ind w:left="0" w:right="0"/>
              <w:jc w:val="left"/>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（3）确保各项环保治理措施切实可行，并保证治理设施正常运行，且做到达标排放。</w:t>
            </w:r>
          </w:p>
          <w:p w14:paraId="7B675DB7">
            <w:pPr>
              <w:keepNext w:val="0"/>
              <w:keepLines w:val="0"/>
              <w:suppressLineNumbers w:val="0"/>
              <w:spacing w:before="0" w:beforeAutospacing="0" w:after="0" w:afterAutospacing="0"/>
              <w:ind w:left="0" w:right="0"/>
              <w:jc w:val="left"/>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（4）定期检查和维修环保治理设施，及时发现问题及时解决，使事故发生率降至最低。</w:t>
            </w:r>
          </w:p>
        </w:tc>
      </w:tr>
      <w:tr w14:paraId="15E708A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071" w:type="dxa"/>
            <w:gridSpan w:val="2"/>
            <w:tcBorders>
              <w:top w:val="single" w:color="auto" w:sz="4" w:space="0"/>
              <w:bottom w:val="single" w:color="auto" w:sz="12" w:space="0"/>
            </w:tcBorders>
            <w:noWrap w:val="0"/>
            <w:vAlign w:val="center"/>
          </w:tcPr>
          <w:p w14:paraId="283D3D5F">
            <w:pPr>
              <w:keepNext w:val="0"/>
              <w:keepLines w:val="0"/>
              <w:suppressLineNumbers w:val="0"/>
              <w:spacing w:before="0" w:beforeAutospacing="0" w:after="0" w:afterAutospacing="0"/>
              <w:ind w:left="0" w:right="0"/>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填表说明：</w:t>
            </w:r>
          </w:p>
          <w:p w14:paraId="468654C0">
            <w:pPr>
              <w:keepNext w:val="0"/>
              <w:keepLines w:val="0"/>
              <w:suppressLineNumbers w:val="0"/>
              <w:spacing w:before="0" w:beforeAutospacing="0" w:after="0" w:afterAutospacing="0"/>
              <w:ind w:left="0" w:right="0"/>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根据本项目污染物特性，本项目应建立独立的环境风险应急预案，并报备地环境主管部门备案。</w:t>
            </w:r>
          </w:p>
        </w:tc>
      </w:tr>
    </w:tbl>
    <w:p w14:paraId="5B7956DC">
      <w:pPr>
        <w:keepNext w:val="0"/>
        <w:keepLines w:val="0"/>
        <w:suppressLineNumbers w:val="0"/>
        <w:spacing w:before="0" w:beforeAutospacing="0" w:after="0" w:afterAutospacing="0" w:line="360" w:lineRule="auto"/>
        <w:ind w:left="0" w:right="0" w:firstLine="482" w:firstLineChars="200"/>
        <w:rPr>
          <w:rFonts w:hint="default" w:ascii="Times New Roman" w:hAnsi="Times New Roman" w:eastAsia="宋体" w:cs="Times New Roman"/>
          <w:b/>
          <w:bCs/>
          <w:color w:val="0000FF"/>
          <w:sz w:val="24"/>
          <w:szCs w:val="24"/>
        </w:rPr>
      </w:pPr>
      <w:r>
        <w:rPr>
          <w:rFonts w:hint="eastAsia" w:ascii="Times New Roman" w:hAnsi="Times New Roman" w:eastAsia="宋体" w:cs="Times New Roman"/>
          <w:b/>
          <w:bCs/>
          <w:color w:val="0000FF"/>
          <w:sz w:val="24"/>
          <w:szCs w:val="24"/>
          <w:lang w:val="en-US" w:eastAsia="zh-CN"/>
        </w:rPr>
        <w:t>7.8</w:t>
      </w:r>
      <w:r>
        <w:rPr>
          <w:rFonts w:hint="default" w:ascii="Times New Roman" w:hAnsi="Times New Roman" w:eastAsia="宋体" w:cs="Times New Roman"/>
          <w:b/>
          <w:bCs/>
          <w:color w:val="0000FF"/>
          <w:sz w:val="24"/>
          <w:szCs w:val="24"/>
        </w:rPr>
        <w:t>环境风险评价自查</w:t>
      </w:r>
    </w:p>
    <w:p w14:paraId="56A8C677">
      <w:pPr>
        <w:keepNext w:val="0"/>
        <w:keepLines w:val="0"/>
        <w:suppressLineNumbers w:val="0"/>
        <w:spacing w:before="0" w:beforeAutospacing="0" w:after="0" w:afterAutospacing="0" w:line="360" w:lineRule="auto"/>
        <w:ind w:left="0" w:right="0" w:firstLine="480" w:firstLineChars="200"/>
        <w:rPr>
          <w:rFonts w:hint="default" w:ascii="Times New Roman" w:hAnsi="Times New Roman" w:eastAsia="宋体" w:cs="Times New Roman"/>
          <w:color w:val="0000FF"/>
          <w:sz w:val="24"/>
          <w:szCs w:val="24"/>
        </w:rPr>
      </w:pPr>
      <w:r>
        <w:rPr>
          <w:rFonts w:hint="default" w:ascii="Times New Roman" w:hAnsi="Times New Roman" w:eastAsia="宋体" w:cs="Times New Roman"/>
          <w:color w:val="0000FF"/>
          <w:sz w:val="24"/>
          <w:szCs w:val="24"/>
        </w:rPr>
        <w:t>对本项目环境风险评价进行自查，具体如下表。</w:t>
      </w:r>
    </w:p>
    <w:p w14:paraId="751FC9A5">
      <w:pPr>
        <w:keepNext w:val="0"/>
        <w:keepLines w:val="0"/>
        <w:suppressLineNumbers w:val="0"/>
        <w:spacing w:before="0" w:beforeAutospacing="0" w:after="0" w:afterAutospacing="0"/>
        <w:ind w:left="0" w:right="0"/>
        <w:jc w:val="center"/>
        <w:rPr>
          <w:rFonts w:hint="default" w:ascii="Times New Roman" w:hAnsi="Times New Roman" w:eastAsia="宋体" w:cs="Times New Roman"/>
          <w:b/>
          <w:bCs/>
          <w:color w:val="0000FF"/>
          <w:szCs w:val="22"/>
        </w:rPr>
      </w:pPr>
      <w:r>
        <w:rPr>
          <w:rFonts w:hint="default" w:ascii="Times New Roman" w:hAnsi="Times New Roman" w:eastAsia="宋体" w:cs="Times New Roman"/>
          <w:b/>
          <w:bCs/>
          <w:color w:val="0000FF"/>
          <w:szCs w:val="22"/>
        </w:rPr>
        <w:t>表</w:t>
      </w:r>
      <w:r>
        <w:rPr>
          <w:rFonts w:hint="eastAsia" w:cs="Times New Roman"/>
          <w:b/>
          <w:bCs/>
          <w:color w:val="0000FF"/>
          <w:szCs w:val="22"/>
          <w:lang w:val="en-US" w:eastAsia="zh-CN"/>
        </w:rPr>
        <w:t>5-10</w:t>
      </w:r>
      <w:r>
        <w:rPr>
          <w:rFonts w:hint="default" w:ascii="Times New Roman" w:hAnsi="Times New Roman" w:eastAsia="宋体" w:cs="Times New Roman"/>
          <w:b/>
          <w:bCs/>
          <w:color w:val="0000FF"/>
          <w:szCs w:val="22"/>
        </w:rPr>
        <w:t>环境风险评价自查表</w:t>
      </w:r>
    </w:p>
    <w:tbl>
      <w:tblPr>
        <w:tblStyle w:val="11"/>
        <w:tblW w:w="4999"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545"/>
        <w:gridCol w:w="956"/>
        <w:gridCol w:w="1217"/>
        <w:gridCol w:w="913"/>
        <w:gridCol w:w="538"/>
        <w:gridCol w:w="436"/>
        <w:gridCol w:w="402"/>
        <w:gridCol w:w="452"/>
        <w:gridCol w:w="734"/>
        <w:gridCol w:w="872"/>
        <w:gridCol w:w="723"/>
        <w:gridCol w:w="732"/>
      </w:tblGrid>
      <w:tr w14:paraId="3BB397D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881" w:type="pct"/>
            <w:gridSpan w:val="2"/>
            <w:tcBorders>
              <w:top w:val="single" w:color="auto" w:sz="12" w:space="0"/>
              <w:bottom w:val="single" w:color="auto" w:sz="12" w:space="0"/>
              <w:right w:val="single" w:color="auto" w:sz="4" w:space="0"/>
            </w:tcBorders>
            <w:noWrap w:val="0"/>
            <w:vAlign w:val="center"/>
          </w:tcPr>
          <w:p w14:paraId="50ECF306">
            <w:pPr>
              <w:keepNext w:val="0"/>
              <w:keepLines w:val="0"/>
              <w:suppressLineNumbers w:val="0"/>
              <w:spacing w:before="0" w:beforeAutospacing="0" w:after="0" w:afterAutospacing="0"/>
              <w:ind w:left="0" w:right="0"/>
              <w:jc w:val="center"/>
              <w:rPr>
                <w:rFonts w:hint="default" w:ascii="Times New Roman" w:hAnsi="Times New Roman" w:eastAsia="宋体" w:cs="Times New Roman"/>
                <w:b/>
                <w:bCs/>
                <w:color w:val="0000FF"/>
                <w:szCs w:val="21"/>
              </w:rPr>
            </w:pPr>
            <w:r>
              <w:rPr>
                <w:rFonts w:hint="default" w:ascii="Times New Roman" w:hAnsi="Times New Roman" w:eastAsia="宋体" w:cs="Times New Roman"/>
                <w:b/>
                <w:bCs/>
                <w:color w:val="0000FF"/>
                <w:szCs w:val="21"/>
              </w:rPr>
              <w:t>工作内容</w:t>
            </w:r>
          </w:p>
        </w:tc>
        <w:tc>
          <w:tcPr>
            <w:tcW w:w="4118" w:type="pct"/>
            <w:gridSpan w:val="10"/>
            <w:tcBorders>
              <w:top w:val="single" w:color="auto" w:sz="12" w:space="0"/>
              <w:left w:val="single" w:color="auto" w:sz="4" w:space="0"/>
              <w:bottom w:val="single" w:color="auto" w:sz="12" w:space="0"/>
            </w:tcBorders>
            <w:noWrap w:val="0"/>
            <w:vAlign w:val="center"/>
          </w:tcPr>
          <w:p w14:paraId="08C0CA4E">
            <w:pPr>
              <w:keepNext w:val="0"/>
              <w:keepLines w:val="0"/>
              <w:suppressLineNumbers w:val="0"/>
              <w:spacing w:before="0" w:beforeAutospacing="0" w:after="0" w:afterAutospacing="0"/>
              <w:ind w:left="0" w:right="0"/>
              <w:jc w:val="center"/>
              <w:rPr>
                <w:rFonts w:hint="default" w:ascii="Times New Roman" w:hAnsi="Times New Roman" w:eastAsia="宋体" w:cs="Times New Roman"/>
                <w:b/>
                <w:bCs/>
                <w:color w:val="0000FF"/>
                <w:szCs w:val="21"/>
              </w:rPr>
            </w:pPr>
            <w:r>
              <w:rPr>
                <w:rFonts w:hint="default" w:ascii="Times New Roman" w:hAnsi="Times New Roman" w:eastAsia="宋体" w:cs="Times New Roman"/>
                <w:b/>
                <w:bCs/>
                <w:color w:val="0000FF"/>
                <w:szCs w:val="21"/>
              </w:rPr>
              <w:t>完成情况</w:t>
            </w:r>
          </w:p>
        </w:tc>
      </w:tr>
      <w:tr w14:paraId="0E996FA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320" w:type="pct"/>
            <w:vMerge w:val="restart"/>
            <w:tcBorders>
              <w:top w:val="single" w:color="auto" w:sz="12" w:space="0"/>
              <w:bottom w:val="single" w:color="auto" w:sz="4" w:space="0"/>
              <w:right w:val="single" w:color="auto" w:sz="4" w:space="0"/>
            </w:tcBorders>
            <w:noWrap w:val="0"/>
            <w:vAlign w:val="center"/>
          </w:tcPr>
          <w:p w14:paraId="5E7F350A">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风险调查</w:t>
            </w:r>
          </w:p>
        </w:tc>
        <w:tc>
          <w:tcPr>
            <w:tcW w:w="561" w:type="pct"/>
            <w:vMerge w:val="restart"/>
            <w:tcBorders>
              <w:top w:val="single" w:color="auto" w:sz="12" w:space="0"/>
              <w:left w:val="single" w:color="auto" w:sz="4" w:space="0"/>
              <w:bottom w:val="single" w:color="auto" w:sz="4" w:space="0"/>
              <w:right w:val="single" w:color="auto" w:sz="4" w:space="0"/>
            </w:tcBorders>
            <w:noWrap w:val="0"/>
            <w:vAlign w:val="center"/>
          </w:tcPr>
          <w:p w14:paraId="57D01DF5">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危险物质</w:t>
            </w:r>
          </w:p>
        </w:tc>
        <w:tc>
          <w:tcPr>
            <w:tcW w:w="714" w:type="pct"/>
            <w:tcBorders>
              <w:top w:val="single" w:color="auto" w:sz="12" w:space="0"/>
              <w:left w:val="single" w:color="auto" w:sz="4" w:space="0"/>
              <w:bottom w:val="single" w:color="auto" w:sz="4" w:space="0"/>
              <w:right w:val="single" w:color="auto" w:sz="4" w:space="0"/>
            </w:tcBorders>
            <w:noWrap w:val="0"/>
            <w:vAlign w:val="center"/>
          </w:tcPr>
          <w:p w14:paraId="4181D882">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名称</w:t>
            </w:r>
          </w:p>
        </w:tc>
        <w:tc>
          <w:tcPr>
            <w:tcW w:w="536" w:type="pct"/>
            <w:tcBorders>
              <w:top w:val="single" w:color="auto" w:sz="12" w:space="0"/>
              <w:left w:val="single" w:color="auto" w:sz="4" w:space="0"/>
              <w:bottom w:val="single" w:color="auto" w:sz="4" w:space="0"/>
              <w:right w:val="single" w:color="auto" w:sz="4" w:space="0"/>
            </w:tcBorders>
            <w:noWrap w:val="0"/>
            <w:vAlign w:val="center"/>
          </w:tcPr>
          <w:p w14:paraId="7D0A0B88">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lang w:eastAsia="zh-CN"/>
              </w:rPr>
            </w:pPr>
            <w:r>
              <w:rPr>
                <w:rFonts w:hint="default" w:ascii="Times New Roman" w:hAnsi="Times New Roman" w:eastAsia="宋体" w:cs="Times New Roman"/>
                <w:color w:val="0000FF"/>
                <w:szCs w:val="21"/>
              </w:rPr>
              <w:t>/</w:t>
            </w:r>
          </w:p>
        </w:tc>
        <w:tc>
          <w:tcPr>
            <w:tcW w:w="572" w:type="pct"/>
            <w:gridSpan w:val="2"/>
            <w:tcBorders>
              <w:top w:val="single" w:color="auto" w:sz="12" w:space="0"/>
              <w:left w:val="single" w:color="auto" w:sz="4" w:space="0"/>
              <w:bottom w:val="single" w:color="auto" w:sz="4" w:space="0"/>
              <w:right w:val="single" w:color="auto" w:sz="4" w:space="0"/>
            </w:tcBorders>
            <w:noWrap w:val="0"/>
            <w:vAlign w:val="center"/>
          </w:tcPr>
          <w:p w14:paraId="66D0C6B1">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w:t>
            </w:r>
          </w:p>
        </w:tc>
        <w:tc>
          <w:tcPr>
            <w:tcW w:w="500" w:type="pct"/>
            <w:gridSpan w:val="2"/>
            <w:tcBorders>
              <w:top w:val="single" w:color="auto" w:sz="12" w:space="0"/>
              <w:left w:val="single" w:color="auto" w:sz="4" w:space="0"/>
              <w:bottom w:val="single" w:color="auto" w:sz="4" w:space="0"/>
              <w:right w:val="single" w:color="auto" w:sz="4" w:space="0"/>
            </w:tcBorders>
            <w:noWrap w:val="0"/>
            <w:vAlign w:val="center"/>
          </w:tcPr>
          <w:p w14:paraId="73FCFEC5">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w:t>
            </w:r>
          </w:p>
        </w:tc>
        <w:tc>
          <w:tcPr>
            <w:tcW w:w="431" w:type="pct"/>
            <w:tcBorders>
              <w:top w:val="single" w:color="auto" w:sz="12" w:space="0"/>
              <w:left w:val="single" w:color="auto" w:sz="4" w:space="0"/>
              <w:bottom w:val="single" w:color="auto" w:sz="4" w:space="0"/>
              <w:right w:val="single" w:color="auto" w:sz="4" w:space="0"/>
            </w:tcBorders>
            <w:noWrap w:val="0"/>
            <w:vAlign w:val="center"/>
          </w:tcPr>
          <w:p w14:paraId="27F359F9">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w:t>
            </w:r>
          </w:p>
        </w:tc>
        <w:tc>
          <w:tcPr>
            <w:tcW w:w="510" w:type="pct"/>
            <w:tcBorders>
              <w:top w:val="single" w:color="auto" w:sz="12" w:space="0"/>
              <w:left w:val="single" w:color="auto" w:sz="4" w:space="0"/>
              <w:bottom w:val="single" w:color="auto" w:sz="4" w:space="0"/>
              <w:right w:val="single" w:color="auto" w:sz="4" w:space="0"/>
            </w:tcBorders>
            <w:noWrap w:val="0"/>
            <w:vAlign w:val="center"/>
          </w:tcPr>
          <w:p w14:paraId="24C391FF">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w:t>
            </w:r>
          </w:p>
        </w:tc>
        <w:tc>
          <w:tcPr>
            <w:tcW w:w="424" w:type="pct"/>
            <w:tcBorders>
              <w:top w:val="single" w:color="auto" w:sz="12" w:space="0"/>
              <w:left w:val="single" w:color="auto" w:sz="4" w:space="0"/>
              <w:bottom w:val="single" w:color="auto" w:sz="4" w:space="0"/>
              <w:right w:val="single" w:color="auto" w:sz="4" w:space="0"/>
            </w:tcBorders>
            <w:noWrap w:val="0"/>
            <w:vAlign w:val="center"/>
          </w:tcPr>
          <w:p w14:paraId="7D0E788C">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w:t>
            </w:r>
          </w:p>
        </w:tc>
        <w:tc>
          <w:tcPr>
            <w:tcW w:w="427" w:type="pct"/>
            <w:tcBorders>
              <w:top w:val="single" w:color="auto" w:sz="12" w:space="0"/>
              <w:left w:val="single" w:color="auto" w:sz="4" w:space="0"/>
              <w:bottom w:val="single" w:color="auto" w:sz="4" w:space="0"/>
            </w:tcBorders>
            <w:noWrap w:val="0"/>
            <w:vAlign w:val="center"/>
          </w:tcPr>
          <w:p w14:paraId="520524B8">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w:t>
            </w:r>
          </w:p>
        </w:tc>
      </w:tr>
      <w:tr w14:paraId="2268EA0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320" w:type="pct"/>
            <w:vMerge w:val="continue"/>
            <w:tcBorders>
              <w:top w:val="single" w:color="auto" w:sz="4" w:space="0"/>
              <w:bottom w:val="single" w:color="auto" w:sz="4" w:space="0"/>
              <w:right w:val="single" w:color="auto" w:sz="4" w:space="0"/>
            </w:tcBorders>
            <w:noWrap w:val="0"/>
            <w:vAlign w:val="center"/>
          </w:tcPr>
          <w:p w14:paraId="1188AAFD">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p>
        </w:tc>
        <w:tc>
          <w:tcPr>
            <w:tcW w:w="561" w:type="pct"/>
            <w:vMerge w:val="continue"/>
            <w:tcBorders>
              <w:top w:val="single" w:color="auto" w:sz="4" w:space="0"/>
              <w:left w:val="single" w:color="auto" w:sz="4" w:space="0"/>
              <w:bottom w:val="single" w:color="auto" w:sz="4" w:space="0"/>
              <w:right w:val="single" w:color="auto" w:sz="4" w:space="0"/>
            </w:tcBorders>
            <w:noWrap w:val="0"/>
            <w:vAlign w:val="center"/>
          </w:tcPr>
          <w:p w14:paraId="77B99FEC">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p>
        </w:tc>
        <w:tc>
          <w:tcPr>
            <w:tcW w:w="714" w:type="pct"/>
            <w:tcBorders>
              <w:top w:val="single" w:color="auto" w:sz="4" w:space="0"/>
              <w:left w:val="single" w:color="auto" w:sz="4" w:space="0"/>
              <w:bottom w:val="single" w:color="auto" w:sz="4" w:space="0"/>
              <w:right w:val="single" w:color="auto" w:sz="4" w:space="0"/>
            </w:tcBorders>
            <w:noWrap w:val="0"/>
            <w:vAlign w:val="center"/>
          </w:tcPr>
          <w:p w14:paraId="76578558">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存在总量/t</w:t>
            </w:r>
          </w:p>
        </w:tc>
        <w:tc>
          <w:tcPr>
            <w:tcW w:w="536" w:type="pct"/>
            <w:tcBorders>
              <w:top w:val="single" w:color="auto" w:sz="4" w:space="0"/>
              <w:left w:val="single" w:color="auto" w:sz="4" w:space="0"/>
              <w:bottom w:val="single" w:color="auto" w:sz="4" w:space="0"/>
              <w:right w:val="single" w:color="auto" w:sz="4" w:space="0"/>
            </w:tcBorders>
            <w:noWrap w:val="0"/>
            <w:vAlign w:val="center"/>
          </w:tcPr>
          <w:p w14:paraId="16EDB170">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w:t>
            </w:r>
          </w:p>
        </w:tc>
        <w:tc>
          <w:tcPr>
            <w:tcW w:w="572" w:type="pct"/>
            <w:gridSpan w:val="2"/>
            <w:tcBorders>
              <w:top w:val="single" w:color="auto" w:sz="4" w:space="0"/>
              <w:left w:val="single" w:color="auto" w:sz="4" w:space="0"/>
              <w:bottom w:val="single" w:color="auto" w:sz="4" w:space="0"/>
              <w:right w:val="single" w:color="auto" w:sz="4" w:space="0"/>
            </w:tcBorders>
            <w:noWrap w:val="0"/>
            <w:vAlign w:val="center"/>
          </w:tcPr>
          <w:p w14:paraId="604F4473">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w:t>
            </w:r>
          </w:p>
        </w:tc>
        <w:tc>
          <w:tcPr>
            <w:tcW w:w="500" w:type="pct"/>
            <w:gridSpan w:val="2"/>
            <w:tcBorders>
              <w:top w:val="single" w:color="auto" w:sz="4" w:space="0"/>
              <w:left w:val="single" w:color="auto" w:sz="4" w:space="0"/>
              <w:bottom w:val="single" w:color="auto" w:sz="4" w:space="0"/>
              <w:right w:val="single" w:color="auto" w:sz="4" w:space="0"/>
            </w:tcBorders>
            <w:noWrap w:val="0"/>
            <w:vAlign w:val="center"/>
          </w:tcPr>
          <w:p w14:paraId="7079ECCC">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w:t>
            </w:r>
          </w:p>
        </w:tc>
        <w:tc>
          <w:tcPr>
            <w:tcW w:w="431" w:type="pct"/>
            <w:tcBorders>
              <w:top w:val="single" w:color="auto" w:sz="4" w:space="0"/>
              <w:left w:val="single" w:color="auto" w:sz="4" w:space="0"/>
              <w:bottom w:val="single" w:color="auto" w:sz="4" w:space="0"/>
              <w:right w:val="single" w:color="auto" w:sz="4" w:space="0"/>
            </w:tcBorders>
            <w:noWrap w:val="0"/>
            <w:vAlign w:val="center"/>
          </w:tcPr>
          <w:p w14:paraId="7B4403DA">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w:t>
            </w:r>
          </w:p>
        </w:tc>
        <w:tc>
          <w:tcPr>
            <w:tcW w:w="510" w:type="pct"/>
            <w:tcBorders>
              <w:top w:val="single" w:color="auto" w:sz="4" w:space="0"/>
              <w:left w:val="single" w:color="auto" w:sz="4" w:space="0"/>
              <w:bottom w:val="single" w:color="auto" w:sz="4" w:space="0"/>
              <w:right w:val="single" w:color="auto" w:sz="4" w:space="0"/>
            </w:tcBorders>
            <w:noWrap w:val="0"/>
            <w:vAlign w:val="center"/>
          </w:tcPr>
          <w:p w14:paraId="5822A6E1">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w:t>
            </w:r>
          </w:p>
        </w:tc>
        <w:tc>
          <w:tcPr>
            <w:tcW w:w="424" w:type="pct"/>
            <w:tcBorders>
              <w:top w:val="single" w:color="auto" w:sz="4" w:space="0"/>
              <w:left w:val="single" w:color="auto" w:sz="4" w:space="0"/>
              <w:bottom w:val="single" w:color="auto" w:sz="4" w:space="0"/>
              <w:right w:val="single" w:color="auto" w:sz="4" w:space="0"/>
            </w:tcBorders>
            <w:noWrap w:val="0"/>
            <w:vAlign w:val="center"/>
          </w:tcPr>
          <w:p w14:paraId="0BDB70B3">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w:t>
            </w:r>
          </w:p>
        </w:tc>
        <w:tc>
          <w:tcPr>
            <w:tcW w:w="427" w:type="pct"/>
            <w:tcBorders>
              <w:top w:val="single" w:color="auto" w:sz="4" w:space="0"/>
              <w:left w:val="single" w:color="auto" w:sz="4" w:space="0"/>
              <w:bottom w:val="single" w:color="auto" w:sz="4" w:space="0"/>
            </w:tcBorders>
            <w:noWrap w:val="0"/>
            <w:vAlign w:val="center"/>
          </w:tcPr>
          <w:p w14:paraId="1B5BAC77">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w:t>
            </w:r>
          </w:p>
        </w:tc>
      </w:tr>
      <w:tr w14:paraId="002FF33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320" w:type="pct"/>
            <w:vMerge w:val="continue"/>
            <w:tcBorders>
              <w:top w:val="single" w:color="auto" w:sz="4" w:space="0"/>
              <w:bottom w:val="single" w:color="auto" w:sz="4" w:space="0"/>
              <w:right w:val="single" w:color="auto" w:sz="4" w:space="0"/>
            </w:tcBorders>
            <w:noWrap w:val="0"/>
            <w:vAlign w:val="center"/>
          </w:tcPr>
          <w:p w14:paraId="4ACAA265">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p>
        </w:tc>
        <w:tc>
          <w:tcPr>
            <w:tcW w:w="561" w:type="pct"/>
            <w:vMerge w:val="restart"/>
            <w:tcBorders>
              <w:top w:val="single" w:color="auto" w:sz="4" w:space="0"/>
              <w:left w:val="single" w:color="auto" w:sz="4" w:space="0"/>
              <w:bottom w:val="single" w:color="auto" w:sz="4" w:space="0"/>
              <w:right w:val="single" w:color="auto" w:sz="4" w:space="0"/>
            </w:tcBorders>
            <w:noWrap w:val="0"/>
            <w:vAlign w:val="center"/>
          </w:tcPr>
          <w:p w14:paraId="70D98B37">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环境敏感性</w:t>
            </w:r>
          </w:p>
        </w:tc>
        <w:tc>
          <w:tcPr>
            <w:tcW w:w="714" w:type="pct"/>
            <w:vMerge w:val="restart"/>
            <w:tcBorders>
              <w:top w:val="single" w:color="auto" w:sz="4" w:space="0"/>
              <w:left w:val="single" w:color="auto" w:sz="4" w:space="0"/>
              <w:bottom w:val="single" w:color="auto" w:sz="4" w:space="0"/>
              <w:right w:val="single" w:color="auto" w:sz="4" w:space="0"/>
            </w:tcBorders>
            <w:noWrap w:val="0"/>
            <w:vAlign w:val="center"/>
          </w:tcPr>
          <w:p w14:paraId="3FB37655">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大气</w:t>
            </w:r>
          </w:p>
        </w:tc>
        <w:tc>
          <w:tcPr>
            <w:tcW w:w="1609" w:type="pct"/>
            <w:gridSpan w:val="5"/>
            <w:tcBorders>
              <w:top w:val="single" w:color="auto" w:sz="4" w:space="0"/>
              <w:left w:val="single" w:color="auto" w:sz="4" w:space="0"/>
              <w:bottom w:val="single" w:color="auto" w:sz="4" w:space="0"/>
              <w:right w:val="single" w:color="auto" w:sz="4" w:space="0"/>
            </w:tcBorders>
            <w:noWrap w:val="0"/>
            <w:vAlign w:val="center"/>
          </w:tcPr>
          <w:p w14:paraId="4DC4B40C">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500m范围内人口数</w:t>
            </w:r>
            <w:r>
              <w:rPr>
                <w:rFonts w:hint="default" w:ascii="Times New Roman" w:hAnsi="Times New Roman" w:eastAsia="宋体" w:cs="Times New Roman"/>
                <w:color w:val="0000FF"/>
                <w:szCs w:val="21"/>
                <w:u w:val="single"/>
              </w:rPr>
              <w:t>0</w:t>
            </w:r>
            <w:r>
              <w:rPr>
                <w:rFonts w:hint="default" w:ascii="Times New Roman" w:hAnsi="Times New Roman" w:eastAsia="宋体" w:cs="Times New Roman"/>
                <w:color w:val="0000FF"/>
                <w:szCs w:val="21"/>
              </w:rPr>
              <w:t>人</w:t>
            </w:r>
          </w:p>
        </w:tc>
        <w:tc>
          <w:tcPr>
            <w:tcW w:w="1794" w:type="pct"/>
            <w:gridSpan w:val="4"/>
            <w:tcBorders>
              <w:top w:val="single" w:color="auto" w:sz="4" w:space="0"/>
              <w:left w:val="single" w:color="auto" w:sz="4" w:space="0"/>
              <w:bottom w:val="single" w:color="auto" w:sz="4" w:space="0"/>
            </w:tcBorders>
            <w:noWrap w:val="0"/>
            <w:vAlign w:val="center"/>
          </w:tcPr>
          <w:p w14:paraId="2A32188C">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5km范围内人口数</w:t>
            </w:r>
            <w:r>
              <w:rPr>
                <w:rFonts w:hint="default" w:ascii="Times New Roman" w:hAnsi="Times New Roman" w:eastAsia="宋体" w:cs="Times New Roman"/>
                <w:color w:val="0000FF"/>
                <w:szCs w:val="21"/>
                <w:u w:val="single"/>
              </w:rPr>
              <w:t>12000</w:t>
            </w:r>
            <w:r>
              <w:rPr>
                <w:rFonts w:hint="default" w:ascii="Times New Roman" w:hAnsi="Times New Roman" w:eastAsia="宋体" w:cs="Times New Roman"/>
                <w:color w:val="0000FF"/>
                <w:szCs w:val="21"/>
              </w:rPr>
              <w:t>人</w:t>
            </w:r>
          </w:p>
        </w:tc>
      </w:tr>
      <w:tr w14:paraId="525EFB3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320" w:type="pct"/>
            <w:vMerge w:val="continue"/>
            <w:tcBorders>
              <w:top w:val="single" w:color="auto" w:sz="4" w:space="0"/>
              <w:bottom w:val="single" w:color="auto" w:sz="4" w:space="0"/>
              <w:right w:val="single" w:color="auto" w:sz="4" w:space="0"/>
            </w:tcBorders>
            <w:noWrap w:val="0"/>
            <w:vAlign w:val="center"/>
          </w:tcPr>
          <w:p w14:paraId="6595B292">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p>
        </w:tc>
        <w:tc>
          <w:tcPr>
            <w:tcW w:w="561" w:type="pct"/>
            <w:vMerge w:val="continue"/>
            <w:tcBorders>
              <w:top w:val="single" w:color="auto" w:sz="4" w:space="0"/>
              <w:left w:val="single" w:color="auto" w:sz="4" w:space="0"/>
              <w:bottom w:val="single" w:color="auto" w:sz="4" w:space="0"/>
              <w:right w:val="single" w:color="auto" w:sz="4" w:space="0"/>
            </w:tcBorders>
            <w:noWrap w:val="0"/>
            <w:vAlign w:val="center"/>
          </w:tcPr>
          <w:p w14:paraId="0A807A06">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p>
        </w:tc>
        <w:tc>
          <w:tcPr>
            <w:tcW w:w="714" w:type="pct"/>
            <w:vMerge w:val="continue"/>
            <w:tcBorders>
              <w:top w:val="single" w:color="auto" w:sz="4" w:space="0"/>
              <w:left w:val="single" w:color="auto" w:sz="4" w:space="0"/>
              <w:bottom w:val="single" w:color="auto" w:sz="4" w:space="0"/>
              <w:right w:val="single" w:color="auto" w:sz="4" w:space="0"/>
            </w:tcBorders>
            <w:noWrap w:val="0"/>
            <w:vAlign w:val="center"/>
          </w:tcPr>
          <w:p w14:paraId="28E4155F">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p>
        </w:tc>
        <w:tc>
          <w:tcPr>
            <w:tcW w:w="2552" w:type="pct"/>
            <w:gridSpan w:val="7"/>
            <w:tcBorders>
              <w:top w:val="single" w:color="auto" w:sz="4" w:space="0"/>
              <w:left w:val="single" w:color="auto" w:sz="4" w:space="0"/>
              <w:bottom w:val="single" w:color="auto" w:sz="4" w:space="0"/>
              <w:right w:val="single" w:color="auto" w:sz="4" w:space="0"/>
            </w:tcBorders>
            <w:noWrap w:val="0"/>
            <w:vAlign w:val="center"/>
          </w:tcPr>
          <w:p w14:paraId="5517F040">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每公里管段周边200m范围内人口数（最大）</w:t>
            </w:r>
          </w:p>
        </w:tc>
        <w:tc>
          <w:tcPr>
            <w:tcW w:w="851" w:type="pct"/>
            <w:gridSpan w:val="2"/>
            <w:tcBorders>
              <w:top w:val="single" w:color="auto" w:sz="4" w:space="0"/>
              <w:left w:val="single" w:color="auto" w:sz="4" w:space="0"/>
              <w:bottom w:val="single" w:color="auto" w:sz="4" w:space="0"/>
            </w:tcBorders>
            <w:noWrap w:val="0"/>
            <w:vAlign w:val="center"/>
          </w:tcPr>
          <w:p w14:paraId="705AC554">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人</w:t>
            </w:r>
          </w:p>
        </w:tc>
      </w:tr>
      <w:tr w14:paraId="716DD15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320" w:type="pct"/>
            <w:vMerge w:val="continue"/>
            <w:tcBorders>
              <w:top w:val="single" w:color="auto" w:sz="4" w:space="0"/>
              <w:bottom w:val="single" w:color="auto" w:sz="4" w:space="0"/>
              <w:right w:val="single" w:color="auto" w:sz="4" w:space="0"/>
            </w:tcBorders>
            <w:noWrap w:val="0"/>
            <w:vAlign w:val="center"/>
          </w:tcPr>
          <w:p w14:paraId="67E034FD">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p>
        </w:tc>
        <w:tc>
          <w:tcPr>
            <w:tcW w:w="561" w:type="pct"/>
            <w:vMerge w:val="continue"/>
            <w:tcBorders>
              <w:top w:val="single" w:color="auto" w:sz="4" w:space="0"/>
              <w:left w:val="single" w:color="auto" w:sz="4" w:space="0"/>
              <w:bottom w:val="single" w:color="auto" w:sz="4" w:space="0"/>
              <w:right w:val="single" w:color="auto" w:sz="4" w:space="0"/>
            </w:tcBorders>
            <w:noWrap w:val="0"/>
            <w:vAlign w:val="center"/>
          </w:tcPr>
          <w:p w14:paraId="66248ED6">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p>
        </w:tc>
        <w:tc>
          <w:tcPr>
            <w:tcW w:w="714" w:type="pct"/>
            <w:vMerge w:val="restart"/>
            <w:tcBorders>
              <w:top w:val="single" w:color="auto" w:sz="4" w:space="0"/>
              <w:left w:val="single" w:color="auto" w:sz="4" w:space="0"/>
              <w:bottom w:val="single" w:color="auto" w:sz="4" w:space="0"/>
              <w:right w:val="single" w:color="auto" w:sz="4" w:space="0"/>
            </w:tcBorders>
            <w:noWrap w:val="0"/>
            <w:vAlign w:val="center"/>
          </w:tcPr>
          <w:p w14:paraId="5A993099">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地表水</w:t>
            </w:r>
          </w:p>
        </w:tc>
        <w:tc>
          <w:tcPr>
            <w:tcW w:w="852" w:type="pct"/>
            <w:gridSpan w:val="2"/>
            <w:tcBorders>
              <w:top w:val="single" w:color="auto" w:sz="4" w:space="0"/>
              <w:left w:val="single" w:color="auto" w:sz="4" w:space="0"/>
              <w:bottom w:val="single" w:color="auto" w:sz="4" w:space="0"/>
              <w:right w:val="single" w:color="auto" w:sz="4" w:space="0"/>
            </w:tcBorders>
            <w:noWrap w:val="0"/>
            <w:vAlign w:val="center"/>
          </w:tcPr>
          <w:p w14:paraId="0970728D">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地表水功能敏感性</w:t>
            </w:r>
          </w:p>
        </w:tc>
        <w:tc>
          <w:tcPr>
            <w:tcW w:w="757" w:type="pct"/>
            <w:gridSpan w:val="3"/>
            <w:tcBorders>
              <w:top w:val="single" w:color="auto" w:sz="4" w:space="0"/>
              <w:left w:val="single" w:color="auto" w:sz="4" w:space="0"/>
              <w:bottom w:val="single" w:color="auto" w:sz="4" w:space="0"/>
              <w:right w:val="single" w:color="auto" w:sz="4" w:space="0"/>
            </w:tcBorders>
            <w:noWrap w:val="0"/>
            <w:vAlign w:val="center"/>
          </w:tcPr>
          <w:p w14:paraId="2C17C695">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F1</w:t>
            </w:r>
            <w:r>
              <w:rPr>
                <w:rFonts w:hint="default" w:ascii="Times New Roman" w:hAnsi="Times New Roman" w:eastAsia="宋体" w:cs="Times New Roman"/>
                <w:color w:val="0000FF"/>
                <w:sz w:val="24"/>
                <w:szCs w:val="24"/>
              </w:rPr>
              <w:sym w:font="Wingdings" w:char="F0A8"/>
            </w:r>
          </w:p>
        </w:tc>
        <w:tc>
          <w:tcPr>
            <w:tcW w:w="942" w:type="pct"/>
            <w:gridSpan w:val="2"/>
            <w:tcBorders>
              <w:top w:val="single" w:color="auto" w:sz="4" w:space="0"/>
              <w:left w:val="single" w:color="auto" w:sz="4" w:space="0"/>
              <w:bottom w:val="single" w:color="auto" w:sz="4" w:space="0"/>
              <w:right w:val="single" w:color="auto" w:sz="4" w:space="0"/>
            </w:tcBorders>
            <w:noWrap w:val="0"/>
            <w:vAlign w:val="center"/>
          </w:tcPr>
          <w:p w14:paraId="494F6A95">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F2</w:t>
            </w:r>
            <w:r>
              <w:rPr>
                <w:rFonts w:hint="default" w:ascii="Times New Roman" w:hAnsi="Times New Roman" w:eastAsia="宋体" w:cs="Times New Roman"/>
                <w:color w:val="0000FF"/>
                <w:sz w:val="24"/>
                <w:szCs w:val="24"/>
              </w:rPr>
              <w:sym w:font="Wingdings" w:char="F0A8"/>
            </w:r>
          </w:p>
        </w:tc>
        <w:tc>
          <w:tcPr>
            <w:tcW w:w="851" w:type="pct"/>
            <w:gridSpan w:val="2"/>
            <w:tcBorders>
              <w:top w:val="single" w:color="auto" w:sz="4" w:space="0"/>
              <w:left w:val="single" w:color="auto" w:sz="4" w:space="0"/>
              <w:bottom w:val="single" w:color="auto" w:sz="4" w:space="0"/>
            </w:tcBorders>
            <w:noWrap w:val="0"/>
            <w:vAlign w:val="center"/>
          </w:tcPr>
          <w:p w14:paraId="6A4FB8E0">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F3</w:t>
            </w:r>
            <w:r>
              <w:rPr>
                <w:rFonts w:hint="default" w:ascii="Times New Roman" w:hAnsi="Times New Roman" w:eastAsia="宋体" w:cs="Times New Roman"/>
                <w:color w:val="0000FF"/>
                <w:sz w:val="24"/>
                <w:szCs w:val="24"/>
              </w:rPr>
              <w:sym w:font="Wingdings" w:char="00A8"/>
            </w:r>
          </w:p>
        </w:tc>
      </w:tr>
      <w:tr w14:paraId="0240B63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320" w:type="pct"/>
            <w:vMerge w:val="continue"/>
            <w:tcBorders>
              <w:top w:val="single" w:color="auto" w:sz="4" w:space="0"/>
              <w:bottom w:val="single" w:color="auto" w:sz="4" w:space="0"/>
              <w:right w:val="single" w:color="auto" w:sz="4" w:space="0"/>
            </w:tcBorders>
            <w:noWrap w:val="0"/>
            <w:vAlign w:val="center"/>
          </w:tcPr>
          <w:p w14:paraId="13BACBD6">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p>
        </w:tc>
        <w:tc>
          <w:tcPr>
            <w:tcW w:w="561" w:type="pct"/>
            <w:vMerge w:val="continue"/>
            <w:tcBorders>
              <w:top w:val="single" w:color="auto" w:sz="4" w:space="0"/>
              <w:left w:val="single" w:color="auto" w:sz="4" w:space="0"/>
              <w:bottom w:val="single" w:color="auto" w:sz="4" w:space="0"/>
              <w:right w:val="single" w:color="auto" w:sz="4" w:space="0"/>
            </w:tcBorders>
            <w:noWrap w:val="0"/>
            <w:vAlign w:val="center"/>
          </w:tcPr>
          <w:p w14:paraId="22EB44CE">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p>
        </w:tc>
        <w:tc>
          <w:tcPr>
            <w:tcW w:w="714" w:type="pct"/>
            <w:vMerge w:val="continue"/>
            <w:tcBorders>
              <w:top w:val="single" w:color="auto" w:sz="4" w:space="0"/>
              <w:left w:val="single" w:color="auto" w:sz="4" w:space="0"/>
              <w:bottom w:val="single" w:color="auto" w:sz="4" w:space="0"/>
              <w:right w:val="single" w:color="auto" w:sz="4" w:space="0"/>
            </w:tcBorders>
            <w:noWrap w:val="0"/>
            <w:vAlign w:val="center"/>
          </w:tcPr>
          <w:p w14:paraId="527A8EDF">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p>
        </w:tc>
        <w:tc>
          <w:tcPr>
            <w:tcW w:w="852" w:type="pct"/>
            <w:gridSpan w:val="2"/>
            <w:tcBorders>
              <w:top w:val="single" w:color="auto" w:sz="4" w:space="0"/>
              <w:left w:val="single" w:color="auto" w:sz="4" w:space="0"/>
              <w:bottom w:val="single" w:color="auto" w:sz="4" w:space="0"/>
              <w:right w:val="single" w:color="auto" w:sz="4" w:space="0"/>
            </w:tcBorders>
            <w:noWrap w:val="0"/>
            <w:vAlign w:val="center"/>
          </w:tcPr>
          <w:p w14:paraId="24EF5A0F">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环境敏感目标分级</w:t>
            </w:r>
          </w:p>
        </w:tc>
        <w:tc>
          <w:tcPr>
            <w:tcW w:w="757" w:type="pct"/>
            <w:gridSpan w:val="3"/>
            <w:tcBorders>
              <w:top w:val="single" w:color="auto" w:sz="4" w:space="0"/>
              <w:left w:val="single" w:color="auto" w:sz="4" w:space="0"/>
              <w:bottom w:val="single" w:color="auto" w:sz="4" w:space="0"/>
              <w:right w:val="single" w:color="auto" w:sz="4" w:space="0"/>
            </w:tcBorders>
            <w:noWrap w:val="0"/>
            <w:vAlign w:val="center"/>
          </w:tcPr>
          <w:p w14:paraId="4076AE67">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S1</w:t>
            </w:r>
            <w:r>
              <w:rPr>
                <w:rFonts w:hint="default" w:ascii="Times New Roman" w:hAnsi="Times New Roman" w:eastAsia="宋体" w:cs="Times New Roman"/>
                <w:color w:val="0000FF"/>
                <w:sz w:val="24"/>
                <w:szCs w:val="24"/>
              </w:rPr>
              <w:sym w:font="Wingdings" w:char="F0A8"/>
            </w:r>
          </w:p>
        </w:tc>
        <w:tc>
          <w:tcPr>
            <w:tcW w:w="942" w:type="pct"/>
            <w:gridSpan w:val="2"/>
            <w:tcBorders>
              <w:top w:val="single" w:color="auto" w:sz="4" w:space="0"/>
              <w:left w:val="single" w:color="auto" w:sz="4" w:space="0"/>
              <w:bottom w:val="single" w:color="auto" w:sz="4" w:space="0"/>
              <w:right w:val="single" w:color="auto" w:sz="4" w:space="0"/>
            </w:tcBorders>
            <w:noWrap w:val="0"/>
            <w:vAlign w:val="center"/>
          </w:tcPr>
          <w:p w14:paraId="79E96E43">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S2</w:t>
            </w:r>
            <w:r>
              <w:rPr>
                <w:rFonts w:hint="default" w:ascii="Times New Roman" w:hAnsi="Times New Roman" w:eastAsia="宋体" w:cs="Times New Roman"/>
                <w:color w:val="0000FF"/>
                <w:sz w:val="24"/>
                <w:szCs w:val="24"/>
              </w:rPr>
              <w:sym w:font="Wingdings" w:char="F0A8"/>
            </w:r>
          </w:p>
        </w:tc>
        <w:tc>
          <w:tcPr>
            <w:tcW w:w="851" w:type="pct"/>
            <w:gridSpan w:val="2"/>
            <w:tcBorders>
              <w:top w:val="single" w:color="auto" w:sz="4" w:space="0"/>
              <w:left w:val="single" w:color="auto" w:sz="4" w:space="0"/>
              <w:bottom w:val="single" w:color="auto" w:sz="4" w:space="0"/>
            </w:tcBorders>
            <w:noWrap w:val="0"/>
            <w:vAlign w:val="center"/>
          </w:tcPr>
          <w:p w14:paraId="7654108F">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S3</w:t>
            </w:r>
            <w:r>
              <w:rPr>
                <w:rFonts w:hint="default" w:ascii="Times New Roman" w:hAnsi="Times New Roman" w:eastAsia="宋体" w:cs="Times New Roman"/>
                <w:color w:val="0000FF"/>
                <w:sz w:val="24"/>
                <w:szCs w:val="24"/>
              </w:rPr>
              <w:sym w:font="Wingdings" w:char="00A8"/>
            </w:r>
          </w:p>
        </w:tc>
      </w:tr>
      <w:tr w14:paraId="002B3B4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320" w:type="pct"/>
            <w:vMerge w:val="continue"/>
            <w:tcBorders>
              <w:top w:val="single" w:color="auto" w:sz="4" w:space="0"/>
              <w:bottom w:val="single" w:color="auto" w:sz="4" w:space="0"/>
              <w:right w:val="single" w:color="auto" w:sz="4" w:space="0"/>
            </w:tcBorders>
            <w:noWrap w:val="0"/>
            <w:vAlign w:val="center"/>
          </w:tcPr>
          <w:p w14:paraId="104B8BA3">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p>
        </w:tc>
        <w:tc>
          <w:tcPr>
            <w:tcW w:w="561" w:type="pct"/>
            <w:vMerge w:val="continue"/>
            <w:tcBorders>
              <w:top w:val="single" w:color="auto" w:sz="4" w:space="0"/>
              <w:left w:val="single" w:color="auto" w:sz="4" w:space="0"/>
              <w:bottom w:val="single" w:color="auto" w:sz="4" w:space="0"/>
              <w:right w:val="single" w:color="auto" w:sz="4" w:space="0"/>
            </w:tcBorders>
            <w:noWrap w:val="0"/>
            <w:vAlign w:val="center"/>
          </w:tcPr>
          <w:p w14:paraId="19BDDB4F">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p>
        </w:tc>
        <w:tc>
          <w:tcPr>
            <w:tcW w:w="714" w:type="pct"/>
            <w:vMerge w:val="restart"/>
            <w:tcBorders>
              <w:top w:val="single" w:color="auto" w:sz="4" w:space="0"/>
              <w:left w:val="single" w:color="auto" w:sz="4" w:space="0"/>
              <w:bottom w:val="single" w:color="auto" w:sz="4" w:space="0"/>
              <w:right w:val="single" w:color="auto" w:sz="4" w:space="0"/>
            </w:tcBorders>
            <w:noWrap w:val="0"/>
            <w:vAlign w:val="center"/>
          </w:tcPr>
          <w:p w14:paraId="5DA3DA30">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地下水</w:t>
            </w:r>
          </w:p>
        </w:tc>
        <w:tc>
          <w:tcPr>
            <w:tcW w:w="852" w:type="pct"/>
            <w:gridSpan w:val="2"/>
            <w:tcBorders>
              <w:top w:val="single" w:color="auto" w:sz="4" w:space="0"/>
              <w:left w:val="single" w:color="auto" w:sz="4" w:space="0"/>
              <w:bottom w:val="single" w:color="auto" w:sz="4" w:space="0"/>
              <w:right w:val="single" w:color="auto" w:sz="4" w:space="0"/>
            </w:tcBorders>
            <w:noWrap w:val="0"/>
            <w:vAlign w:val="center"/>
          </w:tcPr>
          <w:p w14:paraId="458C99F2">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地下水功能敏感性</w:t>
            </w:r>
          </w:p>
        </w:tc>
        <w:tc>
          <w:tcPr>
            <w:tcW w:w="757" w:type="pct"/>
            <w:gridSpan w:val="3"/>
            <w:tcBorders>
              <w:top w:val="single" w:color="auto" w:sz="4" w:space="0"/>
              <w:left w:val="single" w:color="auto" w:sz="4" w:space="0"/>
              <w:bottom w:val="single" w:color="auto" w:sz="4" w:space="0"/>
              <w:right w:val="single" w:color="auto" w:sz="4" w:space="0"/>
            </w:tcBorders>
            <w:noWrap w:val="0"/>
            <w:vAlign w:val="center"/>
          </w:tcPr>
          <w:p w14:paraId="6573F751">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G1</w:t>
            </w:r>
            <w:r>
              <w:rPr>
                <w:rFonts w:hint="default" w:ascii="Times New Roman" w:hAnsi="Times New Roman" w:eastAsia="宋体" w:cs="Times New Roman"/>
                <w:color w:val="0000FF"/>
                <w:sz w:val="24"/>
                <w:szCs w:val="24"/>
              </w:rPr>
              <w:sym w:font="Wingdings" w:char="F0A8"/>
            </w:r>
          </w:p>
        </w:tc>
        <w:tc>
          <w:tcPr>
            <w:tcW w:w="942" w:type="pct"/>
            <w:gridSpan w:val="2"/>
            <w:tcBorders>
              <w:top w:val="single" w:color="auto" w:sz="4" w:space="0"/>
              <w:left w:val="single" w:color="auto" w:sz="4" w:space="0"/>
              <w:bottom w:val="single" w:color="auto" w:sz="4" w:space="0"/>
              <w:right w:val="single" w:color="auto" w:sz="4" w:space="0"/>
            </w:tcBorders>
            <w:noWrap w:val="0"/>
            <w:vAlign w:val="center"/>
          </w:tcPr>
          <w:p w14:paraId="2A98DD25">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G2</w:t>
            </w:r>
            <w:r>
              <w:rPr>
                <w:rFonts w:hint="default" w:ascii="Times New Roman" w:hAnsi="Times New Roman" w:eastAsia="宋体" w:cs="Times New Roman"/>
                <w:color w:val="0000FF"/>
                <w:sz w:val="24"/>
                <w:szCs w:val="24"/>
              </w:rPr>
              <w:sym w:font="Wingdings" w:char="F0A8"/>
            </w:r>
          </w:p>
        </w:tc>
        <w:tc>
          <w:tcPr>
            <w:tcW w:w="851" w:type="pct"/>
            <w:gridSpan w:val="2"/>
            <w:tcBorders>
              <w:top w:val="single" w:color="auto" w:sz="4" w:space="0"/>
              <w:left w:val="single" w:color="auto" w:sz="4" w:space="0"/>
              <w:bottom w:val="single" w:color="auto" w:sz="4" w:space="0"/>
            </w:tcBorders>
            <w:noWrap w:val="0"/>
            <w:vAlign w:val="center"/>
          </w:tcPr>
          <w:p w14:paraId="1940CC0D">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G3</w:t>
            </w:r>
            <w:r>
              <w:rPr>
                <w:rFonts w:hint="default" w:ascii="Times New Roman" w:hAnsi="Times New Roman" w:eastAsia="宋体" w:cs="Times New Roman"/>
                <w:color w:val="0000FF"/>
                <w:sz w:val="24"/>
                <w:szCs w:val="24"/>
              </w:rPr>
              <w:sym w:font="Wingdings" w:char="00A8"/>
            </w:r>
          </w:p>
        </w:tc>
      </w:tr>
      <w:tr w14:paraId="0F5A64C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320" w:type="pct"/>
            <w:vMerge w:val="continue"/>
            <w:tcBorders>
              <w:top w:val="single" w:color="auto" w:sz="4" w:space="0"/>
              <w:bottom w:val="single" w:color="auto" w:sz="4" w:space="0"/>
              <w:right w:val="single" w:color="auto" w:sz="4" w:space="0"/>
            </w:tcBorders>
            <w:noWrap w:val="0"/>
            <w:vAlign w:val="center"/>
          </w:tcPr>
          <w:p w14:paraId="594A4B33">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p>
        </w:tc>
        <w:tc>
          <w:tcPr>
            <w:tcW w:w="561" w:type="pct"/>
            <w:vMerge w:val="continue"/>
            <w:tcBorders>
              <w:top w:val="single" w:color="auto" w:sz="4" w:space="0"/>
              <w:left w:val="single" w:color="auto" w:sz="4" w:space="0"/>
              <w:bottom w:val="single" w:color="auto" w:sz="4" w:space="0"/>
              <w:right w:val="single" w:color="auto" w:sz="4" w:space="0"/>
            </w:tcBorders>
            <w:noWrap w:val="0"/>
            <w:vAlign w:val="center"/>
          </w:tcPr>
          <w:p w14:paraId="5FCAD672">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p>
        </w:tc>
        <w:tc>
          <w:tcPr>
            <w:tcW w:w="714" w:type="pct"/>
            <w:vMerge w:val="continue"/>
            <w:tcBorders>
              <w:top w:val="single" w:color="auto" w:sz="4" w:space="0"/>
              <w:left w:val="single" w:color="auto" w:sz="4" w:space="0"/>
              <w:bottom w:val="single" w:color="auto" w:sz="4" w:space="0"/>
              <w:right w:val="single" w:color="auto" w:sz="4" w:space="0"/>
            </w:tcBorders>
            <w:noWrap w:val="0"/>
            <w:vAlign w:val="center"/>
          </w:tcPr>
          <w:p w14:paraId="73A541BD">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p>
        </w:tc>
        <w:tc>
          <w:tcPr>
            <w:tcW w:w="852" w:type="pct"/>
            <w:gridSpan w:val="2"/>
            <w:tcBorders>
              <w:top w:val="single" w:color="auto" w:sz="4" w:space="0"/>
              <w:left w:val="single" w:color="auto" w:sz="4" w:space="0"/>
              <w:bottom w:val="single" w:color="auto" w:sz="4" w:space="0"/>
              <w:right w:val="single" w:color="auto" w:sz="4" w:space="0"/>
            </w:tcBorders>
            <w:noWrap w:val="0"/>
            <w:vAlign w:val="center"/>
          </w:tcPr>
          <w:p w14:paraId="05509233">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包气带防污性能</w:t>
            </w:r>
          </w:p>
        </w:tc>
        <w:tc>
          <w:tcPr>
            <w:tcW w:w="757" w:type="pct"/>
            <w:gridSpan w:val="3"/>
            <w:tcBorders>
              <w:top w:val="single" w:color="auto" w:sz="4" w:space="0"/>
              <w:left w:val="single" w:color="auto" w:sz="4" w:space="0"/>
              <w:bottom w:val="single" w:color="auto" w:sz="4" w:space="0"/>
              <w:right w:val="single" w:color="auto" w:sz="4" w:space="0"/>
            </w:tcBorders>
            <w:noWrap w:val="0"/>
            <w:vAlign w:val="center"/>
          </w:tcPr>
          <w:p w14:paraId="351BC4F5">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D1</w:t>
            </w:r>
            <w:r>
              <w:rPr>
                <w:rFonts w:hint="default" w:ascii="Times New Roman" w:hAnsi="Times New Roman" w:eastAsia="宋体" w:cs="Times New Roman"/>
                <w:color w:val="0000FF"/>
                <w:sz w:val="24"/>
                <w:szCs w:val="24"/>
              </w:rPr>
              <w:sym w:font="Wingdings" w:char="F0A8"/>
            </w:r>
          </w:p>
        </w:tc>
        <w:tc>
          <w:tcPr>
            <w:tcW w:w="942" w:type="pct"/>
            <w:gridSpan w:val="2"/>
            <w:tcBorders>
              <w:top w:val="single" w:color="auto" w:sz="4" w:space="0"/>
              <w:left w:val="single" w:color="auto" w:sz="4" w:space="0"/>
              <w:bottom w:val="single" w:color="auto" w:sz="4" w:space="0"/>
              <w:right w:val="single" w:color="auto" w:sz="4" w:space="0"/>
            </w:tcBorders>
            <w:noWrap w:val="0"/>
            <w:vAlign w:val="center"/>
          </w:tcPr>
          <w:p w14:paraId="5EE62067">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D2</w:t>
            </w:r>
            <w:r>
              <w:rPr>
                <w:rFonts w:hint="default" w:ascii="Times New Roman" w:hAnsi="Times New Roman" w:eastAsia="宋体" w:cs="Times New Roman"/>
                <w:color w:val="0000FF"/>
                <w:sz w:val="24"/>
                <w:szCs w:val="24"/>
              </w:rPr>
              <w:sym w:font="Wingdings" w:char="00A8"/>
            </w:r>
          </w:p>
        </w:tc>
        <w:tc>
          <w:tcPr>
            <w:tcW w:w="851" w:type="pct"/>
            <w:gridSpan w:val="2"/>
            <w:tcBorders>
              <w:top w:val="single" w:color="auto" w:sz="4" w:space="0"/>
              <w:left w:val="single" w:color="auto" w:sz="4" w:space="0"/>
              <w:bottom w:val="single" w:color="auto" w:sz="4" w:space="0"/>
            </w:tcBorders>
            <w:noWrap w:val="0"/>
            <w:vAlign w:val="center"/>
          </w:tcPr>
          <w:p w14:paraId="4D7FE267">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D3</w:t>
            </w:r>
            <w:r>
              <w:rPr>
                <w:rFonts w:hint="default" w:ascii="Times New Roman" w:hAnsi="Times New Roman" w:eastAsia="宋体" w:cs="Times New Roman"/>
                <w:color w:val="0000FF"/>
                <w:sz w:val="24"/>
                <w:szCs w:val="24"/>
              </w:rPr>
              <w:sym w:font="Wingdings" w:char="00A8"/>
            </w:r>
          </w:p>
        </w:tc>
      </w:tr>
      <w:tr w14:paraId="47D95BE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881" w:type="pct"/>
            <w:gridSpan w:val="2"/>
            <w:vMerge w:val="restart"/>
            <w:tcBorders>
              <w:top w:val="single" w:color="auto" w:sz="4" w:space="0"/>
              <w:bottom w:val="single" w:color="auto" w:sz="4" w:space="0"/>
              <w:right w:val="single" w:color="auto" w:sz="4" w:space="0"/>
            </w:tcBorders>
            <w:noWrap w:val="0"/>
            <w:vAlign w:val="center"/>
          </w:tcPr>
          <w:p w14:paraId="7C951B29">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物质及工艺系统危险性</w:t>
            </w:r>
          </w:p>
        </w:tc>
        <w:tc>
          <w:tcPr>
            <w:tcW w:w="714" w:type="pct"/>
            <w:tcBorders>
              <w:top w:val="single" w:color="auto" w:sz="4" w:space="0"/>
              <w:left w:val="single" w:color="auto" w:sz="4" w:space="0"/>
              <w:bottom w:val="single" w:color="auto" w:sz="4" w:space="0"/>
              <w:right w:val="single" w:color="auto" w:sz="4" w:space="0"/>
            </w:tcBorders>
            <w:noWrap w:val="0"/>
            <w:vAlign w:val="center"/>
          </w:tcPr>
          <w:p w14:paraId="78197157">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Q值</w:t>
            </w:r>
          </w:p>
        </w:tc>
        <w:tc>
          <w:tcPr>
            <w:tcW w:w="852" w:type="pct"/>
            <w:gridSpan w:val="2"/>
            <w:tcBorders>
              <w:top w:val="single" w:color="auto" w:sz="4" w:space="0"/>
              <w:left w:val="single" w:color="auto" w:sz="4" w:space="0"/>
              <w:bottom w:val="single" w:color="auto" w:sz="4" w:space="0"/>
              <w:right w:val="single" w:color="auto" w:sz="4" w:space="0"/>
            </w:tcBorders>
            <w:noWrap w:val="0"/>
            <w:vAlign w:val="center"/>
          </w:tcPr>
          <w:p w14:paraId="41575CFF">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Q＜1</w:t>
            </w:r>
            <w:r>
              <w:rPr>
                <w:rFonts w:hint="default" w:ascii="Times New Roman" w:hAnsi="Times New Roman" w:eastAsia="宋体" w:cs="Times New Roman"/>
                <w:color w:val="0000FF"/>
                <w:sz w:val="24"/>
                <w:szCs w:val="24"/>
              </w:rPr>
              <w:sym w:font="Wingdings" w:char="00FE"/>
            </w:r>
          </w:p>
        </w:tc>
        <w:tc>
          <w:tcPr>
            <w:tcW w:w="757" w:type="pct"/>
            <w:gridSpan w:val="3"/>
            <w:tcBorders>
              <w:top w:val="single" w:color="auto" w:sz="4" w:space="0"/>
              <w:left w:val="single" w:color="auto" w:sz="4" w:space="0"/>
              <w:bottom w:val="single" w:color="auto" w:sz="4" w:space="0"/>
              <w:right w:val="single" w:color="auto" w:sz="4" w:space="0"/>
            </w:tcBorders>
            <w:noWrap w:val="0"/>
            <w:vAlign w:val="center"/>
          </w:tcPr>
          <w:p w14:paraId="66FC8593">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1≤Q＜10</w:t>
            </w:r>
            <w:r>
              <w:rPr>
                <w:rFonts w:hint="default" w:ascii="Times New Roman" w:hAnsi="Times New Roman" w:eastAsia="宋体" w:cs="Times New Roman"/>
                <w:color w:val="0000FF"/>
                <w:sz w:val="24"/>
                <w:szCs w:val="24"/>
              </w:rPr>
              <w:sym w:font="Wingdings" w:char="F0A8"/>
            </w:r>
          </w:p>
        </w:tc>
        <w:tc>
          <w:tcPr>
            <w:tcW w:w="942" w:type="pct"/>
            <w:gridSpan w:val="2"/>
            <w:tcBorders>
              <w:top w:val="single" w:color="auto" w:sz="4" w:space="0"/>
              <w:left w:val="single" w:color="auto" w:sz="4" w:space="0"/>
              <w:bottom w:val="single" w:color="auto" w:sz="4" w:space="0"/>
              <w:right w:val="single" w:color="auto" w:sz="4" w:space="0"/>
            </w:tcBorders>
            <w:noWrap w:val="0"/>
            <w:vAlign w:val="center"/>
          </w:tcPr>
          <w:p w14:paraId="4C7A116A">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10≤Q＜100</w:t>
            </w:r>
            <w:r>
              <w:rPr>
                <w:rFonts w:hint="default" w:ascii="Times New Roman" w:hAnsi="Times New Roman" w:eastAsia="宋体" w:cs="Times New Roman"/>
                <w:color w:val="0000FF"/>
                <w:sz w:val="24"/>
                <w:szCs w:val="24"/>
              </w:rPr>
              <w:sym w:font="Wingdings" w:char="F0A8"/>
            </w:r>
          </w:p>
        </w:tc>
        <w:tc>
          <w:tcPr>
            <w:tcW w:w="851" w:type="pct"/>
            <w:gridSpan w:val="2"/>
            <w:tcBorders>
              <w:top w:val="single" w:color="auto" w:sz="4" w:space="0"/>
              <w:left w:val="single" w:color="auto" w:sz="4" w:space="0"/>
              <w:bottom w:val="single" w:color="auto" w:sz="4" w:space="0"/>
            </w:tcBorders>
            <w:noWrap w:val="0"/>
            <w:vAlign w:val="center"/>
          </w:tcPr>
          <w:p w14:paraId="237CE8BA">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Q＞100</w:t>
            </w:r>
            <w:r>
              <w:rPr>
                <w:rFonts w:hint="default" w:ascii="Times New Roman" w:hAnsi="Times New Roman" w:eastAsia="宋体" w:cs="Times New Roman"/>
                <w:color w:val="0000FF"/>
                <w:sz w:val="24"/>
                <w:szCs w:val="24"/>
              </w:rPr>
              <w:sym w:font="Wingdings" w:char="F0A8"/>
            </w:r>
          </w:p>
        </w:tc>
      </w:tr>
      <w:tr w14:paraId="16E3971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881" w:type="pct"/>
            <w:gridSpan w:val="2"/>
            <w:vMerge w:val="continue"/>
            <w:tcBorders>
              <w:top w:val="single" w:color="auto" w:sz="4" w:space="0"/>
              <w:bottom w:val="single" w:color="auto" w:sz="4" w:space="0"/>
              <w:right w:val="single" w:color="auto" w:sz="4" w:space="0"/>
            </w:tcBorders>
            <w:noWrap w:val="0"/>
            <w:vAlign w:val="center"/>
          </w:tcPr>
          <w:p w14:paraId="32FD4BF7">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p>
        </w:tc>
        <w:tc>
          <w:tcPr>
            <w:tcW w:w="714" w:type="pct"/>
            <w:tcBorders>
              <w:top w:val="single" w:color="auto" w:sz="4" w:space="0"/>
              <w:left w:val="single" w:color="auto" w:sz="4" w:space="0"/>
              <w:bottom w:val="single" w:color="auto" w:sz="4" w:space="0"/>
              <w:right w:val="single" w:color="auto" w:sz="4" w:space="0"/>
            </w:tcBorders>
            <w:noWrap w:val="0"/>
            <w:vAlign w:val="center"/>
          </w:tcPr>
          <w:p w14:paraId="07194B34">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M值</w:t>
            </w:r>
          </w:p>
        </w:tc>
        <w:tc>
          <w:tcPr>
            <w:tcW w:w="852" w:type="pct"/>
            <w:gridSpan w:val="2"/>
            <w:tcBorders>
              <w:top w:val="single" w:color="auto" w:sz="4" w:space="0"/>
              <w:left w:val="single" w:color="auto" w:sz="4" w:space="0"/>
              <w:bottom w:val="single" w:color="auto" w:sz="4" w:space="0"/>
              <w:right w:val="single" w:color="auto" w:sz="4" w:space="0"/>
            </w:tcBorders>
            <w:noWrap w:val="0"/>
            <w:vAlign w:val="center"/>
          </w:tcPr>
          <w:p w14:paraId="6EA473D1">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M1</w:t>
            </w:r>
            <w:r>
              <w:rPr>
                <w:rFonts w:hint="default" w:ascii="Times New Roman" w:hAnsi="Times New Roman" w:eastAsia="宋体" w:cs="Times New Roman"/>
                <w:color w:val="0000FF"/>
                <w:sz w:val="24"/>
                <w:szCs w:val="24"/>
              </w:rPr>
              <w:sym w:font="Wingdings" w:char="F0A8"/>
            </w:r>
          </w:p>
        </w:tc>
        <w:tc>
          <w:tcPr>
            <w:tcW w:w="757" w:type="pct"/>
            <w:gridSpan w:val="3"/>
            <w:tcBorders>
              <w:top w:val="single" w:color="auto" w:sz="4" w:space="0"/>
              <w:left w:val="single" w:color="auto" w:sz="4" w:space="0"/>
              <w:bottom w:val="single" w:color="auto" w:sz="4" w:space="0"/>
              <w:right w:val="single" w:color="auto" w:sz="4" w:space="0"/>
            </w:tcBorders>
            <w:noWrap w:val="0"/>
            <w:vAlign w:val="center"/>
          </w:tcPr>
          <w:p w14:paraId="4252D029">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eastAsia" w:cs="Times New Roman"/>
                <w:color w:val="0000FF"/>
                <w:szCs w:val="21"/>
                <w:lang w:eastAsia="zh-CN"/>
              </w:rPr>
              <w:t>m²</w:t>
            </w:r>
            <w:r>
              <w:rPr>
                <w:rFonts w:hint="default" w:ascii="Times New Roman" w:hAnsi="Times New Roman" w:eastAsia="宋体" w:cs="Times New Roman"/>
                <w:color w:val="0000FF"/>
                <w:sz w:val="24"/>
                <w:szCs w:val="24"/>
              </w:rPr>
              <w:sym w:font="Wingdings" w:char="F0A8"/>
            </w:r>
          </w:p>
        </w:tc>
        <w:tc>
          <w:tcPr>
            <w:tcW w:w="942" w:type="pct"/>
            <w:gridSpan w:val="2"/>
            <w:tcBorders>
              <w:top w:val="single" w:color="auto" w:sz="4" w:space="0"/>
              <w:left w:val="single" w:color="auto" w:sz="4" w:space="0"/>
              <w:bottom w:val="single" w:color="auto" w:sz="4" w:space="0"/>
              <w:right w:val="single" w:color="auto" w:sz="4" w:space="0"/>
            </w:tcBorders>
            <w:noWrap w:val="0"/>
            <w:vAlign w:val="center"/>
          </w:tcPr>
          <w:p w14:paraId="6D5EA31A">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m³</w:t>
            </w:r>
            <w:r>
              <w:rPr>
                <w:rFonts w:hint="default" w:ascii="Times New Roman" w:hAnsi="Times New Roman" w:eastAsia="宋体" w:cs="Times New Roman"/>
                <w:color w:val="0000FF"/>
                <w:sz w:val="24"/>
                <w:szCs w:val="24"/>
              </w:rPr>
              <w:sym w:font="Wingdings" w:char="F0A8"/>
            </w:r>
          </w:p>
        </w:tc>
        <w:tc>
          <w:tcPr>
            <w:tcW w:w="851" w:type="pct"/>
            <w:gridSpan w:val="2"/>
            <w:tcBorders>
              <w:top w:val="single" w:color="auto" w:sz="4" w:space="0"/>
              <w:left w:val="single" w:color="auto" w:sz="4" w:space="0"/>
              <w:bottom w:val="single" w:color="auto" w:sz="4" w:space="0"/>
            </w:tcBorders>
            <w:noWrap w:val="0"/>
            <w:vAlign w:val="center"/>
          </w:tcPr>
          <w:p w14:paraId="5DCA5558">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M4</w:t>
            </w:r>
            <w:r>
              <w:rPr>
                <w:rFonts w:hint="default" w:ascii="Times New Roman" w:hAnsi="Times New Roman" w:eastAsia="宋体" w:cs="Times New Roman"/>
                <w:color w:val="0000FF"/>
                <w:sz w:val="24"/>
                <w:szCs w:val="24"/>
              </w:rPr>
              <w:sym w:font="Wingdings" w:char="F0A8"/>
            </w:r>
          </w:p>
        </w:tc>
      </w:tr>
      <w:tr w14:paraId="167C154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881" w:type="pct"/>
            <w:gridSpan w:val="2"/>
            <w:vMerge w:val="continue"/>
            <w:tcBorders>
              <w:top w:val="single" w:color="auto" w:sz="4" w:space="0"/>
              <w:bottom w:val="single" w:color="auto" w:sz="4" w:space="0"/>
              <w:right w:val="single" w:color="auto" w:sz="4" w:space="0"/>
            </w:tcBorders>
            <w:noWrap w:val="0"/>
            <w:vAlign w:val="center"/>
          </w:tcPr>
          <w:p w14:paraId="11C7D197">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p>
        </w:tc>
        <w:tc>
          <w:tcPr>
            <w:tcW w:w="714" w:type="pct"/>
            <w:tcBorders>
              <w:top w:val="single" w:color="auto" w:sz="4" w:space="0"/>
              <w:left w:val="single" w:color="auto" w:sz="4" w:space="0"/>
              <w:bottom w:val="single" w:color="auto" w:sz="4" w:space="0"/>
              <w:right w:val="single" w:color="auto" w:sz="4" w:space="0"/>
            </w:tcBorders>
            <w:noWrap w:val="0"/>
            <w:vAlign w:val="center"/>
          </w:tcPr>
          <w:p w14:paraId="228DAD95">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P值</w:t>
            </w:r>
          </w:p>
        </w:tc>
        <w:tc>
          <w:tcPr>
            <w:tcW w:w="852" w:type="pct"/>
            <w:gridSpan w:val="2"/>
            <w:tcBorders>
              <w:top w:val="single" w:color="auto" w:sz="4" w:space="0"/>
              <w:left w:val="single" w:color="auto" w:sz="4" w:space="0"/>
              <w:bottom w:val="single" w:color="auto" w:sz="4" w:space="0"/>
              <w:right w:val="single" w:color="auto" w:sz="4" w:space="0"/>
            </w:tcBorders>
            <w:noWrap w:val="0"/>
            <w:vAlign w:val="center"/>
          </w:tcPr>
          <w:p w14:paraId="7410BFE4">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P1</w:t>
            </w:r>
            <w:r>
              <w:rPr>
                <w:rFonts w:hint="default" w:ascii="Times New Roman" w:hAnsi="Times New Roman" w:eastAsia="宋体" w:cs="Times New Roman"/>
                <w:color w:val="0000FF"/>
                <w:sz w:val="24"/>
                <w:szCs w:val="24"/>
              </w:rPr>
              <w:sym w:font="Wingdings" w:char="F0A8"/>
            </w:r>
          </w:p>
        </w:tc>
        <w:tc>
          <w:tcPr>
            <w:tcW w:w="757" w:type="pct"/>
            <w:gridSpan w:val="3"/>
            <w:tcBorders>
              <w:top w:val="single" w:color="auto" w:sz="4" w:space="0"/>
              <w:left w:val="single" w:color="auto" w:sz="4" w:space="0"/>
              <w:bottom w:val="single" w:color="auto" w:sz="4" w:space="0"/>
              <w:right w:val="single" w:color="auto" w:sz="4" w:space="0"/>
            </w:tcBorders>
            <w:noWrap w:val="0"/>
            <w:vAlign w:val="center"/>
          </w:tcPr>
          <w:p w14:paraId="50156A86">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P2</w:t>
            </w:r>
            <w:r>
              <w:rPr>
                <w:rFonts w:hint="default" w:ascii="Times New Roman" w:hAnsi="Times New Roman" w:eastAsia="宋体" w:cs="Times New Roman"/>
                <w:color w:val="0000FF"/>
                <w:sz w:val="24"/>
                <w:szCs w:val="24"/>
              </w:rPr>
              <w:sym w:font="Wingdings" w:char="F0A8"/>
            </w:r>
          </w:p>
        </w:tc>
        <w:tc>
          <w:tcPr>
            <w:tcW w:w="942" w:type="pct"/>
            <w:gridSpan w:val="2"/>
            <w:tcBorders>
              <w:top w:val="single" w:color="auto" w:sz="4" w:space="0"/>
              <w:left w:val="single" w:color="auto" w:sz="4" w:space="0"/>
              <w:bottom w:val="single" w:color="auto" w:sz="4" w:space="0"/>
              <w:right w:val="single" w:color="auto" w:sz="4" w:space="0"/>
            </w:tcBorders>
            <w:noWrap w:val="0"/>
            <w:vAlign w:val="center"/>
          </w:tcPr>
          <w:p w14:paraId="12F06F0F">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P3</w:t>
            </w:r>
            <w:r>
              <w:rPr>
                <w:rFonts w:hint="default" w:ascii="Times New Roman" w:hAnsi="Times New Roman" w:eastAsia="宋体" w:cs="Times New Roman"/>
                <w:color w:val="0000FF"/>
                <w:sz w:val="24"/>
                <w:szCs w:val="24"/>
              </w:rPr>
              <w:sym w:font="Wingdings" w:char="F0A8"/>
            </w:r>
          </w:p>
        </w:tc>
        <w:tc>
          <w:tcPr>
            <w:tcW w:w="851" w:type="pct"/>
            <w:gridSpan w:val="2"/>
            <w:tcBorders>
              <w:top w:val="single" w:color="auto" w:sz="4" w:space="0"/>
              <w:left w:val="single" w:color="auto" w:sz="4" w:space="0"/>
              <w:bottom w:val="single" w:color="auto" w:sz="4" w:space="0"/>
            </w:tcBorders>
            <w:noWrap w:val="0"/>
            <w:vAlign w:val="center"/>
          </w:tcPr>
          <w:p w14:paraId="012C92E9">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P4</w:t>
            </w:r>
            <w:r>
              <w:rPr>
                <w:rFonts w:hint="default" w:ascii="Times New Roman" w:hAnsi="Times New Roman" w:eastAsia="宋体" w:cs="Times New Roman"/>
                <w:color w:val="0000FF"/>
                <w:sz w:val="24"/>
                <w:szCs w:val="24"/>
              </w:rPr>
              <w:sym w:font="Wingdings" w:char="00A8"/>
            </w:r>
          </w:p>
        </w:tc>
      </w:tr>
      <w:tr w14:paraId="5365020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881" w:type="pct"/>
            <w:gridSpan w:val="2"/>
            <w:vMerge w:val="restart"/>
            <w:tcBorders>
              <w:top w:val="single" w:color="auto" w:sz="4" w:space="0"/>
              <w:bottom w:val="single" w:color="auto" w:sz="4" w:space="0"/>
              <w:right w:val="single" w:color="auto" w:sz="4" w:space="0"/>
            </w:tcBorders>
            <w:noWrap w:val="0"/>
            <w:vAlign w:val="center"/>
          </w:tcPr>
          <w:p w14:paraId="6B5D1424">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环境敏感程度</w:t>
            </w:r>
          </w:p>
        </w:tc>
        <w:tc>
          <w:tcPr>
            <w:tcW w:w="714" w:type="pct"/>
            <w:tcBorders>
              <w:top w:val="single" w:color="auto" w:sz="4" w:space="0"/>
              <w:left w:val="single" w:color="auto" w:sz="4" w:space="0"/>
              <w:bottom w:val="single" w:color="auto" w:sz="4" w:space="0"/>
              <w:right w:val="single" w:color="auto" w:sz="4" w:space="0"/>
            </w:tcBorders>
            <w:noWrap w:val="0"/>
            <w:vAlign w:val="center"/>
          </w:tcPr>
          <w:p w14:paraId="7A679695">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大气</w:t>
            </w:r>
          </w:p>
        </w:tc>
        <w:tc>
          <w:tcPr>
            <w:tcW w:w="852" w:type="pct"/>
            <w:gridSpan w:val="2"/>
            <w:tcBorders>
              <w:top w:val="single" w:color="auto" w:sz="4" w:space="0"/>
              <w:left w:val="single" w:color="auto" w:sz="4" w:space="0"/>
              <w:bottom w:val="single" w:color="auto" w:sz="4" w:space="0"/>
              <w:right w:val="single" w:color="auto" w:sz="4" w:space="0"/>
            </w:tcBorders>
            <w:noWrap w:val="0"/>
            <w:vAlign w:val="center"/>
          </w:tcPr>
          <w:p w14:paraId="5389E1AF">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E1</w:t>
            </w:r>
            <w:r>
              <w:rPr>
                <w:rFonts w:hint="default" w:ascii="Times New Roman" w:hAnsi="Times New Roman" w:eastAsia="宋体" w:cs="Times New Roman"/>
                <w:color w:val="0000FF"/>
                <w:sz w:val="24"/>
                <w:szCs w:val="24"/>
              </w:rPr>
              <w:sym w:font="Wingdings" w:char="00A8"/>
            </w:r>
          </w:p>
        </w:tc>
        <w:tc>
          <w:tcPr>
            <w:tcW w:w="1188" w:type="pct"/>
            <w:gridSpan w:val="4"/>
            <w:tcBorders>
              <w:top w:val="single" w:color="auto" w:sz="4" w:space="0"/>
              <w:left w:val="single" w:color="auto" w:sz="4" w:space="0"/>
              <w:bottom w:val="single" w:color="auto" w:sz="4" w:space="0"/>
              <w:right w:val="single" w:color="auto" w:sz="4" w:space="0"/>
            </w:tcBorders>
            <w:noWrap w:val="0"/>
            <w:vAlign w:val="center"/>
          </w:tcPr>
          <w:p w14:paraId="09F4D711">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E2</w:t>
            </w:r>
            <w:r>
              <w:rPr>
                <w:rFonts w:hint="default" w:ascii="Times New Roman" w:hAnsi="Times New Roman" w:eastAsia="宋体" w:cs="Times New Roman"/>
                <w:color w:val="0000FF"/>
                <w:sz w:val="24"/>
                <w:szCs w:val="24"/>
              </w:rPr>
              <w:sym w:font="Wingdings" w:char="F0A8"/>
            </w:r>
          </w:p>
        </w:tc>
        <w:tc>
          <w:tcPr>
            <w:tcW w:w="1362" w:type="pct"/>
            <w:gridSpan w:val="3"/>
            <w:tcBorders>
              <w:top w:val="single" w:color="auto" w:sz="4" w:space="0"/>
              <w:left w:val="single" w:color="auto" w:sz="4" w:space="0"/>
              <w:bottom w:val="single" w:color="auto" w:sz="4" w:space="0"/>
            </w:tcBorders>
            <w:noWrap w:val="0"/>
            <w:vAlign w:val="center"/>
          </w:tcPr>
          <w:p w14:paraId="3237B57B">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E3</w:t>
            </w:r>
            <w:r>
              <w:rPr>
                <w:rFonts w:hint="default" w:ascii="Times New Roman" w:hAnsi="Times New Roman" w:eastAsia="宋体" w:cs="Times New Roman"/>
                <w:color w:val="0000FF"/>
                <w:sz w:val="24"/>
                <w:szCs w:val="24"/>
              </w:rPr>
              <w:sym w:font="Wingdings" w:char="00A8"/>
            </w:r>
          </w:p>
        </w:tc>
      </w:tr>
      <w:tr w14:paraId="179FEE0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881" w:type="pct"/>
            <w:gridSpan w:val="2"/>
            <w:vMerge w:val="continue"/>
            <w:tcBorders>
              <w:top w:val="single" w:color="auto" w:sz="4" w:space="0"/>
              <w:bottom w:val="single" w:color="auto" w:sz="4" w:space="0"/>
              <w:right w:val="single" w:color="auto" w:sz="4" w:space="0"/>
            </w:tcBorders>
            <w:noWrap w:val="0"/>
            <w:vAlign w:val="center"/>
          </w:tcPr>
          <w:p w14:paraId="6E1120E2">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p>
        </w:tc>
        <w:tc>
          <w:tcPr>
            <w:tcW w:w="714" w:type="pct"/>
            <w:tcBorders>
              <w:top w:val="single" w:color="auto" w:sz="4" w:space="0"/>
              <w:left w:val="single" w:color="auto" w:sz="4" w:space="0"/>
              <w:bottom w:val="single" w:color="auto" w:sz="4" w:space="0"/>
              <w:right w:val="single" w:color="auto" w:sz="4" w:space="0"/>
            </w:tcBorders>
            <w:noWrap w:val="0"/>
            <w:vAlign w:val="center"/>
          </w:tcPr>
          <w:p w14:paraId="1927D01B">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地表水</w:t>
            </w:r>
          </w:p>
        </w:tc>
        <w:tc>
          <w:tcPr>
            <w:tcW w:w="852" w:type="pct"/>
            <w:gridSpan w:val="2"/>
            <w:tcBorders>
              <w:top w:val="single" w:color="auto" w:sz="4" w:space="0"/>
              <w:left w:val="single" w:color="auto" w:sz="4" w:space="0"/>
              <w:bottom w:val="single" w:color="auto" w:sz="4" w:space="0"/>
              <w:right w:val="single" w:color="auto" w:sz="4" w:space="0"/>
            </w:tcBorders>
            <w:noWrap w:val="0"/>
            <w:vAlign w:val="center"/>
          </w:tcPr>
          <w:p w14:paraId="38985FC1">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E1</w:t>
            </w:r>
            <w:r>
              <w:rPr>
                <w:rFonts w:hint="default" w:ascii="Times New Roman" w:hAnsi="Times New Roman" w:eastAsia="宋体" w:cs="Times New Roman"/>
                <w:color w:val="0000FF"/>
                <w:sz w:val="24"/>
                <w:szCs w:val="24"/>
              </w:rPr>
              <w:sym w:font="Wingdings" w:char="00A8"/>
            </w:r>
          </w:p>
        </w:tc>
        <w:tc>
          <w:tcPr>
            <w:tcW w:w="1188" w:type="pct"/>
            <w:gridSpan w:val="4"/>
            <w:tcBorders>
              <w:top w:val="single" w:color="auto" w:sz="4" w:space="0"/>
              <w:left w:val="single" w:color="auto" w:sz="4" w:space="0"/>
              <w:bottom w:val="single" w:color="auto" w:sz="4" w:space="0"/>
              <w:right w:val="single" w:color="auto" w:sz="4" w:space="0"/>
            </w:tcBorders>
            <w:noWrap w:val="0"/>
            <w:vAlign w:val="center"/>
          </w:tcPr>
          <w:p w14:paraId="01BC3E71">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E2</w:t>
            </w:r>
            <w:r>
              <w:rPr>
                <w:rFonts w:hint="default" w:ascii="Times New Roman" w:hAnsi="Times New Roman" w:eastAsia="宋体" w:cs="Times New Roman"/>
                <w:color w:val="0000FF"/>
                <w:sz w:val="24"/>
                <w:szCs w:val="24"/>
              </w:rPr>
              <w:sym w:font="Wingdings" w:char="F0A8"/>
            </w:r>
          </w:p>
        </w:tc>
        <w:tc>
          <w:tcPr>
            <w:tcW w:w="1362" w:type="pct"/>
            <w:gridSpan w:val="3"/>
            <w:tcBorders>
              <w:top w:val="single" w:color="auto" w:sz="4" w:space="0"/>
              <w:left w:val="single" w:color="auto" w:sz="4" w:space="0"/>
              <w:bottom w:val="single" w:color="auto" w:sz="4" w:space="0"/>
            </w:tcBorders>
            <w:noWrap w:val="0"/>
            <w:vAlign w:val="center"/>
          </w:tcPr>
          <w:p w14:paraId="6A914997">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E3</w:t>
            </w:r>
            <w:r>
              <w:rPr>
                <w:rFonts w:hint="default" w:ascii="Times New Roman" w:hAnsi="Times New Roman" w:eastAsia="宋体" w:cs="Times New Roman"/>
                <w:color w:val="0000FF"/>
                <w:sz w:val="24"/>
                <w:szCs w:val="24"/>
              </w:rPr>
              <w:sym w:font="Wingdings" w:char="00A8"/>
            </w:r>
          </w:p>
        </w:tc>
      </w:tr>
      <w:tr w14:paraId="0675992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881" w:type="pct"/>
            <w:gridSpan w:val="2"/>
            <w:vMerge w:val="continue"/>
            <w:tcBorders>
              <w:top w:val="single" w:color="auto" w:sz="4" w:space="0"/>
              <w:bottom w:val="single" w:color="auto" w:sz="4" w:space="0"/>
              <w:right w:val="single" w:color="auto" w:sz="4" w:space="0"/>
            </w:tcBorders>
            <w:noWrap w:val="0"/>
            <w:vAlign w:val="center"/>
          </w:tcPr>
          <w:p w14:paraId="4412EF48">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p>
        </w:tc>
        <w:tc>
          <w:tcPr>
            <w:tcW w:w="714" w:type="pct"/>
            <w:tcBorders>
              <w:top w:val="single" w:color="auto" w:sz="4" w:space="0"/>
              <w:left w:val="single" w:color="auto" w:sz="4" w:space="0"/>
              <w:bottom w:val="single" w:color="auto" w:sz="4" w:space="0"/>
              <w:right w:val="single" w:color="auto" w:sz="4" w:space="0"/>
            </w:tcBorders>
            <w:noWrap w:val="0"/>
            <w:vAlign w:val="center"/>
          </w:tcPr>
          <w:p w14:paraId="0DC11BD7">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地下水</w:t>
            </w:r>
          </w:p>
        </w:tc>
        <w:tc>
          <w:tcPr>
            <w:tcW w:w="852" w:type="pct"/>
            <w:gridSpan w:val="2"/>
            <w:tcBorders>
              <w:top w:val="single" w:color="auto" w:sz="4" w:space="0"/>
              <w:left w:val="single" w:color="auto" w:sz="4" w:space="0"/>
              <w:bottom w:val="single" w:color="auto" w:sz="4" w:space="0"/>
              <w:right w:val="single" w:color="auto" w:sz="4" w:space="0"/>
            </w:tcBorders>
            <w:noWrap w:val="0"/>
            <w:vAlign w:val="center"/>
          </w:tcPr>
          <w:p w14:paraId="73EEB006">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E1</w:t>
            </w:r>
            <w:r>
              <w:rPr>
                <w:rFonts w:hint="default" w:ascii="Times New Roman" w:hAnsi="Times New Roman" w:eastAsia="宋体" w:cs="Times New Roman"/>
                <w:color w:val="0000FF"/>
                <w:sz w:val="24"/>
                <w:szCs w:val="24"/>
              </w:rPr>
              <w:sym w:font="Wingdings" w:char="00A8"/>
            </w:r>
          </w:p>
        </w:tc>
        <w:tc>
          <w:tcPr>
            <w:tcW w:w="1188" w:type="pct"/>
            <w:gridSpan w:val="4"/>
            <w:tcBorders>
              <w:top w:val="single" w:color="auto" w:sz="4" w:space="0"/>
              <w:left w:val="single" w:color="auto" w:sz="4" w:space="0"/>
              <w:bottom w:val="single" w:color="auto" w:sz="4" w:space="0"/>
              <w:right w:val="single" w:color="auto" w:sz="4" w:space="0"/>
            </w:tcBorders>
            <w:noWrap w:val="0"/>
            <w:vAlign w:val="center"/>
          </w:tcPr>
          <w:p w14:paraId="27DC30D4">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E2</w:t>
            </w:r>
            <w:r>
              <w:rPr>
                <w:rFonts w:hint="default" w:ascii="Times New Roman" w:hAnsi="Times New Roman" w:eastAsia="宋体" w:cs="Times New Roman"/>
                <w:color w:val="0000FF"/>
                <w:sz w:val="24"/>
                <w:szCs w:val="24"/>
              </w:rPr>
              <w:sym w:font="Wingdings" w:char="F0A8"/>
            </w:r>
          </w:p>
        </w:tc>
        <w:tc>
          <w:tcPr>
            <w:tcW w:w="1362" w:type="pct"/>
            <w:gridSpan w:val="3"/>
            <w:tcBorders>
              <w:top w:val="single" w:color="auto" w:sz="4" w:space="0"/>
              <w:left w:val="single" w:color="auto" w:sz="4" w:space="0"/>
              <w:bottom w:val="single" w:color="auto" w:sz="4" w:space="0"/>
            </w:tcBorders>
            <w:noWrap w:val="0"/>
            <w:vAlign w:val="center"/>
          </w:tcPr>
          <w:p w14:paraId="7AE1FFDF">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E3</w:t>
            </w:r>
            <w:r>
              <w:rPr>
                <w:rFonts w:hint="default" w:ascii="Times New Roman" w:hAnsi="Times New Roman" w:eastAsia="宋体" w:cs="Times New Roman"/>
                <w:color w:val="0000FF"/>
                <w:sz w:val="24"/>
                <w:szCs w:val="24"/>
              </w:rPr>
              <w:sym w:font="Wingdings" w:char="00A8"/>
            </w:r>
          </w:p>
        </w:tc>
      </w:tr>
      <w:tr w14:paraId="60983F5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881" w:type="pct"/>
            <w:gridSpan w:val="2"/>
            <w:tcBorders>
              <w:top w:val="single" w:color="auto" w:sz="4" w:space="0"/>
              <w:bottom w:val="single" w:color="auto" w:sz="4" w:space="0"/>
              <w:right w:val="single" w:color="auto" w:sz="4" w:space="0"/>
            </w:tcBorders>
            <w:noWrap w:val="0"/>
            <w:vAlign w:val="center"/>
          </w:tcPr>
          <w:p w14:paraId="4EB40793">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环境风险潜势</w:t>
            </w:r>
          </w:p>
        </w:tc>
        <w:tc>
          <w:tcPr>
            <w:tcW w:w="714" w:type="pct"/>
            <w:tcBorders>
              <w:top w:val="single" w:color="auto" w:sz="4" w:space="0"/>
              <w:left w:val="single" w:color="auto" w:sz="4" w:space="0"/>
              <w:bottom w:val="single" w:color="auto" w:sz="4" w:space="0"/>
              <w:right w:val="single" w:color="auto" w:sz="4" w:space="0"/>
            </w:tcBorders>
            <w:noWrap w:val="0"/>
            <w:vAlign w:val="center"/>
          </w:tcPr>
          <w:p w14:paraId="60E1DB91">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IV</w:t>
            </w:r>
            <w:r>
              <w:rPr>
                <w:rFonts w:hint="default" w:ascii="Times New Roman" w:hAnsi="Times New Roman" w:eastAsia="宋体" w:cs="Times New Roman"/>
                <w:color w:val="0000FF"/>
                <w:szCs w:val="21"/>
                <w:vertAlign w:val="superscript"/>
              </w:rPr>
              <w:t>+</w:t>
            </w:r>
            <w:r>
              <w:rPr>
                <w:rFonts w:hint="default" w:ascii="Times New Roman" w:hAnsi="Times New Roman" w:eastAsia="宋体" w:cs="Times New Roman"/>
                <w:color w:val="0000FF"/>
                <w:sz w:val="24"/>
                <w:szCs w:val="24"/>
              </w:rPr>
              <w:sym w:font="Wingdings" w:char="F0A8"/>
            </w:r>
          </w:p>
        </w:tc>
        <w:tc>
          <w:tcPr>
            <w:tcW w:w="852" w:type="pct"/>
            <w:gridSpan w:val="2"/>
            <w:tcBorders>
              <w:top w:val="single" w:color="auto" w:sz="4" w:space="0"/>
              <w:left w:val="single" w:color="auto" w:sz="4" w:space="0"/>
              <w:bottom w:val="single" w:color="auto" w:sz="4" w:space="0"/>
              <w:right w:val="single" w:color="auto" w:sz="4" w:space="0"/>
            </w:tcBorders>
            <w:noWrap w:val="0"/>
            <w:vAlign w:val="center"/>
          </w:tcPr>
          <w:p w14:paraId="70955CC0">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IV</w:t>
            </w:r>
            <w:r>
              <w:rPr>
                <w:rFonts w:hint="default" w:ascii="Times New Roman" w:hAnsi="Times New Roman" w:eastAsia="宋体" w:cs="Times New Roman"/>
                <w:color w:val="0000FF"/>
                <w:sz w:val="24"/>
                <w:szCs w:val="24"/>
              </w:rPr>
              <w:sym w:font="Wingdings" w:char="00A8"/>
            </w:r>
          </w:p>
        </w:tc>
        <w:tc>
          <w:tcPr>
            <w:tcW w:w="757" w:type="pct"/>
            <w:gridSpan w:val="3"/>
            <w:tcBorders>
              <w:top w:val="single" w:color="auto" w:sz="4" w:space="0"/>
              <w:left w:val="single" w:color="auto" w:sz="4" w:space="0"/>
              <w:bottom w:val="single" w:color="auto" w:sz="4" w:space="0"/>
              <w:right w:val="single" w:color="auto" w:sz="4" w:space="0"/>
            </w:tcBorders>
            <w:noWrap w:val="0"/>
            <w:vAlign w:val="center"/>
          </w:tcPr>
          <w:p w14:paraId="41CFABCD">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III</w:t>
            </w:r>
            <w:r>
              <w:rPr>
                <w:rFonts w:hint="default" w:ascii="Times New Roman" w:hAnsi="Times New Roman" w:eastAsia="宋体" w:cs="Times New Roman"/>
                <w:color w:val="0000FF"/>
                <w:sz w:val="24"/>
                <w:szCs w:val="24"/>
              </w:rPr>
              <w:sym w:font="Wingdings" w:char="F0A8"/>
            </w:r>
          </w:p>
        </w:tc>
        <w:tc>
          <w:tcPr>
            <w:tcW w:w="942" w:type="pct"/>
            <w:gridSpan w:val="2"/>
            <w:tcBorders>
              <w:top w:val="single" w:color="auto" w:sz="4" w:space="0"/>
              <w:left w:val="single" w:color="auto" w:sz="4" w:space="0"/>
              <w:bottom w:val="single" w:color="auto" w:sz="4" w:space="0"/>
              <w:right w:val="single" w:color="auto" w:sz="4" w:space="0"/>
            </w:tcBorders>
            <w:noWrap w:val="0"/>
            <w:vAlign w:val="center"/>
          </w:tcPr>
          <w:p w14:paraId="2A425E32">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II</w:t>
            </w:r>
            <w:r>
              <w:rPr>
                <w:rFonts w:hint="default" w:ascii="Times New Roman" w:hAnsi="Times New Roman" w:eastAsia="宋体" w:cs="Times New Roman"/>
                <w:color w:val="0000FF"/>
                <w:sz w:val="24"/>
                <w:szCs w:val="24"/>
              </w:rPr>
              <w:sym w:font="Wingdings" w:char="F0A8"/>
            </w:r>
          </w:p>
        </w:tc>
        <w:tc>
          <w:tcPr>
            <w:tcW w:w="851" w:type="pct"/>
            <w:gridSpan w:val="2"/>
            <w:tcBorders>
              <w:top w:val="single" w:color="auto" w:sz="4" w:space="0"/>
              <w:left w:val="single" w:color="auto" w:sz="4" w:space="0"/>
              <w:bottom w:val="single" w:color="auto" w:sz="4" w:space="0"/>
            </w:tcBorders>
            <w:noWrap w:val="0"/>
            <w:vAlign w:val="center"/>
          </w:tcPr>
          <w:p w14:paraId="38537C23">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I</w:t>
            </w:r>
            <w:r>
              <w:rPr>
                <w:rFonts w:hint="default" w:ascii="Times New Roman" w:hAnsi="Times New Roman" w:eastAsia="宋体" w:cs="Times New Roman"/>
                <w:color w:val="0000FF"/>
                <w:sz w:val="24"/>
                <w:szCs w:val="24"/>
              </w:rPr>
              <w:sym w:font="Wingdings" w:char="00FE"/>
            </w:r>
          </w:p>
        </w:tc>
      </w:tr>
      <w:tr w14:paraId="58B3128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881" w:type="pct"/>
            <w:gridSpan w:val="2"/>
            <w:tcBorders>
              <w:top w:val="single" w:color="auto" w:sz="4" w:space="0"/>
              <w:bottom w:val="single" w:color="auto" w:sz="4" w:space="0"/>
              <w:right w:val="single" w:color="auto" w:sz="4" w:space="0"/>
            </w:tcBorders>
            <w:noWrap w:val="0"/>
            <w:vAlign w:val="center"/>
          </w:tcPr>
          <w:p w14:paraId="6D8DA244">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评价等级</w:t>
            </w:r>
          </w:p>
        </w:tc>
        <w:tc>
          <w:tcPr>
            <w:tcW w:w="1566" w:type="pct"/>
            <w:gridSpan w:val="3"/>
            <w:tcBorders>
              <w:top w:val="single" w:color="auto" w:sz="4" w:space="0"/>
              <w:left w:val="single" w:color="auto" w:sz="4" w:space="0"/>
              <w:bottom w:val="single" w:color="auto" w:sz="4" w:space="0"/>
              <w:right w:val="single" w:color="auto" w:sz="4" w:space="0"/>
            </w:tcBorders>
            <w:noWrap w:val="0"/>
            <w:vAlign w:val="center"/>
          </w:tcPr>
          <w:p w14:paraId="16022427">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一级</w:t>
            </w:r>
            <w:r>
              <w:rPr>
                <w:rFonts w:hint="default" w:ascii="Times New Roman" w:hAnsi="Times New Roman" w:eastAsia="宋体" w:cs="Times New Roman"/>
                <w:color w:val="0000FF"/>
                <w:sz w:val="24"/>
                <w:szCs w:val="24"/>
              </w:rPr>
              <w:sym w:font="Wingdings" w:char="F0A8"/>
            </w:r>
          </w:p>
        </w:tc>
        <w:tc>
          <w:tcPr>
            <w:tcW w:w="757" w:type="pct"/>
            <w:gridSpan w:val="3"/>
            <w:tcBorders>
              <w:top w:val="single" w:color="auto" w:sz="4" w:space="0"/>
              <w:left w:val="single" w:color="auto" w:sz="4" w:space="0"/>
              <w:bottom w:val="single" w:color="auto" w:sz="4" w:space="0"/>
              <w:right w:val="single" w:color="auto" w:sz="4" w:space="0"/>
            </w:tcBorders>
            <w:noWrap w:val="0"/>
            <w:vAlign w:val="center"/>
          </w:tcPr>
          <w:p w14:paraId="50D13911">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二级</w:t>
            </w:r>
            <w:r>
              <w:rPr>
                <w:rFonts w:hint="default" w:ascii="Times New Roman" w:hAnsi="Times New Roman" w:eastAsia="宋体" w:cs="Times New Roman"/>
                <w:color w:val="0000FF"/>
                <w:sz w:val="24"/>
                <w:szCs w:val="24"/>
              </w:rPr>
              <w:sym w:font="Wingdings" w:char="F0A8"/>
            </w:r>
          </w:p>
        </w:tc>
        <w:tc>
          <w:tcPr>
            <w:tcW w:w="942" w:type="pct"/>
            <w:gridSpan w:val="2"/>
            <w:tcBorders>
              <w:top w:val="single" w:color="auto" w:sz="4" w:space="0"/>
              <w:left w:val="single" w:color="auto" w:sz="4" w:space="0"/>
              <w:bottom w:val="single" w:color="auto" w:sz="4" w:space="0"/>
              <w:right w:val="single" w:color="auto" w:sz="4" w:space="0"/>
            </w:tcBorders>
            <w:noWrap w:val="0"/>
            <w:vAlign w:val="center"/>
          </w:tcPr>
          <w:p w14:paraId="16F1C401">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三级</w:t>
            </w:r>
            <w:r>
              <w:rPr>
                <w:rFonts w:hint="default" w:ascii="Times New Roman" w:hAnsi="Times New Roman" w:eastAsia="宋体" w:cs="Times New Roman"/>
                <w:color w:val="0000FF"/>
                <w:sz w:val="24"/>
                <w:szCs w:val="24"/>
              </w:rPr>
              <w:sym w:font="Wingdings" w:char="F0A8"/>
            </w:r>
          </w:p>
        </w:tc>
        <w:tc>
          <w:tcPr>
            <w:tcW w:w="851" w:type="pct"/>
            <w:gridSpan w:val="2"/>
            <w:tcBorders>
              <w:top w:val="single" w:color="auto" w:sz="4" w:space="0"/>
              <w:left w:val="single" w:color="auto" w:sz="4" w:space="0"/>
              <w:bottom w:val="single" w:color="auto" w:sz="4" w:space="0"/>
            </w:tcBorders>
            <w:noWrap w:val="0"/>
            <w:vAlign w:val="center"/>
          </w:tcPr>
          <w:p w14:paraId="421670CE">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简单分析</w:t>
            </w:r>
            <w:r>
              <w:rPr>
                <w:rFonts w:hint="default" w:ascii="Times New Roman" w:hAnsi="Times New Roman" w:eastAsia="宋体" w:cs="Times New Roman"/>
                <w:color w:val="0000FF"/>
                <w:sz w:val="24"/>
                <w:szCs w:val="24"/>
              </w:rPr>
              <w:sym w:font="Wingdings" w:char="F0FE"/>
            </w:r>
          </w:p>
        </w:tc>
      </w:tr>
      <w:tr w14:paraId="0D5F567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320" w:type="pct"/>
            <w:vMerge w:val="restart"/>
            <w:tcBorders>
              <w:top w:val="single" w:color="auto" w:sz="4" w:space="0"/>
              <w:bottom w:val="single" w:color="auto" w:sz="4" w:space="0"/>
              <w:right w:val="single" w:color="auto" w:sz="4" w:space="0"/>
            </w:tcBorders>
            <w:noWrap w:val="0"/>
            <w:textDirection w:val="tbRlV"/>
            <w:vAlign w:val="center"/>
          </w:tcPr>
          <w:p w14:paraId="3312A214">
            <w:pPr>
              <w:keepNext w:val="0"/>
              <w:keepLines w:val="0"/>
              <w:suppressLineNumbers w:val="0"/>
              <w:spacing w:before="0" w:beforeAutospacing="0" w:after="0" w:afterAutospacing="0"/>
              <w:ind w:left="113" w:right="113"/>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风险识别</w:t>
            </w:r>
          </w:p>
        </w:tc>
        <w:tc>
          <w:tcPr>
            <w:tcW w:w="561" w:type="pct"/>
            <w:tcBorders>
              <w:top w:val="single" w:color="auto" w:sz="4" w:space="0"/>
              <w:left w:val="single" w:color="auto" w:sz="4" w:space="0"/>
              <w:bottom w:val="single" w:color="auto" w:sz="4" w:space="0"/>
              <w:right w:val="single" w:color="auto" w:sz="4" w:space="0"/>
            </w:tcBorders>
            <w:noWrap w:val="0"/>
            <w:vAlign w:val="center"/>
          </w:tcPr>
          <w:p w14:paraId="4478FC0F">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物质危险性</w:t>
            </w:r>
          </w:p>
        </w:tc>
        <w:tc>
          <w:tcPr>
            <w:tcW w:w="2058" w:type="pct"/>
            <w:gridSpan w:val="5"/>
            <w:tcBorders>
              <w:top w:val="single" w:color="auto" w:sz="4" w:space="0"/>
              <w:left w:val="single" w:color="auto" w:sz="4" w:space="0"/>
              <w:bottom w:val="single" w:color="auto" w:sz="4" w:space="0"/>
              <w:right w:val="single" w:color="auto" w:sz="4" w:space="0"/>
            </w:tcBorders>
            <w:noWrap w:val="0"/>
            <w:vAlign w:val="center"/>
          </w:tcPr>
          <w:p w14:paraId="5CD31D7C">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有毒有害</w:t>
            </w:r>
            <w:r>
              <w:rPr>
                <w:rFonts w:hint="default" w:ascii="Times New Roman" w:hAnsi="Times New Roman" w:eastAsia="宋体" w:cs="Times New Roman"/>
                <w:color w:val="0000FF"/>
                <w:sz w:val="24"/>
                <w:szCs w:val="24"/>
              </w:rPr>
              <w:sym w:font="Wingdings" w:char="F0FE"/>
            </w:r>
          </w:p>
        </w:tc>
        <w:tc>
          <w:tcPr>
            <w:tcW w:w="2059" w:type="pct"/>
            <w:gridSpan w:val="5"/>
            <w:tcBorders>
              <w:top w:val="single" w:color="auto" w:sz="4" w:space="0"/>
              <w:left w:val="single" w:color="auto" w:sz="4" w:space="0"/>
              <w:bottom w:val="single" w:color="auto" w:sz="4" w:space="0"/>
            </w:tcBorders>
            <w:noWrap w:val="0"/>
            <w:vAlign w:val="center"/>
          </w:tcPr>
          <w:p w14:paraId="3B3B90E1">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易燃易爆</w:t>
            </w:r>
            <w:r>
              <w:rPr>
                <w:rFonts w:hint="default" w:ascii="Times New Roman" w:hAnsi="Times New Roman" w:eastAsia="宋体" w:cs="Times New Roman"/>
                <w:color w:val="0000FF"/>
                <w:sz w:val="24"/>
                <w:szCs w:val="24"/>
              </w:rPr>
              <w:sym w:font="Wingdings" w:char="00FE"/>
            </w:r>
          </w:p>
        </w:tc>
      </w:tr>
      <w:tr w14:paraId="5BF5FF7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320" w:type="pct"/>
            <w:vMerge w:val="continue"/>
            <w:tcBorders>
              <w:top w:val="single" w:color="auto" w:sz="4" w:space="0"/>
              <w:bottom w:val="single" w:color="auto" w:sz="4" w:space="0"/>
              <w:right w:val="single" w:color="auto" w:sz="4" w:space="0"/>
            </w:tcBorders>
            <w:noWrap w:val="0"/>
            <w:vAlign w:val="center"/>
          </w:tcPr>
          <w:p w14:paraId="1A02F75E">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p>
        </w:tc>
        <w:tc>
          <w:tcPr>
            <w:tcW w:w="561" w:type="pct"/>
            <w:tcBorders>
              <w:top w:val="single" w:color="auto" w:sz="4" w:space="0"/>
              <w:left w:val="single" w:color="auto" w:sz="4" w:space="0"/>
              <w:bottom w:val="single" w:color="auto" w:sz="4" w:space="0"/>
              <w:right w:val="single" w:color="auto" w:sz="4" w:space="0"/>
            </w:tcBorders>
            <w:noWrap w:val="0"/>
            <w:vAlign w:val="center"/>
          </w:tcPr>
          <w:p w14:paraId="42A8BC84">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环境风险类型</w:t>
            </w:r>
          </w:p>
        </w:tc>
        <w:tc>
          <w:tcPr>
            <w:tcW w:w="1566" w:type="pct"/>
            <w:gridSpan w:val="3"/>
            <w:tcBorders>
              <w:top w:val="single" w:color="auto" w:sz="4" w:space="0"/>
              <w:left w:val="single" w:color="auto" w:sz="4" w:space="0"/>
              <w:bottom w:val="single" w:color="auto" w:sz="4" w:space="0"/>
              <w:right w:val="single" w:color="auto" w:sz="4" w:space="0"/>
            </w:tcBorders>
            <w:noWrap w:val="0"/>
            <w:vAlign w:val="center"/>
          </w:tcPr>
          <w:p w14:paraId="6406A9DD">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泄漏</w:t>
            </w:r>
            <w:r>
              <w:rPr>
                <w:rFonts w:hint="default" w:ascii="Times New Roman" w:hAnsi="Times New Roman" w:eastAsia="宋体" w:cs="Times New Roman"/>
                <w:color w:val="0000FF"/>
                <w:sz w:val="24"/>
                <w:szCs w:val="24"/>
              </w:rPr>
              <w:sym w:font="Wingdings" w:char="F0FE"/>
            </w:r>
          </w:p>
        </w:tc>
        <w:tc>
          <w:tcPr>
            <w:tcW w:w="2551" w:type="pct"/>
            <w:gridSpan w:val="7"/>
            <w:tcBorders>
              <w:top w:val="single" w:color="auto" w:sz="4" w:space="0"/>
              <w:left w:val="single" w:color="auto" w:sz="4" w:space="0"/>
              <w:bottom w:val="single" w:color="auto" w:sz="4" w:space="0"/>
            </w:tcBorders>
            <w:noWrap w:val="0"/>
            <w:vAlign w:val="center"/>
          </w:tcPr>
          <w:p w14:paraId="23642244">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火灾、爆炸引发伴生/次生污染物排放</w:t>
            </w:r>
            <w:r>
              <w:rPr>
                <w:rFonts w:hint="default" w:ascii="Times New Roman" w:hAnsi="Times New Roman" w:eastAsia="宋体" w:cs="Times New Roman"/>
                <w:color w:val="0000FF"/>
                <w:sz w:val="24"/>
                <w:szCs w:val="24"/>
              </w:rPr>
              <w:sym w:font="Wingdings" w:char="00FE"/>
            </w:r>
          </w:p>
        </w:tc>
      </w:tr>
      <w:tr w14:paraId="2DD764A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320" w:type="pct"/>
            <w:vMerge w:val="continue"/>
            <w:tcBorders>
              <w:top w:val="single" w:color="auto" w:sz="4" w:space="0"/>
              <w:bottom w:val="single" w:color="auto" w:sz="4" w:space="0"/>
              <w:right w:val="single" w:color="auto" w:sz="4" w:space="0"/>
            </w:tcBorders>
            <w:noWrap w:val="0"/>
            <w:vAlign w:val="center"/>
          </w:tcPr>
          <w:p w14:paraId="0B52C5F5">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p>
        </w:tc>
        <w:tc>
          <w:tcPr>
            <w:tcW w:w="561" w:type="pct"/>
            <w:tcBorders>
              <w:top w:val="single" w:color="auto" w:sz="4" w:space="0"/>
              <w:left w:val="single" w:color="auto" w:sz="4" w:space="0"/>
              <w:bottom w:val="single" w:color="auto" w:sz="4" w:space="0"/>
              <w:right w:val="single" w:color="auto" w:sz="4" w:space="0"/>
            </w:tcBorders>
            <w:noWrap w:val="0"/>
            <w:vAlign w:val="center"/>
          </w:tcPr>
          <w:p w14:paraId="584AEC98">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影响途径</w:t>
            </w:r>
          </w:p>
        </w:tc>
        <w:tc>
          <w:tcPr>
            <w:tcW w:w="1566" w:type="pct"/>
            <w:gridSpan w:val="3"/>
            <w:tcBorders>
              <w:top w:val="single" w:color="auto" w:sz="4" w:space="0"/>
              <w:left w:val="single" w:color="auto" w:sz="4" w:space="0"/>
              <w:bottom w:val="single" w:color="auto" w:sz="4" w:space="0"/>
              <w:right w:val="single" w:color="auto" w:sz="4" w:space="0"/>
            </w:tcBorders>
            <w:noWrap w:val="0"/>
            <w:vAlign w:val="center"/>
          </w:tcPr>
          <w:p w14:paraId="77379FBC">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大气</w:t>
            </w:r>
            <w:r>
              <w:rPr>
                <w:rFonts w:hint="default" w:ascii="Times New Roman" w:hAnsi="Times New Roman" w:eastAsia="宋体" w:cs="Times New Roman"/>
                <w:color w:val="0000FF"/>
                <w:sz w:val="24"/>
                <w:szCs w:val="24"/>
              </w:rPr>
              <w:sym w:font="Wingdings" w:char="00FE"/>
            </w:r>
          </w:p>
        </w:tc>
        <w:tc>
          <w:tcPr>
            <w:tcW w:w="1188" w:type="pct"/>
            <w:gridSpan w:val="4"/>
            <w:tcBorders>
              <w:top w:val="single" w:color="auto" w:sz="4" w:space="0"/>
              <w:left w:val="single" w:color="auto" w:sz="4" w:space="0"/>
              <w:bottom w:val="single" w:color="auto" w:sz="4" w:space="0"/>
              <w:right w:val="single" w:color="auto" w:sz="4" w:space="0"/>
            </w:tcBorders>
            <w:noWrap w:val="0"/>
            <w:vAlign w:val="center"/>
          </w:tcPr>
          <w:p w14:paraId="7CEFA3A9">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地表水</w:t>
            </w:r>
            <w:r>
              <w:rPr>
                <w:rFonts w:hint="default" w:ascii="Times New Roman" w:hAnsi="Times New Roman" w:eastAsia="宋体" w:cs="Times New Roman"/>
                <w:color w:val="0000FF"/>
                <w:sz w:val="24"/>
                <w:szCs w:val="24"/>
              </w:rPr>
              <w:sym w:font="Wingdings" w:char="00A8"/>
            </w:r>
          </w:p>
        </w:tc>
        <w:tc>
          <w:tcPr>
            <w:tcW w:w="1362" w:type="pct"/>
            <w:gridSpan w:val="3"/>
            <w:tcBorders>
              <w:top w:val="single" w:color="auto" w:sz="4" w:space="0"/>
              <w:left w:val="single" w:color="auto" w:sz="4" w:space="0"/>
              <w:bottom w:val="single" w:color="auto" w:sz="4" w:space="0"/>
            </w:tcBorders>
            <w:noWrap w:val="0"/>
            <w:vAlign w:val="center"/>
          </w:tcPr>
          <w:p w14:paraId="45970260">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地下水</w:t>
            </w:r>
            <w:r>
              <w:rPr>
                <w:rFonts w:hint="default" w:ascii="Times New Roman" w:hAnsi="Times New Roman" w:eastAsia="宋体" w:cs="Times New Roman"/>
                <w:color w:val="0000FF"/>
                <w:sz w:val="24"/>
                <w:szCs w:val="24"/>
              </w:rPr>
              <w:sym w:font="Wingdings" w:char="F0FE"/>
            </w:r>
          </w:p>
        </w:tc>
      </w:tr>
      <w:tr w14:paraId="468DC89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881" w:type="pct"/>
            <w:gridSpan w:val="2"/>
            <w:tcBorders>
              <w:top w:val="single" w:color="auto" w:sz="4" w:space="0"/>
              <w:bottom w:val="single" w:color="auto" w:sz="4" w:space="0"/>
              <w:right w:val="single" w:color="auto" w:sz="4" w:space="0"/>
            </w:tcBorders>
            <w:noWrap w:val="0"/>
            <w:vAlign w:val="center"/>
          </w:tcPr>
          <w:p w14:paraId="35A5FF0F">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事故情形分析</w:t>
            </w:r>
          </w:p>
        </w:tc>
        <w:tc>
          <w:tcPr>
            <w:tcW w:w="714" w:type="pct"/>
            <w:tcBorders>
              <w:top w:val="single" w:color="auto" w:sz="4" w:space="0"/>
              <w:left w:val="single" w:color="auto" w:sz="4" w:space="0"/>
              <w:bottom w:val="single" w:color="auto" w:sz="4" w:space="0"/>
              <w:right w:val="single" w:color="auto" w:sz="4" w:space="0"/>
            </w:tcBorders>
            <w:noWrap w:val="0"/>
            <w:vAlign w:val="center"/>
          </w:tcPr>
          <w:p w14:paraId="520A9FC3">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源强设定方法</w:t>
            </w:r>
          </w:p>
        </w:tc>
        <w:tc>
          <w:tcPr>
            <w:tcW w:w="852" w:type="pct"/>
            <w:gridSpan w:val="2"/>
            <w:tcBorders>
              <w:top w:val="single" w:color="auto" w:sz="4" w:space="0"/>
              <w:left w:val="single" w:color="auto" w:sz="4" w:space="0"/>
              <w:bottom w:val="single" w:color="auto" w:sz="4" w:space="0"/>
              <w:right w:val="single" w:color="auto" w:sz="4" w:space="0"/>
            </w:tcBorders>
            <w:noWrap w:val="0"/>
            <w:vAlign w:val="center"/>
          </w:tcPr>
          <w:p w14:paraId="1466F5BB">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计算法</w:t>
            </w:r>
            <w:r>
              <w:rPr>
                <w:rFonts w:hint="default" w:ascii="Times New Roman" w:hAnsi="Times New Roman" w:eastAsia="宋体" w:cs="Times New Roman"/>
                <w:color w:val="0000FF"/>
                <w:sz w:val="24"/>
                <w:szCs w:val="24"/>
              </w:rPr>
              <w:sym w:font="Wingdings" w:char="F0A8"/>
            </w:r>
          </w:p>
        </w:tc>
        <w:tc>
          <w:tcPr>
            <w:tcW w:w="1188" w:type="pct"/>
            <w:gridSpan w:val="4"/>
            <w:tcBorders>
              <w:top w:val="single" w:color="auto" w:sz="4" w:space="0"/>
              <w:left w:val="single" w:color="auto" w:sz="4" w:space="0"/>
              <w:bottom w:val="single" w:color="auto" w:sz="4" w:space="0"/>
              <w:right w:val="single" w:color="auto" w:sz="4" w:space="0"/>
            </w:tcBorders>
            <w:noWrap w:val="0"/>
            <w:vAlign w:val="center"/>
          </w:tcPr>
          <w:p w14:paraId="199700E5">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经验估算法</w:t>
            </w:r>
            <w:r>
              <w:rPr>
                <w:rFonts w:hint="default" w:ascii="Times New Roman" w:hAnsi="Times New Roman" w:eastAsia="宋体" w:cs="Times New Roman"/>
                <w:color w:val="0000FF"/>
                <w:sz w:val="24"/>
                <w:szCs w:val="24"/>
              </w:rPr>
              <w:sym w:font="Wingdings" w:char="F0A8"/>
            </w:r>
          </w:p>
        </w:tc>
        <w:tc>
          <w:tcPr>
            <w:tcW w:w="1362" w:type="pct"/>
            <w:gridSpan w:val="3"/>
            <w:tcBorders>
              <w:top w:val="single" w:color="auto" w:sz="4" w:space="0"/>
              <w:left w:val="single" w:color="auto" w:sz="4" w:space="0"/>
              <w:bottom w:val="single" w:color="auto" w:sz="4" w:space="0"/>
            </w:tcBorders>
            <w:noWrap w:val="0"/>
            <w:vAlign w:val="center"/>
          </w:tcPr>
          <w:p w14:paraId="51028BE5">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其他估算法</w:t>
            </w:r>
            <w:r>
              <w:rPr>
                <w:rFonts w:hint="default" w:ascii="Times New Roman" w:hAnsi="Times New Roman" w:eastAsia="宋体" w:cs="Times New Roman"/>
                <w:color w:val="0000FF"/>
                <w:sz w:val="24"/>
                <w:szCs w:val="24"/>
              </w:rPr>
              <w:sym w:font="Wingdings" w:char="F0A8"/>
            </w:r>
          </w:p>
        </w:tc>
      </w:tr>
      <w:tr w14:paraId="6BB12B2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320" w:type="pct"/>
            <w:vMerge w:val="restart"/>
            <w:tcBorders>
              <w:top w:val="single" w:color="auto" w:sz="4" w:space="0"/>
              <w:bottom w:val="single" w:color="auto" w:sz="4" w:space="0"/>
              <w:right w:val="single" w:color="auto" w:sz="4" w:space="0"/>
            </w:tcBorders>
            <w:noWrap w:val="0"/>
            <w:textDirection w:val="tbRlV"/>
            <w:vAlign w:val="center"/>
          </w:tcPr>
          <w:p w14:paraId="586B4A9C">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风险预测与评价</w:t>
            </w:r>
          </w:p>
        </w:tc>
        <w:tc>
          <w:tcPr>
            <w:tcW w:w="561" w:type="pct"/>
            <w:vMerge w:val="restart"/>
            <w:tcBorders>
              <w:top w:val="single" w:color="auto" w:sz="4" w:space="0"/>
              <w:left w:val="single" w:color="auto" w:sz="4" w:space="0"/>
              <w:bottom w:val="single" w:color="auto" w:sz="4" w:space="0"/>
              <w:right w:val="single" w:color="auto" w:sz="4" w:space="0"/>
            </w:tcBorders>
            <w:noWrap w:val="0"/>
            <w:vAlign w:val="center"/>
          </w:tcPr>
          <w:p w14:paraId="294F1AA0">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大气</w:t>
            </w:r>
          </w:p>
        </w:tc>
        <w:tc>
          <w:tcPr>
            <w:tcW w:w="714" w:type="pct"/>
            <w:tcBorders>
              <w:top w:val="single" w:color="auto" w:sz="4" w:space="0"/>
              <w:left w:val="single" w:color="auto" w:sz="4" w:space="0"/>
              <w:bottom w:val="single" w:color="auto" w:sz="4" w:space="0"/>
              <w:right w:val="single" w:color="auto" w:sz="4" w:space="0"/>
            </w:tcBorders>
            <w:noWrap w:val="0"/>
            <w:vAlign w:val="center"/>
          </w:tcPr>
          <w:p w14:paraId="16E598E4">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预测模型</w:t>
            </w:r>
          </w:p>
        </w:tc>
        <w:tc>
          <w:tcPr>
            <w:tcW w:w="852" w:type="pct"/>
            <w:gridSpan w:val="2"/>
            <w:tcBorders>
              <w:top w:val="single" w:color="auto" w:sz="4" w:space="0"/>
              <w:left w:val="single" w:color="auto" w:sz="4" w:space="0"/>
              <w:bottom w:val="single" w:color="auto" w:sz="4" w:space="0"/>
              <w:right w:val="single" w:color="auto" w:sz="4" w:space="0"/>
            </w:tcBorders>
            <w:noWrap w:val="0"/>
            <w:vAlign w:val="center"/>
          </w:tcPr>
          <w:p w14:paraId="01F6EDED">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SLAB</w:t>
            </w:r>
            <w:r>
              <w:rPr>
                <w:rFonts w:hint="default" w:ascii="Times New Roman" w:hAnsi="Times New Roman" w:eastAsia="宋体" w:cs="Times New Roman"/>
                <w:color w:val="0000FF"/>
                <w:sz w:val="24"/>
                <w:szCs w:val="24"/>
              </w:rPr>
              <w:sym w:font="Wingdings" w:char="F0A8"/>
            </w:r>
          </w:p>
        </w:tc>
        <w:tc>
          <w:tcPr>
            <w:tcW w:w="1188" w:type="pct"/>
            <w:gridSpan w:val="4"/>
            <w:tcBorders>
              <w:top w:val="single" w:color="auto" w:sz="4" w:space="0"/>
              <w:left w:val="single" w:color="auto" w:sz="4" w:space="0"/>
              <w:bottom w:val="single" w:color="auto" w:sz="4" w:space="0"/>
              <w:right w:val="single" w:color="auto" w:sz="4" w:space="0"/>
            </w:tcBorders>
            <w:noWrap w:val="0"/>
            <w:vAlign w:val="center"/>
          </w:tcPr>
          <w:p w14:paraId="1D300E89">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AFTOX</w:t>
            </w:r>
            <w:r>
              <w:rPr>
                <w:rFonts w:hint="default" w:ascii="Times New Roman" w:hAnsi="Times New Roman" w:eastAsia="宋体" w:cs="Times New Roman"/>
                <w:color w:val="0000FF"/>
                <w:sz w:val="24"/>
                <w:szCs w:val="24"/>
              </w:rPr>
              <w:sym w:font="Wingdings" w:char="F0A8"/>
            </w:r>
          </w:p>
        </w:tc>
        <w:tc>
          <w:tcPr>
            <w:tcW w:w="1362" w:type="pct"/>
            <w:gridSpan w:val="3"/>
            <w:tcBorders>
              <w:top w:val="single" w:color="auto" w:sz="4" w:space="0"/>
              <w:left w:val="single" w:color="auto" w:sz="4" w:space="0"/>
              <w:bottom w:val="single" w:color="auto" w:sz="4" w:space="0"/>
            </w:tcBorders>
            <w:noWrap w:val="0"/>
            <w:vAlign w:val="center"/>
          </w:tcPr>
          <w:p w14:paraId="461B56C1">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其他</w:t>
            </w:r>
            <w:r>
              <w:rPr>
                <w:rFonts w:hint="default" w:ascii="Times New Roman" w:hAnsi="Times New Roman" w:eastAsia="宋体" w:cs="Times New Roman"/>
                <w:color w:val="0000FF"/>
                <w:sz w:val="24"/>
                <w:szCs w:val="24"/>
              </w:rPr>
              <w:sym w:font="Wingdings" w:char="F0A8"/>
            </w:r>
          </w:p>
        </w:tc>
      </w:tr>
      <w:tr w14:paraId="36F76B2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320" w:type="pct"/>
            <w:vMerge w:val="continue"/>
            <w:tcBorders>
              <w:top w:val="single" w:color="auto" w:sz="4" w:space="0"/>
              <w:bottom w:val="single" w:color="auto" w:sz="4" w:space="0"/>
              <w:right w:val="single" w:color="auto" w:sz="4" w:space="0"/>
            </w:tcBorders>
            <w:noWrap w:val="0"/>
            <w:vAlign w:val="center"/>
          </w:tcPr>
          <w:p w14:paraId="3C911903">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p>
        </w:tc>
        <w:tc>
          <w:tcPr>
            <w:tcW w:w="561" w:type="pct"/>
            <w:vMerge w:val="continue"/>
            <w:tcBorders>
              <w:top w:val="single" w:color="auto" w:sz="4" w:space="0"/>
              <w:left w:val="single" w:color="auto" w:sz="4" w:space="0"/>
              <w:bottom w:val="single" w:color="auto" w:sz="4" w:space="0"/>
              <w:right w:val="single" w:color="auto" w:sz="4" w:space="0"/>
            </w:tcBorders>
            <w:noWrap w:val="0"/>
            <w:vAlign w:val="center"/>
          </w:tcPr>
          <w:p w14:paraId="5A2AC4D3">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p>
        </w:tc>
        <w:tc>
          <w:tcPr>
            <w:tcW w:w="714" w:type="pct"/>
            <w:vMerge w:val="restart"/>
            <w:tcBorders>
              <w:top w:val="single" w:color="auto" w:sz="4" w:space="0"/>
              <w:left w:val="single" w:color="auto" w:sz="4" w:space="0"/>
              <w:bottom w:val="single" w:color="auto" w:sz="4" w:space="0"/>
              <w:right w:val="single" w:color="auto" w:sz="4" w:space="0"/>
            </w:tcBorders>
            <w:noWrap w:val="0"/>
            <w:vAlign w:val="center"/>
          </w:tcPr>
          <w:p w14:paraId="44BD3F30">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预测结果</w:t>
            </w:r>
          </w:p>
        </w:tc>
        <w:tc>
          <w:tcPr>
            <w:tcW w:w="3403" w:type="pct"/>
            <w:gridSpan w:val="9"/>
            <w:tcBorders>
              <w:top w:val="single" w:color="auto" w:sz="4" w:space="0"/>
              <w:left w:val="single" w:color="auto" w:sz="4" w:space="0"/>
              <w:bottom w:val="single" w:color="auto" w:sz="4" w:space="0"/>
            </w:tcBorders>
            <w:noWrap w:val="0"/>
            <w:vAlign w:val="center"/>
          </w:tcPr>
          <w:p w14:paraId="097F778E">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大气毒性终点浓度-1最大影响范围m</w:t>
            </w:r>
          </w:p>
        </w:tc>
      </w:tr>
      <w:tr w14:paraId="09E9AB7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320" w:type="pct"/>
            <w:vMerge w:val="continue"/>
            <w:tcBorders>
              <w:top w:val="single" w:color="auto" w:sz="4" w:space="0"/>
              <w:bottom w:val="single" w:color="auto" w:sz="4" w:space="0"/>
              <w:right w:val="single" w:color="auto" w:sz="4" w:space="0"/>
            </w:tcBorders>
            <w:noWrap w:val="0"/>
            <w:vAlign w:val="center"/>
          </w:tcPr>
          <w:p w14:paraId="7E43F371">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p>
        </w:tc>
        <w:tc>
          <w:tcPr>
            <w:tcW w:w="561" w:type="pct"/>
            <w:vMerge w:val="continue"/>
            <w:tcBorders>
              <w:top w:val="single" w:color="auto" w:sz="4" w:space="0"/>
              <w:left w:val="single" w:color="auto" w:sz="4" w:space="0"/>
              <w:bottom w:val="single" w:color="auto" w:sz="4" w:space="0"/>
              <w:right w:val="single" w:color="auto" w:sz="4" w:space="0"/>
            </w:tcBorders>
            <w:noWrap w:val="0"/>
            <w:vAlign w:val="center"/>
          </w:tcPr>
          <w:p w14:paraId="32FBF415">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p>
        </w:tc>
        <w:tc>
          <w:tcPr>
            <w:tcW w:w="714" w:type="pct"/>
            <w:vMerge w:val="continue"/>
            <w:tcBorders>
              <w:top w:val="single" w:color="auto" w:sz="4" w:space="0"/>
              <w:left w:val="single" w:color="auto" w:sz="4" w:space="0"/>
              <w:bottom w:val="single" w:color="auto" w:sz="4" w:space="0"/>
              <w:right w:val="single" w:color="auto" w:sz="4" w:space="0"/>
            </w:tcBorders>
            <w:noWrap w:val="0"/>
            <w:vAlign w:val="center"/>
          </w:tcPr>
          <w:p w14:paraId="46AD452F">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p>
        </w:tc>
        <w:tc>
          <w:tcPr>
            <w:tcW w:w="3403" w:type="pct"/>
            <w:gridSpan w:val="9"/>
            <w:tcBorders>
              <w:top w:val="single" w:color="auto" w:sz="4" w:space="0"/>
              <w:left w:val="single" w:color="auto" w:sz="4" w:space="0"/>
              <w:bottom w:val="single" w:color="auto" w:sz="4" w:space="0"/>
            </w:tcBorders>
            <w:noWrap w:val="0"/>
            <w:vAlign w:val="center"/>
          </w:tcPr>
          <w:p w14:paraId="62A528B4">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大气毒性终点浓度-2最大影响范围m</w:t>
            </w:r>
          </w:p>
        </w:tc>
      </w:tr>
      <w:tr w14:paraId="255BE98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320" w:type="pct"/>
            <w:vMerge w:val="continue"/>
            <w:tcBorders>
              <w:top w:val="single" w:color="auto" w:sz="4" w:space="0"/>
              <w:bottom w:val="single" w:color="auto" w:sz="4" w:space="0"/>
              <w:right w:val="single" w:color="auto" w:sz="4" w:space="0"/>
            </w:tcBorders>
            <w:noWrap w:val="0"/>
            <w:vAlign w:val="center"/>
          </w:tcPr>
          <w:p w14:paraId="4F084937">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p>
        </w:tc>
        <w:tc>
          <w:tcPr>
            <w:tcW w:w="561" w:type="pct"/>
            <w:tcBorders>
              <w:top w:val="single" w:color="auto" w:sz="4" w:space="0"/>
              <w:left w:val="single" w:color="auto" w:sz="4" w:space="0"/>
              <w:bottom w:val="single" w:color="auto" w:sz="4" w:space="0"/>
              <w:right w:val="single" w:color="auto" w:sz="4" w:space="0"/>
            </w:tcBorders>
            <w:noWrap w:val="0"/>
            <w:vAlign w:val="center"/>
          </w:tcPr>
          <w:p w14:paraId="31D4E69C">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地表水</w:t>
            </w:r>
          </w:p>
        </w:tc>
        <w:tc>
          <w:tcPr>
            <w:tcW w:w="4118" w:type="pct"/>
            <w:gridSpan w:val="10"/>
            <w:tcBorders>
              <w:top w:val="single" w:color="auto" w:sz="4" w:space="0"/>
              <w:left w:val="single" w:color="auto" w:sz="4" w:space="0"/>
              <w:bottom w:val="single" w:color="auto" w:sz="4" w:space="0"/>
            </w:tcBorders>
            <w:noWrap w:val="0"/>
            <w:vAlign w:val="center"/>
          </w:tcPr>
          <w:p w14:paraId="69DA2882">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最近环境敏感目标，到达时间h</w:t>
            </w:r>
          </w:p>
        </w:tc>
      </w:tr>
      <w:tr w14:paraId="1BA0005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320" w:type="pct"/>
            <w:vMerge w:val="continue"/>
            <w:tcBorders>
              <w:top w:val="single" w:color="auto" w:sz="4" w:space="0"/>
              <w:bottom w:val="single" w:color="auto" w:sz="4" w:space="0"/>
              <w:right w:val="single" w:color="auto" w:sz="4" w:space="0"/>
            </w:tcBorders>
            <w:noWrap w:val="0"/>
            <w:vAlign w:val="center"/>
          </w:tcPr>
          <w:p w14:paraId="1F01A32D">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p>
        </w:tc>
        <w:tc>
          <w:tcPr>
            <w:tcW w:w="561" w:type="pct"/>
            <w:vMerge w:val="restart"/>
            <w:tcBorders>
              <w:top w:val="single" w:color="auto" w:sz="4" w:space="0"/>
              <w:left w:val="single" w:color="auto" w:sz="4" w:space="0"/>
              <w:bottom w:val="single" w:color="auto" w:sz="4" w:space="0"/>
              <w:right w:val="single" w:color="auto" w:sz="4" w:space="0"/>
            </w:tcBorders>
            <w:noWrap w:val="0"/>
            <w:vAlign w:val="center"/>
          </w:tcPr>
          <w:p w14:paraId="114E3957">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地下水</w:t>
            </w:r>
          </w:p>
        </w:tc>
        <w:tc>
          <w:tcPr>
            <w:tcW w:w="4118" w:type="pct"/>
            <w:gridSpan w:val="10"/>
            <w:tcBorders>
              <w:top w:val="single" w:color="auto" w:sz="4" w:space="0"/>
              <w:left w:val="single" w:color="auto" w:sz="4" w:space="0"/>
              <w:bottom w:val="single" w:color="auto" w:sz="4" w:space="0"/>
            </w:tcBorders>
            <w:noWrap w:val="0"/>
            <w:vAlign w:val="center"/>
          </w:tcPr>
          <w:p w14:paraId="1197B95E">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下游厂区边界到达时间d</w:t>
            </w:r>
          </w:p>
        </w:tc>
      </w:tr>
      <w:tr w14:paraId="0039114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320" w:type="pct"/>
            <w:vMerge w:val="continue"/>
            <w:tcBorders>
              <w:top w:val="single" w:color="auto" w:sz="4" w:space="0"/>
              <w:bottom w:val="single" w:color="auto" w:sz="4" w:space="0"/>
              <w:right w:val="single" w:color="auto" w:sz="4" w:space="0"/>
            </w:tcBorders>
            <w:noWrap w:val="0"/>
            <w:vAlign w:val="center"/>
          </w:tcPr>
          <w:p w14:paraId="0FF384CE">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p>
        </w:tc>
        <w:tc>
          <w:tcPr>
            <w:tcW w:w="561" w:type="pct"/>
            <w:vMerge w:val="continue"/>
            <w:tcBorders>
              <w:top w:val="single" w:color="auto" w:sz="4" w:space="0"/>
              <w:left w:val="single" w:color="auto" w:sz="4" w:space="0"/>
              <w:bottom w:val="single" w:color="auto" w:sz="4" w:space="0"/>
              <w:right w:val="single" w:color="auto" w:sz="4" w:space="0"/>
            </w:tcBorders>
            <w:noWrap w:val="0"/>
            <w:vAlign w:val="center"/>
          </w:tcPr>
          <w:p w14:paraId="7AE5EFE7">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p>
        </w:tc>
        <w:tc>
          <w:tcPr>
            <w:tcW w:w="4118" w:type="pct"/>
            <w:gridSpan w:val="10"/>
            <w:tcBorders>
              <w:top w:val="single" w:color="auto" w:sz="4" w:space="0"/>
              <w:left w:val="single" w:color="auto" w:sz="4" w:space="0"/>
              <w:bottom w:val="single" w:color="auto" w:sz="4" w:space="0"/>
            </w:tcBorders>
            <w:noWrap w:val="0"/>
            <w:vAlign w:val="center"/>
          </w:tcPr>
          <w:p w14:paraId="0B4253D7">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最近环境敏感目标，到达时间h</w:t>
            </w:r>
          </w:p>
        </w:tc>
      </w:tr>
      <w:tr w14:paraId="14E29B0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881" w:type="pct"/>
            <w:gridSpan w:val="2"/>
            <w:tcBorders>
              <w:top w:val="single" w:color="auto" w:sz="4" w:space="0"/>
              <w:bottom w:val="single" w:color="auto" w:sz="4" w:space="0"/>
              <w:right w:val="single" w:color="auto" w:sz="4" w:space="0"/>
            </w:tcBorders>
            <w:noWrap w:val="0"/>
            <w:vAlign w:val="center"/>
          </w:tcPr>
          <w:p w14:paraId="5E67C581">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1"/>
              </w:rPr>
              <w:t>重点风险防范措施</w:t>
            </w:r>
          </w:p>
        </w:tc>
        <w:tc>
          <w:tcPr>
            <w:tcW w:w="4118" w:type="pct"/>
            <w:gridSpan w:val="10"/>
            <w:tcBorders>
              <w:top w:val="single" w:color="auto" w:sz="4" w:space="0"/>
              <w:left w:val="single" w:color="auto" w:sz="4" w:space="0"/>
              <w:bottom w:val="single" w:color="auto" w:sz="4" w:space="0"/>
            </w:tcBorders>
            <w:noWrap w:val="0"/>
            <w:vAlign w:val="center"/>
          </w:tcPr>
          <w:p w14:paraId="2F88B9BD">
            <w:pPr>
              <w:keepNext w:val="0"/>
              <w:keepLines w:val="0"/>
              <w:suppressLineNumbers w:val="0"/>
              <w:spacing w:before="0" w:beforeAutospacing="0" w:after="0" w:afterAutospacing="0"/>
              <w:ind w:left="0" w:right="0"/>
              <w:jc w:val="left"/>
              <w:rPr>
                <w:rFonts w:hint="default" w:ascii="Times New Roman" w:hAnsi="Times New Roman" w:eastAsia="宋体" w:cs="Times New Roman"/>
                <w:color w:val="0000FF"/>
                <w:szCs w:val="22"/>
              </w:rPr>
            </w:pPr>
            <w:r>
              <w:rPr>
                <w:rFonts w:hint="default" w:ascii="Times New Roman" w:hAnsi="Times New Roman" w:eastAsia="宋体" w:cs="Times New Roman"/>
                <w:color w:val="0000FF"/>
                <w:szCs w:val="22"/>
              </w:rPr>
              <w:t>（1）该项目客观上存在着不安全因素，对周围环境存在着潜在的威胁。发生环境安全事故后，对周围环境有严重的损害，所以在贯彻“安全第一，预防为主”的方针同时，应树立环境风险意识，强化环境风险责任，体现出环境保护的内容。</w:t>
            </w:r>
          </w:p>
          <w:p w14:paraId="6AD30018">
            <w:pPr>
              <w:keepNext w:val="0"/>
              <w:keepLines w:val="0"/>
              <w:suppressLineNumbers w:val="0"/>
              <w:spacing w:before="0" w:beforeAutospacing="0" w:after="0" w:afterAutospacing="0"/>
              <w:ind w:left="0" w:right="0"/>
              <w:jc w:val="left"/>
              <w:rPr>
                <w:rFonts w:hint="default" w:ascii="Times New Roman" w:hAnsi="Times New Roman" w:eastAsia="宋体" w:cs="Times New Roman"/>
                <w:color w:val="0000FF"/>
                <w:szCs w:val="22"/>
              </w:rPr>
            </w:pPr>
            <w:r>
              <w:rPr>
                <w:rFonts w:hint="default" w:ascii="Times New Roman" w:hAnsi="Times New Roman" w:eastAsia="宋体" w:cs="Times New Roman"/>
                <w:color w:val="0000FF"/>
                <w:szCs w:val="22"/>
              </w:rPr>
              <w:t>（2）建立严格的环境管理制度及操作规程，严格培训操作人员，严格遵守各项规章制度。</w:t>
            </w:r>
          </w:p>
          <w:p w14:paraId="3CB2ACF4">
            <w:pPr>
              <w:keepNext w:val="0"/>
              <w:keepLines w:val="0"/>
              <w:suppressLineNumbers w:val="0"/>
              <w:spacing w:before="0" w:beforeAutospacing="0" w:after="0" w:afterAutospacing="0"/>
              <w:ind w:left="0" w:right="0"/>
              <w:jc w:val="left"/>
              <w:rPr>
                <w:rFonts w:hint="default" w:ascii="Times New Roman" w:hAnsi="Times New Roman" w:eastAsia="宋体" w:cs="Times New Roman"/>
                <w:color w:val="0000FF"/>
                <w:szCs w:val="22"/>
              </w:rPr>
            </w:pPr>
            <w:r>
              <w:rPr>
                <w:rFonts w:hint="default" w:ascii="Times New Roman" w:hAnsi="Times New Roman" w:eastAsia="宋体" w:cs="Times New Roman"/>
                <w:color w:val="0000FF"/>
                <w:szCs w:val="22"/>
              </w:rPr>
              <w:t>（3）确保各项环保治理措施切实可行，并保证治理设施正常运行，且做到达标排放。</w:t>
            </w:r>
          </w:p>
          <w:p w14:paraId="68961C7D">
            <w:pPr>
              <w:keepNext w:val="0"/>
              <w:keepLines w:val="0"/>
              <w:suppressLineNumbers w:val="0"/>
              <w:spacing w:before="0" w:beforeAutospacing="0" w:after="0" w:afterAutospacing="0"/>
              <w:ind w:left="0" w:right="0"/>
              <w:jc w:val="left"/>
              <w:rPr>
                <w:rFonts w:hint="default" w:ascii="Times New Roman" w:hAnsi="Times New Roman" w:eastAsia="宋体" w:cs="Times New Roman"/>
                <w:color w:val="0000FF"/>
                <w:szCs w:val="21"/>
              </w:rPr>
            </w:pPr>
            <w:r>
              <w:rPr>
                <w:rFonts w:hint="default" w:ascii="Times New Roman" w:hAnsi="Times New Roman" w:eastAsia="宋体" w:cs="Times New Roman"/>
                <w:color w:val="0000FF"/>
                <w:szCs w:val="22"/>
              </w:rPr>
              <w:t>（4）定期检查和维修环保治理设施，及时发现问题及时解决，使事故发生率降至最低。</w:t>
            </w:r>
          </w:p>
        </w:tc>
      </w:tr>
      <w:tr w14:paraId="54EEA00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881" w:type="pct"/>
            <w:gridSpan w:val="2"/>
            <w:tcBorders>
              <w:top w:val="single" w:color="auto" w:sz="4" w:space="0"/>
              <w:bottom w:val="single" w:color="auto" w:sz="4" w:space="0"/>
              <w:right w:val="single" w:color="auto" w:sz="4" w:space="0"/>
            </w:tcBorders>
            <w:noWrap w:val="0"/>
            <w:vAlign w:val="center"/>
          </w:tcPr>
          <w:p w14:paraId="0C3DB18F">
            <w:pPr>
              <w:keepNext w:val="0"/>
              <w:keepLines w:val="0"/>
              <w:suppressLineNumbers w:val="0"/>
              <w:spacing w:before="0" w:beforeAutospacing="0" w:after="0" w:afterAutospacing="0"/>
              <w:ind w:left="0" w:right="0"/>
              <w:jc w:val="left"/>
              <w:rPr>
                <w:rFonts w:hint="default" w:ascii="Times New Roman" w:hAnsi="Times New Roman" w:eastAsia="宋体" w:cs="Times New Roman"/>
                <w:color w:val="0000FF"/>
                <w:szCs w:val="22"/>
              </w:rPr>
            </w:pPr>
            <w:r>
              <w:rPr>
                <w:rFonts w:hint="default" w:ascii="Times New Roman" w:hAnsi="Times New Roman" w:eastAsia="宋体" w:cs="Times New Roman"/>
                <w:color w:val="0000FF"/>
                <w:szCs w:val="22"/>
              </w:rPr>
              <w:t>评价结论与建议</w:t>
            </w:r>
          </w:p>
        </w:tc>
        <w:tc>
          <w:tcPr>
            <w:tcW w:w="4118" w:type="pct"/>
            <w:gridSpan w:val="10"/>
            <w:tcBorders>
              <w:top w:val="single" w:color="auto" w:sz="4" w:space="0"/>
              <w:left w:val="single" w:color="auto" w:sz="4" w:space="0"/>
              <w:bottom w:val="single" w:color="auto" w:sz="4" w:space="0"/>
            </w:tcBorders>
            <w:noWrap w:val="0"/>
            <w:vAlign w:val="center"/>
          </w:tcPr>
          <w:p w14:paraId="72670738">
            <w:pPr>
              <w:keepNext w:val="0"/>
              <w:keepLines w:val="0"/>
              <w:suppressLineNumbers w:val="0"/>
              <w:spacing w:before="0" w:beforeAutospacing="0" w:after="0" w:afterAutospacing="0"/>
              <w:ind w:left="0" w:right="0"/>
              <w:jc w:val="left"/>
              <w:rPr>
                <w:rFonts w:hint="default" w:ascii="Times New Roman" w:hAnsi="Times New Roman" w:eastAsia="宋体" w:cs="Times New Roman"/>
                <w:color w:val="0000FF"/>
                <w:szCs w:val="22"/>
              </w:rPr>
            </w:pPr>
            <w:r>
              <w:rPr>
                <w:rFonts w:hint="default" w:ascii="Times New Roman" w:hAnsi="Times New Roman" w:eastAsia="宋体" w:cs="Times New Roman"/>
                <w:color w:val="0000FF"/>
                <w:szCs w:val="22"/>
              </w:rPr>
              <w:t>在降雨量较大的情况下出现事故性排放的可能性最大。企业采取了相应措施避免雨水进入</w:t>
            </w:r>
            <w:r>
              <w:rPr>
                <w:rFonts w:hint="eastAsia" w:cs="Times New Roman"/>
                <w:color w:val="0000FF"/>
                <w:szCs w:val="22"/>
                <w:lang w:val="en-US" w:eastAsia="zh-CN"/>
              </w:rPr>
              <w:t>蓄水池及中水管线</w:t>
            </w:r>
            <w:r>
              <w:rPr>
                <w:rFonts w:hint="default" w:ascii="Times New Roman" w:hAnsi="Times New Roman" w:eastAsia="宋体" w:cs="Times New Roman"/>
                <w:color w:val="0000FF"/>
                <w:szCs w:val="22"/>
              </w:rPr>
              <w:t>，</w:t>
            </w:r>
            <w:r>
              <w:rPr>
                <w:rFonts w:hint="eastAsia" w:cs="Times New Roman"/>
                <w:color w:val="0000FF"/>
                <w:szCs w:val="22"/>
                <w:lang w:val="en-US" w:eastAsia="zh-CN"/>
              </w:rPr>
              <w:t>建立健全相关环境风险管理制度</w:t>
            </w:r>
            <w:r>
              <w:rPr>
                <w:rFonts w:hint="default" w:ascii="Times New Roman" w:hAnsi="Times New Roman" w:eastAsia="宋体" w:cs="Times New Roman"/>
                <w:color w:val="0000FF"/>
                <w:szCs w:val="22"/>
              </w:rPr>
              <w:t>并加强管理，该风险是可以接受的。</w:t>
            </w:r>
          </w:p>
        </w:tc>
      </w:tr>
      <w:tr w14:paraId="322B40B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5000" w:type="pct"/>
            <w:gridSpan w:val="12"/>
            <w:tcBorders>
              <w:top w:val="single" w:color="auto" w:sz="4" w:space="0"/>
              <w:bottom w:val="single" w:color="auto" w:sz="12" w:space="0"/>
            </w:tcBorders>
            <w:noWrap w:val="0"/>
            <w:vAlign w:val="center"/>
          </w:tcPr>
          <w:p w14:paraId="2965892B">
            <w:pPr>
              <w:keepNext w:val="0"/>
              <w:keepLines w:val="0"/>
              <w:suppressLineNumbers w:val="0"/>
              <w:spacing w:before="0" w:beforeAutospacing="0" w:after="0" w:afterAutospacing="0"/>
              <w:ind w:left="0" w:right="0"/>
              <w:jc w:val="left"/>
              <w:rPr>
                <w:rFonts w:hint="default" w:ascii="Times New Roman" w:hAnsi="Times New Roman" w:eastAsia="宋体" w:cs="Times New Roman"/>
                <w:color w:val="0000FF"/>
                <w:szCs w:val="22"/>
              </w:rPr>
            </w:pPr>
            <w:r>
              <w:rPr>
                <w:rFonts w:hint="default" w:ascii="Times New Roman" w:hAnsi="Times New Roman" w:eastAsia="宋体" w:cs="Times New Roman"/>
                <w:color w:val="0000FF"/>
                <w:szCs w:val="22"/>
              </w:rPr>
              <w:t>注：“</w:t>
            </w:r>
            <w:r>
              <w:rPr>
                <w:rFonts w:hint="default" w:ascii="Times New Roman" w:hAnsi="Times New Roman" w:eastAsia="宋体" w:cs="Times New Roman"/>
                <w:color w:val="0000FF"/>
                <w:szCs w:val="22"/>
              </w:rPr>
              <w:sym w:font="Wingdings" w:char="F0A8"/>
            </w:r>
            <w:r>
              <w:rPr>
                <w:rFonts w:hint="default" w:ascii="Times New Roman" w:hAnsi="Times New Roman" w:eastAsia="宋体" w:cs="Times New Roman"/>
                <w:color w:val="0000FF"/>
                <w:szCs w:val="22"/>
              </w:rPr>
              <w:t>”为勾选项，“”为填写项</w:t>
            </w:r>
          </w:p>
        </w:tc>
      </w:tr>
    </w:tbl>
    <w:p w14:paraId="58E2581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24"/>
          <w:lang w:val="zh-CN"/>
        </w:rPr>
      </w:pPr>
    </w:p>
    <w:p w14:paraId="218FC4A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24"/>
          <w:lang w:val="zh-CN"/>
        </w:rPr>
      </w:pPr>
    </w:p>
    <w:p w14:paraId="433131E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24"/>
          <w:lang w:val="zh-CN"/>
        </w:rPr>
      </w:pPr>
      <w:r>
        <w:rPr>
          <w:rFonts w:hint="eastAsia"/>
          <w:b/>
          <w:bCs/>
          <w:sz w:val="24"/>
          <w:szCs w:val="24"/>
          <w:lang w:val="zh-CN"/>
        </w:rPr>
        <w:t>意见</w:t>
      </w:r>
      <w:r>
        <w:rPr>
          <w:rFonts w:hint="eastAsia"/>
          <w:b/>
          <w:bCs/>
          <w:sz w:val="24"/>
          <w:szCs w:val="24"/>
          <w:lang w:val="en-US" w:eastAsia="zh-CN"/>
        </w:rPr>
        <w:t>10、</w:t>
      </w:r>
      <w:r>
        <w:rPr>
          <w:rFonts w:hint="eastAsia"/>
          <w:b/>
          <w:bCs/>
          <w:sz w:val="24"/>
          <w:szCs w:val="24"/>
          <w:lang w:val="zh-CN"/>
        </w:rPr>
        <w:t>结合《排污许可证申请与核发技术规范</w:t>
      </w:r>
      <w:r>
        <w:rPr>
          <w:rFonts w:hint="eastAsia"/>
          <w:b/>
          <w:bCs/>
          <w:sz w:val="24"/>
          <w:szCs w:val="24"/>
          <w:lang w:val="zh-CN" w:eastAsia="zh-CN"/>
        </w:rPr>
        <w:t xml:space="preserve"> 废弃资源加工</w:t>
      </w:r>
      <w:r>
        <w:rPr>
          <w:rFonts w:hint="eastAsia"/>
          <w:b/>
          <w:bCs/>
          <w:sz w:val="24"/>
          <w:szCs w:val="24"/>
          <w:lang w:val="zh-CN"/>
        </w:rPr>
        <w:t>》有关要求，完善项目运营期环境监测计划，完善 “三同时”一览表。</w:t>
      </w:r>
    </w:p>
    <w:p w14:paraId="0E485F4A">
      <w:pPr>
        <w:pStyle w:val="2"/>
        <w:rPr>
          <w:rFonts w:hint="eastAsia" w:ascii="宋体" w:hAnsi="宋体" w:cs="宋体"/>
          <w:bCs/>
          <w:sz w:val="24"/>
          <w:szCs w:val="24"/>
          <w:vertAlign w:val="baseline"/>
          <w:lang w:val="en-US" w:eastAsia="zh-CN"/>
        </w:rPr>
      </w:pPr>
      <w:r>
        <w:rPr>
          <w:rFonts w:hint="eastAsia" w:ascii="宋体" w:hAnsi="宋体" w:cs="宋体"/>
          <w:bCs/>
          <w:sz w:val="24"/>
          <w:szCs w:val="24"/>
          <w:vertAlign w:val="baseline"/>
          <w:lang w:val="zh-CN"/>
        </w:rPr>
        <w:t>已修改，见报告</w:t>
      </w:r>
      <w:r>
        <w:rPr>
          <w:rFonts w:hint="eastAsia" w:ascii="宋体" w:hAnsi="宋体" w:cs="宋体"/>
          <w:bCs/>
          <w:sz w:val="24"/>
          <w:szCs w:val="24"/>
          <w:vertAlign w:val="baseline"/>
          <w:lang w:val="en-US" w:eastAsia="zh-CN"/>
        </w:rPr>
        <w:t>P96-99。</w:t>
      </w:r>
    </w:p>
    <w:p w14:paraId="6D920501">
      <w:pPr>
        <w:adjustRightInd w:val="0"/>
        <w:snapToGrid w:val="0"/>
        <w:spacing w:line="360" w:lineRule="auto"/>
        <w:ind w:firstLine="542" w:firstLineChars="200"/>
        <w:rPr>
          <w:rFonts w:ascii="Times New Roman" w:hAnsi="Times New Roman" w:eastAsia="宋体"/>
          <w:b/>
          <w:color w:val="0000FF"/>
          <w:spacing w:val="15"/>
          <w:kern w:val="0"/>
          <w:sz w:val="24"/>
          <w:szCs w:val="24"/>
        </w:rPr>
      </w:pPr>
      <w:r>
        <w:rPr>
          <w:rFonts w:ascii="Times New Roman" w:hAnsi="Times New Roman" w:eastAsia="宋体"/>
          <w:b/>
          <w:color w:val="0000FF"/>
          <w:spacing w:val="15"/>
          <w:kern w:val="0"/>
          <w:sz w:val="24"/>
          <w:szCs w:val="24"/>
        </w:rPr>
        <w:t>10、</w:t>
      </w:r>
      <w:r>
        <w:rPr>
          <w:rFonts w:ascii="Times New Roman" w:hAnsi="Times New Roman" w:eastAsia="宋体"/>
          <w:b/>
          <w:color w:val="0000FF"/>
          <w:sz w:val="24"/>
        </w:rPr>
        <w:t>环境管理及监测计划</w:t>
      </w:r>
    </w:p>
    <w:p w14:paraId="406AE5AD">
      <w:pPr>
        <w:widowControl/>
        <w:adjustRightInd w:val="0"/>
        <w:snapToGrid w:val="0"/>
        <w:spacing w:line="360" w:lineRule="auto"/>
        <w:ind w:firstLine="482" w:firstLineChars="200"/>
        <w:rPr>
          <w:rFonts w:ascii="Times New Roman" w:hAnsi="Times New Roman" w:eastAsia="宋体"/>
          <w:color w:val="0000FF"/>
          <w:kern w:val="0"/>
          <w:sz w:val="18"/>
          <w:szCs w:val="18"/>
        </w:rPr>
      </w:pPr>
      <w:r>
        <w:rPr>
          <w:rFonts w:ascii="Times New Roman" w:hAnsi="Times New Roman" w:eastAsia="宋体"/>
          <w:b/>
          <w:bCs/>
          <w:color w:val="0000FF"/>
          <w:kern w:val="0"/>
          <w:sz w:val="24"/>
        </w:rPr>
        <w:t>10.1环境管理、执行、监督机构的落实</w:t>
      </w:r>
    </w:p>
    <w:p w14:paraId="0A644FAF">
      <w:pPr>
        <w:widowControl/>
        <w:adjustRightInd w:val="0"/>
        <w:snapToGrid w:val="0"/>
        <w:spacing w:line="360" w:lineRule="auto"/>
        <w:ind w:firstLine="480" w:firstLineChars="200"/>
        <w:rPr>
          <w:rFonts w:ascii="Times New Roman" w:hAnsi="Times New Roman" w:eastAsia="宋体"/>
          <w:color w:val="0000FF"/>
          <w:kern w:val="0"/>
          <w:sz w:val="18"/>
          <w:szCs w:val="18"/>
        </w:rPr>
      </w:pPr>
      <w:r>
        <w:rPr>
          <w:rFonts w:ascii="Times New Roman" w:hAnsi="Times New Roman" w:eastAsia="宋体"/>
          <w:color w:val="0000FF"/>
          <w:kern w:val="0"/>
          <w:sz w:val="24"/>
        </w:rPr>
        <w:t>建设单位需具体落实各项环境保护措施，运营期间的环保管理与监测必须由专门的部门实施。</w:t>
      </w:r>
    </w:p>
    <w:p w14:paraId="2CB58CCE">
      <w:pPr>
        <w:adjustRightInd w:val="0"/>
        <w:snapToGrid w:val="0"/>
        <w:spacing w:line="360" w:lineRule="auto"/>
        <w:ind w:firstLine="482" w:firstLineChars="200"/>
        <w:rPr>
          <w:rFonts w:hint="default" w:ascii="Times New Roman" w:hAnsi="Times New Roman" w:cs="Times New Roman"/>
          <w:b/>
          <w:bCs/>
          <w:color w:val="0000FF"/>
          <w:sz w:val="24"/>
          <w:szCs w:val="24"/>
        </w:rPr>
      </w:pPr>
      <w:r>
        <w:rPr>
          <w:rFonts w:hint="eastAsia" w:ascii="Times New Roman" w:hAnsi="Times New Roman" w:eastAsia="宋体" w:cs="Times New Roman"/>
          <w:b/>
          <w:bCs/>
          <w:color w:val="0000FF"/>
          <w:sz w:val="24"/>
          <w:szCs w:val="24"/>
          <w:lang w:val="en-US" w:eastAsia="zh-CN"/>
        </w:rPr>
        <w:t>10.2</w:t>
      </w:r>
      <w:r>
        <w:rPr>
          <w:rFonts w:hint="default" w:ascii="Times New Roman" w:hAnsi="Times New Roman" w:cs="Times New Roman"/>
          <w:b/>
          <w:bCs/>
          <w:color w:val="0000FF"/>
          <w:sz w:val="24"/>
          <w:szCs w:val="24"/>
        </w:rPr>
        <w:t>施工期环境管理</w:t>
      </w:r>
    </w:p>
    <w:p w14:paraId="33017D57">
      <w:pPr>
        <w:widowControl/>
        <w:adjustRightInd w:val="0"/>
        <w:snapToGrid w:val="0"/>
        <w:spacing w:line="360" w:lineRule="auto"/>
        <w:ind w:firstLine="480" w:firstLineChars="200"/>
        <w:rPr>
          <w:rFonts w:hint="default" w:ascii="Times New Roman" w:hAnsi="Times New Roman" w:cs="Times New Roman"/>
          <w:color w:val="0000FF"/>
          <w:sz w:val="24"/>
          <w:szCs w:val="24"/>
        </w:rPr>
      </w:pPr>
      <w:r>
        <w:rPr>
          <w:rFonts w:hint="default" w:ascii="Times New Roman" w:hAnsi="Times New Roman" w:cs="Times New Roman"/>
          <w:color w:val="0000FF"/>
          <w:sz w:val="24"/>
          <w:szCs w:val="24"/>
        </w:rPr>
        <w:t>1）施工期环境监理的目的</w:t>
      </w:r>
    </w:p>
    <w:p w14:paraId="049C9D78">
      <w:pPr>
        <w:widowControl/>
        <w:adjustRightInd w:val="0"/>
        <w:snapToGrid w:val="0"/>
        <w:spacing w:line="360" w:lineRule="auto"/>
        <w:ind w:firstLine="480" w:firstLineChars="200"/>
        <w:rPr>
          <w:rFonts w:hint="default" w:ascii="Times New Roman" w:hAnsi="Times New Roman" w:cs="Times New Roman"/>
          <w:color w:val="0000FF"/>
          <w:sz w:val="24"/>
          <w:szCs w:val="24"/>
        </w:rPr>
      </w:pPr>
      <w:r>
        <w:rPr>
          <w:rFonts w:hint="default" w:ascii="Times New Roman" w:hAnsi="Times New Roman" w:cs="Times New Roman"/>
          <w:color w:val="0000FF"/>
          <w:sz w:val="24"/>
          <w:szCs w:val="24"/>
        </w:rPr>
        <w:t>为了贯彻执行中华人民共和国环境保护法的有关法律、法规，全面落实国务院关于环境保护若干问题的决定的有关规定，在工程施工期间，应根据环境保护设计要求，开展施工期环境监理工作，确保环境保护设施的高质量的施工，并及时处理和解决临时出现的环境污染事件。</w:t>
      </w:r>
    </w:p>
    <w:p w14:paraId="090131A0">
      <w:pPr>
        <w:widowControl/>
        <w:adjustRightInd w:val="0"/>
        <w:snapToGrid w:val="0"/>
        <w:spacing w:line="360" w:lineRule="auto"/>
        <w:ind w:firstLine="480" w:firstLineChars="200"/>
        <w:rPr>
          <w:rFonts w:hint="default" w:ascii="Times New Roman" w:hAnsi="Times New Roman" w:cs="Times New Roman"/>
          <w:color w:val="0000FF"/>
          <w:sz w:val="24"/>
          <w:szCs w:val="24"/>
        </w:rPr>
      </w:pPr>
      <w:r>
        <w:rPr>
          <w:rFonts w:hint="default" w:ascii="Times New Roman" w:hAnsi="Times New Roman" w:cs="Times New Roman"/>
          <w:color w:val="0000FF"/>
          <w:sz w:val="24"/>
          <w:szCs w:val="24"/>
        </w:rPr>
        <w:t>（2）施工期环境监理计划和内容</w:t>
      </w:r>
    </w:p>
    <w:p w14:paraId="00144E1F">
      <w:pPr>
        <w:widowControl/>
        <w:adjustRightInd w:val="0"/>
        <w:snapToGrid w:val="0"/>
        <w:spacing w:line="360" w:lineRule="auto"/>
        <w:ind w:firstLine="480" w:firstLineChars="200"/>
        <w:rPr>
          <w:rFonts w:hint="default" w:ascii="Times New Roman" w:hAnsi="Times New Roman" w:cs="Times New Roman"/>
          <w:color w:val="0000FF"/>
          <w:sz w:val="24"/>
          <w:szCs w:val="24"/>
        </w:rPr>
      </w:pPr>
      <w:r>
        <w:rPr>
          <w:rFonts w:hint="default" w:ascii="Times New Roman" w:hAnsi="Times New Roman" w:cs="Times New Roman"/>
          <w:color w:val="0000FF"/>
          <w:sz w:val="24"/>
          <w:szCs w:val="24"/>
        </w:rPr>
        <w:t>1）环境监理机构对施工期环境保护工作全面负责，履行施工期各阶段环境监理职责。</w:t>
      </w:r>
    </w:p>
    <w:p w14:paraId="059A3ABD">
      <w:pPr>
        <w:widowControl/>
        <w:adjustRightInd w:val="0"/>
        <w:snapToGrid w:val="0"/>
        <w:spacing w:line="360" w:lineRule="auto"/>
        <w:ind w:firstLine="480" w:firstLineChars="200"/>
        <w:rPr>
          <w:rFonts w:hint="default" w:ascii="Times New Roman" w:hAnsi="Times New Roman" w:cs="Times New Roman"/>
          <w:color w:val="0000FF"/>
          <w:sz w:val="24"/>
          <w:szCs w:val="24"/>
        </w:rPr>
      </w:pPr>
      <w:r>
        <w:rPr>
          <w:rFonts w:hint="default" w:ascii="Times New Roman" w:hAnsi="Times New Roman" w:cs="Times New Roman"/>
          <w:color w:val="0000FF"/>
          <w:sz w:val="24"/>
          <w:szCs w:val="24"/>
        </w:rPr>
        <w:t>2）对施工队伍实行职责管理，要求施工队伍文明施工，并做好监督、检查和教育工作。</w:t>
      </w:r>
    </w:p>
    <w:p w14:paraId="12AFB040">
      <w:pPr>
        <w:widowControl/>
        <w:adjustRightInd w:val="0"/>
        <w:snapToGrid w:val="0"/>
        <w:spacing w:line="360" w:lineRule="auto"/>
        <w:ind w:firstLine="480" w:firstLineChars="200"/>
        <w:rPr>
          <w:rFonts w:hint="default" w:ascii="Times New Roman" w:hAnsi="Times New Roman" w:cs="Times New Roman"/>
          <w:color w:val="0000FF"/>
          <w:sz w:val="24"/>
          <w:szCs w:val="24"/>
        </w:rPr>
      </w:pPr>
      <w:r>
        <w:rPr>
          <w:rFonts w:hint="default" w:ascii="Times New Roman" w:hAnsi="Times New Roman" w:cs="Times New Roman"/>
          <w:color w:val="0000FF"/>
          <w:sz w:val="24"/>
          <w:szCs w:val="24"/>
        </w:rPr>
        <w:t>3）按照环保主管部门的要求和本报告书中有关施工期环境保护对策措施对施工程序和场地布置实施统一安排。</w:t>
      </w:r>
    </w:p>
    <w:p w14:paraId="30522456">
      <w:pPr>
        <w:widowControl/>
        <w:adjustRightInd w:val="0"/>
        <w:snapToGrid w:val="0"/>
        <w:spacing w:line="360" w:lineRule="auto"/>
        <w:ind w:firstLine="480" w:firstLineChars="200"/>
        <w:rPr>
          <w:rFonts w:hint="default" w:ascii="Times New Roman" w:hAnsi="Times New Roman" w:cs="Times New Roman"/>
          <w:color w:val="0000FF"/>
          <w:sz w:val="24"/>
          <w:szCs w:val="24"/>
        </w:rPr>
      </w:pPr>
      <w:r>
        <w:rPr>
          <w:rFonts w:hint="default" w:ascii="Times New Roman" w:hAnsi="Times New Roman" w:cs="Times New Roman"/>
          <w:color w:val="0000FF"/>
          <w:sz w:val="24"/>
          <w:szCs w:val="24"/>
        </w:rPr>
        <w:t>4）监督承包商对环保合同条款的执行情况，并负责解释环保条款，对重大环境问题提出处理意见和报告。</w:t>
      </w:r>
    </w:p>
    <w:p w14:paraId="123B44D1">
      <w:pPr>
        <w:widowControl/>
        <w:adjustRightInd w:val="0"/>
        <w:snapToGrid w:val="0"/>
        <w:spacing w:line="360" w:lineRule="auto"/>
        <w:ind w:firstLine="480" w:firstLineChars="200"/>
        <w:rPr>
          <w:rFonts w:hint="default" w:ascii="Times New Roman" w:hAnsi="Times New Roman" w:cs="Times New Roman"/>
          <w:color w:val="0000FF"/>
          <w:sz w:val="24"/>
          <w:szCs w:val="24"/>
        </w:rPr>
      </w:pPr>
      <w:r>
        <w:rPr>
          <w:rFonts w:hint="default" w:ascii="Times New Roman" w:hAnsi="Times New Roman" w:cs="Times New Roman"/>
          <w:color w:val="0000FF"/>
          <w:sz w:val="24"/>
          <w:szCs w:val="24"/>
        </w:rPr>
        <w:t>5）发现并掌握工程施工中的环境问题，下达监测命令，对监测结果进行分析研究，并提出环境保护改进方案。</w:t>
      </w:r>
    </w:p>
    <w:p w14:paraId="54436DA5">
      <w:pPr>
        <w:widowControl/>
        <w:adjustRightInd w:val="0"/>
        <w:snapToGrid w:val="0"/>
        <w:spacing w:line="360" w:lineRule="auto"/>
        <w:ind w:firstLine="480" w:firstLineChars="200"/>
        <w:rPr>
          <w:rFonts w:hint="default" w:ascii="Times New Roman" w:hAnsi="Times New Roman" w:cs="Times New Roman"/>
          <w:color w:val="0000FF"/>
          <w:sz w:val="24"/>
          <w:szCs w:val="24"/>
        </w:rPr>
      </w:pPr>
      <w:r>
        <w:rPr>
          <w:rFonts w:hint="default" w:ascii="Times New Roman" w:hAnsi="Times New Roman" w:cs="Times New Roman"/>
          <w:color w:val="0000FF"/>
          <w:sz w:val="24"/>
          <w:szCs w:val="24"/>
        </w:rPr>
        <w:t>6）每日对现场出现的环境问题及处理结果做出记录，并根据积累的有关资料整理环境监理档案</w:t>
      </w:r>
      <w:r>
        <w:rPr>
          <w:rFonts w:hint="eastAsia" w:ascii="Times New Roman" w:hAnsi="Times New Roman" w:eastAsia="宋体" w:cs="Times New Roman"/>
          <w:color w:val="0000FF"/>
          <w:sz w:val="24"/>
          <w:szCs w:val="24"/>
          <w:lang w:eastAsia="zh-CN"/>
        </w:rPr>
        <w:t>，</w:t>
      </w:r>
      <w:r>
        <w:rPr>
          <w:rFonts w:hint="default" w:ascii="Times New Roman" w:hAnsi="Times New Roman" w:cs="Times New Roman"/>
          <w:color w:val="0000FF"/>
          <w:sz w:val="24"/>
          <w:szCs w:val="24"/>
        </w:rPr>
        <w:t>提交环境监理报告。</w:t>
      </w:r>
    </w:p>
    <w:p w14:paraId="6DA1A1BE">
      <w:pPr>
        <w:widowControl/>
        <w:adjustRightInd w:val="0"/>
        <w:snapToGrid w:val="0"/>
        <w:spacing w:line="360" w:lineRule="auto"/>
        <w:ind w:firstLine="480" w:firstLineChars="200"/>
        <w:rPr>
          <w:rFonts w:hint="default" w:ascii="Times New Roman" w:hAnsi="Times New Roman" w:cs="Times New Roman"/>
          <w:color w:val="0000FF"/>
          <w:sz w:val="24"/>
          <w:szCs w:val="24"/>
        </w:rPr>
      </w:pPr>
      <w:r>
        <w:rPr>
          <w:rFonts w:hint="default" w:ascii="Times New Roman" w:hAnsi="Times New Roman" w:cs="Times New Roman"/>
          <w:color w:val="0000FF"/>
          <w:sz w:val="24"/>
          <w:szCs w:val="24"/>
        </w:rPr>
        <w:t>7）全面检查各施工单位负责的料场、挖方回填场等的处理、恢复情况，尽量减少工程施工给环境带来的不利影响。</w:t>
      </w:r>
    </w:p>
    <w:p w14:paraId="67E59006">
      <w:pPr>
        <w:widowControl/>
        <w:adjustRightInd w:val="0"/>
        <w:snapToGrid w:val="0"/>
        <w:spacing w:line="360" w:lineRule="auto"/>
        <w:ind w:firstLine="480" w:firstLineChars="200"/>
        <w:rPr>
          <w:rFonts w:hint="default" w:ascii="Times New Roman" w:hAnsi="Times New Roman" w:cs="Times New Roman"/>
          <w:color w:val="0000FF"/>
          <w:sz w:val="24"/>
          <w:szCs w:val="24"/>
        </w:rPr>
      </w:pPr>
      <w:r>
        <w:rPr>
          <w:rFonts w:hint="default" w:ascii="Times New Roman" w:hAnsi="Times New Roman" w:cs="Times New Roman"/>
          <w:color w:val="0000FF"/>
          <w:sz w:val="24"/>
          <w:szCs w:val="24"/>
        </w:rPr>
        <w:t>8）监督施工单位是否合理布置施工场内的机械和设备，确保施工噪声不扰民。</w:t>
      </w:r>
    </w:p>
    <w:p w14:paraId="42056DB0">
      <w:pPr>
        <w:widowControl/>
        <w:adjustRightInd w:val="0"/>
        <w:snapToGrid w:val="0"/>
        <w:spacing w:line="360" w:lineRule="auto"/>
        <w:ind w:firstLine="480" w:firstLineChars="200"/>
        <w:rPr>
          <w:rFonts w:hint="default" w:ascii="Times New Roman" w:hAnsi="Times New Roman" w:cs="Times New Roman"/>
          <w:color w:val="0000FF"/>
          <w:sz w:val="24"/>
          <w:szCs w:val="24"/>
        </w:rPr>
      </w:pPr>
      <w:r>
        <w:rPr>
          <w:rFonts w:hint="default" w:ascii="Times New Roman" w:hAnsi="Times New Roman" w:cs="Times New Roman"/>
          <w:color w:val="0000FF"/>
          <w:sz w:val="24"/>
          <w:szCs w:val="24"/>
        </w:rPr>
        <w:t>9）环境监理机构由业主单位在具有相关资质的单位中招标确定。</w:t>
      </w:r>
    </w:p>
    <w:p w14:paraId="248B2D4C">
      <w:pPr>
        <w:widowControl/>
        <w:adjustRightInd w:val="0"/>
        <w:snapToGrid w:val="0"/>
        <w:spacing w:line="360" w:lineRule="auto"/>
        <w:ind w:firstLine="482" w:firstLineChars="200"/>
        <w:rPr>
          <w:rFonts w:ascii="Times New Roman" w:hAnsi="Times New Roman" w:eastAsia="宋体"/>
          <w:color w:val="0000FF"/>
          <w:kern w:val="0"/>
          <w:sz w:val="18"/>
          <w:szCs w:val="18"/>
        </w:rPr>
      </w:pPr>
      <w:r>
        <w:rPr>
          <w:rFonts w:ascii="Times New Roman" w:hAnsi="Times New Roman" w:eastAsia="宋体"/>
          <w:b/>
          <w:bCs/>
          <w:color w:val="0000FF"/>
          <w:kern w:val="0"/>
          <w:sz w:val="24"/>
        </w:rPr>
        <w:t>10.</w:t>
      </w:r>
      <w:r>
        <w:rPr>
          <w:rFonts w:hint="eastAsia" w:ascii="Times New Roman" w:hAnsi="Times New Roman" w:eastAsia="宋体"/>
          <w:b/>
          <w:bCs/>
          <w:color w:val="0000FF"/>
          <w:kern w:val="0"/>
          <w:sz w:val="24"/>
          <w:lang w:val="en-US" w:eastAsia="zh-CN"/>
        </w:rPr>
        <w:t>3</w:t>
      </w:r>
      <w:r>
        <w:rPr>
          <w:rFonts w:ascii="Times New Roman" w:hAnsi="Times New Roman" w:eastAsia="宋体"/>
          <w:b/>
          <w:bCs/>
          <w:color w:val="0000FF"/>
          <w:kern w:val="0"/>
          <w:sz w:val="24"/>
        </w:rPr>
        <w:t>环境监测计划</w:t>
      </w:r>
    </w:p>
    <w:p w14:paraId="7351835B">
      <w:pPr>
        <w:widowControl/>
        <w:adjustRightInd w:val="0"/>
        <w:snapToGrid w:val="0"/>
        <w:spacing w:line="360" w:lineRule="auto"/>
        <w:ind w:firstLine="480" w:firstLineChars="200"/>
        <w:rPr>
          <w:rFonts w:hint="eastAsia" w:ascii="Times New Roman" w:hAnsi="Times New Roman" w:eastAsia="宋体" w:cs="Times New Roman"/>
          <w:b w:val="0"/>
          <w:bCs w:val="0"/>
          <w:color w:val="0000FF"/>
          <w:sz w:val="24"/>
          <w:szCs w:val="24"/>
          <w:lang w:eastAsia="zh-CN"/>
        </w:rPr>
      </w:pPr>
      <w:r>
        <w:rPr>
          <w:rFonts w:hint="default" w:ascii="Times New Roman" w:hAnsi="Times New Roman" w:cs="Times New Roman"/>
          <w:b w:val="0"/>
          <w:bCs w:val="0"/>
          <w:color w:val="0000FF"/>
          <w:sz w:val="24"/>
          <w:szCs w:val="24"/>
        </w:rPr>
        <w:t>项目建成投入运营后，必须按照当地环境保护行政主管部门的要求，委托有检测资质机构对本项目的排污状况进行定期检测，以确定是否达到相应的排放标准。根据项目所在区域的环境状况和工程特点，根据《排污许可证申请与核发技术规范工业固体废物和危险废物治理</w:t>
      </w:r>
      <w:r>
        <w:rPr>
          <w:rFonts w:hint="eastAsia" w:ascii="Times New Roman" w:hAnsi="Times New Roman" w:eastAsia="宋体" w:cs="Times New Roman"/>
          <w:b w:val="0"/>
          <w:bCs w:val="0"/>
          <w:color w:val="0000FF"/>
          <w:sz w:val="24"/>
          <w:szCs w:val="24"/>
          <w:lang w:eastAsia="zh-CN"/>
        </w:rPr>
        <w:t>》（HJ1033—2019）。</w:t>
      </w:r>
    </w:p>
    <w:p w14:paraId="7CD62E37">
      <w:pPr>
        <w:widowControl/>
        <w:adjustRightInd w:val="0"/>
        <w:snapToGrid w:val="0"/>
        <w:spacing w:line="360" w:lineRule="auto"/>
        <w:ind w:firstLine="480" w:firstLineChars="200"/>
        <w:rPr>
          <w:rFonts w:ascii="Times New Roman" w:hAnsi="Times New Roman" w:eastAsia="宋体"/>
          <w:b/>
          <w:color w:val="0000FF"/>
          <w:szCs w:val="21"/>
        </w:rPr>
      </w:pPr>
      <w:r>
        <w:rPr>
          <w:rFonts w:hint="default" w:ascii="Times New Roman" w:hAnsi="Times New Roman" w:cs="Times New Roman"/>
          <w:b w:val="0"/>
          <w:bCs w:val="0"/>
          <w:color w:val="0000FF"/>
          <w:sz w:val="24"/>
          <w:szCs w:val="24"/>
        </w:rPr>
        <w:t>本环评对该项目实行环境监测计划如下表</w:t>
      </w:r>
      <w:r>
        <w:rPr>
          <w:rFonts w:hint="eastAsia" w:ascii="Times New Roman" w:hAnsi="Times New Roman" w:cs="Times New Roman"/>
          <w:b w:val="0"/>
          <w:bCs w:val="0"/>
          <w:color w:val="0000FF"/>
          <w:sz w:val="24"/>
          <w:szCs w:val="24"/>
          <w:lang w:val="en-US" w:eastAsia="zh-CN"/>
        </w:rPr>
        <w:t>4-23</w:t>
      </w:r>
      <w:r>
        <w:rPr>
          <w:rFonts w:hint="default" w:ascii="Times New Roman" w:hAnsi="Times New Roman" w:cs="Times New Roman"/>
          <w:b w:val="0"/>
          <w:bCs w:val="0"/>
          <w:color w:val="0000FF"/>
          <w:sz w:val="24"/>
          <w:szCs w:val="24"/>
        </w:rPr>
        <w:t>环境监测计划表。</w:t>
      </w:r>
    </w:p>
    <w:p w14:paraId="16D55852">
      <w:pPr>
        <w:jc w:val="center"/>
        <w:rPr>
          <w:rFonts w:ascii="Times New Roman" w:hAnsi="Times New Roman" w:eastAsia="宋体"/>
          <w:b/>
          <w:color w:val="0000FF"/>
          <w:szCs w:val="21"/>
        </w:rPr>
      </w:pPr>
      <w:r>
        <w:rPr>
          <w:rFonts w:ascii="Times New Roman" w:hAnsi="Times New Roman" w:eastAsia="宋体"/>
          <w:b/>
          <w:color w:val="0000FF"/>
          <w:szCs w:val="21"/>
        </w:rPr>
        <w:t>表</w:t>
      </w:r>
      <w:r>
        <w:rPr>
          <w:rFonts w:hint="eastAsia" w:ascii="Times New Roman" w:hAnsi="Times New Roman" w:eastAsia="宋体"/>
          <w:b/>
          <w:color w:val="0000FF"/>
          <w:szCs w:val="21"/>
          <w:lang w:val="en-US" w:eastAsia="zh-CN"/>
        </w:rPr>
        <w:t>4-23</w:t>
      </w:r>
      <w:r>
        <w:rPr>
          <w:rFonts w:ascii="Times New Roman" w:hAnsi="Times New Roman" w:eastAsia="宋体"/>
          <w:b/>
          <w:color w:val="0000FF"/>
          <w:szCs w:val="21"/>
        </w:rPr>
        <w:t>监测计划一览表</w:t>
      </w:r>
    </w:p>
    <w:tbl>
      <w:tblPr>
        <w:tblStyle w:val="11"/>
        <w:tblW w:w="0" w:type="auto"/>
        <w:jc w:val="center"/>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Layout w:type="autofit"/>
        <w:tblCellMar>
          <w:top w:w="0" w:type="dxa"/>
          <w:left w:w="0" w:type="dxa"/>
          <w:bottom w:w="0" w:type="dxa"/>
          <w:right w:w="0" w:type="dxa"/>
        </w:tblCellMar>
      </w:tblPr>
      <w:tblGrid>
        <w:gridCol w:w="833"/>
        <w:gridCol w:w="1304"/>
        <w:gridCol w:w="2269"/>
        <w:gridCol w:w="1076"/>
        <w:gridCol w:w="2824"/>
      </w:tblGrid>
      <w:tr w14:paraId="4417491E">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0" w:type="dxa"/>
            <w:bottom w:w="0" w:type="dxa"/>
            <w:right w:w="0" w:type="dxa"/>
          </w:tblCellMar>
        </w:tblPrEx>
        <w:trPr>
          <w:trHeight w:val="363" w:hRule="atLeast"/>
          <w:jc w:val="center"/>
        </w:trPr>
        <w:tc>
          <w:tcPr>
            <w:tcW w:w="834" w:type="dxa"/>
            <w:noWrap w:val="0"/>
            <w:vAlign w:val="center"/>
          </w:tcPr>
          <w:p w14:paraId="59B95D6F">
            <w:pPr>
              <w:widowControl/>
              <w:snapToGrid w:val="0"/>
              <w:jc w:val="center"/>
              <w:textAlignment w:val="baseline"/>
              <w:rPr>
                <w:rFonts w:ascii="Times New Roman" w:hAnsi="Times New Roman" w:eastAsia="宋体"/>
                <w:b/>
                <w:color w:val="0000FF"/>
                <w:kern w:val="0"/>
                <w:szCs w:val="21"/>
              </w:rPr>
            </w:pPr>
            <w:r>
              <w:rPr>
                <w:rFonts w:ascii="Times New Roman" w:hAnsi="Times New Roman" w:eastAsia="宋体"/>
                <w:b/>
                <w:color w:val="0000FF"/>
                <w:kern w:val="0"/>
                <w:szCs w:val="21"/>
              </w:rPr>
              <w:t>类别</w:t>
            </w:r>
          </w:p>
        </w:tc>
        <w:tc>
          <w:tcPr>
            <w:tcW w:w="1305" w:type="dxa"/>
            <w:noWrap w:val="0"/>
            <w:vAlign w:val="center"/>
          </w:tcPr>
          <w:p w14:paraId="5DE9DD98">
            <w:pPr>
              <w:widowControl/>
              <w:snapToGrid w:val="0"/>
              <w:jc w:val="center"/>
              <w:textAlignment w:val="baseline"/>
              <w:rPr>
                <w:rFonts w:ascii="Times New Roman" w:hAnsi="Times New Roman" w:eastAsia="宋体"/>
                <w:b/>
                <w:color w:val="0000FF"/>
                <w:kern w:val="0"/>
                <w:szCs w:val="21"/>
              </w:rPr>
            </w:pPr>
            <w:r>
              <w:rPr>
                <w:rFonts w:ascii="Times New Roman" w:hAnsi="Times New Roman" w:eastAsia="宋体"/>
                <w:b/>
                <w:color w:val="0000FF"/>
                <w:kern w:val="0"/>
                <w:szCs w:val="21"/>
              </w:rPr>
              <w:t>监测项目</w:t>
            </w:r>
          </w:p>
        </w:tc>
        <w:tc>
          <w:tcPr>
            <w:tcW w:w="2271" w:type="dxa"/>
            <w:noWrap w:val="0"/>
            <w:vAlign w:val="center"/>
          </w:tcPr>
          <w:p w14:paraId="04602BD3">
            <w:pPr>
              <w:widowControl/>
              <w:snapToGrid w:val="0"/>
              <w:jc w:val="center"/>
              <w:textAlignment w:val="baseline"/>
              <w:rPr>
                <w:rFonts w:ascii="Times New Roman" w:hAnsi="Times New Roman" w:eastAsia="宋体"/>
                <w:b/>
                <w:color w:val="0000FF"/>
                <w:kern w:val="0"/>
                <w:szCs w:val="21"/>
              </w:rPr>
            </w:pPr>
            <w:r>
              <w:rPr>
                <w:rFonts w:ascii="Times New Roman" w:hAnsi="Times New Roman" w:eastAsia="宋体"/>
                <w:b/>
                <w:color w:val="0000FF"/>
                <w:kern w:val="0"/>
                <w:szCs w:val="21"/>
              </w:rPr>
              <w:t>监测点位置</w:t>
            </w:r>
          </w:p>
        </w:tc>
        <w:tc>
          <w:tcPr>
            <w:tcW w:w="1077" w:type="dxa"/>
            <w:noWrap w:val="0"/>
            <w:vAlign w:val="center"/>
          </w:tcPr>
          <w:p w14:paraId="0A898D04">
            <w:pPr>
              <w:widowControl/>
              <w:snapToGrid w:val="0"/>
              <w:jc w:val="center"/>
              <w:textAlignment w:val="baseline"/>
              <w:rPr>
                <w:rFonts w:ascii="Times New Roman" w:hAnsi="Times New Roman" w:eastAsia="宋体"/>
                <w:b/>
                <w:color w:val="0000FF"/>
                <w:kern w:val="0"/>
                <w:szCs w:val="21"/>
              </w:rPr>
            </w:pPr>
            <w:r>
              <w:rPr>
                <w:rFonts w:ascii="Times New Roman" w:hAnsi="Times New Roman" w:eastAsia="宋体"/>
                <w:b/>
                <w:color w:val="0000FF"/>
                <w:kern w:val="0"/>
                <w:szCs w:val="21"/>
              </w:rPr>
              <w:t>监测频率</w:t>
            </w:r>
          </w:p>
        </w:tc>
        <w:tc>
          <w:tcPr>
            <w:tcW w:w="2825" w:type="dxa"/>
            <w:noWrap w:val="0"/>
            <w:vAlign w:val="center"/>
          </w:tcPr>
          <w:p w14:paraId="49F23D0C">
            <w:pPr>
              <w:widowControl/>
              <w:snapToGrid w:val="0"/>
              <w:jc w:val="center"/>
              <w:textAlignment w:val="baseline"/>
              <w:rPr>
                <w:rFonts w:ascii="Times New Roman" w:hAnsi="Times New Roman" w:eastAsia="宋体"/>
                <w:b/>
                <w:color w:val="0000FF"/>
                <w:kern w:val="0"/>
                <w:szCs w:val="21"/>
              </w:rPr>
            </w:pPr>
            <w:r>
              <w:rPr>
                <w:rFonts w:ascii="Times New Roman" w:hAnsi="Times New Roman" w:eastAsia="宋体"/>
                <w:b/>
                <w:color w:val="0000FF"/>
                <w:kern w:val="0"/>
                <w:szCs w:val="21"/>
              </w:rPr>
              <w:t>控制指标</w:t>
            </w:r>
          </w:p>
        </w:tc>
      </w:tr>
      <w:tr w14:paraId="58EA1E47">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0" w:type="dxa"/>
            <w:bottom w:w="0" w:type="dxa"/>
            <w:right w:w="0" w:type="dxa"/>
          </w:tblCellMar>
        </w:tblPrEx>
        <w:trPr>
          <w:trHeight w:val="1079" w:hRule="atLeast"/>
          <w:jc w:val="center"/>
        </w:trPr>
        <w:tc>
          <w:tcPr>
            <w:tcW w:w="834" w:type="dxa"/>
            <w:noWrap w:val="0"/>
            <w:vAlign w:val="center"/>
          </w:tcPr>
          <w:p w14:paraId="6C054225">
            <w:pPr>
              <w:widowControl/>
              <w:snapToGrid w:val="0"/>
              <w:jc w:val="center"/>
              <w:textAlignment w:val="baseline"/>
              <w:rPr>
                <w:rFonts w:hint="eastAsia" w:ascii="Times New Roman" w:hAnsi="Times New Roman" w:eastAsia="宋体"/>
                <w:color w:val="0000FF"/>
                <w:kern w:val="0"/>
                <w:szCs w:val="21"/>
                <w:lang w:eastAsia="zh-CN"/>
              </w:rPr>
            </w:pPr>
            <w:r>
              <w:rPr>
                <w:rFonts w:hint="eastAsia" w:ascii="Times New Roman" w:hAnsi="Times New Roman" w:eastAsia="宋体"/>
                <w:color w:val="0000FF"/>
                <w:kern w:val="0"/>
                <w:szCs w:val="21"/>
                <w:lang w:eastAsia="zh-CN"/>
              </w:rPr>
              <w:t>有组织废气</w:t>
            </w:r>
          </w:p>
        </w:tc>
        <w:tc>
          <w:tcPr>
            <w:tcW w:w="1305" w:type="dxa"/>
            <w:noWrap w:val="0"/>
            <w:vAlign w:val="center"/>
          </w:tcPr>
          <w:p w14:paraId="25BC416A">
            <w:pPr>
              <w:widowControl/>
              <w:snapToGrid w:val="0"/>
              <w:jc w:val="center"/>
              <w:textAlignment w:val="baseline"/>
              <w:rPr>
                <w:rFonts w:ascii="Times New Roman" w:hAnsi="Times New Roman" w:eastAsia="宋体"/>
                <w:color w:val="0000FF"/>
                <w:kern w:val="0"/>
                <w:szCs w:val="21"/>
              </w:rPr>
            </w:pPr>
            <w:r>
              <w:rPr>
                <w:rFonts w:ascii="Times New Roman" w:hAnsi="Times New Roman" w:eastAsia="宋体"/>
                <w:color w:val="0000FF"/>
                <w:kern w:val="0"/>
                <w:szCs w:val="21"/>
              </w:rPr>
              <w:t>非甲烷总烃</w:t>
            </w:r>
          </w:p>
        </w:tc>
        <w:tc>
          <w:tcPr>
            <w:tcW w:w="2271" w:type="dxa"/>
            <w:noWrap w:val="0"/>
            <w:vAlign w:val="center"/>
          </w:tcPr>
          <w:p w14:paraId="406A82D7">
            <w:pPr>
              <w:widowControl/>
              <w:snapToGrid w:val="0"/>
              <w:jc w:val="center"/>
              <w:textAlignment w:val="baseline"/>
              <w:rPr>
                <w:rFonts w:hint="eastAsia" w:ascii="Times New Roman" w:hAnsi="Times New Roman" w:eastAsia="宋体"/>
                <w:color w:val="0000FF"/>
                <w:kern w:val="0"/>
                <w:szCs w:val="21"/>
                <w:lang w:eastAsia="zh-CN"/>
              </w:rPr>
            </w:pPr>
            <w:r>
              <w:rPr>
                <w:rFonts w:hint="eastAsia" w:ascii="Times New Roman" w:hAnsi="Times New Roman" w:eastAsia="宋体"/>
                <w:color w:val="0000FF"/>
                <w:kern w:val="0"/>
                <w:szCs w:val="21"/>
                <w:lang w:eastAsia="zh-CN"/>
              </w:rPr>
              <w:t>排气筒</w:t>
            </w:r>
          </w:p>
        </w:tc>
        <w:tc>
          <w:tcPr>
            <w:tcW w:w="1077" w:type="dxa"/>
            <w:vMerge w:val="restart"/>
            <w:noWrap w:val="0"/>
            <w:vAlign w:val="center"/>
          </w:tcPr>
          <w:p w14:paraId="6A42712D">
            <w:pPr>
              <w:widowControl/>
              <w:snapToGrid w:val="0"/>
              <w:jc w:val="center"/>
              <w:textAlignment w:val="baseline"/>
              <w:rPr>
                <w:rFonts w:ascii="Times New Roman" w:hAnsi="Times New Roman" w:eastAsia="宋体"/>
                <w:color w:val="0000FF"/>
                <w:kern w:val="0"/>
                <w:szCs w:val="21"/>
              </w:rPr>
            </w:pPr>
            <w:r>
              <w:rPr>
                <w:rFonts w:ascii="Times New Roman" w:hAnsi="Times New Roman" w:eastAsia="宋体"/>
                <w:color w:val="0000FF"/>
                <w:kern w:val="0"/>
                <w:szCs w:val="21"/>
              </w:rPr>
              <w:t>1次/</w:t>
            </w:r>
            <w:r>
              <w:rPr>
                <w:rFonts w:hint="eastAsia" w:ascii="Times New Roman" w:hAnsi="Times New Roman" w:eastAsia="宋体"/>
                <w:color w:val="0000FF"/>
                <w:kern w:val="0"/>
                <w:szCs w:val="21"/>
                <w:lang w:eastAsia="zh-CN"/>
              </w:rPr>
              <w:t>半</w:t>
            </w:r>
            <w:r>
              <w:rPr>
                <w:rFonts w:ascii="Times New Roman" w:hAnsi="Times New Roman" w:eastAsia="宋体"/>
                <w:color w:val="0000FF"/>
                <w:kern w:val="0"/>
                <w:szCs w:val="21"/>
              </w:rPr>
              <w:t>年</w:t>
            </w:r>
          </w:p>
        </w:tc>
        <w:tc>
          <w:tcPr>
            <w:tcW w:w="2825" w:type="dxa"/>
            <w:noWrap w:val="0"/>
            <w:vAlign w:val="center"/>
          </w:tcPr>
          <w:p w14:paraId="01E78BFE">
            <w:pPr>
              <w:widowControl/>
              <w:snapToGrid w:val="0"/>
              <w:jc w:val="center"/>
              <w:textAlignment w:val="baseline"/>
              <w:rPr>
                <w:rFonts w:ascii="Times New Roman" w:hAnsi="Times New Roman" w:eastAsia="宋体"/>
                <w:color w:val="0000FF"/>
                <w:kern w:val="0"/>
                <w:szCs w:val="21"/>
              </w:rPr>
            </w:pPr>
            <w:r>
              <w:rPr>
                <w:rFonts w:hint="eastAsia" w:ascii="Times New Roman" w:hAnsi="Times New Roman" w:eastAsia="宋体"/>
                <w:color w:val="0000FF"/>
                <w:kern w:val="0"/>
                <w:szCs w:val="21"/>
              </w:rPr>
              <w:t>《大气污染物综合排放标准》（GB16297-1996）表2放限值要求</w:t>
            </w:r>
          </w:p>
        </w:tc>
      </w:tr>
      <w:tr w14:paraId="2C8AAE04">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0" w:type="dxa"/>
            <w:bottom w:w="0" w:type="dxa"/>
            <w:right w:w="0" w:type="dxa"/>
          </w:tblCellMar>
        </w:tblPrEx>
        <w:trPr>
          <w:trHeight w:val="1079" w:hRule="atLeast"/>
          <w:jc w:val="center"/>
        </w:trPr>
        <w:tc>
          <w:tcPr>
            <w:tcW w:w="834" w:type="dxa"/>
            <w:vMerge w:val="restart"/>
            <w:noWrap w:val="0"/>
            <w:vAlign w:val="center"/>
          </w:tcPr>
          <w:p w14:paraId="4C5C053E">
            <w:pPr>
              <w:widowControl/>
              <w:snapToGrid w:val="0"/>
              <w:jc w:val="center"/>
              <w:textAlignment w:val="baseline"/>
              <w:rPr>
                <w:color w:val="0000FF"/>
              </w:rPr>
            </w:pPr>
            <w:r>
              <w:rPr>
                <w:rFonts w:ascii="Times New Roman" w:hAnsi="Times New Roman" w:eastAsia="宋体"/>
                <w:color w:val="0000FF"/>
                <w:kern w:val="0"/>
                <w:szCs w:val="21"/>
              </w:rPr>
              <w:t>无组织废气</w:t>
            </w:r>
          </w:p>
        </w:tc>
        <w:tc>
          <w:tcPr>
            <w:tcW w:w="1305" w:type="dxa"/>
            <w:noWrap w:val="0"/>
            <w:vAlign w:val="center"/>
          </w:tcPr>
          <w:p w14:paraId="364C0564">
            <w:pPr>
              <w:widowControl/>
              <w:snapToGrid w:val="0"/>
              <w:jc w:val="center"/>
              <w:textAlignment w:val="baseline"/>
              <w:rPr>
                <w:color w:val="0000FF"/>
              </w:rPr>
            </w:pPr>
            <w:r>
              <w:rPr>
                <w:rFonts w:ascii="Times New Roman" w:hAnsi="Times New Roman" w:eastAsia="宋体"/>
                <w:color w:val="0000FF"/>
                <w:kern w:val="0"/>
                <w:szCs w:val="21"/>
              </w:rPr>
              <w:t>非甲烷总烃</w:t>
            </w:r>
          </w:p>
        </w:tc>
        <w:tc>
          <w:tcPr>
            <w:tcW w:w="2271" w:type="dxa"/>
            <w:noWrap w:val="0"/>
            <w:vAlign w:val="center"/>
          </w:tcPr>
          <w:p w14:paraId="31E921E4">
            <w:pPr>
              <w:widowControl/>
              <w:snapToGrid w:val="0"/>
              <w:jc w:val="center"/>
              <w:textAlignment w:val="baseline"/>
              <w:rPr>
                <w:rFonts w:ascii="Times New Roman" w:hAnsi="Times New Roman" w:eastAsia="宋体"/>
                <w:color w:val="0000FF"/>
                <w:kern w:val="0"/>
                <w:szCs w:val="21"/>
              </w:rPr>
            </w:pPr>
            <w:r>
              <w:rPr>
                <w:rFonts w:hint="eastAsia" w:ascii="Times New Roman" w:hAnsi="Times New Roman" w:eastAsia="宋体"/>
                <w:color w:val="0000FF"/>
                <w:kern w:val="0"/>
                <w:szCs w:val="21"/>
              </w:rPr>
              <w:t>在项目区上风向及下风向各设置1个监测点</w:t>
            </w:r>
          </w:p>
        </w:tc>
        <w:tc>
          <w:tcPr>
            <w:tcW w:w="1077" w:type="dxa"/>
            <w:vMerge w:val="continue"/>
            <w:noWrap w:val="0"/>
            <w:vAlign w:val="center"/>
          </w:tcPr>
          <w:p w14:paraId="7A61FFD2">
            <w:pPr>
              <w:widowControl/>
              <w:snapToGrid w:val="0"/>
              <w:jc w:val="center"/>
              <w:textAlignment w:val="baseline"/>
              <w:rPr>
                <w:rFonts w:ascii="Times New Roman" w:hAnsi="Times New Roman" w:eastAsia="宋体"/>
                <w:color w:val="0000FF"/>
                <w:kern w:val="0"/>
                <w:szCs w:val="21"/>
              </w:rPr>
            </w:pPr>
          </w:p>
        </w:tc>
        <w:tc>
          <w:tcPr>
            <w:tcW w:w="2825" w:type="dxa"/>
            <w:noWrap w:val="0"/>
            <w:vAlign w:val="center"/>
          </w:tcPr>
          <w:p w14:paraId="3D0DFC0B">
            <w:pPr>
              <w:widowControl/>
              <w:snapToGrid w:val="0"/>
              <w:jc w:val="center"/>
              <w:textAlignment w:val="baseline"/>
              <w:rPr>
                <w:rFonts w:ascii="Times New Roman" w:hAnsi="Times New Roman" w:eastAsia="宋体"/>
                <w:color w:val="0000FF"/>
                <w:kern w:val="0"/>
                <w:szCs w:val="21"/>
              </w:rPr>
            </w:pPr>
            <w:r>
              <w:rPr>
                <w:rFonts w:ascii="Times New Roman" w:hAnsi="Times New Roman" w:eastAsia="宋体"/>
                <w:color w:val="0000FF"/>
                <w:szCs w:val="21"/>
              </w:rPr>
              <w:t>《挥发性有机物无组织排放控制标准》（GB37822-2019）中厂区内VOCs无组织排放限值监控点处1h平均浓度值</w:t>
            </w:r>
            <w:r>
              <w:rPr>
                <w:rFonts w:hint="eastAsia" w:ascii="Times New Roman" w:hAnsi="Times New Roman" w:eastAsia="宋体"/>
                <w:color w:val="0000FF"/>
                <w:szCs w:val="21"/>
                <w:lang w:val="en-US" w:eastAsia="zh-CN"/>
              </w:rPr>
              <w:t>10</w:t>
            </w:r>
            <w:r>
              <w:rPr>
                <w:rFonts w:ascii="Times New Roman" w:hAnsi="Times New Roman" w:eastAsia="宋体"/>
                <w:color w:val="0000FF"/>
                <w:szCs w:val="21"/>
              </w:rPr>
              <w:t>mg/m³的要求</w:t>
            </w:r>
            <w:r>
              <w:rPr>
                <w:rFonts w:ascii="Times New Roman" w:hAnsi="Times New Roman" w:eastAsia="宋体"/>
                <w:color w:val="0000FF"/>
                <w:szCs w:val="21"/>
                <w:lang w:val="zh-CN"/>
              </w:rPr>
              <w:t>。</w:t>
            </w:r>
          </w:p>
        </w:tc>
      </w:tr>
      <w:tr w14:paraId="655771E3">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0" w:type="dxa"/>
            <w:bottom w:w="0" w:type="dxa"/>
            <w:right w:w="0" w:type="dxa"/>
          </w:tblCellMar>
        </w:tblPrEx>
        <w:trPr>
          <w:trHeight w:val="1577" w:hRule="atLeast"/>
          <w:jc w:val="center"/>
        </w:trPr>
        <w:tc>
          <w:tcPr>
            <w:tcW w:w="834" w:type="dxa"/>
            <w:vMerge w:val="continue"/>
            <w:noWrap w:val="0"/>
            <w:vAlign w:val="center"/>
          </w:tcPr>
          <w:p w14:paraId="07D2FBB9">
            <w:pPr>
              <w:widowControl/>
              <w:snapToGrid w:val="0"/>
              <w:jc w:val="center"/>
              <w:textAlignment w:val="baseline"/>
              <w:rPr>
                <w:rFonts w:ascii="Times New Roman" w:hAnsi="Times New Roman" w:eastAsia="宋体"/>
                <w:color w:val="0000FF"/>
                <w:kern w:val="0"/>
                <w:szCs w:val="21"/>
              </w:rPr>
            </w:pPr>
          </w:p>
        </w:tc>
        <w:tc>
          <w:tcPr>
            <w:tcW w:w="1305" w:type="dxa"/>
            <w:noWrap w:val="0"/>
            <w:vAlign w:val="center"/>
          </w:tcPr>
          <w:p w14:paraId="73221430">
            <w:pPr>
              <w:widowControl/>
              <w:snapToGrid w:val="0"/>
              <w:jc w:val="center"/>
              <w:textAlignment w:val="baseline"/>
              <w:rPr>
                <w:rFonts w:hint="eastAsia" w:ascii="Times New Roman" w:hAnsi="Times New Roman" w:eastAsia="宋体"/>
                <w:color w:val="0000FF"/>
                <w:kern w:val="0"/>
                <w:szCs w:val="21"/>
                <w:lang w:eastAsia="zh-CN"/>
              </w:rPr>
            </w:pPr>
            <w:r>
              <w:rPr>
                <w:rFonts w:hint="eastAsia" w:ascii="Times New Roman" w:hAnsi="Times New Roman" w:eastAsia="宋体"/>
                <w:color w:val="0000FF"/>
                <w:kern w:val="0"/>
                <w:szCs w:val="21"/>
                <w:lang w:eastAsia="zh-CN"/>
              </w:rPr>
              <w:t>硫酸雾</w:t>
            </w:r>
          </w:p>
        </w:tc>
        <w:tc>
          <w:tcPr>
            <w:tcW w:w="2271" w:type="dxa"/>
            <w:noWrap w:val="0"/>
            <w:vAlign w:val="center"/>
          </w:tcPr>
          <w:p w14:paraId="2F4FFAC1">
            <w:pPr>
              <w:widowControl/>
              <w:snapToGrid w:val="0"/>
              <w:jc w:val="center"/>
              <w:textAlignment w:val="baseline"/>
              <w:rPr>
                <w:rFonts w:ascii="Times New Roman" w:hAnsi="Times New Roman" w:eastAsia="宋体"/>
                <w:color w:val="0000FF"/>
                <w:kern w:val="0"/>
                <w:szCs w:val="21"/>
              </w:rPr>
            </w:pPr>
            <w:r>
              <w:rPr>
                <w:rFonts w:hint="eastAsia" w:ascii="Times New Roman" w:hAnsi="Times New Roman" w:eastAsia="宋体"/>
                <w:color w:val="0000FF"/>
                <w:kern w:val="0"/>
                <w:szCs w:val="21"/>
              </w:rPr>
              <w:t>在项目区上风向及下风向各设置1个监测点</w:t>
            </w:r>
          </w:p>
        </w:tc>
        <w:tc>
          <w:tcPr>
            <w:tcW w:w="1077" w:type="dxa"/>
            <w:vMerge w:val="continue"/>
            <w:noWrap w:val="0"/>
            <w:vAlign w:val="center"/>
          </w:tcPr>
          <w:p w14:paraId="4F76D820">
            <w:pPr>
              <w:widowControl/>
              <w:snapToGrid w:val="0"/>
              <w:jc w:val="center"/>
              <w:textAlignment w:val="baseline"/>
              <w:rPr>
                <w:rFonts w:ascii="Times New Roman" w:hAnsi="Times New Roman" w:eastAsia="宋体"/>
                <w:color w:val="0000FF"/>
                <w:kern w:val="0"/>
                <w:szCs w:val="21"/>
              </w:rPr>
            </w:pPr>
          </w:p>
        </w:tc>
        <w:tc>
          <w:tcPr>
            <w:tcW w:w="2825" w:type="dxa"/>
            <w:noWrap w:val="0"/>
            <w:vAlign w:val="center"/>
          </w:tcPr>
          <w:p w14:paraId="1A51EB12">
            <w:pPr>
              <w:widowControl/>
              <w:snapToGrid w:val="0"/>
              <w:jc w:val="center"/>
              <w:textAlignment w:val="baseline"/>
              <w:rPr>
                <w:rFonts w:hint="eastAsia" w:ascii="Times New Roman" w:hAnsi="Times New Roman" w:eastAsia="宋体"/>
                <w:color w:val="0000FF"/>
                <w:kern w:val="0"/>
                <w:szCs w:val="21"/>
              </w:rPr>
            </w:pPr>
            <w:r>
              <w:rPr>
                <w:rFonts w:hint="eastAsia" w:ascii="Times New Roman" w:hAnsi="Times New Roman" w:eastAsia="宋体"/>
                <w:color w:val="0000FF"/>
                <w:kern w:val="0"/>
                <w:szCs w:val="21"/>
              </w:rPr>
              <w:t>《大气污染物综合排放标准》</w:t>
            </w:r>
          </w:p>
          <w:p w14:paraId="7790CBD0">
            <w:pPr>
              <w:widowControl/>
              <w:snapToGrid w:val="0"/>
              <w:jc w:val="center"/>
              <w:textAlignment w:val="baseline"/>
              <w:rPr>
                <w:rFonts w:ascii="Times New Roman" w:hAnsi="Times New Roman" w:eastAsia="宋体"/>
                <w:color w:val="0000FF"/>
                <w:kern w:val="0"/>
                <w:szCs w:val="21"/>
              </w:rPr>
            </w:pPr>
            <w:r>
              <w:rPr>
                <w:rFonts w:hint="eastAsia" w:ascii="Times New Roman" w:hAnsi="Times New Roman" w:eastAsia="宋体"/>
                <w:color w:val="0000FF"/>
                <w:kern w:val="0"/>
                <w:szCs w:val="21"/>
              </w:rPr>
              <w:t>（GB16297-1996）表2放限值要求，并满足（HJ519-2009）要求</w:t>
            </w:r>
          </w:p>
        </w:tc>
      </w:tr>
      <w:tr w14:paraId="20D654D5">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0" w:type="dxa"/>
            <w:bottom w:w="0" w:type="dxa"/>
            <w:right w:w="0" w:type="dxa"/>
          </w:tblCellMar>
        </w:tblPrEx>
        <w:trPr>
          <w:trHeight w:val="845" w:hRule="atLeast"/>
          <w:jc w:val="center"/>
        </w:trPr>
        <w:tc>
          <w:tcPr>
            <w:tcW w:w="834" w:type="dxa"/>
            <w:noWrap w:val="0"/>
            <w:vAlign w:val="center"/>
          </w:tcPr>
          <w:p w14:paraId="6922D8E0">
            <w:pPr>
              <w:widowControl/>
              <w:snapToGrid w:val="0"/>
              <w:jc w:val="center"/>
              <w:textAlignment w:val="baseline"/>
              <w:rPr>
                <w:rFonts w:ascii="Times New Roman" w:hAnsi="Times New Roman" w:eastAsia="宋体"/>
                <w:color w:val="0000FF"/>
                <w:kern w:val="0"/>
                <w:szCs w:val="21"/>
              </w:rPr>
            </w:pPr>
            <w:r>
              <w:rPr>
                <w:rFonts w:ascii="Times New Roman" w:hAnsi="Times New Roman" w:eastAsia="宋体"/>
                <w:color w:val="0000FF"/>
                <w:kern w:val="0"/>
                <w:szCs w:val="21"/>
              </w:rPr>
              <w:t>厂界噪声</w:t>
            </w:r>
          </w:p>
        </w:tc>
        <w:tc>
          <w:tcPr>
            <w:tcW w:w="1305" w:type="dxa"/>
            <w:noWrap w:val="0"/>
            <w:vAlign w:val="center"/>
          </w:tcPr>
          <w:p w14:paraId="6320BD86">
            <w:pPr>
              <w:widowControl/>
              <w:snapToGrid w:val="0"/>
              <w:jc w:val="center"/>
              <w:textAlignment w:val="baseline"/>
              <w:rPr>
                <w:rFonts w:hint="eastAsia" w:ascii="Times New Roman" w:hAnsi="Times New Roman" w:eastAsia="宋体"/>
                <w:color w:val="0000FF"/>
                <w:kern w:val="0"/>
                <w:szCs w:val="21"/>
                <w:lang w:eastAsia="zh-CN"/>
              </w:rPr>
            </w:pPr>
            <w:r>
              <w:rPr>
                <w:rFonts w:ascii="Times New Roman" w:hAnsi="Times New Roman" w:eastAsia="宋体"/>
                <w:color w:val="0000FF"/>
                <w:kern w:val="0"/>
                <w:szCs w:val="21"/>
              </w:rPr>
              <w:t>Leq(A</w:t>
            </w:r>
            <w:r>
              <w:rPr>
                <w:rFonts w:hint="eastAsia" w:ascii="Times New Roman" w:hAnsi="Times New Roman" w:eastAsia="宋体"/>
                <w:color w:val="0000FF"/>
                <w:kern w:val="0"/>
                <w:szCs w:val="21"/>
                <w:lang w:eastAsia="zh-CN"/>
              </w:rPr>
              <w:t>）</w:t>
            </w:r>
          </w:p>
        </w:tc>
        <w:tc>
          <w:tcPr>
            <w:tcW w:w="2271" w:type="dxa"/>
            <w:noWrap w:val="0"/>
            <w:vAlign w:val="center"/>
          </w:tcPr>
          <w:p w14:paraId="4AE802E3">
            <w:pPr>
              <w:widowControl/>
              <w:snapToGrid w:val="0"/>
              <w:jc w:val="center"/>
              <w:textAlignment w:val="baseline"/>
              <w:rPr>
                <w:rFonts w:ascii="Times New Roman" w:hAnsi="Times New Roman" w:eastAsia="宋体"/>
                <w:color w:val="0000FF"/>
                <w:kern w:val="0"/>
                <w:szCs w:val="21"/>
              </w:rPr>
            </w:pPr>
            <w:r>
              <w:rPr>
                <w:rFonts w:ascii="Times New Roman" w:hAnsi="Times New Roman" w:eastAsia="宋体"/>
                <w:color w:val="0000FF"/>
                <w:kern w:val="0"/>
                <w:szCs w:val="21"/>
              </w:rPr>
              <w:t>厂界四周</w:t>
            </w:r>
          </w:p>
        </w:tc>
        <w:tc>
          <w:tcPr>
            <w:tcW w:w="1077" w:type="dxa"/>
            <w:noWrap w:val="0"/>
            <w:vAlign w:val="center"/>
          </w:tcPr>
          <w:p w14:paraId="6C761F02">
            <w:pPr>
              <w:widowControl/>
              <w:snapToGrid w:val="0"/>
              <w:jc w:val="center"/>
              <w:rPr>
                <w:rFonts w:ascii="Times New Roman" w:hAnsi="Times New Roman" w:eastAsia="宋体"/>
                <w:color w:val="0000FF"/>
                <w:kern w:val="0"/>
                <w:szCs w:val="21"/>
              </w:rPr>
            </w:pPr>
            <w:r>
              <w:rPr>
                <w:rFonts w:ascii="Times New Roman" w:hAnsi="Times New Roman" w:eastAsia="宋体"/>
                <w:color w:val="0000FF"/>
                <w:kern w:val="0"/>
                <w:szCs w:val="21"/>
              </w:rPr>
              <w:t>2次/年</w:t>
            </w:r>
          </w:p>
        </w:tc>
        <w:tc>
          <w:tcPr>
            <w:tcW w:w="2825" w:type="dxa"/>
            <w:noWrap w:val="0"/>
            <w:vAlign w:val="center"/>
          </w:tcPr>
          <w:p w14:paraId="4BD4F5AE">
            <w:pPr>
              <w:widowControl/>
              <w:snapToGrid w:val="0"/>
              <w:jc w:val="center"/>
              <w:textAlignment w:val="baseline"/>
              <w:rPr>
                <w:rFonts w:ascii="Times New Roman" w:hAnsi="Times New Roman" w:eastAsia="宋体"/>
                <w:color w:val="0000FF"/>
                <w:kern w:val="0"/>
                <w:szCs w:val="21"/>
              </w:rPr>
            </w:pPr>
            <w:r>
              <w:rPr>
                <w:rFonts w:ascii="Times New Roman" w:hAnsi="Times New Roman" w:eastAsia="宋体"/>
                <w:color w:val="0000FF"/>
                <w:kern w:val="0"/>
                <w:szCs w:val="21"/>
              </w:rPr>
              <w:t>《工业企业厂界噪声标准》（GB12348-2008）中3类标准</w:t>
            </w:r>
          </w:p>
        </w:tc>
      </w:tr>
      <w:tr w14:paraId="00A7DAA4">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0" w:type="dxa"/>
            <w:bottom w:w="0" w:type="dxa"/>
            <w:right w:w="0" w:type="dxa"/>
          </w:tblCellMar>
        </w:tblPrEx>
        <w:trPr>
          <w:trHeight w:val="845" w:hRule="atLeast"/>
          <w:jc w:val="center"/>
        </w:trPr>
        <w:tc>
          <w:tcPr>
            <w:tcW w:w="834" w:type="dxa"/>
            <w:noWrap w:val="0"/>
            <w:vAlign w:val="center"/>
          </w:tcPr>
          <w:p w14:paraId="7FE3B9CA">
            <w:pPr>
              <w:widowControl/>
              <w:snapToGrid w:val="0"/>
              <w:jc w:val="center"/>
              <w:textAlignment w:val="baseline"/>
              <w:rPr>
                <w:rFonts w:hint="eastAsia" w:ascii="Times New Roman" w:hAnsi="Times New Roman" w:eastAsia="宋体"/>
                <w:color w:val="0000FF"/>
                <w:kern w:val="0"/>
                <w:szCs w:val="21"/>
                <w:lang w:eastAsia="zh-CN"/>
              </w:rPr>
            </w:pPr>
            <w:r>
              <w:rPr>
                <w:rFonts w:hint="eastAsia" w:ascii="Times New Roman" w:hAnsi="Times New Roman" w:eastAsia="宋体"/>
                <w:color w:val="0000FF"/>
                <w:kern w:val="0"/>
                <w:szCs w:val="21"/>
                <w:lang w:eastAsia="zh-CN"/>
              </w:rPr>
              <w:t>土壤</w:t>
            </w:r>
          </w:p>
        </w:tc>
        <w:tc>
          <w:tcPr>
            <w:tcW w:w="1305" w:type="dxa"/>
            <w:noWrap w:val="0"/>
            <w:vAlign w:val="center"/>
          </w:tcPr>
          <w:p w14:paraId="68F0AE88">
            <w:pPr>
              <w:widowControl/>
              <w:snapToGrid w:val="0"/>
              <w:jc w:val="center"/>
              <w:textAlignment w:val="baseline"/>
              <w:rPr>
                <w:rFonts w:hint="default" w:ascii="Times New Roman" w:hAnsi="Times New Roman" w:eastAsia="宋体"/>
                <w:color w:val="0000FF"/>
                <w:kern w:val="0"/>
                <w:szCs w:val="21"/>
                <w:lang w:val="en-US" w:eastAsia="zh-CN"/>
              </w:rPr>
            </w:pPr>
            <w:r>
              <w:rPr>
                <w:rFonts w:hint="eastAsia" w:ascii="Times New Roman" w:hAnsi="Times New Roman" w:eastAsia="宋体"/>
                <w:color w:val="0000FF"/>
                <w:kern w:val="0"/>
                <w:szCs w:val="21"/>
                <w:lang w:val="en-US" w:eastAsia="zh-CN"/>
              </w:rPr>
              <w:t>PH值、铅、石油烃</w:t>
            </w:r>
          </w:p>
        </w:tc>
        <w:tc>
          <w:tcPr>
            <w:tcW w:w="2271" w:type="dxa"/>
            <w:noWrap w:val="0"/>
            <w:vAlign w:val="center"/>
          </w:tcPr>
          <w:p w14:paraId="3BF87898">
            <w:pPr>
              <w:widowControl/>
              <w:snapToGrid w:val="0"/>
              <w:jc w:val="center"/>
              <w:textAlignment w:val="baseline"/>
              <w:rPr>
                <w:rFonts w:hint="default" w:ascii="Times New Roman" w:hAnsi="Times New Roman" w:eastAsia="宋体"/>
                <w:color w:val="0000FF"/>
                <w:kern w:val="0"/>
                <w:szCs w:val="21"/>
                <w:lang w:val="en-US" w:eastAsia="zh-CN"/>
              </w:rPr>
            </w:pPr>
            <w:r>
              <w:rPr>
                <w:rFonts w:hint="eastAsia" w:ascii="Times New Roman" w:hAnsi="Times New Roman" w:eastAsia="宋体"/>
                <w:color w:val="0000FF"/>
                <w:kern w:val="0"/>
                <w:szCs w:val="21"/>
                <w:lang w:eastAsia="zh-CN"/>
              </w:rPr>
              <w:t>周边</w:t>
            </w:r>
            <w:r>
              <w:rPr>
                <w:rFonts w:hint="eastAsia" w:ascii="Times New Roman" w:hAnsi="Times New Roman" w:eastAsia="宋体"/>
                <w:color w:val="0000FF"/>
                <w:kern w:val="0"/>
                <w:szCs w:val="21"/>
                <w:lang w:val="en-US" w:eastAsia="zh-CN"/>
              </w:rPr>
              <w:t>1个点</w:t>
            </w:r>
          </w:p>
        </w:tc>
        <w:tc>
          <w:tcPr>
            <w:tcW w:w="1077" w:type="dxa"/>
            <w:noWrap w:val="0"/>
            <w:vAlign w:val="center"/>
          </w:tcPr>
          <w:p w14:paraId="12ACFC58">
            <w:pPr>
              <w:widowControl/>
              <w:snapToGrid w:val="0"/>
              <w:jc w:val="center"/>
              <w:rPr>
                <w:rFonts w:hint="default" w:ascii="Times New Roman" w:hAnsi="Times New Roman" w:eastAsia="宋体"/>
                <w:color w:val="0000FF"/>
                <w:kern w:val="0"/>
                <w:szCs w:val="21"/>
                <w:lang w:val="en-US" w:eastAsia="zh-CN"/>
              </w:rPr>
            </w:pPr>
            <w:r>
              <w:rPr>
                <w:rFonts w:hint="eastAsia" w:ascii="Times New Roman" w:hAnsi="Times New Roman" w:eastAsia="宋体"/>
                <w:color w:val="0000FF"/>
                <w:kern w:val="0"/>
                <w:szCs w:val="21"/>
                <w:lang w:val="en-US" w:eastAsia="zh-CN"/>
              </w:rPr>
              <w:t>1次/年</w:t>
            </w:r>
          </w:p>
        </w:tc>
        <w:tc>
          <w:tcPr>
            <w:tcW w:w="2825" w:type="dxa"/>
            <w:noWrap w:val="0"/>
            <w:vAlign w:val="center"/>
          </w:tcPr>
          <w:p w14:paraId="77D7BF7A">
            <w:pPr>
              <w:widowControl/>
              <w:snapToGrid w:val="0"/>
              <w:jc w:val="center"/>
              <w:textAlignment w:val="baseline"/>
              <w:rPr>
                <w:rFonts w:ascii="Times New Roman" w:hAnsi="Times New Roman" w:eastAsia="宋体"/>
                <w:color w:val="0000FF"/>
                <w:kern w:val="0"/>
                <w:szCs w:val="21"/>
              </w:rPr>
            </w:pPr>
            <w:r>
              <w:rPr>
                <w:rFonts w:hint="eastAsia" w:ascii="Times New Roman" w:hAnsi="Times New Roman" w:eastAsia="宋体"/>
                <w:color w:val="0000FF"/>
                <w:kern w:val="0"/>
                <w:szCs w:val="21"/>
                <w:lang w:val="en-US" w:eastAsia="zh-CN"/>
              </w:rPr>
              <w:t>《土壤环境质量建设用地土壤污染风险管控标准标准》（GB36600-2018）表1筛选值标准要求。</w:t>
            </w:r>
          </w:p>
        </w:tc>
      </w:tr>
    </w:tbl>
    <w:p w14:paraId="26645F83">
      <w:pPr>
        <w:spacing w:before="156" w:beforeLines="50" w:line="360" w:lineRule="auto"/>
        <w:ind w:firstLine="480"/>
        <w:jc w:val="left"/>
        <w:rPr>
          <w:rFonts w:ascii="Times New Roman" w:hAnsi="Times New Roman" w:eastAsia="宋体"/>
          <w:b/>
          <w:color w:val="0000FF"/>
          <w:sz w:val="24"/>
        </w:rPr>
      </w:pPr>
      <w:r>
        <w:rPr>
          <w:rFonts w:hint="eastAsia" w:ascii="Times New Roman" w:hAnsi="Times New Roman" w:eastAsia="宋体"/>
          <w:b/>
          <w:color w:val="0000FF"/>
          <w:sz w:val="24"/>
          <w:lang w:val="en-US" w:eastAsia="zh-CN"/>
        </w:rPr>
        <w:t>11</w:t>
      </w:r>
      <w:r>
        <w:rPr>
          <w:rFonts w:ascii="Times New Roman" w:hAnsi="Times New Roman" w:eastAsia="宋体"/>
          <w:b/>
          <w:color w:val="0000FF"/>
          <w:sz w:val="24"/>
        </w:rPr>
        <w:t>、环保投资</w:t>
      </w:r>
    </w:p>
    <w:p w14:paraId="77AAC655">
      <w:pPr>
        <w:adjustRightInd w:val="0"/>
        <w:snapToGrid w:val="0"/>
        <w:spacing w:line="360" w:lineRule="auto"/>
        <w:ind w:firstLine="480" w:firstLineChars="200"/>
        <w:rPr>
          <w:rFonts w:ascii="Times New Roman" w:hAnsi="Times New Roman" w:eastAsia="宋体"/>
          <w:color w:val="0000FF"/>
          <w:sz w:val="24"/>
          <w:szCs w:val="24"/>
        </w:rPr>
      </w:pPr>
      <w:r>
        <w:rPr>
          <w:rFonts w:ascii="Times New Roman" w:hAnsi="Times New Roman" w:eastAsia="宋体"/>
          <w:color w:val="0000FF"/>
          <w:sz w:val="24"/>
          <w:szCs w:val="24"/>
        </w:rPr>
        <w:t>本项目总投资为10</w:t>
      </w:r>
      <w:r>
        <w:rPr>
          <w:rFonts w:hint="eastAsia" w:ascii="Times New Roman" w:hAnsi="Times New Roman" w:eastAsia="宋体"/>
          <w:color w:val="0000FF"/>
          <w:sz w:val="24"/>
          <w:szCs w:val="24"/>
        </w:rPr>
        <w:t>0</w:t>
      </w:r>
      <w:r>
        <w:rPr>
          <w:rFonts w:ascii="Times New Roman" w:hAnsi="Times New Roman" w:eastAsia="宋体"/>
          <w:color w:val="0000FF"/>
          <w:sz w:val="24"/>
          <w:szCs w:val="24"/>
        </w:rPr>
        <w:t>万元，其中环保投资</w:t>
      </w:r>
      <w:r>
        <w:rPr>
          <w:rFonts w:hint="eastAsia" w:ascii="Times New Roman" w:hAnsi="Times New Roman" w:eastAsia="宋体"/>
          <w:color w:val="0000FF"/>
          <w:sz w:val="24"/>
          <w:szCs w:val="24"/>
          <w:lang w:val="en-US" w:eastAsia="zh-CN"/>
        </w:rPr>
        <w:t>40</w:t>
      </w:r>
      <w:r>
        <w:rPr>
          <w:rFonts w:ascii="Times New Roman" w:hAnsi="Times New Roman" w:eastAsia="宋体"/>
          <w:color w:val="0000FF"/>
          <w:sz w:val="24"/>
          <w:szCs w:val="24"/>
        </w:rPr>
        <w:t>万元，占总投资的</w:t>
      </w:r>
      <w:r>
        <w:rPr>
          <w:rFonts w:hint="eastAsia" w:ascii="Times New Roman" w:hAnsi="Times New Roman" w:eastAsia="宋体"/>
          <w:color w:val="0000FF"/>
          <w:sz w:val="24"/>
          <w:szCs w:val="24"/>
          <w:lang w:val="en-US" w:eastAsia="zh-CN"/>
        </w:rPr>
        <w:t>40</w:t>
      </w:r>
      <w:r>
        <w:rPr>
          <w:rFonts w:ascii="Times New Roman" w:hAnsi="Times New Roman" w:eastAsia="宋体"/>
          <w:color w:val="0000FF"/>
          <w:sz w:val="24"/>
          <w:szCs w:val="24"/>
        </w:rPr>
        <w:t>％，详见表</w:t>
      </w:r>
      <w:r>
        <w:rPr>
          <w:rFonts w:hint="eastAsia" w:ascii="Times New Roman" w:hAnsi="Times New Roman" w:eastAsia="宋体"/>
          <w:color w:val="0000FF"/>
          <w:sz w:val="24"/>
          <w:szCs w:val="24"/>
          <w:lang w:val="en-US" w:eastAsia="zh-CN"/>
        </w:rPr>
        <w:t>4-25</w:t>
      </w:r>
      <w:r>
        <w:rPr>
          <w:rFonts w:ascii="Times New Roman" w:hAnsi="Times New Roman" w:eastAsia="宋体"/>
          <w:color w:val="0000FF"/>
          <w:sz w:val="24"/>
          <w:szCs w:val="24"/>
        </w:rPr>
        <w:t>。</w:t>
      </w:r>
    </w:p>
    <w:p w14:paraId="2789A0BD">
      <w:pPr>
        <w:jc w:val="center"/>
        <w:rPr>
          <w:rFonts w:ascii="Times New Roman" w:hAnsi="Times New Roman" w:eastAsia="宋体"/>
          <w:b/>
          <w:color w:val="0000FF"/>
          <w:szCs w:val="21"/>
        </w:rPr>
      </w:pPr>
      <w:r>
        <w:rPr>
          <w:rFonts w:ascii="Times New Roman" w:hAnsi="Times New Roman" w:eastAsia="宋体"/>
          <w:b/>
          <w:color w:val="0000FF"/>
          <w:szCs w:val="21"/>
        </w:rPr>
        <w:t>表</w:t>
      </w:r>
      <w:r>
        <w:rPr>
          <w:rFonts w:hint="eastAsia" w:ascii="Times New Roman" w:hAnsi="Times New Roman" w:eastAsia="宋体"/>
          <w:b/>
          <w:color w:val="0000FF"/>
          <w:szCs w:val="21"/>
          <w:lang w:val="en-US" w:eastAsia="zh-CN"/>
        </w:rPr>
        <w:t>4-25</w:t>
      </w:r>
      <w:r>
        <w:rPr>
          <w:rFonts w:ascii="Times New Roman" w:hAnsi="Times New Roman" w:eastAsia="宋体"/>
          <w:b/>
          <w:color w:val="0000FF"/>
          <w:szCs w:val="21"/>
        </w:rPr>
        <w:t>项目环保投资估算表</w:t>
      </w:r>
    </w:p>
    <w:tbl>
      <w:tblPr>
        <w:tblStyle w:val="11"/>
        <w:tblW w:w="0" w:type="auto"/>
        <w:jc w:val="center"/>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autofit"/>
        <w:tblCellMar>
          <w:top w:w="0" w:type="dxa"/>
          <w:left w:w="108" w:type="dxa"/>
          <w:bottom w:w="0" w:type="dxa"/>
          <w:right w:w="108" w:type="dxa"/>
        </w:tblCellMar>
      </w:tblPr>
      <w:tblGrid>
        <w:gridCol w:w="738"/>
        <w:gridCol w:w="1852"/>
        <w:gridCol w:w="3825"/>
        <w:gridCol w:w="1805"/>
      </w:tblGrid>
      <w:tr w14:paraId="30C59054">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cantSplit/>
          <w:trHeight w:val="432" w:hRule="exact"/>
          <w:jc w:val="center"/>
        </w:trPr>
        <w:tc>
          <w:tcPr>
            <w:tcW w:w="738" w:type="dxa"/>
            <w:tcBorders>
              <w:bottom w:val="single" w:color="auto" w:sz="4" w:space="0"/>
            </w:tcBorders>
            <w:noWrap w:val="0"/>
            <w:vAlign w:val="center"/>
          </w:tcPr>
          <w:p w14:paraId="11338FDD">
            <w:pPr>
              <w:snapToGrid w:val="0"/>
              <w:jc w:val="center"/>
              <w:rPr>
                <w:rFonts w:ascii="Times New Roman" w:hAnsi="Times New Roman" w:eastAsia="宋体"/>
                <w:b/>
                <w:bCs/>
                <w:color w:val="0000FF"/>
                <w:szCs w:val="21"/>
              </w:rPr>
            </w:pPr>
            <w:r>
              <w:rPr>
                <w:rFonts w:ascii="Times New Roman" w:hAnsi="Times New Roman" w:eastAsia="宋体"/>
                <w:b/>
                <w:bCs/>
                <w:color w:val="0000FF"/>
                <w:szCs w:val="21"/>
              </w:rPr>
              <w:t>内容</w:t>
            </w:r>
          </w:p>
        </w:tc>
        <w:tc>
          <w:tcPr>
            <w:tcW w:w="1852" w:type="dxa"/>
            <w:tcBorders>
              <w:bottom w:val="single" w:color="auto" w:sz="4" w:space="0"/>
              <w:right w:val="single" w:color="auto" w:sz="4" w:space="0"/>
            </w:tcBorders>
            <w:noWrap w:val="0"/>
            <w:vAlign w:val="center"/>
          </w:tcPr>
          <w:p w14:paraId="0DB4D149">
            <w:pPr>
              <w:snapToGrid w:val="0"/>
              <w:jc w:val="center"/>
              <w:rPr>
                <w:rFonts w:ascii="Times New Roman" w:hAnsi="Times New Roman" w:eastAsia="宋体"/>
                <w:b/>
                <w:bCs/>
                <w:color w:val="0000FF"/>
                <w:szCs w:val="21"/>
              </w:rPr>
            </w:pPr>
            <w:r>
              <w:rPr>
                <w:rFonts w:ascii="Times New Roman" w:hAnsi="Times New Roman" w:eastAsia="宋体"/>
                <w:b/>
                <w:bCs/>
                <w:color w:val="0000FF"/>
                <w:szCs w:val="21"/>
              </w:rPr>
              <w:t>项目名称</w:t>
            </w:r>
          </w:p>
        </w:tc>
        <w:tc>
          <w:tcPr>
            <w:tcW w:w="3825" w:type="dxa"/>
            <w:tcBorders>
              <w:bottom w:val="single" w:color="auto" w:sz="4" w:space="0"/>
              <w:right w:val="single" w:color="auto" w:sz="4" w:space="0"/>
            </w:tcBorders>
            <w:noWrap w:val="0"/>
            <w:vAlign w:val="center"/>
          </w:tcPr>
          <w:p w14:paraId="54A47C31">
            <w:pPr>
              <w:snapToGrid w:val="0"/>
              <w:jc w:val="center"/>
              <w:rPr>
                <w:rFonts w:ascii="Times New Roman" w:hAnsi="Times New Roman" w:eastAsia="宋体"/>
                <w:b/>
                <w:bCs/>
                <w:color w:val="0000FF"/>
                <w:szCs w:val="21"/>
              </w:rPr>
            </w:pPr>
            <w:r>
              <w:rPr>
                <w:rFonts w:ascii="Times New Roman" w:hAnsi="Times New Roman" w:eastAsia="宋体"/>
                <w:b/>
                <w:bCs/>
                <w:color w:val="0000FF"/>
                <w:szCs w:val="21"/>
              </w:rPr>
              <w:t>治理措施</w:t>
            </w:r>
          </w:p>
        </w:tc>
        <w:tc>
          <w:tcPr>
            <w:tcW w:w="1805" w:type="dxa"/>
            <w:tcBorders>
              <w:left w:val="single" w:color="auto" w:sz="4" w:space="0"/>
              <w:bottom w:val="single" w:color="auto" w:sz="4" w:space="0"/>
            </w:tcBorders>
            <w:noWrap w:val="0"/>
            <w:vAlign w:val="center"/>
          </w:tcPr>
          <w:p w14:paraId="280A5432">
            <w:pPr>
              <w:snapToGrid w:val="0"/>
              <w:rPr>
                <w:rFonts w:ascii="Times New Roman" w:hAnsi="Times New Roman" w:eastAsia="宋体"/>
                <w:b/>
                <w:bCs/>
                <w:color w:val="0000FF"/>
                <w:szCs w:val="21"/>
              </w:rPr>
            </w:pPr>
            <w:r>
              <w:rPr>
                <w:rFonts w:ascii="Times New Roman" w:hAnsi="Times New Roman" w:eastAsia="宋体"/>
                <w:b/>
                <w:bCs/>
                <w:color w:val="0000FF"/>
                <w:szCs w:val="21"/>
              </w:rPr>
              <w:t>投资估算（万元）</w:t>
            </w:r>
          </w:p>
        </w:tc>
      </w:tr>
      <w:tr w14:paraId="0DBCCEA5">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cantSplit/>
          <w:trHeight w:val="1299" w:hRule="exact"/>
          <w:jc w:val="center"/>
        </w:trPr>
        <w:tc>
          <w:tcPr>
            <w:tcW w:w="738" w:type="dxa"/>
            <w:noWrap w:val="0"/>
            <w:vAlign w:val="center"/>
          </w:tcPr>
          <w:p w14:paraId="2893981A">
            <w:pPr>
              <w:snapToGrid w:val="0"/>
              <w:jc w:val="center"/>
              <w:rPr>
                <w:rFonts w:ascii="Times New Roman" w:hAnsi="Times New Roman" w:eastAsia="宋体"/>
                <w:color w:val="0000FF"/>
                <w:szCs w:val="21"/>
              </w:rPr>
            </w:pPr>
            <w:r>
              <w:rPr>
                <w:rFonts w:ascii="Times New Roman" w:hAnsi="Times New Roman" w:eastAsia="宋体"/>
                <w:color w:val="0000FF"/>
                <w:szCs w:val="21"/>
              </w:rPr>
              <w:t>1</w:t>
            </w:r>
          </w:p>
        </w:tc>
        <w:tc>
          <w:tcPr>
            <w:tcW w:w="1852" w:type="dxa"/>
            <w:tcBorders>
              <w:right w:val="single" w:color="auto" w:sz="4" w:space="0"/>
            </w:tcBorders>
            <w:noWrap w:val="0"/>
            <w:vAlign w:val="center"/>
          </w:tcPr>
          <w:p w14:paraId="5B96AA31">
            <w:pPr>
              <w:snapToGrid w:val="0"/>
              <w:jc w:val="center"/>
              <w:rPr>
                <w:rFonts w:ascii="Times New Roman" w:hAnsi="Times New Roman" w:eastAsia="宋体"/>
                <w:color w:val="0000FF"/>
                <w:szCs w:val="21"/>
              </w:rPr>
            </w:pPr>
            <w:r>
              <w:rPr>
                <w:rFonts w:ascii="Times New Roman" w:hAnsi="Times New Roman" w:eastAsia="宋体"/>
                <w:color w:val="0000FF"/>
                <w:szCs w:val="21"/>
              </w:rPr>
              <w:t>废气治理措施</w:t>
            </w:r>
          </w:p>
        </w:tc>
        <w:tc>
          <w:tcPr>
            <w:tcW w:w="3825" w:type="dxa"/>
            <w:tcBorders>
              <w:top w:val="single" w:color="auto" w:sz="4" w:space="0"/>
              <w:left w:val="single" w:color="auto" w:sz="4" w:space="0"/>
            </w:tcBorders>
            <w:noWrap w:val="0"/>
            <w:vAlign w:val="center"/>
          </w:tcPr>
          <w:p w14:paraId="14732BAC">
            <w:pPr>
              <w:widowControl/>
              <w:jc w:val="center"/>
              <w:rPr>
                <w:rFonts w:hint="eastAsia" w:ascii="Times New Roman" w:hAnsi="Times New Roman" w:eastAsia="宋体"/>
                <w:color w:val="0000FF"/>
                <w:szCs w:val="21"/>
                <w:lang w:val="en-US" w:eastAsia="zh-CN"/>
              </w:rPr>
            </w:pPr>
            <w:r>
              <w:rPr>
                <w:rFonts w:ascii="Times New Roman" w:hAnsi="Times New Roman" w:eastAsia="宋体"/>
                <w:color w:val="0000FF"/>
                <w:szCs w:val="21"/>
              </w:rPr>
              <w:t>无组织排放废气：</w:t>
            </w:r>
            <w:r>
              <w:rPr>
                <w:rFonts w:hint="eastAsia" w:ascii="Times New Roman" w:hAnsi="Times New Roman" w:eastAsia="宋体"/>
                <w:color w:val="0000FF"/>
                <w:szCs w:val="21"/>
                <w:lang w:eastAsia="zh-CN"/>
              </w:rPr>
              <w:t>负压排风系统；</w:t>
            </w:r>
            <w:r>
              <w:rPr>
                <w:rFonts w:ascii="Times New Roman" w:hAnsi="Times New Roman" w:eastAsia="宋体"/>
                <w:color w:val="0000FF"/>
                <w:szCs w:val="21"/>
              </w:rPr>
              <w:t>安装排风</w:t>
            </w:r>
          </w:p>
          <w:p w14:paraId="1B6226B5">
            <w:pPr>
              <w:snapToGrid w:val="0"/>
              <w:jc w:val="center"/>
              <w:rPr>
                <w:rFonts w:ascii="Times New Roman" w:hAnsi="Times New Roman" w:eastAsia="宋体"/>
                <w:color w:val="0000FF"/>
                <w:szCs w:val="21"/>
              </w:rPr>
            </w:pPr>
            <w:r>
              <w:rPr>
                <w:rFonts w:hint="eastAsia" w:ascii="Times New Roman" w:hAnsi="Times New Roman" w:eastAsia="宋体"/>
                <w:color w:val="0000FF"/>
                <w:szCs w:val="21"/>
                <w:lang w:val="en-US" w:eastAsia="zh-CN"/>
              </w:rPr>
              <w:t>非甲烷总烃：1套活性炭处理装置处理后通过1根15m高排气筒排放</w:t>
            </w:r>
          </w:p>
        </w:tc>
        <w:tc>
          <w:tcPr>
            <w:tcW w:w="1805" w:type="dxa"/>
            <w:tcBorders>
              <w:top w:val="single" w:color="auto" w:sz="4" w:space="0"/>
            </w:tcBorders>
            <w:noWrap w:val="0"/>
            <w:vAlign w:val="center"/>
          </w:tcPr>
          <w:p w14:paraId="0947942E">
            <w:pPr>
              <w:pStyle w:val="9"/>
              <w:snapToGrid w:val="0"/>
              <w:jc w:val="center"/>
              <w:rPr>
                <w:rFonts w:ascii="Times New Roman" w:hAnsi="Times New Roman" w:eastAsia="宋体"/>
                <w:color w:val="0000FF"/>
                <w:sz w:val="21"/>
                <w:szCs w:val="21"/>
              </w:rPr>
            </w:pPr>
            <w:r>
              <w:rPr>
                <w:rFonts w:hint="eastAsia" w:ascii="Times New Roman" w:hAnsi="Times New Roman" w:eastAsia="宋体"/>
                <w:color w:val="0000FF"/>
                <w:sz w:val="21"/>
                <w:szCs w:val="21"/>
              </w:rPr>
              <w:t>4</w:t>
            </w:r>
            <w:r>
              <w:rPr>
                <w:rFonts w:ascii="Times New Roman" w:hAnsi="Times New Roman" w:eastAsia="宋体"/>
                <w:color w:val="0000FF"/>
                <w:sz w:val="21"/>
                <w:szCs w:val="21"/>
              </w:rPr>
              <w:t>.0</w:t>
            </w:r>
          </w:p>
        </w:tc>
      </w:tr>
      <w:tr w14:paraId="20863E54">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cantSplit/>
          <w:trHeight w:val="374" w:hRule="exact"/>
          <w:jc w:val="center"/>
        </w:trPr>
        <w:tc>
          <w:tcPr>
            <w:tcW w:w="738" w:type="dxa"/>
            <w:noWrap w:val="0"/>
            <w:vAlign w:val="center"/>
          </w:tcPr>
          <w:p w14:paraId="780A9E0A">
            <w:pPr>
              <w:snapToGrid w:val="0"/>
              <w:jc w:val="center"/>
              <w:rPr>
                <w:rFonts w:ascii="Times New Roman" w:hAnsi="Times New Roman" w:eastAsia="宋体"/>
                <w:color w:val="0000FF"/>
                <w:szCs w:val="21"/>
              </w:rPr>
            </w:pPr>
            <w:r>
              <w:rPr>
                <w:rFonts w:ascii="Times New Roman" w:hAnsi="Times New Roman" w:eastAsia="宋体"/>
                <w:color w:val="0000FF"/>
                <w:szCs w:val="21"/>
              </w:rPr>
              <w:t>2</w:t>
            </w:r>
          </w:p>
        </w:tc>
        <w:tc>
          <w:tcPr>
            <w:tcW w:w="1852" w:type="dxa"/>
            <w:tcBorders>
              <w:right w:val="single" w:color="auto" w:sz="4" w:space="0"/>
            </w:tcBorders>
            <w:noWrap w:val="0"/>
            <w:vAlign w:val="center"/>
          </w:tcPr>
          <w:p w14:paraId="4EA07415">
            <w:pPr>
              <w:snapToGrid w:val="0"/>
              <w:jc w:val="center"/>
              <w:rPr>
                <w:rFonts w:ascii="Times New Roman" w:hAnsi="Times New Roman" w:eastAsia="宋体"/>
                <w:color w:val="0000FF"/>
                <w:szCs w:val="21"/>
              </w:rPr>
            </w:pPr>
            <w:r>
              <w:rPr>
                <w:rFonts w:ascii="Times New Roman" w:hAnsi="Times New Roman" w:eastAsia="宋体"/>
                <w:color w:val="0000FF"/>
                <w:szCs w:val="21"/>
              </w:rPr>
              <w:t>噪声治理措施</w:t>
            </w:r>
          </w:p>
        </w:tc>
        <w:tc>
          <w:tcPr>
            <w:tcW w:w="3825" w:type="dxa"/>
            <w:tcBorders>
              <w:top w:val="single" w:color="auto" w:sz="4" w:space="0"/>
              <w:left w:val="single" w:color="auto" w:sz="4" w:space="0"/>
            </w:tcBorders>
            <w:noWrap w:val="0"/>
            <w:vAlign w:val="center"/>
          </w:tcPr>
          <w:p w14:paraId="317316D4">
            <w:pPr>
              <w:snapToGrid w:val="0"/>
              <w:jc w:val="center"/>
              <w:rPr>
                <w:rFonts w:ascii="Times New Roman" w:hAnsi="Times New Roman" w:eastAsia="宋体"/>
                <w:color w:val="0000FF"/>
                <w:szCs w:val="21"/>
              </w:rPr>
            </w:pPr>
            <w:r>
              <w:rPr>
                <w:rFonts w:ascii="Times New Roman" w:hAnsi="Times New Roman" w:eastAsia="宋体"/>
                <w:color w:val="0000FF"/>
                <w:szCs w:val="21"/>
              </w:rPr>
              <w:t>减振、隔声</w:t>
            </w:r>
          </w:p>
        </w:tc>
        <w:tc>
          <w:tcPr>
            <w:tcW w:w="1805" w:type="dxa"/>
            <w:tcBorders>
              <w:top w:val="single" w:color="auto" w:sz="4" w:space="0"/>
            </w:tcBorders>
            <w:noWrap w:val="0"/>
            <w:vAlign w:val="center"/>
          </w:tcPr>
          <w:p w14:paraId="471154A6">
            <w:pPr>
              <w:pStyle w:val="9"/>
              <w:snapToGrid w:val="0"/>
              <w:jc w:val="center"/>
              <w:rPr>
                <w:rFonts w:ascii="Times New Roman" w:hAnsi="Times New Roman" w:eastAsia="宋体"/>
                <w:color w:val="0000FF"/>
                <w:sz w:val="21"/>
                <w:szCs w:val="21"/>
              </w:rPr>
            </w:pPr>
            <w:r>
              <w:rPr>
                <w:rFonts w:ascii="Times New Roman" w:hAnsi="Times New Roman" w:eastAsia="宋体"/>
                <w:color w:val="0000FF"/>
                <w:sz w:val="21"/>
                <w:szCs w:val="21"/>
              </w:rPr>
              <w:t>1.0</w:t>
            </w:r>
          </w:p>
        </w:tc>
      </w:tr>
      <w:tr w14:paraId="6B64129B">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cantSplit/>
          <w:trHeight w:val="1609" w:hRule="exact"/>
          <w:jc w:val="center"/>
        </w:trPr>
        <w:tc>
          <w:tcPr>
            <w:tcW w:w="738" w:type="dxa"/>
            <w:noWrap w:val="0"/>
            <w:vAlign w:val="center"/>
          </w:tcPr>
          <w:p w14:paraId="75C29F4C">
            <w:pPr>
              <w:snapToGrid w:val="0"/>
              <w:jc w:val="center"/>
              <w:rPr>
                <w:rFonts w:ascii="Times New Roman" w:hAnsi="Times New Roman" w:eastAsia="宋体"/>
                <w:color w:val="0000FF"/>
                <w:szCs w:val="21"/>
              </w:rPr>
            </w:pPr>
            <w:r>
              <w:rPr>
                <w:rFonts w:ascii="Times New Roman" w:hAnsi="Times New Roman" w:eastAsia="宋体"/>
                <w:color w:val="0000FF"/>
                <w:szCs w:val="21"/>
              </w:rPr>
              <w:t>3</w:t>
            </w:r>
          </w:p>
        </w:tc>
        <w:tc>
          <w:tcPr>
            <w:tcW w:w="1852" w:type="dxa"/>
            <w:tcBorders>
              <w:right w:val="single" w:color="auto" w:sz="4" w:space="0"/>
            </w:tcBorders>
            <w:noWrap w:val="0"/>
            <w:vAlign w:val="center"/>
          </w:tcPr>
          <w:p w14:paraId="0013C28C">
            <w:pPr>
              <w:snapToGrid w:val="0"/>
              <w:jc w:val="center"/>
              <w:rPr>
                <w:rFonts w:ascii="Times New Roman" w:hAnsi="Times New Roman" w:eastAsia="宋体"/>
                <w:color w:val="0000FF"/>
                <w:szCs w:val="21"/>
              </w:rPr>
            </w:pPr>
            <w:r>
              <w:rPr>
                <w:rFonts w:ascii="Times New Roman" w:hAnsi="Times New Roman" w:eastAsia="宋体"/>
                <w:color w:val="0000FF"/>
                <w:szCs w:val="21"/>
              </w:rPr>
              <w:t>固体废物治理措施</w:t>
            </w:r>
          </w:p>
        </w:tc>
        <w:tc>
          <w:tcPr>
            <w:tcW w:w="3825" w:type="dxa"/>
            <w:tcBorders>
              <w:top w:val="single" w:color="auto" w:sz="4" w:space="0"/>
              <w:left w:val="single" w:color="auto" w:sz="4" w:space="0"/>
            </w:tcBorders>
            <w:noWrap w:val="0"/>
            <w:vAlign w:val="center"/>
          </w:tcPr>
          <w:p w14:paraId="088259CD">
            <w:pPr>
              <w:snapToGrid w:val="0"/>
              <w:jc w:val="center"/>
              <w:rPr>
                <w:rFonts w:hint="eastAsia" w:ascii="Times New Roman" w:hAnsi="Times New Roman" w:eastAsia="宋体"/>
                <w:color w:val="0000FF"/>
                <w:szCs w:val="21"/>
              </w:rPr>
            </w:pPr>
            <w:r>
              <w:rPr>
                <w:rFonts w:hint="eastAsia" w:ascii="Times New Roman" w:hAnsi="Times New Roman" w:eastAsia="宋体"/>
                <w:color w:val="0000FF"/>
                <w:szCs w:val="21"/>
                <w:lang w:val="en-US" w:eastAsia="zh-CN"/>
              </w:rPr>
              <w:t>1</w:t>
            </w:r>
            <w:r>
              <w:rPr>
                <w:rFonts w:hint="eastAsia" w:ascii="Times New Roman" w:hAnsi="Times New Roman" w:eastAsia="宋体"/>
                <w:color w:val="0000FF"/>
                <w:szCs w:val="21"/>
              </w:rPr>
              <w:t>生活垃圾、废抹布及废劳保用品集中收集后定期交环卫部门清运；</w:t>
            </w:r>
          </w:p>
          <w:p w14:paraId="4D412826">
            <w:pPr>
              <w:snapToGrid w:val="0"/>
              <w:jc w:val="center"/>
              <w:rPr>
                <w:rFonts w:ascii="Times New Roman" w:hAnsi="Times New Roman" w:eastAsia="宋体"/>
                <w:color w:val="0000FF"/>
                <w:szCs w:val="21"/>
              </w:rPr>
            </w:pPr>
            <w:r>
              <w:rPr>
                <w:rFonts w:hint="eastAsia" w:ascii="Times New Roman" w:hAnsi="Times New Roman" w:eastAsia="宋体"/>
                <w:color w:val="0000FF"/>
                <w:szCs w:val="21"/>
              </w:rPr>
              <w:t>2、危险固废收集包装后暂存于危废暂存场所，委托有危废处置资质单位处理</w:t>
            </w:r>
          </w:p>
        </w:tc>
        <w:tc>
          <w:tcPr>
            <w:tcW w:w="1805" w:type="dxa"/>
            <w:tcBorders>
              <w:top w:val="single" w:color="auto" w:sz="4" w:space="0"/>
            </w:tcBorders>
            <w:noWrap w:val="0"/>
            <w:vAlign w:val="center"/>
          </w:tcPr>
          <w:p w14:paraId="4DAFC4B3">
            <w:pPr>
              <w:pStyle w:val="9"/>
              <w:snapToGrid w:val="0"/>
              <w:jc w:val="center"/>
              <w:rPr>
                <w:rFonts w:ascii="Times New Roman" w:hAnsi="Times New Roman" w:eastAsia="宋体"/>
                <w:color w:val="0000FF"/>
                <w:sz w:val="21"/>
                <w:szCs w:val="21"/>
              </w:rPr>
            </w:pPr>
            <w:r>
              <w:rPr>
                <w:rFonts w:ascii="Times New Roman" w:hAnsi="Times New Roman" w:eastAsia="宋体"/>
                <w:color w:val="0000FF"/>
                <w:sz w:val="21"/>
                <w:szCs w:val="21"/>
              </w:rPr>
              <w:t>5</w:t>
            </w:r>
          </w:p>
        </w:tc>
      </w:tr>
      <w:tr w14:paraId="002A05CC">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cantSplit/>
          <w:trHeight w:val="2461" w:hRule="exact"/>
          <w:jc w:val="center"/>
        </w:trPr>
        <w:tc>
          <w:tcPr>
            <w:tcW w:w="738" w:type="dxa"/>
            <w:noWrap w:val="0"/>
            <w:vAlign w:val="center"/>
          </w:tcPr>
          <w:p w14:paraId="19ED7CA9">
            <w:pPr>
              <w:snapToGrid w:val="0"/>
              <w:jc w:val="center"/>
              <w:rPr>
                <w:rFonts w:ascii="Times New Roman" w:hAnsi="Times New Roman" w:eastAsia="宋体"/>
                <w:color w:val="0000FF"/>
                <w:szCs w:val="21"/>
              </w:rPr>
            </w:pPr>
            <w:r>
              <w:rPr>
                <w:rFonts w:ascii="Times New Roman" w:hAnsi="Times New Roman" w:eastAsia="宋体"/>
                <w:color w:val="0000FF"/>
                <w:szCs w:val="21"/>
              </w:rPr>
              <w:t>4</w:t>
            </w:r>
          </w:p>
        </w:tc>
        <w:tc>
          <w:tcPr>
            <w:tcW w:w="1852" w:type="dxa"/>
            <w:tcBorders>
              <w:right w:val="single" w:color="auto" w:sz="4" w:space="0"/>
            </w:tcBorders>
            <w:noWrap w:val="0"/>
            <w:vAlign w:val="center"/>
          </w:tcPr>
          <w:p w14:paraId="4FD98D48">
            <w:pPr>
              <w:widowControl/>
              <w:snapToGrid w:val="0"/>
              <w:jc w:val="left"/>
              <w:rPr>
                <w:rFonts w:hint="eastAsia" w:ascii="Times New Roman" w:hAnsi="Times New Roman" w:eastAsia="宋体"/>
                <w:color w:val="0000FF"/>
                <w:szCs w:val="21"/>
                <w:lang w:eastAsia="zh-CN"/>
              </w:rPr>
            </w:pPr>
            <w:r>
              <w:rPr>
                <w:rFonts w:ascii="Times New Roman" w:hAnsi="Times New Roman" w:eastAsia="宋体"/>
                <w:color w:val="0000FF"/>
                <w:kern w:val="0"/>
                <w:szCs w:val="21"/>
                <w:lang w:bidi="ar"/>
              </w:rPr>
              <w:t>环境风险</w:t>
            </w:r>
          </w:p>
        </w:tc>
        <w:tc>
          <w:tcPr>
            <w:tcW w:w="3825" w:type="dxa"/>
            <w:tcBorders>
              <w:left w:val="single" w:color="auto" w:sz="4" w:space="0"/>
            </w:tcBorders>
            <w:noWrap w:val="0"/>
            <w:vAlign w:val="center"/>
          </w:tcPr>
          <w:p w14:paraId="07F384CA">
            <w:pPr>
              <w:widowControl/>
              <w:jc w:val="left"/>
              <w:rPr>
                <w:rFonts w:ascii="Times New Roman" w:hAnsi="Times New Roman" w:eastAsia="宋体"/>
                <w:color w:val="0000FF"/>
                <w:szCs w:val="21"/>
              </w:rPr>
            </w:pPr>
            <w:r>
              <w:rPr>
                <w:rFonts w:hint="eastAsia" w:ascii="Times New Roman" w:hAnsi="Times New Roman" w:eastAsia="宋体"/>
                <w:color w:val="0000FF"/>
                <w:kern w:val="0"/>
                <w:szCs w:val="21"/>
                <w:lang w:val="en-US" w:eastAsia="zh-CN" w:bidi="ar"/>
              </w:rPr>
              <w:t>1、</w:t>
            </w:r>
            <w:r>
              <w:rPr>
                <w:rFonts w:ascii="Times New Roman" w:hAnsi="Times New Roman" w:eastAsia="宋体"/>
                <w:color w:val="0000FF"/>
                <w:kern w:val="0"/>
                <w:szCs w:val="21"/>
                <w:lang w:bidi="ar"/>
              </w:rPr>
              <w:t>储罐区防渗、防渗事故池</w:t>
            </w:r>
            <w:r>
              <w:rPr>
                <w:rFonts w:hint="eastAsia" w:ascii="Times New Roman" w:hAnsi="Times New Roman" w:eastAsia="宋体"/>
                <w:color w:val="0000FF"/>
                <w:kern w:val="0"/>
                <w:szCs w:val="21"/>
                <w:lang w:bidi="ar"/>
              </w:rPr>
              <w:t>、消防设施、警示标志、应急防护设施等；</w:t>
            </w:r>
            <w:r>
              <w:rPr>
                <w:rFonts w:hint="eastAsia" w:ascii="Times New Roman" w:hAnsi="Times New Roman" w:eastAsia="宋体"/>
                <w:color w:val="0000FF"/>
                <w:kern w:val="0"/>
                <w:szCs w:val="21"/>
                <w:lang w:val="en-US" w:eastAsia="zh-CN" w:bidi="ar"/>
              </w:rPr>
              <w:t>2、</w:t>
            </w:r>
            <w:r>
              <w:rPr>
                <w:rFonts w:hint="eastAsia" w:ascii="Times New Roman" w:hAnsi="Times New Roman" w:eastAsia="宋体"/>
                <w:color w:val="0000FF"/>
                <w:kern w:val="0"/>
                <w:szCs w:val="21"/>
                <w:lang w:bidi="ar"/>
              </w:rPr>
              <w:t>通讯设备、公用设备、隔离设施、、照明设施、防风防晒防雨设施等；</w:t>
            </w:r>
            <w:r>
              <w:rPr>
                <w:rFonts w:hint="eastAsia" w:ascii="Times New Roman" w:hAnsi="Times New Roman" w:eastAsia="宋体"/>
                <w:color w:val="0000FF"/>
                <w:kern w:val="0"/>
                <w:szCs w:val="21"/>
                <w:lang w:val="en-US" w:eastAsia="zh-CN" w:bidi="ar"/>
              </w:rPr>
              <w:t>3、</w:t>
            </w:r>
            <w:r>
              <w:rPr>
                <w:rFonts w:hint="eastAsia" w:ascii="Times New Roman" w:hAnsi="Times New Roman" w:eastAsia="宋体"/>
                <w:color w:val="0000FF"/>
                <w:kern w:val="0"/>
                <w:szCs w:val="21"/>
                <w:lang w:bidi="ar"/>
              </w:rPr>
              <w:t>应急物资、防护服等；</w:t>
            </w:r>
            <w:r>
              <w:rPr>
                <w:rFonts w:hint="eastAsia" w:ascii="Times New Roman" w:hAnsi="Times New Roman" w:eastAsia="宋体"/>
                <w:color w:val="0000FF"/>
                <w:kern w:val="0"/>
                <w:szCs w:val="21"/>
                <w:lang w:val="en-US" w:eastAsia="zh-CN" w:bidi="ar"/>
              </w:rPr>
              <w:t>4</w:t>
            </w:r>
            <w:r>
              <w:rPr>
                <w:rFonts w:hint="eastAsia" w:ascii="Times New Roman" w:hAnsi="Times New Roman" w:eastAsia="宋体"/>
                <w:color w:val="0000FF"/>
                <w:kern w:val="0"/>
                <w:szCs w:val="21"/>
                <w:lang w:bidi="ar"/>
              </w:rPr>
              <w:t>围堰，地面设置导流沟</w:t>
            </w:r>
            <w:r>
              <w:rPr>
                <w:rFonts w:hint="eastAsia" w:ascii="Times New Roman" w:hAnsi="Times New Roman" w:eastAsia="宋体"/>
                <w:color w:val="0000FF"/>
                <w:kern w:val="0"/>
                <w:szCs w:val="21"/>
                <w:lang w:eastAsia="zh-CN" w:bidi="ar"/>
              </w:rPr>
              <w:t>；</w:t>
            </w:r>
            <w:r>
              <w:rPr>
                <w:rFonts w:hint="eastAsia" w:ascii="Times New Roman" w:hAnsi="Times New Roman" w:eastAsia="宋体"/>
                <w:color w:val="0000FF"/>
                <w:kern w:val="0"/>
                <w:szCs w:val="21"/>
                <w:lang w:val="en-US" w:eastAsia="zh-CN" w:bidi="ar"/>
              </w:rPr>
              <w:t>5、</w:t>
            </w:r>
            <w:r>
              <w:rPr>
                <w:rFonts w:hint="eastAsia" w:ascii="Times New Roman" w:hAnsi="Times New Roman" w:eastAsia="宋体"/>
                <w:color w:val="0000FF"/>
                <w:kern w:val="0"/>
                <w:szCs w:val="21"/>
                <w:lang w:bidi="ar"/>
              </w:rPr>
              <w:t>安装视频监控系统</w:t>
            </w:r>
          </w:p>
        </w:tc>
        <w:tc>
          <w:tcPr>
            <w:tcW w:w="1805" w:type="dxa"/>
            <w:noWrap w:val="0"/>
            <w:vAlign w:val="center"/>
          </w:tcPr>
          <w:p w14:paraId="6D97E32E">
            <w:pPr>
              <w:widowControl/>
              <w:snapToGrid w:val="0"/>
              <w:jc w:val="center"/>
              <w:rPr>
                <w:rFonts w:hint="default" w:ascii="Times New Roman" w:hAnsi="Times New Roman" w:eastAsia="宋体"/>
                <w:color w:val="0000FF"/>
                <w:szCs w:val="21"/>
                <w:lang w:val="en-US" w:eastAsia="zh-CN"/>
              </w:rPr>
            </w:pPr>
            <w:r>
              <w:rPr>
                <w:rFonts w:hint="eastAsia" w:ascii="Times New Roman" w:hAnsi="Times New Roman" w:eastAsia="宋体"/>
                <w:color w:val="0000FF"/>
                <w:kern w:val="0"/>
                <w:szCs w:val="21"/>
                <w:lang w:val="en-US" w:eastAsia="zh-CN" w:bidi="ar"/>
              </w:rPr>
              <w:t>30</w:t>
            </w:r>
          </w:p>
        </w:tc>
      </w:tr>
      <w:tr w14:paraId="5D35FAD1">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cantSplit/>
          <w:trHeight w:val="462" w:hRule="exact"/>
          <w:jc w:val="center"/>
        </w:trPr>
        <w:tc>
          <w:tcPr>
            <w:tcW w:w="6415" w:type="dxa"/>
            <w:gridSpan w:val="3"/>
            <w:noWrap w:val="0"/>
            <w:vAlign w:val="center"/>
          </w:tcPr>
          <w:p w14:paraId="61EF6DEC">
            <w:pPr>
              <w:jc w:val="center"/>
              <w:rPr>
                <w:rFonts w:ascii="Times New Roman" w:hAnsi="Times New Roman" w:eastAsia="宋体"/>
                <w:color w:val="0000FF"/>
                <w:szCs w:val="21"/>
              </w:rPr>
            </w:pPr>
            <w:r>
              <w:rPr>
                <w:rFonts w:ascii="Times New Roman" w:hAnsi="Times New Roman" w:eastAsia="宋体"/>
                <w:color w:val="0000FF"/>
                <w:szCs w:val="21"/>
              </w:rPr>
              <w:t>总计</w:t>
            </w:r>
          </w:p>
        </w:tc>
        <w:tc>
          <w:tcPr>
            <w:tcW w:w="1805" w:type="dxa"/>
            <w:noWrap w:val="0"/>
            <w:vAlign w:val="center"/>
          </w:tcPr>
          <w:p w14:paraId="71063229">
            <w:pPr>
              <w:autoSpaceDE w:val="0"/>
              <w:autoSpaceDN w:val="0"/>
              <w:adjustRightInd w:val="0"/>
              <w:snapToGrid w:val="0"/>
              <w:jc w:val="center"/>
              <w:rPr>
                <w:rFonts w:hint="default" w:ascii="Times New Roman" w:hAnsi="Times New Roman" w:eastAsia="宋体"/>
                <w:color w:val="0000FF"/>
                <w:kern w:val="0"/>
                <w:szCs w:val="21"/>
                <w:lang w:val="en-US" w:eastAsia="zh-CN"/>
              </w:rPr>
            </w:pPr>
            <w:r>
              <w:rPr>
                <w:rFonts w:hint="eastAsia" w:ascii="Times New Roman" w:hAnsi="Times New Roman" w:eastAsia="宋体"/>
                <w:color w:val="0000FF"/>
                <w:kern w:val="0"/>
                <w:szCs w:val="21"/>
                <w:lang w:val="en-US" w:eastAsia="zh-CN"/>
              </w:rPr>
              <w:t>40</w:t>
            </w:r>
          </w:p>
        </w:tc>
      </w:tr>
    </w:tbl>
    <w:p w14:paraId="0C577EC5">
      <w:pPr>
        <w:pStyle w:val="3"/>
        <w:adjustRightInd w:val="0"/>
        <w:snapToGrid w:val="0"/>
        <w:spacing w:before="156" w:after="0" w:line="360" w:lineRule="auto"/>
        <w:ind w:firstLine="482" w:firstLineChars="200"/>
        <w:rPr>
          <w:rFonts w:ascii="Times New Roman" w:hAnsi="Times New Roman" w:eastAsia="宋体"/>
          <w:color w:val="0000FF"/>
          <w:kern w:val="44"/>
          <w:sz w:val="24"/>
          <w:szCs w:val="24"/>
        </w:rPr>
      </w:pPr>
      <w:r>
        <w:rPr>
          <w:rFonts w:ascii="Times New Roman" w:hAnsi="Times New Roman" w:eastAsia="宋体"/>
          <w:color w:val="0000FF"/>
          <w:kern w:val="44"/>
          <w:sz w:val="24"/>
          <w:szCs w:val="24"/>
        </w:rPr>
        <w:t>1</w:t>
      </w:r>
      <w:r>
        <w:rPr>
          <w:rFonts w:hint="eastAsia" w:ascii="Times New Roman" w:hAnsi="Times New Roman" w:eastAsia="宋体"/>
          <w:color w:val="0000FF"/>
          <w:kern w:val="44"/>
          <w:sz w:val="24"/>
          <w:szCs w:val="24"/>
          <w:lang w:val="en-US" w:eastAsia="zh-CN"/>
        </w:rPr>
        <w:t>2</w:t>
      </w:r>
      <w:r>
        <w:rPr>
          <w:rFonts w:ascii="Times New Roman" w:hAnsi="Times New Roman" w:eastAsia="宋体"/>
          <w:color w:val="0000FF"/>
          <w:kern w:val="44"/>
          <w:sz w:val="24"/>
          <w:szCs w:val="24"/>
        </w:rPr>
        <w:t>、项目环保竣工验收</w:t>
      </w:r>
    </w:p>
    <w:p w14:paraId="261518AD">
      <w:pPr>
        <w:adjustRightInd w:val="0"/>
        <w:snapToGrid w:val="0"/>
        <w:spacing w:line="360" w:lineRule="auto"/>
        <w:ind w:firstLine="480"/>
        <w:jc w:val="both"/>
        <w:rPr>
          <w:rFonts w:ascii="Times New Roman" w:hAnsi="Times New Roman" w:eastAsia="宋体"/>
          <w:color w:val="0000FF"/>
          <w:sz w:val="24"/>
          <w:szCs w:val="24"/>
        </w:rPr>
      </w:pPr>
      <w:r>
        <w:rPr>
          <w:rFonts w:ascii="Times New Roman" w:hAnsi="Times New Roman" w:eastAsia="宋体"/>
          <w:color w:val="0000FF"/>
          <w:sz w:val="24"/>
          <w:szCs w:val="24"/>
        </w:rPr>
        <w:t>建设单位应按照《建设项目环境保护管理条例》中的有关要求，</w:t>
      </w:r>
      <w:r>
        <w:rPr>
          <w:rFonts w:ascii="Times New Roman" w:hAnsi="Times New Roman" w:eastAsia="宋体"/>
          <w:bCs/>
          <w:color w:val="0000FF"/>
          <w:sz w:val="24"/>
          <w:szCs w:val="24"/>
        </w:rPr>
        <w:t>由建设单位成立验收组进行自主验收。</w:t>
      </w:r>
      <w:r>
        <w:rPr>
          <w:rFonts w:ascii="Times New Roman" w:hAnsi="Times New Roman" w:eastAsia="宋体"/>
          <w:color w:val="0000FF"/>
          <w:sz w:val="24"/>
          <w:szCs w:val="24"/>
        </w:rPr>
        <w:t>项目三同时竣工验收一览表见表</w:t>
      </w:r>
      <w:r>
        <w:rPr>
          <w:rFonts w:hint="eastAsia" w:ascii="Times New Roman" w:hAnsi="Times New Roman" w:eastAsia="宋体"/>
          <w:color w:val="0000FF"/>
          <w:sz w:val="24"/>
          <w:szCs w:val="24"/>
          <w:lang w:val="en-US" w:eastAsia="zh-CN"/>
        </w:rPr>
        <w:t>4-26</w:t>
      </w:r>
      <w:r>
        <w:rPr>
          <w:rFonts w:ascii="Times New Roman" w:hAnsi="Times New Roman" w:eastAsia="宋体"/>
          <w:color w:val="0000FF"/>
          <w:sz w:val="24"/>
          <w:szCs w:val="24"/>
        </w:rPr>
        <w:t>。</w:t>
      </w:r>
    </w:p>
    <w:p w14:paraId="5B69594F">
      <w:pPr>
        <w:adjustRightInd w:val="0"/>
        <w:snapToGrid w:val="0"/>
        <w:spacing w:line="360" w:lineRule="auto"/>
        <w:ind w:firstLine="480"/>
        <w:jc w:val="center"/>
        <w:rPr>
          <w:rFonts w:ascii="Times New Roman" w:hAnsi="Times New Roman" w:eastAsia="宋体"/>
          <w:color w:val="0000FF"/>
          <w:sz w:val="24"/>
          <w:szCs w:val="24"/>
        </w:rPr>
      </w:pPr>
      <w:r>
        <w:rPr>
          <w:rFonts w:ascii="Times New Roman" w:hAnsi="Times New Roman" w:eastAsia="宋体"/>
          <w:b/>
          <w:bCs/>
          <w:color w:val="0000FF"/>
          <w:szCs w:val="21"/>
        </w:rPr>
        <w:t>表</w:t>
      </w:r>
      <w:r>
        <w:rPr>
          <w:rFonts w:hint="eastAsia" w:ascii="Times New Roman" w:hAnsi="Times New Roman" w:eastAsia="宋体"/>
          <w:b/>
          <w:bCs/>
          <w:color w:val="0000FF"/>
          <w:szCs w:val="21"/>
          <w:lang w:val="en-US" w:eastAsia="zh-CN"/>
        </w:rPr>
        <w:t>4-26</w:t>
      </w:r>
      <w:r>
        <w:rPr>
          <w:rFonts w:ascii="Times New Roman" w:hAnsi="Times New Roman" w:eastAsia="宋体"/>
          <w:b/>
          <w:bCs/>
          <w:color w:val="0000FF"/>
          <w:szCs w:val="21"/>
        </w:rPr>
        <w:t>环保措施</w:t>
      </w:r>
      <w:r>
        <w:rPr>
          <w:rFonts w:hint="eastAsia" w:ascii="Times New Roman" w:hAnsi="Times New Roman" w:eastAsia="宋体"/>
          <w:b/>
          <w:bCs/>
          <w:color w:val="0000FF"/>
          <w:szCs w:val="21"/>
          <w:lang w:eastAsia="zh-CN"/>
        </w:rPr>
        <w:t>“</w:t>
      </w:r>
      <w:r>
        <w:rPr>
          <w:rFonts w:ascii="Times New Roman" w:hAnsi="Times New Roman" w:eastAsia="宋体"/>
          <w:b/>
          <w:bCs/>
          <w:color w:val="0000FF"/>
          <w:szCs w:val="21"/>
        </w:rPr>
        <w:t>三同时</w:t>
      </w:r>
      <w:r>
        <w:rPr>
          <w:rFonts w:hint="eastAsia" w:ascii="Times New Roman" w:hAnsi="Times New Roman" w:eastAsia="宋体"/>
          <w:b/>
          <w:bCs/>
          <w:color w:val="0000FF"/>
          <w:szCs w:val="21"/>
          <w:lang w:eastAsia="zh-CN"/>
        </w:rPr>
        <w:t>”</w:t>
      </w:r>
      <w:r>
        <w:rPr>
          <w:rFonts w:ascii="Times New Roman" w:hAnsi="Times New Roman" w:eastAsia="宋体"/>
          <w:b/>
          <w:bCs/>
          <w:color w:val="0000FF"/>
          <w:szCs w:val="21"/>
        </w:rPr>
        <w:t>竣工验收一览表</w:t>
      </w:r>
    </w:p>
    <w:tbl>
      <w:tblPr>
        <w:tblStyle w:val="11"/>
        <w:tblW w:w="8257" w:type="dxa"/>
        <w:tblInd w:w="0" w:type="dxa"/>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autofit"/>
        <w:tblCellMar>
          <w:top w:w="0" w:type="dxa"/>
          <w:left w:w="0" w:type="dxa"/>
          <w:bottom w:w="0" w:type="dxa"/>
          <w:right w:w="0" w:type="dxa"/>
        </w:tblCellMar>
      </w:tblPr>
      <w:tblGrid>
        <w:gridCol w:w="883"/>
        <w:gridCol w:w="1027"/>
        <w:gridCol w:w="1800"/>
        <w:gridCol w:w="1305"/>
        <w:gridCol w:w="696"/>
        <w:gridCol w:w="2546"/>
      </w:tblGrid>
      <w:tr w14:paraId="520229C6">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276" w:hRule="atLeast"/>
        </w:trPr>
        <w:tc>
          <w:tcPr>
            <w:tcW w:w="883" w:type="dxa"/>
            <w:noWrap w:val="0"/>
            <w:vAlign w:val="center"/>
          </w:tcPr>
          <w:p w14:paraId="24B022D3">
            <w:pPr>
              <w:pStyle w:val="22"/>
              <w:keepNext w:val="0"/>
              <w:keepLines w:val="0"/>
              <w:pageBreakBefore w:val="0"/>
              <w:kinsoku/>
              <w:wordWrap/>
              <w:overflowPunct/>
              <w:topLinePunct w:val="0"/>
              <w:autoSpaceDE/>
              <w:autoSpaceDN/>
              <w:bidi w:val="0"/>
              <w:adjustRightInd/>
              <w:spacing w:before="71" w:line="240" w:lineRule="auto"/>
              <w:ind w:right="237"/>
              <w:jc w:val="center"/>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rPr>
              <w:t>项目</w:t>
            </w:r>
          </w:p>
        </w:tc>
        <w:tc>
          <w:tcPr>
            <w:tcW w:w="1027" w:type="dxa"/>
            <w:noWrap w:val="0"/>
            <w:vAlign w:val="center"/>
          </w:tcPr>
          <w:p w14:paraId="20194553">
            <w:pPr>
              <w:pStyle w:val="22"/>
              <w:keepNext w:val="0"/>
              <w:keepLines w:val="0"/>
              <w:pageBreakBefore w:val="0"/>
              <w:kinsoku/>
              <w:wordWrap/>
              <w:overflowPunct/>
              <w:topLinePunct w:val="0"/>
              <w:autoSpaceDE/>
              <w:autoSpaceDN/>
              <w:bidi w:val="0"/>
              <w:adjustRightInd/>
              <w:spacing w:before="71" w:line="240" w:lineRule="auto"/>
              <w:ind w:left="124"/>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rPr>
              <w:t>污染源</w:t>
            </w:r>
          </w:p>
        </w:tc>
        <w:tc>
          <w:tcPr>
            <w:tcW w:w="1800" w:type="dxa"/>
            <w:noWrap w:val="0"/>
            <w:vAlign w:val="center"/>
          </w:tcPr>
          <w:p w14:paraId="057047F2">
            <w:pPr>
              <w:pStyle w:val="22"/>
              <w:keepNext w:val="0"/>
              <w:keepLines w:val="0"/>
              <w:pageBreakBefore w:val="0"/>
              <w:kinsoku/>
              <w:wordWrap/>
              <w:overflowPunct/>
              <w:topLinePunct w:val="0"/>
              <w:autoSpaceDE/>
              <w:autoSpaceDN/>
              <w:bidi w:val="0"/>
              <w:adjustRightInd/>
              <w:spacing w:before="71" w:line="240" w:lineRule="auto"/>
              <w:ind w:left="328"/>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rPr>
              <w:t>污染防治措施</w:t>
            </w:r>
          </w:p>
        </w:tc>
        <w:tc>
          <w:tcPr>
            <w:tcW w:w="1305" w:type="dxa"/>
            <w:noWrap w:val="0"/>
            <w:vAlign w:val="center"/>
          </w:tcPr>
          <w:p w14:paraId="287806DA">
            <w:pPr>
              <w:pStyle w:val="22"/>
              <w:keepNext w:val="0"/>
              <w:keepLines w:val="0"/>
              <w:pageBreakBefore w:val="0"/>
              <w:kinsoku/>
              <w:wordWrap/>
              <w:overflowPunct/>
              <w:topLinePunct w:val="0"/>
              <w:autoSpaceDE/>
              <w:autoSpaceDN/>
              <w:bidi w:val="0"/>
              <w:adjustRightInd/>
              <w:spacing w:before="71" w:line="240" w:lineRule="auto"/>
              <w:ind w:left="130"/>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rPr>
              <w:t>验收内容</w:t>
            </w:r>
          </w:p>
        </w:tc>
        <w:tc>
          <w:tcPr>
            <w:tcW w:w="696" w:type="dxa"/>
            <w:noWrap w:val="0"/>
            <w:vAlign w:val="center"/>
          </w:tcPr>
          <w:p w14:paraId="2F7C2271">
            <w:pPr>
              <w:pStyle w:val="22"/>
              <w:keepNext w:val="0"/>
              <w:keepLines w:val="0"/>
              <w:pageBreakBefore w:val="0"/>
              <w:kinsoku/>
              <w:wordWrap/>
              <w:overflowPunct/>
              <w:topLinePunct w:val="0"/>
              <w:autoSpaceDE/>
              <w:autoSpaceDN/>
              <w:bidi w:val="0"/>
              <w:adjustRightInd/>
              <w:spacing w:line="240" w:lineRule="auto"/>
              <w:ind w:left="98" w:right="94"/>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rPr>
              <w:t>监测内容</w:t>
            </w:r>
          </w:p>
        </w:tc>
        <w:tc>
          <w:tcPr>
            <w:tcW w:w="2546" w:type="dxa"/>
            <w:noWrap w:val="0"/>
            <w:vAlign w:val="center"/>
          </w:tcPr>
          <w:p w14:paraId="1D86904A">
            <w:pPr>
              <w:pStyle w:val="22"/>
              <w:keepNext w:val="0"/>
              <w:keepLines w:val="0"/>
              <w:pageBreakBefore w:val="0"/>
              <w:kinsoku/>
              <w:wordWrap/>
              <w:overflowPunct/>
              <w:topLinePunct w:val="0"/>
              <w:autoSpaceDE/>
              <w:autoSpaceDN/>
              <w:bidi w:val="0"/>
              <w:adjustRightInd/>
              <w:spacing w:before="71" w:line="240" w:lineRule="auto"/>
              <w:ind w:left="683"/>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rPr>
              <w:t>预计治理效果</w:t>
            </w:r>
          </w:p>
        </w:tc>
      </w:tr>
      <w:tr w14:paraId="0ADEE103">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46" w:hRule="atLeast"/>
        </w:trPr>
        <w:tc>
          <w:tcPr>
            <w:tcW w:w="883" w:type="dxa"/>
            <w:vMerge w:val="restart"/>
            <w:noWrap w:val="0"/>
            <w:vAlign w:val="center"/>
          </w:tcPr>
          <w:p w14:paraId="28D6BB23">
            <w:pPr>
              <w:pStyle w:val="22"/>
              <w:keepNext w:val="0"/>
              <w:keepLines w:val="0"/>
              <w:pageBreakBefore w:val="0"/>
              <w:kinsoku/>
              <w:wordWrap/>
              <w:overflowPunct/>
              <w:topLinePunct w:val="0"/>
              <w:autoSpaceDE/>
              <w:autoSpaceDN/>
              <w:bidi w:val="0"/>
              <w:adjustRightInd/>
              <w:spacing w:before="168" w:line="240" w:lineRule="auto"/>
              <w:jc w:val="center"/>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rPr>
              <w:t>废气</w:t>
            </w:r>
          </w:p>
        </w:tc>
        <w:tc>
          <w:tcPr>
            <w:tcW w:w="1027" w:type="dxa"/>
            <w:noWrap w:val="0"/>
            <w:vAlign w:val="center"/>
          </w:tcPr>
          <w:p w14:paraId="00D90171">
            <w:pPr>
              <w:pStyle w:val="22"/>
              <w:keepNext w:val="0"/>
              <w:keepLines w:val="0"/>
              <w:pageBreakBefore w:val="0"/>
              <w:kinsoku/>
              <w:wordWrap/>
              <w:overflowPunct/>
              <w:topLinePunct w:val="0"/>
              <w:autoSpaceDE/>
              <w:autoSpaceDN/>
              <w:bidi w:val="0"/>
              <w:adjustRightInd/>
              <w:spacing w:line="240" w:lineRule="auto"/>
              <w:ind w:right="117"/>
              <w:jc w:val="center"/>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rPr>
              <w:t>储罐呼吸</w:t>
            </w:r>
          </w:p>
        </w:tc>
        <w:tc>
          <w:tcPr>
            <w:tcW w:w="1800" w:type="dxa"/>
            <w:noWrap w:val="0"/>
            <w:vAlign w:val="center"/>
          </w:tcPr>
          <w:p w14:paraId="76418D5E">
            <w:pPr>
              <w:pStyle w:val="22"/>
              <w:keepNext w:val="0"/>
              <w:keepLines w:val="0"/>
              <w:pageBreakBefore w:val="0"/>
              <w:kinsoku/>
              <w:wordWrap/>
              <w:overflowPunct/>
              <w:topLinePunct w:val="0"/>
              <w:autoSpaceDE/>
              <w:autoSpaceDN/>
              <w:bidi w:val="0"/>
              <w:adjustRightInd/>
              <w:spacing w:before="1" w:line="240" w:lineRule="auto"/>
              <w:ind w:left="107" w:right="167"/>
              <w:jc w:val="center"/>
              <w:rPr>
                <w:rFonts w:hint="default" w:ascii="Times New Roman" w:hAnsi="Times New Roman" w:eastAsia="宋体" w:cs="Times New Roman"/>
                <w:color w:val="0000FF"/>
                <w:spacing w:val="20"/>
                <w:sz w:val="21"/>
                <w:szCs w:val="21"/>
                <w:lang w:eastAsia="zh-CN"/>
              </w:rPr>
            </w:pPr>
            <w:r>
              <w:rPr>
                <w:rFonts w:hint="eastAsia" w:ascii="Times New Roman" w:hAnsi="Times New Roman" w:eastAsia="宋体"/>
                <w:color w:val="0000FF"/>
                <w:szCs w:val="21"/>
                <w:lang w:val="en-US" w:eastAsia="zh-CN"/>
              </w:rPr>
              <w:t>1套活性炭处理装置处理后通过1根15m高排气筒排放</w:t>
            </w:r>
          </w:p>
        </w:tc>
        <w:tc>
          <w:tcPr>
            <w:tcW w:w="1305" w:type="dxa"/>
            <w:noWrap w:val="0"/>
            <w:vAlign w:val="center"/>
          </w:tcPr>
          <w:p w14:paraId="3A45A7F5">
            <w:pPr>
              <w:pStyle w:val="22"/>
              <w:keepNext w:val="0"/>
              <w:keepLines w:val="0"/>
              <w:pageBreakBefore w:val="0"/>
              <w:kinsoku/>
              <w:wordWrap/>
              <w:overflowPunct/>
              <w:topLinePunct w:val="0"/>
              <w:autoSpaceDE/>
              <w:autoSpaceDN/>
              <w:bidi w:val="0"/>
              <w:adjustRightInd/>
              <w:spacing w:line="240" w:lineRule="auto"/>
              <w:ind w:left="24" w:right="14"/>
              <w:rPr>
                <w:rFonts w:hint="default" w:ascii="Times New Roman" w:hAnsi="Times New Roman" w:eastAsia="宋体" w:cs="Times New Roman"/>
                <w:color w:val="0000FF"/>
                <w:spacing w:val="-3"/>
                <w:sz w:val="21"/>
                <w:szCs w:val="21"/>
              </w:rPr>
            </w:pPr>
            <w:r>
              <w:rPr>
                <w:rFonts w:hint="eastAsia" w:ascii="Times New Roman" w:hAnsi="Times New Roman" w:eastAsia="宋体"/>
                <w:color w:val="0000FF"/>
                <w:szCs w:val="21"/>
                <w:lang w:val="en-US" w:eastAsia="zh-CN"/>
              </w:rPr>
              <w:t>1套活性炭处理装置处理后通过1根15m高排气筒排放</w:t>
            </w:r>
          </w:p>
        </w:tc>
        <w:tc>
          <w:tcPr>
            <w:tcW w:w="696" w:type="dxa"/>
            <w:vMerge w:val="restart"/>
            <w:noWrap w:val="0"/>
            <w:vAlign w:val="center"/>
          </w:tcPr>
          <w:p w14:paraId="5326658D">
            <w:pPr>
              <w:pStyle w:val="22"/>
              <w:keepNext w:val="0"/>
              <w:keepLines w:val="0"/>
              <w:pageBreakBefore w:val="0"/>
              <w:kinsoku/>
              <w:wordWrap/>
              <w:overflowPunct/>
              <w:topLinePunct w:val="0"/>
              <w:autoSpaceDE/>
              <w:autoSpaceDN/>
              <w:bidi w:val="0"/>
              <w:adjustRightInd/>
              <w:spacing w:line="240" w:lineRule="auto"/>
              <w:ind w:right="113"/>
              <w:jc w:val="center"/>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rPr>
              <w:t>非甲烷总烃</w:t>
            </w:r>
          </w:p>
        </w:tc>
        <w:tc>
          <w:tcPr>
            <w:tcW w:w="2546" w:type="dxa"/>
            <w:noWrap w:val="0"/>
            <w:vAlign w:val="center"/>
          </w:tcPr>
          <w:p w14:paraId="1EAD3140">
            <w:pPr>
              <w:pStyle w:val="22"/>
              <w:keepNext w:val="0"/>
              <w:keepLines w:val="0"/>
              <w:pageBreakBefore w:val="0"/>
              <w:kinsoku/>
              <w:wordWrap/>
              <w:overflowPunct/>
              <w:topLinePunct w:val="0"/>
              <w:autoSpaceDE/>
              <w:autoSpaceDN/>
              <w:bidi w:val="0"/>
              <w:adjustRightInd/>
              <w:spacing w:before="4" w:line="240" w:lineRule="auto"/>
              <w:ind w:left="152" w:right="148"/>
              <w:rPr>
                <w:rFonts w:hint="default" w:ascii="Times New Roman" w:hAnsi="Times New Roman" w:eastAsia="宋体" w:cs="Times New Roman"/>
                <w:color w:val="0000FF"/>
                <w:spacing w:val="-26"/>
                <w:sz w:val="21"/>
                <w:szCs w:val="21"/>
              </w:rPr>
            </w:pPr>
            <w:r>
              <w:rPr>
                <w:rFonts w:hint="eastAsia" w:ascii="Times New Roman" w:hAnsi="Times New Roman" w:eastAsia="宋体"/>
                <w:color w:val="0000FF"/>
                <w:kern w:val="0"/>
                <w:szCs w:val="21"/>
              </w:rPr>
              <w:t>《大气污染物综合排放标准》（GB16297-1996）表2放限值要求</w:t>
            </w:r>
          </w:p>
        </w:tc>
      </w:tr>
      <w:tr w14:paraId="2EB66E2C">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144" w:hRule="atLeast"/>
        </w:trPr>
        <w:tc>
          <w:tcPr>
            <w:tcW w:w="883" w:type="dxa"/>
            <w:vMerge w:val="continue"/>
            <w:noWrap w:val="0"/>
            <w:vAlign w:val="center"/>
          </w:tcPr>
          <w:p w14:paraId="536DC32B">
            <w:pPr>
              <w:pStyle w:val="22"/>
              <w:keepNext w:val="0"/>
              <w:keepLines w:val="0"/>
              <w:pageBreakBefore w:val="0"/>
              <w:kinsoku/>
              <w:wordWrap/>
              <w:overflowPunct/>
              <w:topLinePunct w:val="0"/>
              <w:autoSpaceDE/>
              <w:autoSpaceDN/>
              <w:bidi w:val="0"/>
              <w:adjustRightInd/>
              <w:spacing w:before="168" w:line="240" w:lineRule="auto"/>
              <w:jc w:val="center"/>
              <w:rPr>
                <w:rFonts w:hint="default" w:ascii="Times New Roman" w:hAnsi="Times New Roman" w:eastAsia="宋体" w:cs="Times New Roman"/>
                <w:color w:val="0000FF"/>
                <w:sz w:val="21"/>
                <w:szCs w:val="21"/>
              </w:rPr>
            </w:pPr>
          </w:p>
        </w:tc>
        <w:tc>
          <w:tcPr>
            <w:tcW w:w="1027" w:type="dxa"/>
            <w:noWrap w:val="0"/>
            <w:vAlign w:val="center"/>
          </w:tcPr>
          <w:p w14:paraId="17AEA7B6">
            <w:pPr>
              <w:pStyle w:val="22"/>
              <w:keepNext w:val="0"/>
              <w:keepLines w:val="0"/>
              <w:pageBreakBefore w:val="0"/>
              <w:kinsoku/>
              <w:wordWrap/>
              <w:overflowPunct/>
              <w:topLinePunct w:val="0"/>
              <w:autoSpaceDE/>
              <w:autoSpaceDN/>
              <w:bidi w:val="0"/>
              <w:adjustRightInd/>
              <w:spacing w:line="240" w:lineRule="auto"/>
              <w:ind w:right="117"/>
              <w:jc w:val="center"/>
              <w:rPr>
                <w:rFonts w:hint="default" w:ascii="Times New Roman" w:hAnsi="Times New Roman" w:eastAsia="宋体" w:cs="Times New Roman"/>
                <w:color w:val="0000FF"/>
                <w:sz w:val="21"/>
                <w:szCs w:val="21"/>
                <w:lang w:eastAsia="zh-CN"/>
              </w:rPr>
            </w:pPr>
            <w:r>
              <w:rPr>
                <w:rFonts w:hint="default" w:ascii="Times New Roman" w:hAnsi="Times New Roman" w:eastAsia="宋体" w:cs="Times New Roman"/>
                <w:color w:val="0000FF"/>
                <w:sz w:val="21"/>
                <w:szCs w:val="21"/>
                <w:lang w:eastAsia="zh-CN"/>
              </w:rPr>
              <w:t>装卸废气</w:t>
            </w:r>
          </w:p>
        </w:tc>
        <w:tc>
          <w:tcPr>
            <w:tcW w:w="1800" w:type="dxa"/>
            <w:noWrap w:val="0"/>
            <w:vAlign w:val="center"/>
          </w:tcPr>
          <w:p w14:paraId="7DC3FABF">
            <w:pPr>
              <w:pStyle w:val="22"/>
              <w:keepNext w:val="0"/>
              <w:keepLines w:val="0"/>
              <w:pageBreakBefore w:val="0"/>
              <w:kinsoku/>
              <w:wordWrap/>
              <w:overflowPunct/>
              <w:topLinePunct w:val="0"/>
              <w:autoSpaceDE/>
              <w:autoSpaceDN/>
              <w:bidi w:val="0"/>
              <w:adjustRightInd/>
              <w:spacing w:before="1" w:line="240" w:lineRule="auto"/>
              <w:ind w:left="107" w:right="167"/>
              <w:jc w:val="center"/>
              <w:rPr>
                <w:rFonts w:hint="default" w:ascii="Times New Roman" w:hAnsi="Times New Roman" w:eastAsia="宋体" w:cs="Times New Roman"/>
                <w:color w:val="0000FF"/>
                <w:spacing w:val="20"/>
                <w:sz w:val="21"/>
                <w:szCs w:val="21"/>
                <w:lang w:eastAsia="zh-CN"/>
              </w:rPr>
            </w:pPr>
            <w:r>
              <w:rPr>
                <w:rFonts w:hint="eastAsia" w:eastAsia="宋体" w:cs="Times New Roman"/>
                <w:color w:val="0000FF"/>
                <w:spacing w:val="20"/>
                <w:sz w:val="21"/>
                <w:szCs w:val="21"/>
                <w:lang w:eastAsia="zh-CN"/>
              </w:rPr>
              <w:t>安装排风扇</w:t>
            </w:r>
          </w:p>
        </w:tc>
        <w:tc>
          <w:tcPr>
            <w:tcW w:w="1305" w:type="dxa"/>
            <w:noWrap w:val="0"/>
            <w:vAlign w:val="center"/>
          </w:tcPr>
          <w:p w14:paraId="39DDFD92">
            <w:pPr>
              <w:pStyle w:val="22"/>
              <w:keepNext w:val="0"/>
              <w:keepLines w:val="0"/>
              <w:pageBreakBefore w:val="0"/>
              <w:kinsoku/>
              <w:wordWrap/>
              <w:overflowPunct/>
              <w:topLinePunct w:val="0"/>
              <w:autoSpaceDE/>
              <w:autoSpaceDN/>
              <w:bidi w:val="0"/>
              <w:adjustRightInd/>
              <w:spacing w:line="240" w:lineRule="auto"/>
              <w:ind w:left="24" w:right="14"/>
              <w:rPr>
                <w:rFonts w:hint="eastAsia" w:ascii="Times New Roman" w:hAnsi="Times New Roman" w:eastAsia="宋体" w:cs="Times New Roman"/>
                <w:color w:val="0000FF"/>
                <w:spacing w:val="-3"/>
                <w:sz w:val="21"/>
                <w:szCs w:val="21"/>
                <w:lang w:eastAsia="zh-CN"/>
              </w:rPr>
            </w:pPr>
            <w:r>
              <w:rPr>
                <w:rFonts w:hint="eastAsia" w:eastAsia="宋体" w:cs="Times New Roman"/>
                <w:color w:val="0000FF"/>
                <w:spacing w:val="-3"/>
                <w:sz w:val="21"/>
                <w:szCs w:val="21"/>
                <w:lang w:eastAsia="zh-CN"/>
              </w:rPr>
              <w:t>安装排风扇</w:t>
            </w:r>
          </w:p>
        </w:tc>
        <w:tc>
          <w:tcPr>
            <w:tcW w:w="696" w:type="dxa"/>
            <w:vMerge w:val="continue"/>
            <w:noWrap w:val="0"/>
            <w:vAlign w:val="center"/>
          </w:tcPr>
          <w:p w14:paraId="0D601F6F">
            <w:pPr>
              <w:pStyle w:val="22"/>
              <w:keepNext w:val="0"/>
              <w:keepLines w:val="0"/>
              <w:pageBreakBefore w:val="0"/>
              <w:kinsoku/>
              <w:wordWrap/>
              <w:overflowPunct/>
              <w:topLinePunct w:val="0"/>
              <w:autoSpaceDE/>
              <w:autoSpaceDN/>
              <w:bidi w:val="0"/>
              <w:adjustRightInd/>
              <w:spacing w:line="240" w:lineRule="auto"/>
              <w:ind w:right="113"/>
              <w:jc w:val="center"/>
              <w:rPr>
                <w:rFonts w:hint="default" w:ascii="Times New Roman" w:hAnsi="Times New Roman" w:eastAsia="宋体" w:cs="Times New Roman"/>
                <w:color w:val="0000FF"/>
                <w:sz w:val="21"/>
                <w:szCs w:val="21"/>
              </w:rPr>
            </w:pPr>
          </w:p>
        </w:tc>
        <w:tc>
          <w:tcPr>
            <w:tcW w:w="2546" w:type="dxa"/>
            <w:noWrap w:val="0"/>
            <w:vAlign w:val="center"/>
          </w:tcPr>
          <w:p w14:paraId="0399EF48">
            <w:pPr>
              <w:pStyle w:val="22"/>
              <w:keepNext w:val="0"/>
              <w:keepLines w:val="0"/>
              <w:pageBreakBefore w:val="0"/>
              <w:kinsoku/>
              <w:wordWrap/>
              <w:overflowPunct/>
              <w:topLinePunct w:val="0"/>
              <w:autoSpaceDE/>
              <w:autoSpaceDN/>
              <w:bidi w:val="0"/>
              <w:adjustRightInd/>
              <w:spacing w:before="1" w:line="240" w:lineRule="auto"/>
              <w:ind w:left="157" w:right="148"/>
              <w:rPr>
                <w:rFonts w:hint="default" w:ascii="Times New Roman" w:hAnsi="Times New Roman" w:eastAsia="宋体" w:cs="Times New Roman"/>
                <w:color w:val="0000FF"/>
                <w:spacing w:val="-26"/>
                <w:sz w:val="21"/>
                <w:szCs w:val="21"/>
              </w:rPr>
            </w:pPr>
            <w:r>
              <w:rPr>
                <w:rFonts w:hint="default" w:ascii="Times New Roman" w:hAnsi="Times New Roman" w:eastAsia="宋体" w:cs="Times New Roman"/>
                <w:color w:val="0000FF"/>
                <w:sz w:val="21"/>
                <w:szCs w:val="21"/>
              </w:rPr>
              <w:t>《挥发性有机物无组织排放控制标准》（GB37822-2019）中的特别排放限值要求</w:t>
            </w:r>
          </w:p>
        </w:tc>
      </w:tr>
      <w:tr w14:paraId="3C7E131F">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419" w:hRule="atLeast"/>
        </w:trPr>
        <w:tc>
          <w:tcPr>
            <w:tcW w:w="883" w:type="dxa"/>
            <w:vMerge w:val="continue"/>
            <w:noWrap w:val="0"/>
            <w:vAlign w:val="center"/>
          </w:tcPr>
          <w:p w14:paraId="4F15FCF4">
            <w:pPr>
              <w:pStyle w:val="22"/>
              <w:keepNext w:val="0"/>
              <w:keepLines w:val="0"/>
              <w:pageBreakBefore w:val="0"/>
              <w:kinsoku/>
              <w:wordWrap/>
              <w:overflowPunct/>
              <w:topLinePunct w:val="0"/>
              <w:autoSpaceDE/>
              <w:autoSpaceDN/>
              <w:bidi w:val="0"/>
              <w:adjustRightInd/>
              <w:spacing w:before="168" w:line="240" w:lineRule="auto"/>
              <w:jc w:val="center"/>
              <w:rPr>
                <w:rFonts w:hint="default" w:ascii="Times New Roman" w:hAnsi="Times New Roman" w:eastAsia="宋体" w:cs="Times New Roman"/>
                <w:color w:val="0000FF"/>
                <w:sz w:val="21"/>
                <w:szCs w:val="21"/>
              </w:rPr>
            </w:pPr>
          </w:p>
        </w:tc>
        <w:tc>
          <w:tcPr>
            <w:tcW w:w="1027" w:type="dxa"/>
            <w:noWrap w:val="0"/>
            <w:vAlign w:val="center"/>
          </w:tcPr>
          <w:p w14:paraId="119DBD75">
            <w:pPr>
              <w:pStyle w:val="22"/>
              <w:keepNext w:val="0"/>
              <w:keepLines w:val="0"/>
              <w:pageBreakBefore w:val="0"/>
              <w:kinsoku/>
              <w:wordWrap/>
              <w:overflowPunct/>
              <w:topLinePunct w:val="0"/>
              <w:autoSpaceDE/>
              <w:autoSpaceDN/>
              <w:bidi w:val="0"/>
              <w:adjustRightInd/>
              <w:spacing w:line="240" w:lineRule="auto"/>
              <w:ind w:right="117"/>
              <w:jc w:val="center"/>
              <w:rPr>
                <w:rFonts w:hint="default" w:ascii="Times New Roman" w:hAnsi="Times New Roman" w:eastAsia="宋体" w:cs="Times New Roman"/>
                <w:color w:val="0000FF"/>
                <w:sz w:val="21"/>
                <w:szCs w:val="21"/>
                <w:lang w:eastAsia="zh-CN"/>
              </w:rPr>
            </w:pPr>
            <w:r>
              <w:rPr>
                <w:rFonts w:hint="eastAsia" w:eastAsia="宋体" w:cs="Times New Roman"/>
                <w:color w:val="0000FF"/>
                <w:sz w:val="21"/>
                <w:szCs w:val="21"/>
                <w:lang w:eastAsia="zh-CN"/>
              </w:rPr>
              <w:t>硫酸雾</w:t>
            </w:r>
          </w:p>
        </w:tc>
        <w:tc>
          <w:tcPr>
            <w:tcW w:w="1800" w:type="dxa"/>
            <w:noWrap w:val="0"/>
            <w:vAlign w:val="center"/>
          </w:tcPr>
          <w:p w14:paraId="0AAA8768">
            <w:pPr>
              <w:pStyle w:val="22"/>
              <w:keepNext w:val="0"/>
              <w:keepLines w:val="0"/>
              <w:pageBreakBefore w:val="0"/>
              <w:kinsoku/>
              <w:wordWrap/>
              <w:overflowPunct/>
              <w:topLinePunct w:val="0"/>
              <w:autoSpaceDE/>
              <w:autoSpaceDN/>
              <w:bidi w:val="0"/>
              <w:adjustRightInd/>
              <w:spacing w:before="1" w:line="240" w:lineRule="auto"/>
              <w:ind w:left="107" w:right="167"/>
              <w:jc w:val="center"/>
              <w:rPr>
                <w:rFonts w:hint="default" w:ascii="Times New Roman" w:hAnsi="Times New Roman" w:eastAsia="宋体" w:cs="Times New Roman"/>
                <w:color w:val="0000FF"/>
                <w:spacing w:val="20"/>
                <w:sz w:val="21"/>
                <w:szCs w:val="21"/>
                <w:lang w:eastAsia="zh-CN"/>
              </w:rPr>
            </w:pPr>
            <w:r>
              <w:rPr>
                <w:rFonts w:hint="eastAsia" w:eastAsia="宋体" w:cs="Times New Roman"/>
                <w:color w:val="0000FF"/>
                <w:spacing w:val="20"/>
                <w:sz w:val="21"/>
                <w:szCs w:val="21"/>
                <w:lang w:eastAsia="zh-CN"/>
              </w:rPr>
              <w:t>负压排风系统</w:t>
            </w:r>
          </w:p>
        </w:tc>
        <w:tc>
          <w:tcPr>
            <w:tcW w:w="1305" w:type="dxa"/>
            <w:noWrap w:val="0"/>
            <w:vAlign w:val="center"/>
          </w:tcPr>
          <w:p w14:paraId="1087ADD8">
            <w:pPr>
              <w:pStyle w:val="22"/>
              <w:keepNext w:val="0"/>
              <w:keepLines w:val="0"/>
              <w:pageBreakBefore w:val="0"/>
              <w:kinsoku/>
              <w:wordWrap/>
              <w:overflowPunct/>
              <w:topLinePunct w:val="0"/>
              <w:autoSpaceDE/>
              <w:autoSpaceDN/>
              <w:bidi w:val="0"/>
              <w:adjustRightInd/>
              <w:spacing w:line="240" w:lineRule="auto"/>
              <w:ind w:left="24" w:right="14"/>
              <w:rPr>
                <w:rFonts w:hint="default" w:ascii="Times New Roman" w:hAnsi="Times New Roman" w:eastAsia="宋体" w:cs="Times New Roman"/>
                <w:color w:val="0000FF"/>
                <w:spacing w:val="-3"/>
                <w:sz w:val="21"/>
                <w:szCs w:val="21"/>
              </w:rPr>
            </w:pPr>
            <w:r>
              <w:rPr>
                <w:rFonts w:hint="eastAsia" w:eastAsia="宋体" w:cs="Times New Roman"/>
                <w:color w:val="0000FF"/>
                <w:spacing w:val="20"/>
                <w:sz w:val="21"/>
                <w:szCs w:val="21"/>
                <w:lang w:eastAsia="zh-CN"/>
              </w:rPr>
              <w:t>安装负压排风系统</w:t>
            </w:r>
          </w:p>
        </w:tc>
        <w:tc>
          <w:tcPr>
            <w:tcW w:w="696" w:type="dxa"/>
            <w:noWrap w:val="0"/>
            <w:vAlign w:val="center"/>
          </w:tcPr>
          <w:p w14:paraId="573027BA">
            <w:pPr>
              <w:pStyle w:val="22"/>
              <w:keepNext w:val="0"/>
              <w:keepLines w:val="0"/>
              <w:pageBreakBefore w:val="0"/>
              <w:kinsoku/>
              <w:wordWrap/>
              <w:overflowPunct/>
              <w:topLinePunct w:val="0"/>
              <w:autoSpaceDE/>
              <w:autoSpaceDN/>
              <w:bidi w:val="0"/>
              <w:adjustRightInd/>
              <w:spacing w:line="240" w:lineRule="auto"/>
              <w:ind w:right="113"/>
              <w:jc w:val="center"/>
              <w:rPr>
                <w:rFonts w:hint="eastAsia" w:ascii="Times New Roman" w:hAnsi="Times New Roman" w:eastAsia="宋体" w:cs="Times New Roman"/>
                <w:color w:val="0000FF"/>
                <w:sz w:val="21"/>
                <w:szCs w:val="21"/>
                <w:lang w:eastAsia="zh-CN"/>
              </w:rPr>
            </w:pPr>
            <w:r>
              <w:rPr>
                <w:rFonts w:hint="eastAsia" w:eastAsia="宋体" w:cs="Times New Roman"/>
                <w:color w:val="0000FF"/>
                <w:sz w:val="21"/>
                <w:szCs w:val="21"/>
                <w:lang w:eastAsia="zh-CN"/>
              </w:rPr>
              <w:t>硫酸雾</w:t>
            </w:r>
          </w:p>
        </w:tc>
        <w:tc>
          <w:tcPr>
            <w:tcW w:w="2546" w:type="dxa"/>
            <w:noWrap w:val="0"/>
            <w:vAlign w:val="center"/>
          </w:tcPr>
          <w:p w14:paraId="61155128">
            <w:pPr>
              <w:keepNext w:val="0"/>
              <w:keepLines w:val="0"/>
              <w:pageBreakBefore w:val="0"/>
              <w:widowControl/>
              <w:kinsoku/>
              <w:wordWrap/>
              <w:overflowPunct/>
              <w:topLinePunct w:val="0"/>
              <w:autoSpaceDE/>
              <w:autoSpaceDN/>
              <w:bidi w:val="0"/>
              <w:adjustRightInd/>
              <w:snapToGrid w:val="0"/>
              <w:spacing w:line="240" w:lineRule="auto"/>
              <w:jc w:val="center"/>
              <w:textAlignment w:val="baseline"/>
              <w:rPr>
                <w:rFonts w:hint="default" w:ascii="Times New Roman" w:hAnsi="Times New Roman" w:eastAsia="宋体" w:cs="Times New Roman"/>
                <w:color w:val="0000FF"/>
                <w:spacing w:val="-26"/>
                <w:sz w:val="21"/>
                <w:szCs w:val="21"/>
              </w:rPr>
            </w:pPr>
            <w:r>
              <w:rPr>
                <w:rFonts w:hint="eastAsia" w:ascii="Times New Roman" w:hAnsi="Times New Roman" w:eastAsia="宋体"/>
                <w:color w:val="0000FF"/>
                <w:kern w:val="0"/>
                <w:szCs w:val="21"/>
              </w:rPr>
              <w:t>《大气污染物综合排放标准》（GB16297-1996）表2放限值要求，并满足（HJ519-2009）要求</w:t>
            </w:r>
          </w:p>
        </w:tc>
      </w:tr>
      <w:tr w14:paraId="2D686B43">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418" w:hRule="atLeast"/>
        </w:trPr>
        <w:tc>
          <w:tcPr>
            <w:tcW w:w="883" w:type="dxa"/>
            <w:noWrap w:val="0"/>
            <w:vAlign w:val="center"/>
          </w:tcPr>
          <w:p w14:paraId="34720CF4">
            <w:pPr>
              <w:pStyle w:val="22"/>
              <w:keepNext w:val="0"/>
              <w:keepLines w:val="0"/>
              <w:pageBreakBefore w:val="0"/>
              <w:kinsoku/>
              <w:wordWrap/>
              <w:overflowPunct/>
              <w:topLinePunct w:val="0"/>
              <w:autoSpaceDE/>
              <w:autoSpaceDN/>
              <w:bidi w:val="0"/>
              <w:adjustRightInd/>
              <w:spacing w:line="240" w:lineRule="auto"/>
              <w:jc w:val="center"/>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rPr>
              <w:t>噪声</w:t>
            </w:r>
          </w:p>
        </w:tc>
        <w:tc>
          <w:tcPr>
            <w:tcW w:w="1027" w:type="dxa"/>
            <w:noWrap w:val="0"/>
            <w:vAlign w:val="center"/>
          </w:tcPr>
          <w:p w14:paraId="68FA8230">
            <w:pPr>
              <w:pStyle w:val="22"/>
              <w:keepNext w:val="0"/>
              <w:keepLines w:val="0"/>
              <w:pageBreakBefore w:val="0"/>
              <w:kinsoku/>
              <w:wordWrap/>
              <w:overflowPunct/>
              <w:topLinePunct w:val="0"/>
              <w:autoSpaceDE/>
              <w:autoSpaceDN/>
              <w:bidi w:val="0"/>
              <w:adjustRightInd/>
              <w:spacing w:line="240" w:lineRule="auto"/>
              <w:jc w:val="center"/>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rPr>
              <w:t>设备噪声</w:t>
            </w:r>
          </w:p>
        </w:tc>
        <w:tc>
          <w:tcPr>
            <w:tcW w:w="1800" w:type="dxa"/>
            <w:noWrap w:val="0"/>
            <w:vAlign w:val="center"/>
          </w:tcPr>
          <w:p w14:paraId="41342CA0">
            <w:pPr>
              <w:pStyle w:val="22"/>
              <w:keepNext w:val="0"/>
              <w:keepLines w:val="0"/>
              <w:pageBreakBefore w:val="0"/>
              <w:kinsoku/>
              <w:wordWrap/>
              <w:overflowPunct/>
              <w:topLinePunct w:val="0"/>
              <w:autoSpaceDE/>
              <w:autoSpaceDN/>
              <w:bidi w:val="0"/>
              <w:adjustRightInd/>
              <w:spacing w:line="240" w:lineRule="auto"/>
              <w:ind w:right="109"/>
              <w:jc w:val="center"/>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rPr>
              <w:t>合理布局、设备减震等</w:t>
            </w:r>
          </w:p>
        </w:tc>
        <w:tc>
          <w:tcPr>
            <w:tcW w:w="1305" w:type="dxa"/>
            <w:noWrap w:val="0"/>
            <w:vAlign w:val="center"/>
          </w:tcPr>
          <w:p w14:paraId="7616BBD5">
            <w:pPr>
              <w:pStyle w:val="22"/>
              <w:keepNext w:val="0"/>
              <w:keepLines w:val="0"/>
              <w:pageBreakBefore w:val="0"/>
              <w:kinsoku/>
              <w:wordWrap/>
              <w:overflowPunct/>
              <w:topLinePunct w:val="0"/>
              <w:autoSpaceDE/>
              <w:autoSpaceDN/>
              <w:bidi w:val="0"/>
              <w:adjustRightInd/>
              <w:spacing w:before="150" w:line="240" w:lineRule="auto"/>
              <w:ind w:left="108" w:right="120" w:firstLine="21"/>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rPr>
              <w:t>东南西北四个厂界Leq</w:t>
            </w:r>
          </w:p>
        </w:tc>
        <w:tc>
          <w:tcPr>
            <w:tcW w:w="696" w:type="dxa"/>
            <w:noWrap w:val="0"/>
            <w:vAlign w:val="center"/>
          </w:tcPr>
          <w:p w14:paraId="024131E2">
            <w:pPr>
              <w:pStyle w:val="22"/>
              <w:keepNext w:val="0"/>
              <w:keepLines w:val="0"/>
              <w:pageBreakBefore w:val="0"/>
              <w:kinsoku/>
              <w:wordWrap/>
              <w:overflowPunct/>
              <w:topLinePunct w:val="0"/>
              <w:autoSpaceDE/>
              <w:autoSpaceDN/>
              <w:bidi w:val="0"/>
              <w:adjustRightInd/>
              <w:spacing w:before="153" w:line="240" w:lineRule="auto"/>
              <w:ind w:right="94"/>
              <w:jc w:val="center"/>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rPr>
              <w:t>厂界噪声</w:t>
            </w:r>
          </w:p>
        </w:tc>
        <w:tc>
          <w:tcPr>
            <w:tcW w:w="2546" w:type="dxa"/>
            <w:noWrap w:val="0"/>
            <w:vAlign w:val="center"/>
          </w:tcPr>
          <w:p w14:paraId="5CE07F83">
            <w:pPr>
              <w:pStyle w:val="22"/>
              <w:keepNext w:val="0"/>
              <w:keepLines w:val="0"/>
              <w:pageBreakBefore w:val="0"/>
              <w:kinsoku/>
              <w:wordWrap/>
              <w:overflowPunct/>
              <w:topLinePunct w:val="0"/>
              <w:autoSpaceDE/>
              <w:autoSpaceDN/>
              <w:bidi w:val="0"/>
              <w:adjustRightInd/>
              <w:spacing w:before="4" w:line="240" w:lineRule="auto"/>
              <w:ind w:left="155" w:right="148"/>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rPr>
              <w:t>《工业企业厂界环境噪声排放标准》（GB12348-2008）</w:t>
            </w:r>
            <w:r>
              <w:rPr>
                <w:rFonts w:hint="default" w:ascii="Times New Roman" w:hAnsi="Times New Roman" w:eastAsia="宋体" w:cs="Times New Roman"/>
                <w:color w:val="0000FF"/>
                <w:spacing w:val="-19"/>
                <w:sz w:val="21"/>
                <w:szCs w:val="21"/>
              </w:rPr>
              <w:t>中的</w:t>
            </w:r>
            <w:r>
              <w:rPr>
                <w:rFonts w:hint="default" w:ascii="Times New Roman" w:hAnsi="Times New Roman" w:eastAsia="宋体" w:cs="Times New Roman"/>
                <w:color w:val="0000FF"/>
                <w:sz w:val="21"/>
                <w:szCs w:val="21"/>
              </w:rPr>
              <w:t>3类标准</w:t>
            </w:r>
          </w:p>
        </w:tc>
      </w:tr>
      <w:tr w14:paraId="0D421DC0">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717" w:hRule="atLeast"/>
        </w:trPr>
        <w:tc>
          <w:tcPr>
            <w:tcW w:w="883" w:type="dxa"/>
            <w:vMerge w:val="restart"/>
            <w:noWrap w:val="0"/>
            <w:vAlign w:val="center"/>
          </w:tcPr>
          <w:p w14:paraId="21290820">
            <w:pPr>
              <w:pStyle w:val="22"/>
              <w:keepNext w:val="0"/>
              <w:keepLines w:val="0"/>
              <w:pageBreakBefore w:val="0"/>
              <w:kinsoku/>
              <w:wordWrap/>
              <w:overflowPunct/>
              <w:topLinePunct w:val="0"/>
              <w:autoSpaceDE/>
              <w:autoSpaceDN/>
              <w:bidi w:val="0"/>
              <w:adjustRightInd/>
              <w:spacing w:line="240" w:lineRule="auto"/>
              <w:jc w:val="center"/>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rPr>
              <w:t>固废</w:t>
            </w:r>
          </w:p>
        </w:tc>
        <w:tc>
          <w:tcPr>
            <w:tcW w:w="1027" w:type="dxa"/>
            <w:noWrap w:val="0"/>
            <w:vAlign w:val="center"/>
          </w:tcPr>
          <w:p w14:paraId="0E2C023C">
            <w:pPr>
              <w:pStyle w:val="22"/>
              <w:keepNext w:val="0"/>
              <w:keepLines w:val="0"/>
              <w:pageBreakBefore w:val="0"/>
              <w:kinsoku/>
              <w:wordWrap/>
              <w:overflowPunct/>
              <w:topLinePunct w:val="0"/>
              <w:autoSpaceDE/>
              <w:autoSpaceDN/>
              <w:bidi w:val="0"/>
              <w:adjustRightInd/>
              <w:spacing w:before="150" w:line="240" w:lineRule="auto"/>
              <w:ind w:left="335" w:right="117" w:hanging="212"/>
              <w:rPr>
                <w:rFonts w:hint="eastAsia" w:ascii="Times New Roman" w:hAnsi="Times New Roman" w:eastAsia="宋体" w:cs="Times New Roman"/>
                <w:color w:val="0000FF"/>
                <w:sz w:val="21"/>
                <w:szCs w:val="21"/>
                <w:lang w:eastAsia="zh-CN"/>
              </w:rPr>
            </w:pPr>
            <w:r>
              <w:rPr>
                <w:rFonts w:hint="default" w:ascii="Times New Roman" w:hAnsi="Times New Roman" w:eastAsia="宋体" w:cs="Times New Roman"/>
                <w:color w:val="0000FF"/>
                <w:sz w:val="21"/>
                <w:szCs w:val="21"/>
              </w:rPr>
              <w:t>罐底油泥</w:t>
            </w:r>
            <w:r>
              <w:rPr>
                <w:rFonts w:hint="eastAsia" w:eastAsia="宋体" w:cs="Times New Roman"/>
                <w:color w:val="0000FF"/>
                <w:sz w:val="21"/>
                <w:szCs w:val="21"/>
                <w:lang w:eastAsia="zh-CN"/>
              </w:rPr>
              <w:t>、废电解液</w:t>
            </w:r>
          </w:p>
        </w:tc>
        <w:tc>
          <w:tcPr>
            <w:tcW w:w="1800" w:type="dxa"/>
            <w:noWrap w:val="0"/>
            <w:vAlign w:val="center"/>
          </w:tcPr>
          <w:p w14:paraId="7E86FE5C">
            <w:pPr>
              <w:pStyle w:val="22"/>
              <w:keepNext w:val="0"/>
              <w:keepLines w:val="0"/>
              <w:pageBreakBefore w:val="0"/>
              <w:kinsoku/>
              <w:wordWrap/>
              <w:overflowPunct/>
              <w:topLinePunct w:val="0"/>
              <w:autoSpaceDE/>
              <w:autoSpaceDN/>
              <w:bidi w:val="0"/>
              <w:adjustRightInd/>
              <w:spacing w:before="2" w:line="240" w:lineRule="auto"/>
              <w:ind w:left="117" w:right="109"/>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rPr>
              <w:t>清掏的污泥委托有危废处理资质的单位进行回收处理，即清即走，不落地。</w:t>
            </w:r>
          </w:p>
        </w:tc>
        <w:tc>
          <w:tcPr>
            <w:tcW w:w="1305" w:type="dxa"/>
            <w:noWrap w:val="0"/>
            <w:vAlign w:val="center"/>
          </w:tcPr>
          <w:p w14:paraId="5C50A428">
            <w:pPr>
              <w:pStyle w:val="22"/>
              <w:keepNext w:val="0"/>
              <w:keepLines w:val="0"/>
              <w:pageBreakBefore w:val="0"/>
              <w:kinsoku/>
              <w:wordWrap/>
              <w:overflowPunct/>
              <w:topLinePunct w:val="0"/>
              <w:autoSpaceDE/>
              <w:autoSpaceDN/>
              <w:bidi w:val="0"/>
              <w:adjustRightInd/>
              <w:spacing w:before="150" w:line="240" w:lineRule="auto"/>
              <w:ind w:left="444" w:right="120" w:hanging="315"/>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lang w:val="en-US"/>
              </w:rPr>
              <w:t>/</w:t>
            </w:r>
          </w:p>
        </w:tc>
        <w:tc>
          <w:tcPr>
            <w:tcW w:w="696" w:type="dxa"/>
            <w:noWrap w:val="0"/>
            <w:vAlign w:val="center"/>
          </w:tcPr>
          <w:p w14:paraId="65EC1819">
            <w:pPr>
              <w:pStyle w:val="22"/>
              <w:keepNext w:val="0"/>
              <w:keepLines w:val="0"/>
              <w:pageBreakBefore w:val="0"/>
              <w:kinsoku/>
              <w:wordWrap/>
              <w:overflowPunct/>
              <w:topLinePunct w:val="0"/>
              <w:autoSpaceDE/>
              <w:autoSpaceDN/>
              <w:bidi w:val="0"/>
              <w:adjustRightInd/>
              <w:spacing w:before="1" w:line="240" w:lineRule="auto"/>
              <w:ind w:left="112"/>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w w:val="99"/>
                <w:sz w:val="21"/>
                <w:szCs w:val="21"/>
              </w:rPr>
              <w:t>/</w:t>
            </w:r>
          </w:p>
        </w:tc>
        <w:tc>
          <w:tcPr>
            <w:tcW w:w="2546" w:type="dxa"/>
            <w:noWrap w:val="0"/>
            <w:vAlign w:val="center"/>
          </w:tcPr>
          <w:p w14:paraId="264CB7D5">
            <w:pPr>
              <w:pStyle w:val="22"/>
              <w:keepNext w:val="0"/>
              <w:keepLines w:val="0"/>
              <w:pageBreakBefore w:val="0"/>
              <w:widowControl w:val="0"/>
              <w:kinsoku/>
              <w:wordWrap/>
              <w:overflowPunct/>
              <w:topLinePunct w:val="0"/>
              <w:autoSpaceDE/>
              <w:autoSpaceDN/>
              <w:bidi w:val="0"/>
              <w:adjustRightInd/>
              <w:snapToGrid/>
              <w:spacing w:line="240" w:lineRule="auto"/>
              <w:ind w:left="0" w:right="0" w:firstLine="0"/>
              <w:jc w:val="left"/>
              <w:textAlignment w:val="auto"/>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rPr>
              <w:t>交由</w:t>
            </w:r>
            <w:r>
              <w:rPr>
                <w:rFonts w:hint="eastAsia" w:ascii="Times New Roman" w:hAnsi="Times New Roman" w:eastAsia="宋体"/>
                <w:color w:val="0000FF"/>
                <w:sz w:val="21"/>
                <w:szCs w:val="21"/>
                <w:lang w:val="en-US" w:eastAsia="zh-CN"/>
              </w:rPr>
              <w:t>骆驼集团新疆再生资源有限公司</w:t>
            </w:r>
            <w:r>
              <w:rPr>
                <w:rFonts w:hint="default" w:ascii="Times New Roman" w:hAnsi="Times New Roman" w:eastAsia="宋体" w:cs="Times New Roman"/>
                <w:color w:val="0000FF"/>
                <w:sz w:val="21"/>
                <w:szCs w:val="21"/>
              </w:rPr>
              <w:t>进行处置</w:t>
            </w:r>
          </w:p>
        </w:tc>
      </w:tr>
      <w:tr w14:paraId="71A7509A">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717" w:hRule="atLeast"/>
        </w:trPr>
        <w:tc>
          <w:tcPr>
            <w:tcW w:w="883" w:type="dxa"/>
            <w:vMerge w:val="continue"/>
            <w:noWrap w:val="0"/>
            <w:vAlign w:val="center"/>
          </w:tcPr>
          <w:p w14:paraId="5F045D13">
            <w:pPr>
              <w:pStyle w:val="22"/>
              <w:keepNext w:val="0"/>
              <w:keepLines w:val="0"/>
              <w:pageBreakBefore w:val="0"/>
              <w:kinsoku/>
              <w:wordWrap/>
              <w:overflowPunct/>
              <w:topLinePunct w:val="0"/>
              <w:autoSpaceDE/>
              <w:autoSpaceDN/>
              <w:bidi w:val="0"/>
              <w:adjustRightInd/>
              <w:spacing w:line="240" w:lineRule="auto"/>
              <w:jc w:val="center"/>
              <w:rPr>
                <w:rFonts w:hint="default" w:ascii="Times New Roman" w:hAnsi="Times New Roman" w:eastAsia="宋体" w:cs="Times New Roman"/>
                <w:color w:val="0000FF"/>
                <w:sz w:val="21"/>
                <w:szCs w:val="21"/>
              </w:rPr>
            </w:pPr>
          </w:p>
        </w:tc>
        <w:tc>
          <w:tcPr>
            <w:tcW w:w="1027" w:type="dxa"/>
            <w:noWrap w:val="0"/>
            <w:vAlign w:val="center"/>
          </w:tcPr>
          <w:p w14:paraId="24B34F61">
            <w:pPr>
              <w:pStyle w:val="22"/>
              <w:keepNext w:val="0"/>
              <w:keepLines w:val="0"/>
              <w:pageBreakBefore w:val="0"/>
              <w:kinsoku/>
              <w:wordWrap/>
              <w:overflowPunct/>
              <w:topLinePunct w:val="0"/>
              <w:autoSpaceDE/>
              <w:autoSpaceDN/>
              <w:bidi w:val="0"/>
              <w:adjustRightInd/>
              <w:spacing w:before="150" w:line="240" w:lineRule="auto"/>
              <w:ind w:left="335" w:right="117" w:hanging="212"/>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rPr>
              <w:t>废活性炭</w:t>
            </w:r>
          </w:p>
        </w:tc>
        <w:tc>
          <w:tcPr>
            <w:tcW w:w="1800" w:type="dxa"/>
            <w:noWrap w:val="0"/>
            <w:vAlign w:val="center"/>
          </w:tcPr>
          <w:p w14:paraId="26F8F339">
            <w:pPr>
              <w:pStyle w:val="22"/>
              <w:keepNext w:val="0"/>
              <w:keepLines w:val="0"/>
              <w:pageBreakBefore w:val="0"/>
              <w:kinsoku/>
              <w:wordWrap/>
              <w:overflowPunct/>
              <w:topLinePunct w:val="0"/>
              <w:autoSpaceDE/>
              <w:autoSpaceDN/>
              <w:bidi w:val="0"/>
              <w:adjustRightInd/>
              <w:spacing w:before="2" w:line="240" w:lineRule="auto"/>
              <w:ind w:left="117" w:right="109"/>
              <w:rPr>
                <w:rFonts w:hint="eastAsia" w:ascii="Times New Roman" w:hAnsi="Times New Roman" w:eastAsia="宋体" w:cs="Times New Roman"/>
                <w:color w:val="0000FF"/>
                <w:sz w:val="21"/>
                <w:szCs w:val="21"/>
                <w:lang w:eastAsia="zh-CN"/>
              </w:rPr>
            </w:pPr>
            <w:r>
              <w:rPr>
                <w:rFonts w:hint="default" w:ascii="Times New Roman" w:hAnsi="Times New Roman" w:eastAsia="宋体" w:cs="Times New Roman"/>
                <w:color w:val="0000FF"/>
                <w:sz w:val="21"/>
                <w:szCs w:val="21"/>
              </w:rPr>
              <w:t>暂存于</w:t>
            </w:r>
            <w:r>
              <w:rPr>
                <w:rFonts w:hint="eastAsia" w:eastAsia="宋体" w:cs="Times New Roman"/>
                <w:color w:val="0000FF"/>
                <w:sz w:val="21"/>
                <w:szCs w:val="21"/>
                <w:lang w:eastAsia="zh-CN"/>
              </w:rPr>
              <w:t>厂区</w:t>
            </w:r>
            <w:r>
              <w:rPr>
                <w:rFonts w:hint="default" w:ascii="Times New Roman" w:hAnsi="Times New Roman" w:eastAsia="宋体" w:cs="Times New Roman"/>
                <w:color w:val="0000FF"/>
                <w:sz w:val="21"/>
                <w:szCs w:val="21"/>
              </w:rPr>
              <w:t>危废暂存</w:t>
            </w:r>
            <w:r>
              <w:rPr>
                <w:rFonts w:hint="eastAsia" w:eastAsia="宋体" w:cs="Times New Roman"/>
                <w:color w:val="0000FF"/>
                <w:sz w:val="21"/>
                <w:szCs w:val="21"/>
                <w:lang w:eastAsia="zh-CN"/>
              </w:rPr>
              <w:t>点</w:t>
            </w:r>
          </w:p>
        </w:tc>
        <w:tc>
          <w:tcPr>
            <w:tcW w:w="1305" w:type="dxa"/>
            <w:noWrap w:val="0"/>
            <w:vAlign w:val="center"/>
          </w:tcPr>
          <w:p w14:paraId="1ABDE7BC">
            <w:pPr>
              <w:pStyle w:val="22"/>
              <w:keepNext w:val="0"/>
              <w:keepLines w:val="0"/>
              <w:pageBreakBefore w:val="0"/>
              <w:kinsoku/>
              <w:wordWrap/>
              <w:overflowPunct/>
              <w:topLinePunct w:val="0"/>
              <w:autoSpaceDE/>
              <w:autoSpaceDN/>
              <w:bidi w:val="0"/>
              <w:adjustRightInd/>
              <w:spacing w:before="150" w:line="240" w:lineRule="auto"/>
              <w:ind w:left="444" w:right="120" w:hanging="315"/>
              <w:rPr>
                <w:rFonts w:hint="eastAsia" w:ascii="Times New Roman" w:hAnsi="Times New Roman" w:eastAsia="宋体" w:cs="Times New Roman"/>
                <w:color w:val="0000FF"/>
                <w:sz w:val="21"/>
                <w:szCs w:val="21"/>
                <w:lang w:val="en-US" w:eastAsia="zh-CN"/>
              </w:rPr>
            </w:pPr>
            <w:r>
              <w:rPr>
                <w:rFonts w:hint="eastAsia" w:eastAsia="宋体" w:cs="Times New Roman"/>
                <w:color w:val="0000FF"/>
                <w:sz w:val="21"/>
                <w:szCs w:val="21"/>
                <w:lang w:val="en-US" w:eastAsia="zh-CN"/>
              </w:rPr>
              <w:t>/</w:t>
            </w:r>
          </w:p>
        </w:tc>
        <w:tc>
          <w:tcPr>
            <w:tcW w:w="696" w:type="dxa"/>
            <w:noWrap w:val="0"/>
            <w:vAlign w:val="center"/>
          </w:tcPr>
          <w:p w14:paraId="2240F6AA">
            <w:pPr>
              <w:pStyle w:val="22"/>
              <w:keepNext w:val="0"/>
              <w:keepLines w:val="0"/>
              <w:pageBreakBefore w:val="0"/>
              <w:kinsoku/>
              <w:wordWrap/>
              <w:overflowPunct/>
              <w:topLinePunct w:val="0"/>
              <w:autoSpaceDE/>
              <w:autoSpaceDN/>
              <w:bidi w:val="0"/>
              <w:adjustRightInd/>
              <w:spacing w:before="1" w:line="240" w:lineRule="auto"/>
              <w:ind w:left="112"/>
              <w:rPr>
                <w:rFonts w:hint="eastAsia" w:ascii="Times New Roman" w:hAnsi="Times New Roman" w:eastAsia="宋体" w:cs="Times New Roman"/>
                <w:color w:val="0000FF"/>
                <w:w w:val="99"/>
                <w:sz w:val="21"/>
                <w:szCs w:val="21"/>
                <w:lang w:val="en-US" w:eastAsia="zh-CN"/>
              </w:rPr>
            </w:pPr>
            <w:r>
              <w:rPr>
                <w:rFonts w:hint="eastAsia" w:eastAsia="宋体" w:cs="Times New Roman"/>
                <w:color w:val="0000FF"/>
                <w:w w:val="99"/>
                <w:sz w:val="21"/>
                <w:szCs w:val="21"/>
                <w:lang w:val="en-US" w:eastAsia="zh-CN"/>
              </w:rPr>
              <w:t>/</w:t>
            </w:r>
          </w:p>
        </w:tc>
        <w:tc>
          <w:tcPr>
            <w:tcW w:w="2546" w:type="dxa"/>
            <w:noWrap w:val="0"/>
            <w:vAlign w:val="center"/>
          </w:tcPr>
          <w:p w14:paraId="087D4536">
            <w:pPr>
              <w:pStyle w:val="22"/>
              <w:keepNext w:val="0"/>
              <w:keepLines w:val="0"/>
              <w:pageBreakBefore w:val="0"/>
              <w:widowControl w:val="0"/>
              <w:kinsoku/>
              <w:wordWrap/>
              <w:overflowPunct/>
              <w:topLinePunct w:val="0"/>
              <w:autoSpaceDE/>
              <w:autoSpaceDN/>
              <w:bidi w:val="0"/>
              <w:adjustRightInd/>
              <w:snapToGrid/>
              <w:spacing w:line="240" w:lineRule="auto"/>
              <w:ind w:left="0" w:right="0" w:firstLine="0"/>
              <w:jc w:val="left"/>
              <w:textAlignment w:val="auto"/>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rPr>
              <w:t>委托有资质单位处理。</w:t>
            </w:r>
          </w:p>
        </w:tc>
      </w:tr>
      <w:tr w14:paraId="51E315FE">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540" w:hRule="atLeast"/>
        </w:trPr>
        <w:tc>
          <w:tcPr>
            <w:tcW w:w="883" w:type="dxa"/>
            <w:vMerge w:val="continue"/>
            <w:noWrap w:val="0"/>
            <w:vAlign w:val="center"/>
          </w:tcPr>
          <w:p w14:paraId="697D92C3">
            <w:pPr>
              <w:pStyle w:val="22"/>
              <w:keepNext w:val="0"/>
              <w:keepLines w:val="0"/>
              <w:pageBreakBefore w:val="0"/>
              <w:kinsoku/>
              <w:wordWrap/>
              <w:overflowPunct/>
              <w:topLinePunct w:val="0"/>
              <w:autoSpaceDE/>
              <w:autoSpaceDN/>
              <w:bidi w:val="0"/>
              <w:adjustRightInd/>
              <w:spacing w:line="240" w:lineRule="auto"/>
              <w:jc w:val="center"/>
              <w:rPr>
                <w:rFonts w:hint="default" w:ascii="Times New Roman" w:hAnsi="Times New Roman" w:eastAsia="宋体" w:cs="Times New Roman"/>
                <w:color w:val="0000FF"/>
                <w:sz w:val="21"/>
                <w:szCs w:val="21"/>
              </w:rPr>
            </w:pPr>
          </w:p>
        </w:tc>
        <w:tc>
          <w:tcPr>
            <w:tcW w:w="1027" w:type="dxa"/>
            <w:noWrap w:val="0"/>
            <w:vAlign w:val="center"/>
          </w:tcPr>
          <w:p w14:paraId="32E48185">
            <w:pPr>
              <w:pStyle w:val="22"/>
              <w:keepNext w:val="0"/>
              <w:keepLines w:val="0"/>
              <w:pageBreakBefore w:val="0"/>
              <w:kinsoku/>
              <w:wordWrap/>
              <w:overflowPunct/>
              <w:topLinePunct w:val="0"/>
              <w:autoSpaceDE/>
              <w:autoSpaceDN/>
              <w:bidi w:val="0"/>
              <w:adjustRightInd/>
              <w:spacing w:before="150" w:line="240" w:lineRule="auto"/>
              <w:ind w:left="335" w:right="117" w:hanging="212"/>
              <w:rPr>
                <w:rFonts w:hint="default" w:ascii="Times New Roman" w:hAnsi="Times New Roman" w:eastAsia="宋体" w:cs="Times New Roman"/>
                <w:color w:val="0000FF"/>
                <w:sz w:val="21"/>
                <w:szCs w:val="21"/>
                <w:lang w:eastAsia="zh-CN"/>
              </w:rPr>
            </w:pPr>
            <w:r>
              <w:rPr>
                <w:rFonts w:hint="default" w:ascii="Times New Roman" w:hAnsi="Times New Roman" w:eastAsia="宋体" w:cs="Times New Roman"/>
                <w:color w:val="0000FF"/>
                <w:sz w:val="21"/>
                <w:szCs w:val="21"/>
                <w:lang w:eastAsia="zh-CN"/>
              </w:rPr>
              <w:t>生活垃圾及</w:t>
            </w:r>
            <w:r>
              <w:rPr>
                <w:rFonts w:hint="default" w:ascii="Times New Roman" w:hAnsi="Times New Roman" w:eastAsia="宋体" w:cs="Times New Roman"/>
                <w:color w:val="0000FF"/>
                <w:sz w:val="21"/>
                <w:szCs w:val="21"/>
              </w:rPr>
              <w:t>废含油抹布</w:t>
            </w:r>
          </w:p>
        </w:tc>
        <w:tc>
          <w:tcPr>
            <w:tcW w:w="3105" w:type="dxa"/>
            <w:gridSpan w:val="2"/>
            <w:noWrap w:val="0"/>
            <w:vAlign w:val="center"/>
          </w:tcPr>
          <w:p w14:paraId="7E8EAFD3">
            <w:pPr>
              <w:pStyle w:val="22"/>
              <w:keepNext w:val="0"/>
              <w:keepLines w:val="0"/>
              <w:pageBreakBefore w:val="0"/>
              <w:kinsoku/>
              <w:wordWrap/>
              <w:overflowPunct/>
              <w:topLinePunct w:val="0"/>
              <w:autoSpaceDE/>
              <w:autoSpaceDN/>
              <w:bidi w:val="0"/>
              <w:adjustRightInd/>
              <w:spacing w:before="150" w:line="240" w:lineRule="auto"/>
              <w:ind w:left="444" w:right="120" w:hanging="315"/>
              <w:rPr>
                <w:rFonts w:hint="eastAsia" w:ascii="Times New Roman" w:hAnsi="Times New Roman" w:eastAsia="宋体" w:cs="Times New Roman"/>
                <w:color w:val="0000FF"/>
                <w:sz w:val="21"/>
                <w:szCs w:val="21"/>
                <w:lang w:val="en-US" w:eastAsia="zh-CN"/>
              </w:rPr>
            </w:pPr>
            <w:r>
              <w:rPr>
                <w:rFonts w:hint="default" w:ascii="Times New Roman" w:hAnsi="Times New Roman" w:eastAsia="宋体" w:cs="Times New Roman"/>
                <w:color w:val="0000FF"/>
                <w:sz w:val="21"/>
                <w:szCs w:val="21"/>
              </w:rPr>
              <w:t>废弃的含油抹布混入生活垃圾，全过程不按危险废物管理，收集后环卫部门统一清运。</w:t>
            </w:r>
          </w:p>
        </w:tc>
        <w:tc>
          <w:tcPr>
            <w:tcW w:w="696" w:type="dxa"/>
            <w:noWrap w:val="0"/>
            <w:vAlign w:val="center"/>
          </w:tcPr>
          <w:p w14:paraId="1F2B2E38">
            <w:pPr>
              <w:pStyle w:val="22"/>
              <w:keepNext w:val="0"/>
              <w:keepLines w:val="0"/>
              <w:pageBreakBefore w:val="0"/>
              <w:kinsoku/>
              <w:wordWrap/>
              <w:overflowPunct/>
              <w:topLinePunct w:val="0"/>
              <w:autoSpaceDE/>
              <w:autoSpaceDN/>
              <w:bidi w:val="0"/>
              <w:adjustRightInd/>
              <w:spacing w:before="1" w:line="240" w:lineRule="auto"/>
              <w:ind w:left="112"/>
              <w:rPr>
                <w:rFonts w:hint="default" w:ascii="Times New Roman" w:hAnsi="Times New Roman" w:eastAsia="宋体" w:cs="Times New Roman"/>
                <w:color w:val="0000FF"/>
                <w:w w:val="99"/>
                <w:sz w:val="21"/>
                <w:szCs w:val="21"/>
              </w:rPr>
            </w:pPr>
            <w:r>
              <w:rPr>
                <w:rFonts w:hint="default" w:ascii="Times New Roman" w:hAnsi="Times New Roman" w:eastAsia="宋体" w:cs="Times New Roman"/>
                <w:color w:val="0000FF"/>
                <w:sz w:val="21"/>
                <w:szCs w:val="21"/>
                <w:lang w:eastAsia="zh-CN"/>
              </w:rPr>
              <w:t>生活垃圾及</w:t>
            </w:r>
            <w:r>
              <w:rPr>
                <w:rFonts w:hint="default" w:ascii="Times New Roman" w:hAnsi="Times New Roman" w:eastAsia="宋体" w:cs="Times New Roman"/>
                <w:color w:val="0000FF"/>
                <w:sz w:val="21"/>
                <w:szCs w:val="21"/>
              </w:rPr>
              <w:t>废含油抹布</w:t>
            </w:r>
          </w:p>
        </w:tc>
        <w:tc>
          <w:tcPr>
            <w:tcW w:w="2546" w:type="dxa"/>
            <w:noWrap w:val="0"/>
            <w:vAlign w:val="center"/>
          </w:tcPr>
          <w:p w14:paraId="4ECA4810">
            <w:pPr>
              <w:pStyle w:val="22"/>
              <w:keepNext w:val="0"/>
              <w:keepLines w:val="0"/>
              <w:pageBreakBefore w:val="0"/>
              <w:kinsoku/>
              <w:wordWrap/>
              <w:overflowPunct/>
              <w:topLinePunct w:val="0"/>
              <w:autoSpaceDE/>
              <w:autoSpaceDN/>
              <w:bidi w:val="0"/>
              <w:adjustRightInd/>
              <w:spacing w:before="150" w:line="240" w:lineRule="auto"/>
              <w:ind w:left="1261" w:right="95" w:hanging="1052"/>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rPr>
              <w:t>环卫部门统一清运。</w:t>
            </w:r>
          </w:p>
        </w:tc>
      </w:tr>
      <w:tr w14:paraId="47EF3065">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511" w:hRule="atLeast"/>
        </w:trPr>
        <w:tc>
          <w:tcPr>
            <w:tcW w:w="883" w:type="dxa"/>
            <w:vMerge w:val="restart"/>
            <w:noWrap w:val="0"/>
            <w:vAlign w:val="center"/>
          </w:tcPr>
          <w:p w14:paraId="12771ACE">
            <w:pPr>
              <w:pStyle w:val="22"/>
              <w:keepNext w:val="0"/>
              <w:keepLines w:val="0"/>
              <w:pageBreakBefore w:val="0"/>
              <w:kinsoku/>
              <w:wordWrap/>
              <w:overflowPunct/>
              <w:topLinePunct w:val="0"/>
              <w:autoSpaceDE/>
              <w:autoSpaceDN/>
              <w:bidi w:val="0"/>
              <w:adjustRightInd/>
              <w:spacing w:line="240" w:lineRule="auto"/>
              <w:rPr>
                <w:rFonts w:hint="default" w:ascii="Times New Roman" w:hAnsi="Times New Roman" w:eastAsia="宋体" w:cs="Times New Roman"/>
                <w:b/>
                <w:color w:val="0000FF"/>
                <w:sz w:val="21"/>
                <w:szCs w:val="21"/>
              </w:rPr>
            </w:pPr>
          </w:p>
          <w:p w14:paraId="02E6979E">
            <w:pPr>
              <w:pStyle w:val="22"/>
              <w:keepNext w:val="0"/>
              <w:keepLines w:val="0"/>
              <w:pageBreakBefore w:val="0"/>
              <w:kinsoku/>
              <w:wordWrap/>
              <w:overflowPunct/>
              <w:topLinePunct w:val="0"/>
              <w:autoSpaceDE/>
              <w:autoSpaceDN/>
              <w:bidi w:val="0"/>
              <w:adjustRightInd/>
              <w:spacing w:line="240" w:lineRule="auto"/>
              <w:rPr>
                <w:rFonts w:hint="default" w:ascii="Times New Roman" w:hAnsi="Times New Roman" w:eastAsia="宋体" w:cs="Times New Roman"/>
                <w:b/>
                <w:color w:val="0000FF"/>
                <w:sz w:val="21"/>
                <w:szCs w:val="21"/>
              </w:rPr>
            </w:pPr>
          </w:p>
          <w:p w14:paraId="1B33B551">
            <w:pPr>
              <w:pStyle w:val="22"/>
              <w:keepNext w:val="0"/>
              <w:keepLines w:val="0"/>
              <w:pageBreakBefore w:val="0"/>
              <w:kinsoku/>
              <w:wordWrap/>
              <w:overflowPunct/>
              <w:topLinePunct w:val="0"/>
              <w:autoSpaceDE/>
              <w:autoSpaceDN/>
              <w:bidi w:val="0"/>
              <w:adjustRightInd/>
              <w:spacing w:line="240" w:lineRule="auto"/>
              <w:rPr>
                <w:rFonts w:hint="default" w:ascii="Times New Roman" w:hAnsi="Times New Roman" w:eastAsia="宋体" w:cs="Times New Roman"/>
                <w:b/>
                <w:color w:val="0000FF"/>
                <w:sz w:val="21"/>
                <w:szCs w:val="21"/>
              </w:rPr>
            </w:pPr>
          </w:p>
          <w:p w14:paraId="2063AD42">
            <w:pPr>
              <w:pStyle w:val="22"/>
              <w:keepNext w:val="0"/>
              <w:keepLines w:val="0"/>
              <w:pageBreakBefore w:val="0"/>
              <w:kinsoku/>
              <w:wordWrap/>
              <w:overflowPunct/>
              <w:topLinePunct w:val="0"/>
              <w:autoSpaceDE/>
              <w:autoSpaceDN/>
              <w:bidi w:val="0"/>
              <w:adjustRightInd/>
              <w:spacing w:line="240" w:lineRule="auto"/>
              <w:rPr>
                <w:rFonts w:hint="default" w:ascii="Times New Roman" w:hAnsi="Times New Roman" w:eastAsia="宋体" w:cs="Times New Roman"/>
                <w:b/>
                <w:color w:val="0000FF"/>
                <w:sz w:val="21"/>
                <w:szCs w:val="21"/>
              </w:rPr>
            </w:pPr>
          </w:p>
          <w:p w14:paraId="075B3EC5">
            <w:pPr>
              <w:pStyle w:val="22"/>
              <w:keepNext w:val="0"/>
              <w:keepLines w:val="0"/>
              <w:pageBreakBefore w:val="0"/>
              <w:kinsoku/>
              <w:wordWrap/>
              <w:overflowPunct/>
              <w:topLinePunct w:val="0"/>
              <w:autoSpaceDE/>
              <w:autoSpaceDN/>
              <w:bidi w:val="0"/>
              <w:adjustRightInd/>
              <w:spacing w:before="10" w:line="240" w:lineRule="auto"/>
              <w:rPr>
                <w:rFonts w:hint="default" w:ascii="Times New Roman" w:hAnsi="Times New Roman" w:eastAsia="宋体" w:cs="Times New Roman"/>
                <w:b/>
                <w:color w:val="0000FF"/>
                <w:sz w:val="21"/>
                <w:szCs w:val="21"/>
              </w:rPr>
            </w:pPr>
          </w:p>
          <w:p w14:paraId="2A26DC61">
            <w:pPr>
              <w:pStyle w:val="22"/>
              <w:keepNext w:val="0"/>
              <w:keepLines w:val="0"/>
              <w:pageBreakBefore w:val="0"/>
              <w:kinsoku/>
              <w:wordWrap/>
              <w:overflowPunct/>
              <w:topLinePunct w:val="0"/>
              <w:autoSpaceDE/>
              <w:autoSpaceDN/>
              <w:bidi w:val="0"/>
              <w:adjustRightInd/>
              <w:spacing w:line="240" w:lineRule="auto"/>
              <w:ind w:left="107"/>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rPr>
              <w:t>风险</w:t>
            </w:r>
          </w:p>
        </w:tc>
        <w:tc>
          <w:tcPr>
            <w:tcW w:w="1027" w:type="dxa"/>
            <w:noWrap w:val="0"/>
            <w:vAlign w:val="center"/>
          </w:tcPr>
          <w:p w14:paraId="50356821">
            <w:pPr>
              <w:pStyle w:val="22"/>
              <w:keepNext w:val="0"/>
              <w:keepLines w:val="0"/>
              <w:pageBreakBefore w:val="0"/>
              <w:kinsoku/>
              <w:wordWrap/>
              <w:overflowPunct/>
              <w:topLinePunct w:val="0"/>
              <w:autoSpaceDE/>
              <w:autoSpaceDN/>
              <w:bidi w:val="0"/>
              <w:adjustRightInd/>
              <w:spacing w:line="240" w:lineRule="auto"/>
              <w:rPr>
                <w:rFonts w:hint="default" w:ascii="Times New Roman" w:hAnsi="Times New Roman" w:eastAsia="宋体" w:cs="Times New Roman"/>
                <w:b/>
                <w:color w:val="0000FF"/>
                <w:sz w:val="21"/>
                <w:szCs w:val="21"/>
              </w:rPr>
            </w:pPr>
          </w:p>
          <w:p w14:paraId="53767742">
            <w:pPr>
              <w:pStyle w:val="22"/>
              <w:keepNext w:val="0"/>
              <w:keepLines w:val="0"/>
              <w:pageBreakBefore w:val="0"/>
              <w:kinsoku/>
              <w:wordWrap/>
              <w:overflowPunct/>
              <w:topLinePunct w:val="0"/>
              <w:autoSpaceDE/>
              <w:autoSpaceDN/>
              <w:bidi w:val="0"/>
              <w:adjustRightInd/>
              <w:spacing w:before="132" w:line="240" w:lineRule="auto"/>
              <w:ind w:left="124"/>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rPr>
              <w:t>废机油</w:t>
            </w:r>
          </w:p>
        </w:tc>
        <w:tc>
          <w:tcPr>
            <w:tcW w:w="1800" w:type="dxa"/>
            <w:noWrap w:val="0"/>
            <w:vAlign w:val="center"/>
          </w:tcPr>
          <w:p w14:paraId="0FC50614">
            <w:pPr>
              <w:pStyle w:val="22"/>
              <w:keepNext w:val="0"/>
              <w:keepLines w:val="0"/>
              <w:pageBreakBefore w:val="0"/>
              <w:kinsoku/>
              <w:wordWrap/>
              <w:overflowPunct/>
              <w:topLinePunct w:val="0"/>
              <w:autoSpaceDE/>
              <w:autoSpaceDN/>
              <w:bidi w:val="0"/>
              <w:adjustRightInd/>
              <w:spacing w:before="115" w:line="240" w:lineRule="auto"/>
              <w:ind w:left="117" w:right="109"/>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rPr>
              <w:t>储罐区设置防渗罐池、防渗事故池</w:t>
            </w:r>
          </w:p>
          <w:p w14:paraId="452C753F">
            <w:pPr>
              <w:pStyle w:val="22"/>
              <w:keepNext w:val="0"/>
              <w:keepLines w:val="0"/>
              <w:pageBreakBefore w:val="0"/>
              <w:kinsoku/>
              <w:wordWrap/>
              <w:overflowPunct/>
              <w:topLinePunct w:val="0"/>
              <w:autoSpaceDE/>
              <w:autoSpaceDN/>
              <w:bidi w:val="0"/>
              <w:adjustRightInd/>
              <w:spacing w:line="240" w:lineRule="auto"/>
              <w:ind w:left="117" w:right="109"/>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rPr>
              <w:t>（45m</w:t>
            </w:r>
            <w:r>
              <w:rPr>
                <w:rFonts w:hint="eastAsia" w:eastAsia="宋体" w:cs="Times New Roman"/>
                <w:color w:val="0000FF"/>
                <w:sz w:val="21"/>
                <w:szCs w:val="21"/>
                <w:vertAlign w:val="superscript"/>
                <w:lang w:val="en-US" w:eastAsia="zh-CN"/>
              </w:rPr>
              <w:t>3</w:t>
            </w:r>
            <w:r>
              <w:rPr>
                <w:rFonts w:hint="default" w:ascii="Times New Roman" w:hAnsi="Times New Roman" w:eastAsia="宋体" w:cs="Times New Roman"/>
                <w:color w:val="0000FF"/>
                <w:sz w:val="21"/>
                <w:szCs w:val="21"/>
              </w:rPr>
              <w:t>）</w:t>
            </w:r>
          </w:p>
        </w:tc>
        <w:tc>
          <w:tcPr>
            <w:tcW w:w="1305" w:type="dxa"/>
            <w:noWrap w:val="0"/>
            <w:vAlign w:val="center"/>
          </w:tcPr>
          <w:p w14:paraId="0EA501ED">
            <w:pPr>
              <w:pStyle w:val="22"/>
              <w:keepNext w:val="0"/>
              <w:keepLines w:val="0"/>
              <w:pageBreakBefore w:val="0"/>
              <w:kinsoku/>
              <w:wordWrap/>
              <w:overflowPunct/>
              <w:topLinePunct w:val="0"/>
              <w:autoSpaceDE/>
              <w:autoSpaceDN/>
              <w:bidi w:val="0"/>
              <w:adjustRightInd/>
              <w:spacing w:before="132" w:line="240" w:lineRule="auto"/>
              <w:ind w:left="124"/>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rPr>
              <w:t>储罐区设置防渗罐池、防渗事故池</w:t>
            </w:r>
          </w:p>
        </w:tc>
        <w:tc>
          <w:tcPr>
            <w:tcW w:w="696" w:type="dxa"/>
            <w:noWrap w:val="0"/>
            <w:vAlign w:val="center"/>
          </w:tcPr>
          <w:p w14:paraId="75B14382">
            <w:pPr>
              <w:pStyle w:val="22"/>
              <w:keepNext w:val="0"/>
              <w:keepLines w:val="0"/>
              <w:pageBreakBefore w:val="0"/>
              <w:kinsoku/>
              <w:wordWrap/>
              <w:overflowPunct/>
              <w:topLinePunct w:val="0"/>
              <w:autoSpaceDE/>
              <w:autoSpaceDN/>
              <w:bidi w:val="0"/>
              <w:adjustRightInd/>
              <w:spacing w:before="132" w:line="240" w:lineRule="auto"/>
              <w:ind w:left="124"/>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rPr>
              <w:t>/</w:t>
            </w:r>
          </w:p>
        </w:tc>
        <w:tc>
          <w:tcPr>
            <w:tcW w:w="2546" w:type="dxa"/>
            <w:vMerge w:val="restart"/>
            <w:noWrap w:val="0"/>
            <w:vAlign w:val="center"/>
          </w:tcPr>
          <w:p w14:paraId="219DF2F4">
            <w:pPr>
              <w:pStyle w:val="22"/>
              <w:keepNext w:val="0"/>
              <w:keepLines w:val="0"/>
              <w:pageBreakBefore w:val="0"/>
              <w:kinsoku/>
              <w:wordWrap/>
              <w:overflowPunct/>
              <w:topLinePunct w:val="0"/>
              <w:autoSpaceDE/>
              <w:autoSpaceDN/>
              <w:bidi w:val="0"/>
              <w:adjustRightInd/>
              <w:spacing w:before="132" w:line="240" w:lineRule="auto"/>
              <w:ind w:left="124"/>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rPr>
              <w:t>达到《危险废物贮存污染控制标准》（GB18597-2001）及其修改单标准要求</w:t>
            </w:r>
          </w:p>
        </w:tc>
      </w:tr>
      <w:tr w14:paraId="1E00A62B">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579" w:hRule="atLeast"/>
        </w:trPr>
        <w:tc>
          <w:tcPr>
            <w:tcW w:w="883" w:type="dxa"/>
            <w:vMerge w:val="continue"/>
            <w:noWrap w:val="0"/>
            <w:vAlign w:val="center"/>
          </w:tcPr>
          <w:p w14:paraId="481580F2">
            <w:pPr>
              <w:pStyle w:val="22"/>
              <w:keepNext w:val="0"/>
              <w:keepLines w:val="0"/>
              <w:pageBreakBefore w:val="0"/>
              <w:kinsoku/>
              <w:wordWrap/>
              <w:overflowPunct/>
              <w:topLinePunct w:val="0"/>
              <w:autoSpaceDE/>
              <w:autoSpaceDN/>
              <w:bidi w:val="0"/>
              <w:adjustRightInd/>
              <w:spacing w:line="240" w:lineRule="auto"/>
              <w:ind w:left="107"/>
              <w:rPr>
                <w:rFonts w:hint="default" w:ascii="Times New Roman" w:hAnsi="Times New Roman" w:eastAsia="宋体" w:cs="Times New Roman"/>
                <w:color w:val="0000FF"/>
                <w:sz w:val="21"/>
                <w:szCs w:val="21"/>
              </w:rPr>
            </w:pPr>
          </w:p>
        </w:tc>
        <w:tc>
          <w:tcPr>
            <w:tcW w:w="1027" w:type="dxa"/>
            <w:noWrap w:val="0"/>
            <w:vAlign w:val="center"/>
          </w:tcPr>
          <w:p w14:paraId="6D85E240">
            <w:pPr>
              <w:pStyle w:val="22"/>
              <w:keepNext w:val="0"/>
              <w:keepLines w:val="0"/>
              <w:pageBreakBefore w:val="0"/>
              <w:kinsoku/>
              <w:wordWrap/>
              <w:overflowPunct/>
              <w:topLinePunct w:val="0"/>
              <w:autoSpaceDE/>
              <w:autoSpaceDN/>
              <w:bidi w:val="0"/>
              <w:adjustRightInd/>
              <w:spacing w:before="132" w:line="240" w:lineRule="auto"/>
              <w:ind w:left="124"/>
              <w:rPr>
                <w:rFonts w:hint="eastAsia" w:ascii="Times New Roman" w:hAnsi="Times New Roman" w:eastAsia="宋体" w:cs="Times New Roman"/>
                <w:color w:val="0000FF"/>
                <w:sz w:val="21"/>
                <w:szCs w:val="21"/>
                <w:lang w:eastAsia="zh-CN"/>
              </w:rPr>
            </w:pPr>
            <w:r>
              <w:rPr>
                <w:rFonts w:hint="eastAsia" w:eastAsia="宋体" w:cs="Times New Roman"/>
                <w:color w:val="0000FF"/>
                <w:sz w:val="21"/>
                <w:szCs w:val="21"/>
                <w:lang w:eastAsia="zh-CN"/>
              </w:rPr>
              <w:t>废铅酸蓄电池</w:t>
            </w:r>
          </w:p>
        </w:tc>
        <w:tc>
          <w:tcPr>
            <w:tcW w:w="1800" w:type="dxa"/>
            <w:noWrap w:val="0"/>
            <w:vAlign w:val="center"/>
          </w:tcPr>
          <w:p w14:paraId="4BEEC30D">
            <w:pPr>
              <w:pStyle w:val="22"/>
              <w:keepNext w:val="0"/>
              <w:keepLines w:val="0"/>
              <w:pageBreakBefore w:val="0"/>
              <w:kinsoku/>
              <w:wordWrap/>
              <w:overflowPunct/>
              <w:topLinePunct w:val="0"/>
              <w:autoSpaceDE/>
              <w:autoSpaceDN/>
              <w:bidi w:val="0"/>
              <w:adjustRightInd/>
              <w:spacing w:before="115" w:line="240" w:lineRule="auto"/>
              <w:ind w:left="117" w:right="109"/>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rPr>
              <w:t>设置防渗事故池（</w:t>
            </w:r>
            <w:r>
              <w:rPr>
                <w:rFonts w:hint="eastAsia" w:eastAsia="宋体" w:cs="Times New Roman"/>
                <w:color w:val="0000FF"/>
                <w:sz w:val="21"/>
                <w:szCs w:val="21"/>
                <w:lang w:val="en-US" w:eastAsia="zh-CN"/>
              </w:rPr>
              <w:t>1</w:t>
            </w:r>
            <w:r>
              <w:rPr>
                <w:rFonts w:hint="default" w:ascii="Times New Roman" w:hAnsi="Times New Roman" w:eastAsia="宋体" w:cs="Times New Roman"/>
                <w:color w:val="0000FF"/>
                <w:sz w:val="21"/>
                <w:szCs w:val="21"/>
              </w:rPr>
              <w:t>m</w:t>
            </w:r>
            <w:r>
              <w:rPr>
                <w:rFonts w:hint="eastAsia" w:eastAsia="宋体" w:cs="Times New Roman"/>
                <w:color w:val="0000FF"/>
                <w:sz w:val="21"/>
                <w:szCs w:val="21"/>
                <w:vertAlign w:val="superscript"/>
                <w:lang w:val="en-US" w:eastAsia="zh-CN"/>
              </w:rPr>
              <w:t>3</w:t>
            </w:r>
            <w:r>
              <w:rPr>
                <w:rFonts w:hint="default" w:ascii="Times New Roman" w:hAnsi="Times New Roman" w:eastAsia="宋体" w:cs="Times New Roman"/>
                <w:color w:val="0000FF"/>
                <w:sz w:val="21"/>
                <w:szCs w:val="21"/>
              </w:rPr>
              <w:t>）</w:t>
            </w:r>
          </w:p>
        </w:tc>
        <w:tc>
          <w:tcPr>
            <w:tcW w:w="1305" w:type="dxa"/>
            <w:noWrap w:val="0"/>
            <w:vAlign w:val="center"/>
          </w:tcPr>
          <w:p w14:paraId="22337888">
            <w:pPr>
              <w:pStyle w:val="22"/>
              <w:keepNext w:val="0"/>
              <w:keepLines w:val="0"/>
              <w:pageBreakBefore w:val="0"/>
              <w:kinsoku/>
              <w:wordWrap/>
              <w:overflowPunct/>
              <w:topLinePunct w:val="0"/>
              <w:autoSpaceDE/>
              <w:autoSpaceDN/>
              <w:bidi w:val="0"/>
              <w:adjustRightInd/>
              <w:spacing w:before="115" w:line="240" w:lineRule="auto"/>
              <w:ind w:left="117" w:right="109"/>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rPr>
              <w:t>设置防渗罐池、防渗事故池</w:t>
            </w:r>
          </w:p>
          <w:p w14:paraId="57B6E8AC">
            <w:pPr>
              <w:pStyle w:val="22"/>
              <w:keepNext w:val="0"/>
              <w:keepLines w:val="0"/>
              <w:pageBreakBefore w:val="0"/>
              <w:kinsoku/>
              <w:wordWrap/>
              <w:overflowPunct/>
              <w:topLinePunct w:val="0"/>
              <w:autoSpaceDE/>
              <w:autoSpaceDN/>
              <w:bidi w:val="0"/>
              <w:adjustRightInd/>
              <w:spacing w:before="132" w:line="240" w:lineRule="auto"/>
              <w:ind w:left="124"/>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rPr>
              <w:t>（</w:t>
            </w:r>
            <w:r>
              <w:rPr>
                <w:rFonts w:hint="eastAsia" w:eastAsia="宋体" w:cs="Times New Roman"/>
                <w:color w:val="0000FF"/>
                <w:sz w:val="21"/>
                <w:szCs w:val="21"/>
                <w:lang w:val="en-US" w:eastAsia="zh-CN"/>
              </w:rPr>
              <w:t>1</w:t>
            </w:r>
            <w:r>
              <w:rPr>
                <w:rFonts w:hint="default" w:ascii="Times New Roman" w:hAnsi="Times New Roman" w:eastAsia="宋体" w:cs="Times New Roman"/>
                <w:color w:val="0000FF"/>
                <w:sz w:val="21"/>
                <w:szCs w:val="21"/>
              </w:rPr>
              <w:t>m</w:t>
            </w:r>
            <w:r>
              <w:rPr>
                <w:rFonts w:hint="eastAsia" w:eastAsia="宋体" w:cs="Times New Roman"/>
                <w:color w:val="0000FF"/>
                <w:sz w:val="21"/>
                <w:szCs w:val="21"/>
                <w:vertAlign w:val="superscript"/>
                <w:lang w:val="en-US" w:eastAsia="zh-CN"/>
              </w:rPr>
              <w:t>3</w:t>
            </w:r>
            <w:r>
              <w:rPr>
                <w:rFonts w:hint="default" w:ascii="Times New Roman" w:hAnsi="Times New Roman" w:eastAsia="宋体" w:cs="Times New Roman"/>
                <w:color w:val="0000FF"/>
                <w:sz w:val="21"/>
                <w:szCs w:val="21"/>
              </w:rPr>
              <w:t>）</w:t>
            </w:r>
          </w:p>
        </w:tc>
        <w:tc>
          <w:tcPr>
            <w:tcW w:w="696" w:type="dxa"/>
            <w:noWrap w:val="0"/>
            <w:vAlign w:val="center"/>
          </w:tcPr>
          <w:p w14:paraId="7692EC08">
            <w:pPr>
              <w:pStyle w:val="22"/>
              <w:keepNext w:val="0"/>
              <w:keepLines w:val="0"/>
              <w:pageBreakBefore w:val="0"/>
              <w:kinsoku/>
              <w:wordWrap/>
              <w:overflowPunct/>
              <w:topLinePunct w:val="0"/>
              <w:autoSpaceDE/>
              <w:autoSpaceDN/>
              <w:bidi w:val="0"/>
              <w:adjustRightInd/>
              <w:spacing w:before="132" w:line="240" w:lineRule="auto"/>
              <w:ind w:left="124"/>
              <w:rPr>
                <w:rFonts w:hint="eastAsia" w:ascii="Times New Roman" w:hAnsi="Times New Roman" w:eastAsia="宋体" w:cs="Times New Roman"/>
                <w:color w:val="0000FF"/>
                <w:sz w:val="21"/>
                <w:szCs w:val="21"/>
                <w:lang w:val="en-US" w:eastAsia="zh-CN"/>
              </w:rPr>
            </w:pPr>
            <w:r>
              <w:rPr>
                <w:rFonts w:hint="eastAsia" w:eastAsia="宋体" w:cs="Times New Roman"/>
                <w:color w:val="0000FF"/>
                <w:sz w:val="21"/>
                <w:szCs w:val="21"/>
                <w:lang w:val="en-US" w:eastAsia="zh-CN"/>
              </w:rPr>
              <w:t>/</w:t>
            </w:r>
          </w:p>
        </w:tc>
        <w:tc>
          <w:tcPr>
            <w:tcW w:w="2546" w:type="dxa"/>
            <w:vMerge w:val="continue"/>
            <w:noWrap w:val="0"/>
            <w:vAlign w:val="center"/>
          </w:tcPr>
          <w:p w14:paraId="48CA6AE7">
            <w:pPr>
              <w:pStyle w:val="22"/>
              <w:keepNext w:val="0"/>
              <w:keepLines w:val="0"/>
              <w:pageBreakBefore w:val="0"/>
              <w:kinsoku/>
              <w:wordWrap/>
              <w:overflowPunct/>
              <w:topLinePunct w:val="0"/>
              <w:autoSpaceDE/>
              <w:autoSpaceDN/>
              <w:bidi w:val="0"/>
              <w:adjustRightInd/>
              <w:spacing w:before="132" w:line="240" w:lineRule="auto"/>
              <w:ind w:left="124"/>
              <w:rPr>
                <w:rFonts w:hint="default" w:ascii="Times New Roman" w:hAnsi="Times New Roman" w:eastAsia="宋体" w:cs="Times New Roman"/>
                <w:color w:val="0000FF"/>
                <w:sz w:val="21"/>
                <w:szCs w:val="21"/>
              </w:rPr>
            </w:pPr>
          </w:p>
        </w:tc>
      </w:tr>
      <w:tr w14:paraId="73B97CA7">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574" w:hRule="atLeast"/>
        </w:trPr>
        <w:tc>
          <w:tcPr>
            <w:tcW w:w="883" w:type="dxa"/>
            <w:vMerge w:val="continue"/>
            <w:noWrap w:val="0"/>
            <w:vAlign w:val="center"/>
          </w:tcPr>
          <w:p w14:paraId="3AFB13AB">
            <w:pPr>
              <w:keepNext w:val="0"/>
              <w:keepLines w:val="0"/>
              <w:pageBreakBefore w:val="0"/>
              <w:kinsoku/>
              <w:wordWrap/>
              <w:overflowPunct/>
              <w:topLinePunct w:val="0"/>
              <w:autoSpaceDE/>
              <w:autoSpaceDN/>
              <w:bidi w:val="0"/>
              <w:adjustRightInd/>
              <w:spacing w:line="240" w:lineRule="auto"/>
              <w:jc w:val="center"/>
              <w:rPr>
                <w:rFonts w:hint="default" w:ascii="Times New Roman" w:hAnsi="Times New Roman" w:eastAsia="宋体" w:cs="Times New Roman"/>
                <w:color w:val="0000FF"/>
                <w:sz w:val="21"/>
                <w:szCs w:val="21"/>
              </w:rPr>
            </w:pPr>
          </w:p>
        </w:tc>
        <w:tc>
          <w:tcPr>
            <w:tcW w:w="1027" w:type="dxa"/>
            <w:noWrap w:val="0"/>
            <w:vAlign w:val="center"/>
          </w:tcPr>
          <w:p w14:paraId="30CFAE6F">
            <w:pPr>
              <w:pStyle w:val="22"/>
              <w:keepNext w:val="0"/>
              <w:keepLines w:val="0"/>
              <w:pageBreakBefore w:val="0"/>
              <w:kinsoku/>
              <w:wordWrap/>
              <w:overflowPunct/>
              <w:topLinePunct w:val="0"/>
              <w:autoSpaceDE/>
              <w:autoSpaceDN/>
              <w:bidi w:val="0"/>
              <w:adjustRightInd/>
              <w:spacing w:before="48" w:line="240" w:lineRule="auto"/>
              <w:ind w:left="124" w:right="117"/>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rPr>
              <w:t>废油贮存区防渗</w:t>
            </w:r>
          </w:p>
        </w:tc>
        <w:tc>
          <w:tcPr>
            <w:tcW w:w="6347" w:type="dxa"/>
            <w:gridSpan w:val="4"/>
            <w:noWrap w:val="0"/>
            <w:vAlign w:val="center"/>
          </w:tcPr>
          <w:p w14:paraId="2D8B2FEB">
            <w:pPr>
              <w:keepNext w:val="0"/>
              <w:keepLines w:val="0"/>
              <w:pageBreakBefore w:val="0"/>
              <w:kinsoku/>
              <w:wordWrap/>
              <w:overflowPunct/>
              <w:topLinePunct w:val="0"/>
              <w:autoSpaceDE/>
              <w:autoSpaceDN/>
              <w:bidi w:val="0"/>
              <w:adjustRightInd/>
              <w:spacing w:line="240" w:lineRule="auto"/>
              <w:jc w:val="center"/>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rPr>
              <w:t>本项目场地为重点防渗区，仓库贮存区地面、墙壁收集池采用</w:t>
            </w:r>
            <w:r>
              <w:rPr>
                <w:rFonts w:hint="eastAsia" w:ascii="Times New Roman" w:hAnsi="Times New Roman" w:eastAsia="宋体" w:cs="Times New Roman"/>
                <w:color w:val="0000FF"/>
                <w:sz w:val="21"/>
                <w:szCs w:val="21"/>
                <w:lang w:eastAsia="zh-CN"/>
              </w:rPr>
              <w:t>水泥基础防渗</w:t>
            </w:r>
            <w:r>
              <w:rPr>
                <w:rFonts w:hint="eastAsia" w:ascii="Times New Roman" w:hAnsi="Times New Roman" w:eastAsia="宋体" w:cs="Times New Roman"/>
                <w:color w:val="0000FF"/>
                <w:sz w:val="21"/>
                <w:szCs w:val="21"/>
                <w:lang w:val="en-US" w:eastAsia="zh-CN"/>
              </w:rPr>
              <w:t>+</w:t>
            </w:r>
            <w:r>
              <w:rPr>
                <w:rFonts w:hint="default" w:ascii="Times New Roman" w:hAnsi="Times New Roman" w:eastAsia="宋体" w:cs="Times New Roman"/>
                <w:color w:val="0000FF"/>
                <w:sz w:val="21"/>
                <w:szCs w:val="21"/>
              </w:rPr>
              <w:t>2</w:t>
            </w:r>
            <w:r>
              <w:rPr>
                <w:rFonts w:hint="eastAsia" w:ascii="Times New Roman" w:hAnsi="Times New Roman" w:eastAsia="宋体" w:cs="Times New Roman"/>
                <w:color w:val="0000FF"/>
                <w:sz w:val="21"/>
                <w:szCs w:val="21"/>
                <w:lang w:eastAsia="zh-CN"/>
              </w:rPr>
              <w:t>mm</w:t>
            </w:r>
            <w:r>
              <w:rPr>
                <w:rFonts w:hint="default" w:ascii="Times New Roman" w:hAnsi="Times New Roman" w:eastAsia="宋体" w:cs="Times New Roman"/>
                <w:color w:val="0000FF"/>
                <w:sz w:val="21"/>
                <w:szCs w:val="21"/>
              </w:rPr>
              <w:t>厚高密度聚乙烯（HDPE）材料防渗，并设置环氧树脂防腐，使之渗透系数≤10</w:t>
            </w:r>
            <w:r>
              <w:rPr>
                <w:rFonts w:hint="eastAsia" w:ascii="Times New Roman" w:hAnsi="Times New Roman" w:eastAsia="宋体" w:cs="Times New Roman"/>
                <w:color w:val="0000FF"/>
                <w:sz w:val="21"/>
                <w:szCs w:val="21"/>
                <w:vertAlign w:val="superscript"/>
                <w:lang w:eastAsia="zh-CN"/>
              </w:rPr>
              <w:t>-10</w:t>
            </w:r>
            <w:r>
              <w:rPr>
                <w:rFonts w:hint="eastAsia" w:ascii="Times New Roman" w:hAnsi="Times New Roman" w:eastAsia="宋体" w:cs="Times New Roman"/>
                <w:color w:val="0000FF"/>
                <w:sz w:val="21"/>
                <w:szCs w:val="21"/>
                <w:lang w:eastAsia="zh-CN"/>
              </w:rPr>
              <w:t>cm</w:t>
            </w:r>
            <w:r>
              <w:rPr>
                <w:rFonts w:hint="default" w:ascii="Times New Roman" w:hAnsi="Times New Roman" w:eastAsia="宋体" w:cs="Times New Roman"/>
                <w:color w:val="0000FF"/>
                <w:sz w:val="21"/>
                <w:szCs w:val="21"/>
              </w:rPr>
              <w:t>/</w:t>
            </w:r>
            <w:r>
              <w:rPr>
                <w:rFonts w:hint="eastAsia" w:ascii="Times New Roman" w:hAnsi="Times New Roman" w:eastAsia="宋体" w:cs="Times New Roman"/>
                <w:color w:val="0000FF"/>
                <w:sz w:val="21"/>
                <w:szCs w:val="21"/>
                <w:lang w:eastAsia="zh-CN"/>
              </w:rPr>
              <w:t>s</w:t>
            </w:r>
            <w:r>
              <w:rPr>
                <w:rFonts w:hint="default" w:ascii="Times New Roman" w:hAnsi="Times New Roman" w:eastAsia="宋体" w:cs="Times New Roman"/>
                <w:color w:val="0000FF"/>
                <w:sz w:val="21"/>
                <w:szCs w:val="21"/>
              </w:rPr>
              <w:t>，墙壁防渗防腐裙脚高度约50cm。</w:t>
            </w:r>
          </w:p>
        </w:tc>
      </w:tr>
      <w:tr w14:paraId="5935FD81">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434" w:hRule="atLeast"/>
        </w:trPr>
        <w:tc>
          <w:tcPr>
            <w:tcW w:w="883" w:type="dxa"/>
            <w:vMerge w:val="continue"/>
            <w:noWrap w:val="0"/>
            <w:vAlign w:val="center"/>
          </w:tcPr>
          <w:p w14:paraId="60E0A55F">
            <w:pPr>
              <w:keepNext w:val="0"/>
              <w:keepLines w:val="0"/>
              <w:pageBreakBefore w:val="0"/>
              <w:kinsoku/>
              <w:wordWrap/>
              <w:overflowPunct/>
              <w:topLinePunct w:val="0"/>
              <w:autoSpaceDE/>
              <w:autoSpaceDN/>
              <w:bidi w:val="0"/>
              <w:adjustRightInd/>
              <w:spacing w:line="240" w:lineRule="auto"/>
              <w:jc w:val="center"/>
              <w:rPr>
                <w:rFonts w:hint="default" w:ascii="Times New Roman" w:hAnsi="Times New Roman" w:eastAsia="宋体" w:cs="Times New Roman"/>
                <w:color w:val="0000FF"/>
                <w:sz w:val="21"/>
                <w:szCs w:val="21"/>
              </w:rPr>
            </w:pPr>
          </w:p>
        </w:tc>
        <w:tc>
          <w:tcPr>
            <w:tcW w:w="1027" w:type="dxa"/>
            <w:noWrap w:val="0"/>
            <w:vAlign w:val="center"/>
          </w:tcPr>
          <w:p w14:paraId="643AD91F">
            <w:pPr>
              <w:pStyle w:val="22"/>
              <w:keepNext w:val="0"/>
              <w:keepLines w:val="0"/>
              <w:pageBreakBefore w:val="0"/>
              <w:kinsoku/>
              <w:wordWrap/>
              <w:overflowPunct/>
              <w:topLinePunct w:val="0"/>
              <w:autoSpaceDE/>
              <w:autoSpaceDN/>
              <w:bidi w:val="0"/>
              <w:adjustRightInd/>
              <w:spacing w:before="11" w:line="240" w:lineRule="auto"/>
              <w:rPr>
                <w:rFonts w:hint="default" w:ascii="Times New Roman" w:hAnsi="Times New Roman" w:eastAsia="宋体" w:cs="Times New Roman"/>
                <w:b/>
                <w:color w:val="0000FF"/>
                <w:sz w:val="21"/>
                <w:szCs w:val="21"/>
              </w:rPr>
            </w:pPr>
          </w:p>
          <w:p w14:paraId="0F1D28EA">
            <w:pPr>
              <w:pStyle w:val="22"/>
              <w:keepNext w:val="0"/>
              <w:keepLines w:val="0"/>
              <w:pageBreakBefore w:val="0"/>
              <w:kinsoku/>
              <w:wordWrap/>
              <w:overflowPunct/>
              <w:topLinePunct w:val="0"/>
              <w:autoSpaceDE/>
              <w:autoSpaceDN/>
              <w:bidi w:val="0"/>
              <w:adjustRightInd/>
              <w:spacing w:line="240" w:lineRule="auto"/>
              <w:ind w:left="230" w:right="117" w:hanging="106"/>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rPr>
              <w:t>装卸区防渗</w:t>
            </w:r>
          </w:p>
        </w:tc>
        <w:tc>
          <w:tcPr>
            <w:tcW w:w="6347" w:type="dxa"/>
            <w:gridSpan w:val="4"/>
            <w:noWrap w:val="0"/>
            <w:vAlign w:val="center"/>
          </w:tcPr>
          <w:p w14:paraId="0DB5C1CE">
            <w:pPr>
              <w:pStyle w:val="22"/>
              <w:keepNext w:val="0"/>
              <w:keepLines w:val="0"/>
              <w:pageBreakBefore w:val="0"/>
              <w:kinsoku/>
              <w:wordWrap/>
              <w:overflowPunct/>
              <w:topLinePunct w:val="0"/>
              <w:autoSpaceDE/>
              <w:autoSpaceDN/>
              <w:bidi w:val="0"/>
              <w:adjustRightInd/>
              <w:spacing w:before="191" w:line="240" w:lineRule="auto"/>
              <w:ind w:left="1684" w:right="-15" w:hanging="1577"/>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pacing w:val="-4"/>
                <w:sz w:val="21"/>
                <w:szCs w:val="21"/>
              </w:rPr>
              <w:t>装卸区采用</w:t>
            </w:r>
            <w:r>
              <w:rPr>
                <w:rFonts w:hint="eastAsia" w:ascii="Times New Roman" w:hAnsi="Times New Roman" w:eastAsia="宋体" w:cs="Times New Roman"/>
                <w:color w:val="0000FF"/>
                <w:sz w:val="21"/>
                <w:szCs w:val="21"/>
                <w:lang w:eastAsia="zh-CN"/>
              </w:rPr>
              <w:t>水泥基础防渗</w:t>
            </w:r>
            <w:r>
              <w:rPr>
                <w:rFonts w:hint="eastAsia" w:ascii="Times New Roman" w:hAnsi="Times New Roman" w:eastAsia="宋体" w:cs="Times New Roman"/>
                <w:color w:val="0000FF"/>
                <w:sz w:val="21"/>
                <w:szCs w:val="21"/>
                <w:lang w:val="en-US" w:eastAsia="zh-CN"/>
              </w:rPr>
              <w:t>+</w:t>
            </w:r>
            <w:r>
              <w:rPr>
                <w:rFonts w:hint="default" w:ascii="Times New Roman" w:hAnsi="Times New Roman" w:eastAsia="宋体" w:cs="Times New Roman"/>
                <w:color w:val="0000FF"/>
                <w:sz w:val="21"/>
                <w:szCs w:val="21"/>
              </w:rPr>
              <w:t>2</w:t>
            </w:r>
            <w:r>
              <w:rPr>
                <w:rFonts w:hint="eastAsia" w:ascii="Times New Roman" w:hAnsi="Times New Roman" w:eastAsia="宋体" w:cs="Times New Roman"/>
                <w:color w:val="0000FF"/>
                <w:sz w:val="21"/>
                <w:szCs w:val="21"/>
                <w:lang w:eastAsia="zh-CN"/>
              </w:rPr>
              <w:t>mm</w:t>
            </w:r>
            <w:r>
              <w:rPr>
                <w:rFonts w:hint="default" w:ascii="Times New Roman" w:hAnsi="Times New Roman" w:eastAsia="宋体" w:cs="Times New Roman"/>
                <w:color w:val="0000FF"/>
                <w:sz w:val="21"/>
                <w:szCs w:val="21"/>
              </w:rPr>
              <w:t>厚高密度聚乙烯（HDPE）材料防渗，并设置环氧树脂防腐，使之渗透系数≤10</w:t>
            </w:r>
            <w:r>
              <w:rPr>
                <w:rFonts w:hint="eastAsia" w:ascii="Times New Roman" w:hAnsi="Times New Roman" w:eastAsia="宋体" w:cs="Times New Roman"/>
                <w:color w:val="0000FF"/>
                <w:sz w:val="21"/>
                <w:szCs w:val="21"/>
                <w:vertAlign w:val="superscript"/>
                <w:lang w:eastAsia="zh-CN"/>
              </w:rPr>
              <w:t>-10</w:t>
            </w:r>
            <w:r>
              <w:rPr>
                <w:rFonts w:hint="eastAsia" w:ascii="Times New Roman" w:hAnsi="Times New Roman" w:eastAsia="宋体" w:cs="Times New Roman"/>
                <w:color w:val="0000FF"/>
                <w:sz w:val="21"/>
                <w:szCs w:val="21"/>
                <w:lang w:eastAsia="zh-CN"/>
              </w:rPr>
              <w:t>cm</w:t>
            </w:r>
            <w:r>
              <w:rPr>
                <w:rFonts w:hint="default" w:ascii="Times New Roman" w:hAnsi="Times New Roman" w:eastAsia="宋体" w:cs="Times New Roman"/>
                <w:color w:val="0000FF"/>
                <w:sz w:val="21"/>
                <w:szCs w:val="21"/>
              </w:rPr>
              <w:t>/</w:t>
            </w:r>
            <w:r>
              <w:rPr>
                <w:rFonts w:hint="eastAsia" w:ascii="Times New Roman" w:hAnsi="Times New Roman" w:eastAsia="宋体" w:cs="Times New Roman"/>
                <w:color w:val="0000FF"/>
                <w:sz w:val="21"/>
                <w:szCs w:val="21"/>
                <w:lang w:eastAsia="zh-CN"/>
              </w:rPr>
              <w:t>s</w:t>
            </w:r>
          </w:p>
        </w:tc>
      </w:tr>
      <w:tr w14:paraId="3C3AFA93">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03" w:hRule="atLeast"/>
        </w:trPr>
        <w:tc>
          <w:tcPr>
            <w:tcW w:w="883" w:type="dxa"/>
            <w:noWrap w:val="0"/>
            <w:vAlign w:val="center"/>
          </w:tcPr>
          <w:p w14:paraId="50F5DF84">
            <w:pPr>
              <w:pStyle w:val="22"/>
              <w:keepNext w:val="0"/>
              <w:keepLines w:val="0"/>
              <w:pageBreakBefore w:val="0"/>
              <w:kinsoku/>
              <w:wordWrap/>
              <w:overflowPunct/>
              <w:topLinePunct w:val="0"/>
              <w:autoSpaceDE/>
              <w:autoSpaceDN/>
              <w:bidi w:val="0"/>
              <w:adjustRightInd/>
              <w:spacing w:line="240" w:lineRule="auto"/>
              <w:ind w:right="163"/>
              <w:jc w:val="center"/>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rPr>
              <w:t>排污口规范化设置</w:t>
            </w:r>
          </w:p>
        </w:tc>
        <w:tc>
          <w:tcPr>
            <w:tcW w:w="7374" w:type="dxa"/>
            <w:gridSpan w:val="5"/>
            <w:noWrap w:val="0"/>
            <w:vAlign w:val="center"/>
          </w:tcPr>
          <w:p w14:paraId="557E08EC">
            <w:pPr>
              <w:pStyle w:val="22"/>
              <w:keepNext w:val="0"/>
              <w:keepLines w:val="0"/>
              <w:pageBreakBefore w:val="0"/>
              <w:kinsoku/>
              <w:wordWrap/>
              <w:overflowPunct/>
              <w:topLinePunct w:val="0"/>
              <w:autoSpaceDE/>
              <w:autoSpaceDN/>
              <w:bidi w:val="0"/>
              <w:adjustRightInd/>
              <w:spacing w:line="240" w:lineRule="auto"/>
              <w:ind w:right="-15"/>
              <w:rPr>
                <w:rFonts w:hint="default" w:ascii="Times New Roman" w:hAnsi="Times New Roman" w:eastAsia="宋体" w:cs="Times New Roman"/>
                <w:color w:val="0000FF"/>
                <w:sz w:val="21"/>
                <w:szCs w:val="21"/>
              </w:rPr>
            </w:pPr>
            <w:r>
              <w:rPr>
                <w:color w:val="auto"/>
                <w:sz w:val="21"/>
                <w:szCs w:val="21"/>
              </w:rPr>
              <w:t>设置危险废物识别标识</w:t>
            </w:r>
          </w:p>
        </w:tc>
      </w:tr>
    </w:tbl>
    <w:p w14:paraId="052AE7AD">
      <w:pPr>
        <w:rPr>
          <w:rFonts w:hint="eastAsia" w:ascii="宋体" w:hAnsi="宋体" w:cs="宋体"/>
          <w:b/>
          <w:bCs w:val="0"/>
          <w:sz w:val="24"/>
          <w:szCs w:val="24"/>
          <w:lang w:val="zh-CN"/>
        </w:rPr>
      </w:pPr>
    </w:p>
    <w:p w14:paraId="710F7C9C">
      <w:pPr>
        <w:rPr>
          <w:rFonts w:hint="eastAsia" w:ascii="宋体" w:hAnsi="宋体" w:cs="宋体"/>
          <w:b/>
          <w:bCs w:val="0"/>
          <w:sz w:val="24"/>
          <w:szCs w:val="24"/>
          <w:lang w:val="zh-CN"/>
        </w:rPr>
      </w:pPr>
    </w:p>
    <w:p w14:paraId="425A4C2D">
      <w:pPr>
        <w:rPr>
          <w:rFonts w:hint="eastAsia" w:ascii="宋体" w:hAnsi="宋体" w:cs="宋体"/>
          <w:b/>
          <w:bCs w:val="0"/>
          <w:sz w:val="24"/>
          <w:szCs w:val="24"/>
          <w:lang w:val="zh-CN"/>
        </w:rPr>
      </w:pPr>
      <w:r>
        <w:rPr>
          <w:rFonts w:hint="eastAsia" w:ascii="宋体" w:hAnsi="宋体" w:cs="宋体"/>
          <w:b/>
          <w:bCs w:val="0"/>
          <w:sz w:val="24"/>
          <w:szCs w:val="24"/>
          <w:lang w:val="zh-CN"/>
        </w:rPr>
        <w:t>意见</w:t>
      </w:r>
      <w:r>
        <w:rPr>
          <w:rFonts w:hint="eastAsia" w:ascii="宋体" w:hAnsi="宋体" w:cs="宋体"/>
          <w:b/>
          <w:bCs w:val="0"/>
          <w:sz w:val="24"/>
          <w:szCs w:val="24"/>
          <w:lang w:val="en-US" w:eastAsia="zh-CN"/>
        </w:rPr>
        <w:t>11、</w:t>
      </w:r>
      <w:r>
        <w:rPr>
          <w:rFonts w:hint="eastAsia" w:ascii="宋体" w:hAnsi="宋体" w:cs="宋体"/>
          <w:b/>
          <w:bCs w:val="0"/>
          <w:sz w:val="24"/>
          <w:szCs w:val="24"/>
          <w:lang w:val="zh-CN"/>
        </w:rPr>
        <w:t>核实总量指标。</w:t>
      </w:r>
    </w:p>
    <w:p w14:paraId="266BD5EF">
      <w:pPr>
        <w:keepNext w:val="0"/>
        <w:keepLines w:val="0"/>
        <w:pageBreakBefore w:val="0"/>
        <w:widowControl w:val="0"/>
        <w:kinsoku/>
        <w:wordWrap/>
        <w:topLinePunct w:val="0"/>
        <w:autoSpaceDE/>
        <w:autoSpaceDN/>
        <w:bidi w:val="0"/>
        <w:adjustRightInd/>
        <w:snapToGrid/>
        <w:spacing w:line="360" w:lineRule="auto"/>
        <w:ind w:firstLine="480" w:firstLineChars="200"/>
        <w:textAlignment w:val="auto"/>
        <w:rPr>
          <w:rFonts w:hint="default" w:ascii="Times New Roman" w:hAnsi="Times New Roman" w:cs="Times New Roman"/>
          <w:color w:val="auto"/>
          <w:sz w:val="24"/>
          <w:szCs w:val="22"/>
        </w:rPr>
      </w:pPr>
      <w:r>
        <w:rPr>
          <w:color w:val="auto"/>
          <w:sz w:val="24"/>
          <w:szCs w:val="22"/>
        </w:rPr>
        <w:t>根据国家对污染物排放实行总量控制的有关规定及本项目特点，本项目涉及的总</w:t>
      </w:r>
      <w:r>
        <w:rPr>
          <w:rFonts w:hint="default" w:ascii="Times New Roman" w:hAnsi="Times New Roman" w:cs="Times New Roman"/>
          <w:color w:val="auto"/>
          <w:sz w:val="24"/>
          <w:szCs w:val="22"/>
        </w:rPr>
        <w:t>量控制因子为：VOCs（非甲烷总烃）。</w:t>
      </w:r>
    </w:p>
    <w:p w14:paraId="17572ED7">
      <w:pPr>
        <w:keepNext w:val="0"/>
        <w:keepLines w:val="0"/>
        <w:pageBreakBefore w:val="0"/>
        <w:widowControl w:val="0"/>
        <w:kinsoku/>
        <w:wordWrap/>
        <w:topLinePunct w:val="0"/>
        <w:autoSpaceDE/>
        <w:autoSpaceDN/>
        <w:bidi w:val="0"/>
        <w:adjustRightInd/>
        <w:snapToGrid/>
        <w:spacing w:line="360" w:lineRule="auto"/>
        <w:ind w:firstLine="480" w:firstLineChars="200"/>
        <w:textAlignment w:val="auto"/>
        <w:rPr>
          <w:rFonts w:hint="default" w:ascii="Times New Roman" w:hAnsi="Times New Roman" w:cs="Times New Roman"/>
          <w:color w:val="000000"/>
          <w:sz w:val="24"/>
          <w:szCs w:val="24"/>
          <w:lang w:val="en-US" w:eastAsia="zh-CN"/>
        </w:rPr>
      </w:pPr>
      <w:r>
        <w:rPr>
          <w:rFonts w:hint="default" w:ascii="Times New Roman" w:hAnsi="Times New Roman" w:cs="Times New Roman"/>
          <w:color w:val="000000"/>
          <w:sz w:val="24"/>
          <w:szCs w:val="24"/>
          <w:lang w:val="en-US" w:eastAsia="zh-CN"/>
        </w:rPr>
        <w:t>同时根据国家</w:t>
      </w:r>
      <w:r>
        <w:rPr>
          <w:rFonts w:hint="default" w:ascii="Times New Roman" w:hAnsi="Times New Roman" w:cs="Times New Roman"/>
          <w:color w:val="000000"/>
          <w:sz w:val="24"/>
          <w:szCs w:val="24"/>
        </w:rPr>
        <w:t>环保部《重点区域大气污染防治“十二五”规划》关于重点控制区</w:t>
      </w:r>
      <w:r>
        <w:rPr>
          <w:rFonts w:hint="default" w:ascii="Times New Roman" w:hAnsi="Times New Roman" w:cs="Times New Roman"/>
          <w:color w:val="000000"/>
          <w:sz w:val="24"/>
          <w:szCs w:val="24"/>
          <w:lang w:eastAsia="zh-CN"/>
        </w:rPr>
        <w:t>“</w:t>
      </w:r>
      <w:r>
        <w:rPr>
          <w:rFonts w:hint="default" w:ascii="Times New Roman" w:hAnsi="Times New Roman" w:cs="Times New Roman"/>
          <w:color w:val="000000"/>
          <w:sz w:val="24"/>
          <w:szCs w:val="24"/>
        </w:rPr>
        <w:t>新建排放二氧化硫、氮氧化物、工业烟粉尘、挥发性有机物的项目，实行区域内现役源2倍削减量替代’的规定，明确</w:t>
      </w:r>
      <w:r>
        <w:rPr>
          <w:rFonts w:hint="default" w:ascii="Times New Roman" w:hAnsi="Times New Roman" w:cs="Times New Roman"/>
          <w:color w:val="000000"/>
          <w:sz w:val="24"/>
          <w:szCs w:val="24"/>
          <w:lang w:val="en-US" w:eastAsia="zh-CN"/>
        </w:rPr>
        <w:t>本</w:t>
      </w:r>
      <w:r>
        <w:rPr>
          <w:rFonts w:hint="default" w:ascii="Times New Roman" w:hAnsi="Times New Roman" w:cs="Times New Roman"/>
          <w:color w:val="000000"/>
          <w:sz w:val="24"/>
          <w:szCs w:val="24"/>
        </w:rPr>
        <w:t>项目排放挥发性有机物实行区域内现役源2倍削减量替代</w:t>
      </w:r>
      <w:r>
        <w:rPr>
          <w:rFonts w:hint="default" w:ascii="Times New Roman" w:hAnsi="Times New Roman" w:cs="Times New Roman"/>
          <w:color w:val="000000"/>
          <w:sz w:val="24"/>
          <w:szCs w:val="24"/>
          <w:lang w:eastAsia="zh-CN"/>
        </w:rPr>
        <w:t>”</w:t>
      </w:r>
      <w:r>
        <w:rPr>
          <w:rFonts w:hint="default" w:ascii="Times New Roman" w:hAnsi="Times New Roman" w:cs="Times New Roman"/>
          <w:color w:val="000000"/>
          <w:sz w:val="24"/>
          <w:szCs w:val="24"/>
          <w:lang w:val="en-US" w:eastAsia="zh-CN"/>
        </w:rPr>
        <w:t>的要求。</w:t>
      </w:r>
    </w:p>
    <w:p w14:paraId="7C781DD7">
      <w:pPr>
        <w:pStyle w:val="8"/>
        <w:adjustRightInd w:val="0"/>
        <w:snapToGrid w:val="0"/>
        <w:spacing w:line="360" w:lineRule="auto"/>
        <w:ind w:firstLine="470" w:firstLineChars="196"/>
        <w:rPr>
          <w:rFonts w:hint="default" w:ascii="Times New Roman" w:hAnsi="Times New Roman" w:cs="Times New Roman"/>
          <w:color w:val="auto"/>
          <w:sz w:val="24"/>
        </w:rPr>
      </w:pPr>
      <w:r>
        <w:rPr>
          <w:rFonts w:hint="default" w:ascii="Times New Roman" w:hAnsi="Times New Roman" w:cs="Times New Roman"/>
          <w:color w:val="auto"/>
          <w:sz w:val="24"/>
        </w:rPr>
        <w:t>本次环评建议总量控制指标为：</w:t>
      </w:r>
      <w:r>
        <w:rPr>
          <w:rFonts w:hint="default" w:ascii="Times New Roman" w:hAnsi="Times New Roman" w:cs="Times New Roman"/>
          <w:color w:val="auto"/>
          <w:sz w:val="24"/>
          <w:szCs w:val="22"/>
        </w:rPr>
        <w:t>VOCs（非甲烷总烃）</w:t>
      </w:r>
      <w:r>
        <w:rPr>
          <w:rFonts w:hint="default" w:ascii="Times New Roman" w:hAnsi="Times New Roman" w:cs="Times New Roman"/>
          <w:color w:val="auto"/>
          <w:sz w:val="24"/>
          <w:szCs w:val="22"/>
          <w:lang w:eastAsia="zh-CN"/>
        </w:rPr>
        <w:t>：</w:t>
      </w:r>
      <w:r>
        <w:rPr>
          <w:rFonts w:hint="default" w:ascii="Times New Roman" w:hAnsi="Times New Roman" w:cs="Times New Roman"/>
          <w:color w:val="auto"/>
          <w:sz w:val="24"/>
          <w:lang w:val="en-US" w:eastAsia="zh-CN"/>
        </w:rPr>
        <w:t>0.09</w:t>
      </w:r>
      <w:r>
        <w:rPr>
          <w:rFonts w:hint="eastAsia" w:ascii="Times New Roman" w:hAnsi="Times New Roman" w:cs="Times New Roman"/>
          <w:color w:val="auto"/>
          <w:sz w:val="24"/>
          <w:lang w:val="en-US" w:eastAsia="zh-CN"/>
        </w:rPr>
        <w:t>2</w:t>
      </w:r>
      <w:r>
        <w:rPr>
          <w:rFonts w:hint="default" w:ascii="Times New Roman" w:hAnsi="Times New Roman" w:cs="Times New Roman"/>
          <w:color w:val="auto"/>
          <w:sz w:val="24"/>
        </w:rPr>
        <w:t>t/a。</w:t>
      </w:r>
      <w:r>
        <w:rPr>
          <w:rFonts w:hint="default" w:ascii="Times New Roman" w:hAnsi="Times New Roman" w:cs="Times New Roman"/>
          <w:color w:val="auto"/>
          <w:sz w:val="24"/>
          <w:lang w:eastAsia="zh-CN"/>
        </w:rPr>
        <w:t>倍量替代：</w:t>
      </w:r>
      <w:r>
        <w:rPr>
          <w:rFonts w:hint="default" w:ascii="Times New Roman" w:hAnsi="Times New Roman" w:cs="Times New Roman"/>
          <w:color w:val="auto"/>
          <w:sz w:val="24"/>
          <w:szCs w:val="22"/>
        </w:rPr>
        <w:t>VOCs（非甲烷总烃）</w:t>
      </w:r>
      <w:r>
        <w:rPr>
          <w:rFonts w:hint="default" w:ascii="Times New Roman" w:hAnsi="Times New Roman" w:cs="Times New Roman"/>
          <w:color w:val="auto"/>
          <w:sz w:val="24"/>
          <w:szCs w:val="22"/>
          <w:lang w:eastAsia="zh-CN"/>
        </w:rPr>
        <w:t>：</w:t>
      </w:r>
      <w:r>
        <w:rPr>
          <w:rFonts w:hint="default" w:ascii="Times New Roman" w:hAnsi="Times New Roman" w:cs="Times New Roman"/>
          <w:color w:val="auto"/>
          <w:sz w:val="24"/>
          <w:lang w:val="en-US" w:eastAsia="zh-CN"/>
        </w:rPr>
        <w:t>0.18</w:t>
      </w:r>
      <w:r>
        <w:rPr>
          <w:rFonts w:hint="eastAsia" w:ascii="Times New Roman" w:hAnsi="Times New Roman" w:cs="Times New Roman"/>
          <w:color w:val="auto"/>
          <w:sz w:val="24"/>
          <w:lang w:val="en-US" w:eastAsia="zh-CN"/>
        </w:rPr>
        <w:t>4</w:t>
      </w:r>
      <w:r>
        <w:rPr>
          <w:rFonts w:hint="default" w:ascii="Times New Roman" w:hAnsi="Times New Roman" w:cs="Times New Roman"/>
          <w:color w:val="auto"/>
          <w:sz w:val="24"/>
        </w:rPr>
        <w:t>t/a。</w:t>
      </w:r>
    </w:p>
    <w:p w14:paraId="5C4236C2">
      <w:pPr>
        <w:pStyle w:val="2"/>
        <w:rPr>
          <w:rFonts w:hint="eastAsia" w:ascii="宋体" w:hAnsi="宋体" w:cs="宋体"/>
          <w:bCs/>
          <w:sz w:val="24"/>
          <w:szCs w:val="24"/>
          <w:lang w:val="zh-CN"/>
        </w:rPr>
      </w:pPr>
      <w:r>
        <w:rPr>
          <w:rFonts w:hint="eastAsia" w:ascii="宋体" w:hAnsi="宋体" w:cs="宋体"/>
          <w:bCs/>
          <w:sz w:val="24"/>
          <w:szCs w:val="24"/>
          <w:lang w:val="zh-CN"/>
        </w:rPr>
        <w:t>意见</w:t>
      </w:r>
      <w:r>
        <w:rPr>
          <w:rFonts w:hint="eastAsia" w:ascii="宋体" w:hAnsi="宋体" w:cs="宋体"/>
          <w:bCs/>
          <w:sz w:val="24"/>
          <w:szCs w:val="24"/>
          <w:lang w:val="en-US" w:eastAsia="zh-CN"/>
        </w:rPr>
        <w:t>12、</w:t>
      </w:r>
      <w:r>
        <w:rPr>
          <w:rFonts w:hint="eastAsia" w:ascii="宋体" w:hAnsi="宋体" w:cs="宋体"/>
          <w:bCs/>
          <w:sz w:val="24"/>
          <w:szCs w:val="24"/>
          <w:lang w:val="zh-CN"/>
        </w:rPr>
        <w:t>修订过期的编制依据。</w:t>
      </w:r>
    </w:p>
    <w:p w14:paraId="28B2FF0D">
      <w:pPr>
        <w:rPr>
          <w:rFonts w:hint="eastAsia" w:ascii="宋体" w:hAnsi="宋体" w:cs="宋体"/>
          <w:bCs/>
          <w:sz w:val="24"/>
          <w:szCs w:val="24"/>
          <w:vertAlign w:val="baseline"/>
          <w:lang w:val="en-US" w:eastAsia="zh-CN"/>
        </w:rPr>
      </w:pPr>
      <w:r>
        <w:rPr>
          <w:rFonts w:hint="eastAsia" w:ascii="宋体" w:hAnsi="宋体" w:cs="宋体"/>
          <w:bCs/>
          <w:sz w:val="24"/>
          <w:szCs w:val="24"/>
          <w:vertAlign w:val="baseline"/>
          <w:lang w:val="zh-CN"/>
        </w:rPr>
        <w:t>已修改，见报告</w:t>
      </w:r>
      <w:r>
        <w:rPr>
          <w:rFonts w:hint="eastAsia" w:ascii="宋体" w:hAnsi="宋体" w:cs="宋体"/>
          <w:bCs/>
          <w:sz w:val="24"/>
          <w:szCs w:val="24"/>
          <w:vertAlign w:val="baseline"/>
          <w:lang w:val="en-US" w:eastAsia="zh-CN"/>
        </w:rPr>
        <w:t>P3-4。</w:t>
      </w:r>
    </w:p>
    <w:p w14:paraId="09D2C73C">
      <w:pPr>
        <w:spacing w:line="360" w:lineRule="auto"/>
        <w:ind w:firstLine="482" w:firstLineChars="200"/>
        <w:rPr>
          <w:rFonts w:hint="eastAsia" w:eastAsia="宋体"/>
          <w:b/>
          <w:bCs/>
          <w:color w:val="auto"/>
          <w:sz w:val="24"/>
          <w:szCs w:val="24"/>
          <w:lang w:eastAsia="zh-CN"/>
        </w:rPr>
      </w:pPr>
      <w:r>
        <w:rPr>
          <w:b/>
          <w:bCs/>
          <w:color w:val="auto"/>
          <w:sz w:val="24"/>
          <w:szCs w:val="24"/>
        </w:rPr>
        <w:t>2、</w:t>
      </w:r>
      <w:r>
        <w:rPr>
          <w:rFonts w:hint="eastAsia"/>
          <w:b/>
          <w:bCs/>
          <w:color w:val="auto"/>
          <w:sz w:val="24"/>
          <w:szCs w:val="24"/>
          <w:lang w:eastAsia="zh-CN"/>
        </w:rPr>
        <w:t>编制依据</w:t>
      </w:r>
    </w:p>
    <w:p w14:paraId="2386804D">
      <w:pPr>
        <w:spacing w:line="360" w:lineRule="auto"/>
        <w:ind w:firstLine="482" w:firstLineChars="200"/>
        <w:rPr>
          <w:rFonts w:hint="eastAsia"/>
          <w:b/>
          <w:bCs/>
          <w:color w:val="auto"/>
          <w:sz w:val="24"/>
          <w:szCs w:val="24"/>
          <w:lang w:val="en-US" w:eastAsia="zh-CN"/>
        </w:rPr>
      </w:pPr>
      <w:r>
        <w:rPr>
          <w:rFonts w:hint="eastAsia"/>
          <w:b/>
          <w:bCs/>
          <w:color w:val="auto"/>
          <w:sz w:val="24"/>
          <w:szCs w:val="24"/>
          <w:lang w:val="en-US" w:eastAsia="zh-CN"/>
        </w:rPr>
        <w:t>2.1</w:t>
      </w:r>
      <w:r>
        <w:rPr>
          <w:rFonts w:hint="default"/>
          <w:b/>
          <w:bCs/>
          <w:color w:val="auto"/>
          <w:sz w:val="24"/>
          <w:szCs w:val="24"/>
        </w:rPr>
        <w:t>国家和地方环境保护法律、法规</w:t>
      </w:r>
    </w:p>
    <w:p w14:paraId="1FB98A7D">
      <w:pPr>
        <w:spacing w:line="360" w:lineRule="auto"/>
        <w:jc w:val="center"/>
        <w:rPr>
          <w:rFonts w:hint="eastAsia"/>
          <w:b/>
          <w:bCs/>
          <w:color w:val="auto"/>
          <w:sz w:val="24"/>
          <w:szCs w:val="24"/>
          <w:lang w:val="en-US" w:eastAsia="zh-CN"/>
        </w:rPr>
      </w:pPr>
      <w:r>
        <w:rPr>
          <w:rFonts w:hint="default" w:ascii="Times New Roman" w:hAnsi="Times New Roman" w:eastAsia="宋体" w:cs="Times New Roman"/>
          <w:b/>
          <w:color w:val="auto"/>
          <w:kern w:val="0"/>
        </w:rPr>
        <w:t>表1</w:t>
      </w:r>
      <w:r>
        <w:rPr>
          <w:rFonts w:hint="eastAsia" w:ascii="Times New Roman" w:hAnsi="Times New Roman" w:eastAsia="宋体" w:cs="Times New Roman"/>
          <w:b/>
          <w:color w:val="auto"/>
          <w:kern w:val="0"/>
          <w:lang w:val="en-US" w:eastAsia="zh-CN"/>
        </w:rPr>
        <w:t>-1</w:t>
      </w:r>
      <w:r>
        <w:rPr>
          <w:rFonts w:hint="default" w:ascii="Times New Roman" w:hAnsi="Times New Roman" w:eastAsia="宋体" w:cs="Times New Roman"/>
          <w:b/>
          <w:color w:val="auto"/>
          <w:kern w:val="0"/>
        </w:rPr>
        <w:t xml:space="preserve">    法律法规依据一览表</w:t>
      </w:r>
    </w:p>
    <w:tbl>
      <w:tblPr>
        <w:tblStyle w:val="11"/>
        <w:tblW w:w="4997"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559"/>
        <w:gridCol w:w="4381"/>
        <w:gridCol w:w="2394"/>
        <w:gridCol w:w="1183"/>
      </w:tblGrid>
      <w:tr w14:paraId="3FCFBF1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65" w:hRule="atLeast"/>
          <w:tblHeader/>
        </w:trPr>
        <w:tc>
          <w:tcPr>
            <w:tcW w:w="328" w:type="pct"/>
            <w:noWrap w:val="0"/>
            <w:vAlign w:val="center"/>
          </w:tcPr>
          <w:p w14:paraId="5CB1D61E">
            <w:pPr>
              <w:ind w:left="-6"/>
              <w:jc w:val="center"/>
              <w:rPr>
                <w:rFonts w:hint="default" w:ascii="Times New Roman" w:hAnsi="Times New Roman" w:eastAsia="宋体" w:cs="Times New Roman"/>
                <w:b/>
                <w:color w:val="auto"/>
                <w:szCs w:val="21"/>
              </w:rPr>
            </w:pPr>
            <w:r>
              <w:rPr>
                <w:rFonts w:hint="default" w:ascii="Times New Roman" w:hAnsi="Times New Roman" w:eastAsia="宋体" w:cs="Times New Roman"/>
                <w:b/>
                <w:color w:val="auto"/>
                <w:szCs w:val="21"/>
              </w:rPr>
              <w:t>序</w:t>
            </w:r>
          </w:p>
          <w:p w14:paraId="20D9A41A">
            <w:pPr>
              <w:ind w:left="-6"/>
              <w:jc w:val="center"/>
              <w:rPr>
                <w:rFonts w:hint="default" w:ascii="Times New Roman" w:hAnsi="Times New Roman" w:eastAsia="宋体" w:cs="Times New Roman"/>
                <w:b/>
                <w:color w:val="auto"/>
                <w:szCs w:val="21"/>
              </w:rPr>
            </w:pPr>
            <w:r>
              <w:rPr>
                <w:rFonts w:hint="default" w:ascii="Times New Roman" w:hAnsi="Times New Roman" w:eastAsia="宋体" w:cs="Times New Roman"/>
                <w:b/>
                <w:color w:val="auto"/>
                <w:szCs w:val="21"/>
              </w:rPr>
              <w:t>号</w:t>
            </w:r>
          </w:p>
        </w:tc>
        <w:tc>
          <w:tcPr>
            <w:tcW w:w="2571" w:type="pct"/>
            <w:noWrap w:val="0"/>
            <w:vAlign w:val="center"/>
          </w:tcPr>
          <w:p w14:paraId="6CEAD56F">
            <w:pPr>
              <w:ind w:left="-6"/>
              <w:jc w:val="center"/>
              <w:rPr>
                <w:rFonts w:hint="default" w:ascii="Times New Roman" w:hAnsi="Times New Roman" w:eastAsia="宋体" w:cs="Times New Roman"/>
                <w:b/>
                <w:color w:val="auto"/>
                <w:szCs w:val="21"/>
              </w:rPr>
            </w:pPr>
            <w:r>
              <w:rPr>
                <w:rFonts w:hint="default" w:ascii="Times New Roman" w:hAnsi="Times New Roman" w:eastAsia="宋体" w:cs="Times New Roman"/>
                <w:b/>
                <w:color w:val="auto"/>
                <w:szCs w:val="21"/>
              </w:rPr>
              <w:t>依据名称</w:t>
            </w:r>
          </w:p>
        </w:tc>
        <w:tc>
          <w:tcPr>
            <w:tcW w:w="1405" w:type="pct"/>
            <w:noWrap w:val="0"/>
            <w:vAlign w:val="center"/>
          </w:tcPr>
          <w:p w14:paraId="4DFE821A">
            <w:pPr>
              <w:ind w:left="-6"/>
              <w:jc w:val="center"/>
              <w:rPr>
                <w:rFonts w:hint="default" w:ascii="Times New Roman" w:hAnsi="Times New Roman" w:eastAsia="宋体" w:cs="Times New Roman"/>
                <w:b/>
                <w:color w:val="auto"/>
                <w:szCs w:val="21"/>
              </w:rPr>
            </w:pPr>
            <w:r>
              <w:rPr>
                <w:rFonts w:hint="default" w:ascii="Times New Roman" w:hAnsi="Times New Roman" w:eastAsia="宋体" w:cs="Times New Roman"/>
                <w:b/>
                <w:color w:val="auto"/>
                <w:szCs w:val="21"/>
              </w:rPr>
              <w:t>文号</w:t>
            </w:r>
          </w:p>
        </w:tc>
        <w:tc>
          <w:tcPr>
            <w:tcW w:w="694" w:type="pct"/>
            <w:noWrap w:val="0"/>
            <w:vAlign w:val="center"/>
          </w:tcPr>
          <w:p w14:paraId="0B7F7955">
            <w:pPr>
              <w:ind w:left="-6"/>
              <w:jc w:val="center"/>
              <w:rPr>
                <w:rFonts w:hint="default" w:ascii="Times New Roman" w:hAnsi="Times New Roman" w:eastAsia="宋体" w:cs="Times New Roman"/>
                <w:b/>
                <w:color w:val="auto"/>
                <w:szCs w:val="21"/>
              </w:rPr>
            </w:pPr>
            <w:r>
              <w:rPr>
                <w:rFonts w:hint="default" w:ascii="Times New Roman" w:hAnsi="Times New Roman" w:eastAsia="宋体" w:cs="Times New Roman"/>
                <w:b/>
                <w:color w:val="auto"/>
                <w:szCs w:val="21"/>
              </w:rPr>
              <w:t>实施时间</w:t>
            </w:r>
          </w:p>
        </w:tc>
      </w:tr>
      <w:tr w14:paraId="3673DE9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91" w:hRule="atLeast"/>
        </w:trPr>
        <w:tc>
          <w:tcPr>
            <w:tcW w:w="328" w:type="pct"/>
            <w:noWrap w:val="0"/>
            <w:vAlign w:val="center"/>
          </w:tcPr>
          <w:p w14:paraId="52227B1C">
            <w:pPr>
              <w:adjustRightInd w:val="0"/>
              <w:snapToGrid w:val="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1</w:t>
            </w:r>
          </w:p>
        </w:tc>
        <w:tc>
          <w:tcPr>
            <w:tcW w:w="2571" w:type="pct"/>
            <w:noWrap w:val="0"/>
            <w:vAlign w:val="center"/>
          </w:tcPr>
          <w:p w14:paraId="1F52BC9F">
            <w:pPr>
              <w:adjustRightInd w:val="0"/>
              <w:snapToGrid w:val="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中华人民共和国环境保护法</w:t>
            </w:r>
          </w:p>
        </w:tc>
        <w:tc>
          <w:tcPr>
            <w:tcW w:w="1405" w:type="pct"/>
            <w:noWrap w:val="0"/>
            <w:vAlign w:val="center"/>
          </w:tcPr>
          <w:p w14:paraId="0BA5093E">
            <w:pPr>
              <w:adjustRightInd w:val="0"/>
              <w:snapToGrid w:val="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主席令第9号</w:t>
            </w:r>
          </w:p>
        </w:tc>
        <w:tc>
          <w:tcPr>
            <w:tcW w:w="694" w:type="pct"/>
            <w:noWrap w:val="0"/>
            <w:vAlign w:val="center"/>
          </w:tcPr>
          <w:p w14:paraId="3E8426B7">
            <w:pPr>
              <w:adjustRightInd w:val="0"/>
              <w:snapToGrid w:val="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2015.1.1</w:t>
            </w:r>
          </w:p>
        </w:tc>
      </w:tr>
      <w:tr w14:paraId="1B2BCF8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91" w:hRule="atLeast"/>
        </w:trPr>
        <w:tc>
          <w:tcPr>
            <w:tcW w:w="328" w:type="pct"/>
            <w:noWrap w:val="0"/>
            <w:vAlign w:val="center"/>
          </w:tcPr>
          <w:p w14:paraId="44582A8A">
            <w:pPr>
              <w:adjustRightInd w:val="0"/>
              <w:snapToGrid w:val="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2</w:t>
            </w:r>
          </w:p>
        </w:tc>
        <w:tc>
          <w:tcPr>
            <w:tcW w:w="2571" w:type="pct"/>
            <w:noWrap w:val="0"/>
            <w:vAlign w:val="center"/>
          </w:tcPr>
          <w:p w14:paraId="5B43BC73">
            <w:pPr>
              <w:adjustRightInd w:val="0"/>
              <w:snapToGrid w:val="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中华人民共和国环境影响评价法</w:t>
            </w:r>
          </w:p>
        </w:tc>
        <w:tc>
          <w:tcPr>
            <w:tcW w:w="1405" w:type="pct"/>
            <w:noWrap w:val="0"/>
            <w:vAlign w:val="center"/>
          </w:tcPr>
          <w:p w14:paraId="341DC79C">
            <w:pPr>
              <w:adjustRightInd w:val="0"/>
              <w:snapToGrid w:val="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主席令第77号</w:t>
            </w:r>
          </w:p>
        </w:tc>
        <w:tc>
          <w:tcPr>
            <w:tcW w:w="694" w:type="pct"/>
            <w:noWrap w:val="0"/>
            <w:vAlign w:val="center"/>
          </w:tcPr>
          <w:p w14:paraId="016DF1C6">
            <w:pPr>
              <w:adjustRightInd w:val="0"/>
              <w:snapToGrid w:val="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2018.12.29</w:t>
            </w:r>
          </w:p>
        </w:tc>
      </w:tr>
      <w:tr w14:paraId="3B427D7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91" w:hRule="atLeast"/>
        </w:trPr>
        <w:tc>
          <w:tcPr>
            <w:tcW w:w="328" w:type="pct"/>
            <w:noWrap w:val="0"/>
            <w:vAlign w:val="center"/>
          </w:tcPr>
          <w:p w14:paraId="3421ABB6">
            <w:pPr>
              <w:adjustRightInd w:val="0"/>
              <w:snapToGrid w:val="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3</w:t>
            </w:r>
          </w:p>
        </w:tc>
        <w:tc>
          <w:tcPr>
            <w:tcW w:w="2571" w:type="pct"/>
            <w:noWrap w:val="0"/>
            <w:vAlign w:val="center"/>
          </w:tcPr>
          <w:p w14:paraId="7A9E4338">
            <w:pPr>
              <w:adjustRightInd w:val="0"/>
              <w:snapToGrid w:val="0"/>
              <w:jc w:val="center"/>
              <w:textAlignment w:val="baseline"/>
              <w:rPr>
                <w:rFonts w:hint="eastAsia" w:ascii="Times New Roman" w:hAnsi="Times New Roman" w:eastAsia="宋体" w:cs="Times New Roman"/>
                <w:color w:val="auto"/>
                <w:szCs w:val="21"/>
                <w:lang w:eastAsia="zh-CN"/>
              </w:rPr>
            </w:pPr>
            <w:r>
              <w:rPr>
                <w:rFonts w:hint="default" w:ascii="Times New Roman" w:hAnsi="Times New Roman" w:eastAsia="宋体" w:cs="Times New Roman"/>
                <w:color w:val="auto"/>
                <w:szCs w:val="21"/>
              </w:rPr>
              <w:t>中华人民共和国大气污染防治法</w:t>
            </w:r>
            <w:r>
              <w:rPr>
                <w:rFonts w:hint="eastAsia" w:ascii="Times New Roman" w:hAnsi="Times New Roman" w:eastAsia="宋体" w:cs="Times New Roman"/>
                <w:color w:val="auto"/>
                <w:szCs w:val="21"/>
                <w:lang w:eastAsia="zh-CN"/>
              </w:rPr>
              <w:t>（</w:t>
            </w:r>
            <w:r>
              <w:rPr>
                <w:rFonts w:hint="eastAsia" w:ascii="Times New Roman" w:hAnsi="Times New Roman" w:eastAsia="宋体" w:cs="Times New Roman"/>
                <w:color w:val="auto"/>
                <w:szCs w:val="21"/>
                <w:lang w:val="en-US" w:eastAsia="zh-CN"/>
              </w:rPr>
              <w:t>2018修订版</w:t>
            </w:r>
            <w:r>
              <w:rPr>
                <w:rFonts w:hint="eastAsia" w:ascii="Times New Roman" w:hAnsi="Times New Roman" w:eastAsia="宋体" w:cs="Times New Roman"/>
                <w:color w:val="auto"/>
                <w:szCs w:val="21"/>
                <w:lang w:eastAsia="zh-CN"/>
              </w:rPr>
              <w:t>）</w:t>
            </w:r>
          </w:p>
        </w:tc>
        <w:tc>
          <w:tcPr>
            <w:tcW w:w="1405" w:type="pct"/>
            <w:noWrap w:val="0"/>
            <w:vAlign w:val="center"/>
          </w:tcPr>
          <w:p w14:paraId="46EACFA8">
            <w:pPr>
              <w:adjustRightInd w:val="0"/>
              <w:snapToGrid w:val="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主席令第</w:t>
            </w:r>
            <w:r>
              <w:rPr>
                <w:rFonts w:hint="eastAsia" w:ascii="Times New Roman" w:hAnsi="Times New Roman" w:eastAsia="宋体" w:cs="Times New Roman"/>
                <w:color w:val="auto"/>
                <w:szCs w:val="21"/>
                <w:lang w:val="en-US" w:eastAsia="zh-CN"/>
              </w:rPr>
              <w:t>16</w:t>
            </w:r>
            <w:r>
              <w:rPr>
                <w:rFonts w:hint="default" w:ascii="Times New Roman" w:hAnsi="Times New Roman" w:eastAsia="宋体" w:cs="Times New Roman"/>
                <w:color w:val="auto"/>
                <w:szCs w:val="21"/>
              </w:rPr>
              <w:t>号</w:t>
            </w:r>
          </w:p>
        </w:tc>
        <w:tc>
          <w:tcPr>
            <w:tcW w:w="694" w:type="pct"/>
            <w:noWrap w:val="0"/>
            <w:vAlign w:val="center"/>
          </w:tcPr>
          <w:p w14:paraId="73642C4D">
            <w:pPr>
              <w:adjustRightInd w:val="0"/>
              <w:snapToGrid w:val="0"/>
              <w:jc w:val="center"/>
              <w:textAlignment w:val="baseline"/>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rPr>
              <w:t>20</w:t>
            </w:r>
            <w:r>
              <w:rPr>
                <w:rFonts w:hint="eastAsia" w:ascii="Times New Roman" w:hAnsi="Times New Roman" w:eastAsia="宋体" w:cs="Times New Roman"/>
                <w:color w:val="auto"/>
                <w:szCs w:val="21"/>
                <w:lang w:val="en-US" w:eastAsia="zh-CN"/>
              </w:rPr>
              <w:t>19.3.21</w:t>
            </w:r>
          </w:p>
        </w:tc>
      </w:tr>
      <w:tr w14:paraId="442A587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91" w:hRule="atLeast"/>
        </w:trPr>
        <w:tc>
          <w:tcPr>
            <w:tcW w:w="328" w:type="pct"/>
            <w:noWrap w:val="0"/>
            <w:vAlign w:val="center"/>
          </w:tcPr>
          <w:p w14:paraId="0C0C8E45">
            <w:pPr>
              <w:adjustRightInd w:val="0"/>
              <w:snapToGrid w:val="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4</w:t>
            </w:r>
          </w:p>
        </w:tc>
        <w:tc>
          <w:tcPr>
            <w:tcW w:w="2571" w:type="pct"/>
            <w:noWrap w:val="0"/>
            <w:vAlign w:val="center"/>
          </w:tcPr>
          <w:p w14:paraId="059D9E92">
            <w:pPr>
              <w:adjustRightInd w:val="0"/>
              <w:snapToGrid w:val="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中华人民共和国水污染防治法</w:t>
            </w:r>
          </w:p>
        </w:tc>
        <w:tc>
          <w:tcPr>
            <w:tcW w:w="1405" w:type="pct"/>
            <w:noWrap w:val="0"/>
            <w:vAlign w:val="center"/>
          </w:tcPr>
          <w:p w14:paraId="0B0B5448">
            <w:pPr>
              <w:adjustRightInd w:val="0"/>
              <w:snapToGrid w:val="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主席令第87号</w:t>
            </w:r>
          </w:p>
        </w:tc>
        <w:tc>
          <w:tcPr>
            <w:tcW w:w="694" w:type="pct"/>
            <w:noWrap w:val="0"/>
            <w:vAlign w:val="center"/>
          </w:tcPr>
          <w:p w14:paraId="74A75CC5">
            <w:pPr>
              <w:adjustRightInd w:val="0"/>
              <w:snapToGrid w:val="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2018.1.1</w:t>
            </w:r>
          </w:p>
        </w:tc>
      </w:tr>
      <w:tr w14:paraId="044BEAB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91" w:hRule="atLeast"/>
        </w:trPr>
        <w:tc>
          <w:tcPr>
            <w:tcW w:w="328" w:type="pct"/>
            <w:noWrap w:val="0"/>
            <w:vAlign w:val="center"/>
          </w:tcPr>
          <w:p w14:paraId="04FD6578">
            <w:pPr>
              <w:adjustRightInd w:val="0"/>
              <w:snapToGrid w:val="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5</w:t>
            </w:r>
          </w:p>
        </w:tc>
        <w:tc>
          <w:tcPr>
            <w:tcW w:w="2571" w:type="pct"/>
            <w:noWrap w:val="0"/>
            <w:vAlign w:val="center"/>
          </w:tcPr>
          <w:p w14:paraId="07F8204C">
            <w:pPr>
              <w:adjustRightInd w:val="0"/>
              <w:snapToGrid w:val="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中华人民共和国环境噪声污染防治法</w:t>
            </w:r>
          </w:p>
        </w:tc>
        <w:tc>
          <w:tcPr>
            <w:tcW w:w="1405" w:type="pct"/>
            <w:noWrap w:val="0"/>
            <w:vAlign w:val="center"/>
          </w:tcPr>
          <w:p w14:paraId="402B6DA8">
            <w:pPr>
              <w:adjustRightInd w:val="0"/>
              <w:snapToGrid w:val="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主席令第77号</w:t>
            </w:r>
          </w:p>
        </w:tc>
        <w:tc>
          <w:tcPr>
            <w:tcW w:w="694" w:type="pct"/>
            <w:noWrap w:val="0"/>
            <w:vAlign w:val="center"/>
          </w:tcPr>
          <w:p w14:paraId="7D25652A">
            <w:pPr>
              <w:adjustRightInd w:val="0"/>
              <w:snapToGrid w:val="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2018.12.29</w:t>
            </w:r>
          </w:p>
        </w:tc>
      </w:tr>
      <w:tr w14:paraId="42AD428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328" w:type="pct"/>
            <w:noWrap w:val="0"/>
            <w:vAlign w:val="center"/>
          </w:tcPr>
          <w:p w14:paraId="01CEF10F">
            <w:pPr>
              <w:adjustRightInd w:val="0"/>
              <w:snapToGrid w:val="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6</w:t>
            </w:r>
          </w:p>
        </w:tc>
        <w:tc>
          <w:tcPr>
            <w:tcW w:w="2571" w:type="pct"/>
            <w:noWrap w:val="0"/>
            <w:vAlign w:val="center"/>
          </w:tcPr>
          <w:p w14:paraId="08A4037A">
            <w:pPr>
              <w:adjustRightInd w:val="0"/>
              <w:snapToGrid w:val="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中华人民共和国固体废物污染环境防治法（修订版）</w:t>
            </w:r>
          </w:p>
        </w:tc>
        <w:tc>
          <w:tcPr>
            <w:tcW w:w="1405" w:type="pct"/>
            <w:noWrap w:val="0"/>
            <w:vAlign w:val="center"/>
          </w:tcPr>
          <w:p w14:paraId="7576C33F">
            <w:pPr>
              <w:adjustRightInd w:val="0"/>
              <w:snapToGrid w:val="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全国人民代表大会常务委员会</w:t>
            </w:r>
          </w:p>
        </w:tc>
        <w:tc>
          <w:tcPr>
            <w:tcW w:w="694" w:type="pct"/>
            <w:noWrap w:val="0"/>
            <w:vAlign w:val="center"/>
          </w:tcPr>
          <w:p w14:paraId="00A93DCF">
            <w:pPr>
              <w:adjustRightInd w:val="0"/>
              <w:snapToGrid w:val="0"/>
              <w:jc w:val="center"/>
              <w:textAlignment w:val="baseline"/>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rPr>
              <w:t>20</w:t>
            </w:r>
            <w:r>
              <w:rPr>
                <w:rFonts w:hint="eastAsia" w:ascii="Times New Roman" w:hAnsi="Times New Roman" w:eastAsia="宋体" w:cs="Times New Roman"/>
                <w:color w:val="auto"/>
                <w:szCs w:val="21"/>
                <w:lang w:val="en-US" w:eastAsia="zh-CN"/>
              </w:rPr>
              <w:t>20.9.1</w:t>
            </w:r>
          </w:p>
        </w:tc>
      </w:tr>
      <w:tr w14:paraId="39BD823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91" w:hRule="atLeast"/>
        </w:trPr>
        <w:tc>
          <w:tcPr>
            <w:tcW w:w="594" w:type="dxa"/>
            <w:noWrap w:val="0"/>
            <w:vAlign w:val="center"/>
          </w:tcPr>
          <w:p w14:paraId="57813BC7">
            <w:pPr>
              <w:adjustRightInd w:val="0"/>
              <w:snapToGrid w:val="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7</w:t>
            </w:r>
          </w:p>
        </w:tc>
        <w:tc>
          <w:tcPr>
            <w:tcW w:w="2571" w:type="pct"/>
            <w:noWrap w:val="0"/>
            <w:vAlign w:val="center"/>
          </w:tcPr>
          <w:p w14:paraId="4C533ACA">
            <w:pPr>
              <w:adjustRightInd w:val="0"/>
              <w:snapToGrid w:val="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中华人民共和国土地管理法</w:t>
            </w:r>
          </w:p>
        </w:tc>
        <w:tc>
          <w:tcPr>
            <w:tcW w:w="1405" w:type="pct"/>
            <w:noWrap w:val="0"/>
            <w:vAlign w:val="center"/>
          </w:tcPr>
          <w:p w14:paraId="2F0FD767">
            <w:pPr>
              <w:adjustRightInd w:val="0"/>
              <w:snapToGrid w:val="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全国人民代表大会常务委员会</w:t>
            </w:r>
          </w:p>
        </w:tc>
        <w:tc>
          <w:tcPr>
            <w:tcW w:w="694" w:type="pct"/>
            <w:noWrap w:val="0"/>
            <w:vAlign w:val="center"/>
          </w:tcPr>
          <w:p w14:paraId="6F249726">
            <w:pPr>
              <w:adjustRightInd w:val="0"/>
              <w:snapToGrid w:val="0"/>
              <w:jc w:val="center"/>
              <w:textAlignment w:val="baseline"/>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rPr>
              <w:t>20</w:t>
            </w:r>
            <w:r>
              <w:rPr>
                <w:rFonts w:hint="eastAsia" w:ascii="Times New Roman" w:hAnsi="Times New Roman" w:eastAsia="宋体" w:cs="Times New Roman"/>
                <w:color w:val="auto"/>
                <w:szCs w:val="21"/>
                <w:lang w:val="en-US" w:eastAsia="zh-CN"/>
              </w:rPr>
              <w:t>20.1.1</w:t>
            </w:r>
          </w:p>
        </w:tc>
      </w:tr>
      <w:tr w14:paraId="7C8B50C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91" w:hRule="atLeast"/>
        </w:trPr>
        <w:tc>
          <w:tcPr>
            <w:tcW w:w="594" w:type="dxa"/>
            <w:noWrap w:val="0"/>
            <w:vAlign w:val="center"/>
          </w:tcPr>
          <w:p w14:paraId="6E59E7A1">
            <w:pPr>
              <w:adjustRightInd w:val="0"/>
              <w:snapToGrid w:val="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8</w:t>
            </w:r>
          </w:p>
        </w:tc>
        <w:tc>
          <w:tcPr>
            <w:tcW w:w="2571" w:type="pct"/>
            <w:noWrap w:val="0"/>
            <w:vAlign w:val="center"/>
          </w:tcPr>
          <w:p w14:paraId="0E15B266">
            <w:pPr>
              <w:adjustRightInd w:val="0"/>
              <w:snapToGrid w:val="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中华人民共和国清洁生产促进法</w:t>
            </w:r>
          </w:p>
        </w:tc>
        <w:tc>
          <w:tcPr>
            <w:tcW w:w="1405" w:type="pct"/>
            <w:noWrap w:val="0"/>
            <w:vAlign w:val="center"/>
          </w:tcPr>
          <w:p w14:paraId="3D247F8C">
            <w:pPr>
              <w:adjustRightInd w:val="0"/>
              <w:snapToGrid w:val="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主席令第54号</w:t>
            </w:r>
          </w:p>
        </w:tc>
        <w:tc>
          <w:tcPr>
            <w:tcW w:w="694" w:type="pct"/>
            <w:noWrap w:val="0"/>
            <w:vAlign w:val="center"/>
          </w:tcPr>
          <w:p w14:paraId="5EE5E476">
            <w:pPr>
              <w:adjustRightInd w:val="0"/>
              <w:snapToGrid w:val="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2012.7.1</w:t>
            </w:r>
          </w:p>
        </w:tc>
      </w:tr>
      <w:tr w14:paraId="7D1D668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594" w:type="dxa"/>
            <w:noWrap w:val="0"/>
            <w:vAlign w:val="center"/>
          </w:tcPr>
          <w:p w14:paraId="4F0579F6">
            <w:pPr>
              <w:adjustRightInd w:val="0"/>
              <w:snapToGrid w:val="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9</w:t>
            </w:r>
          </w:p>
        </w:tc>
        <w:tc>
          <w:tcPr>
            <w:tcW w:w="2571" w:type="pct"/>
            <w:noWrap w:val="0"/>
            <w:vAlign w:val="center"/>
          </w:tcPr>
          <w:p w14:paraId="2A891B66">
            <w:pPr>
              <w:adjustRightInd w:val="0"/>
              <w:snapToGrid w:val="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中华人民共和国水土保持法</w:t>
            </w:r>
          </w:p>
        </w:tc>
        <w:tc>
          <w:tcPr>
            <w:tcW w:w="1405" w:type="pct"/>
            <w:noWrap w:val="0"/>
            <w:vAlign w:val="center"/>
          </w:tcPr>
          <w:p w14:paraId="09593832">
            <w:pPr>
              <w:adjustRightInd w:val="0"/>
              <w:snapToGrid w:val="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主席令第</w:t>
            </w:r>
            <w:r>
              <w:rPr>
                <w:rFonts w:hint="eastAsia" w:ascii="Times New Roman" w:hAnsi="Times New Roman" w:eastAsia="宋体" w:cs="Times New Roman"/>
                <w:color w:val="auto"/>
                <w:szCs w:val="21"/>
                <w:lang w:val="en-US" w:eastAsia="zh-CN"/>
              </w:rPr>
              <w:t>39</w:t>
            </w:r>
            <w:r>
              <w:rPr>
                <w:rFonts w:hint="default" w:ascii="Times New Roman" w:hAnsi="Times New Roman" w:eastAsia="宋体" w:cs="Times New Roman"/>
                <w:color w:val="auto"/>
                <w:szCs w:val="21"/>
              </w:rPr>
              <w:t>号</w:t>
            </w:r>
          </w:p>
        </w:tc>
        <w:tc>
          <w:tcPr>
            <w:tcW w:w="694" w:type="pct"/>
            <w:noWrap w:val="0"/>
            <w:vAlign w:val="center"/>
          </w:tcPr>
          <w:p w14:paraId="2BCDC33B">
            <w:pPr>
              <w:adjustRightInd w:val="0"/>
              <w:snapToGrid w:val="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2011.3.1</w:t>
            </w:r>
          </w:p>
        </w:tc>
      </w:tr>
      <w:tr w14:paraId="777D8EE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594" w:type="dxa"/>
            <w:noWrap w:val="0"/>
            <w:vAlign w:val="center"/>
          </w:tcPr>
          <w:p w14:paraId="71EB640D">
            <w:pPr>
              <w:adjustRightInd w:val="0"/>
              <w:snapToGrid w:val="0"/>
              <w:jc w:val="center"/>
              <w:textAlignment w:val="baseline"/>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rPr>
              <w:t>10</w:t>
            </w:r>
          </w:p>
        </w:tc>
        <w:tc>
          <w:tcPr>
            <w:tcW w:w="2571" w:type="pct"/>
            <w:noWrap w:val="0"/>
            <w:vAlign w:val="center"/>
          </w:tcPr>
          <w:p w14:paraId="63CB562F">
            <w:pPr>
              <w:adjustRightInd w:val="0"/>
              <w:snapToGrid w:val="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bCs/>
                <w:color w:val="auto"/>
                <w:szCs w:val="21"/>
              </w:rPr>
              <w:t>大气污染防治行动计划</w:t>
            </w:r>
          </w:p>
        </w:tc>
        <w:tc>
          <w:tcPr>
            <w:tcW w:w="1405" w:type="pct"/>
            <w:noWrap w:val="0"/>
            <w:vAlign w:val="center"/>
          </w:tcPr>
          <w:p w14:paraId="44E056D0">
            <w:pPr>
              <w:adjustRightInd w:val="0"/>
              <w:snapToGrid w:val="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国发〔2013〕37号</w:t>
            </w:r>
          </w:p>
        </w:tc>
        <w:tc>
          <w:tcPr>
            <w:tcW w:w="694" w:type="pct"/>
            <w:noWrap w:val="0"/>
            <w:vAlign w:val="center"/>
          </w:tcPr>
          <w:p w14:paraId="21B6D2A0">
            <w:pPr>
              <w:adjustRightInd w:val="0"/>
              <w:snapToGrid w:val="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2013.9.10</w:t>
            </w:r>
          </w:p>
        </w:tc>
      </w:tr>
      <w:tr w14:paraId="22D74F6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594" w:type="dxa"/>
            <w:noWrap w:val="0"/>
            <w:vAlign w:val="center"/>
          </w:tcPr>
          <w:p w14:paraId="01CFCFED">
            <w:pPr>
              <w:adjustRightInd w:val="0"/>
              <w:snapToGrid w:val="0"/>
              <w:jc w:val="center"/>
              <w:textAlignment w:val="baseline"/>
              <w:rPr>
                <w:rFonts w:hint="default" w:ascii="Times New Roman" w:hAnsi="Times New Roman" w:eastAsia="宋体" w:cs="Times New Roman"/>
                <w:color w:val="auto"/>
                <w:szCs w:val="21"/>
              </w:rPr>
            </w:pPr>
            <w:r>
              <w:rPr>
                <w:rFonts w:hint="eastAsia" w:ascii="Times New Roman" w:hAnsi="Times New Roman" w:eastAsia="宋体" w:cs="Times New Roman"/>
                <w:color w:val="auto"/>
                <w:szCs w:val="21"/>
                <w:lang w:val="en-US" w:eastAsia="zh-CN"/>
              </w:rPr>
              <w:t>11</w:t>
            </w:r>
          </w:p>
        </w:tc>
        <w:tc>
          <w:tcPr>
            <w:tcW w:w="2571" w:type="pct"/>
            <w:noWrap w:val="0"/>
            <w:vAlign w:val="center"/>
          </w:tcPr>
          <w:p w14:paraId="16E219F0">
            <w:pPr>
              <w:adjustRightInd w:val="0"/>
              <w:snapToGrid w:val="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bCs/>
                <w:color w:val="auto"/>
                <w:szCs w:val="21"/>
              </w:rPr>
              <w:t>水污染防治行动计划</w:t>
            </w:r>
          </w:p>
        </w:tc>
        <w:tc>
          <w:tcPr>
            <w:tcW w:w="1405" w:type="pct"/>
            <w:noWrap w:val="0"/>
            <w:vAlign w:val="center"/>
          </w:tcPr>
          <w:p w14:paraId="161065CF">
            <w:pPr>
              <w:adjustRightInd w:val="0"/>
              <w:snapToGrid w:val="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国发〔2015〕17号</w:t>
            </w:r>
          </w:p>
        </w:tc>
        <w:tc>
          <w:tcPr>
            <w:tcW w:w="694" w:type="pct"/>
            <w:noWrap w:val="0"/>
            <w:vAlign w:val="center"/>
          </w:tcPr>
          <w:p w14:paraId="0EBB664B">
            <w:pPr>
              <w:adjustRightInd w:val="0"/>
              <w:snapToGrid w:val="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2015.4.2</w:t>
            </w:r>
          </w:p>
        </w:tc>
      </w:tr>
      <w:tr w14:paraId="1CD5356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594" w:type="dxa"/>
            <w:noWrap w:val="0"/>
            <w:vAlign w:val="center"/>
          </w:tcPr>
          <w:p w14:paraId="13C81C66">
            <w:pPr>
              <w:adjustRightInd w:val="0"/>
              <w:snapToGrid w:val="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12</w:t>
            </w:r>
          </w:p>
        </w:tc>
        <w:tc>
          <w:tcPr>
            <w:tcW w:w="2571" w:type="pct"/>
            <w:noWrap w:val="0"/>
            <w:vAlign w:val="center"/>
          </w:tcPr>
          <w:p w14:paraId="2C9B5D3C">
            <w:pPr>
              <w:adjustRightInd w:val="0"/>
              <w:snapToGrid w:val="0"/>
              <w:jc w:val="center"/>
              <w:textAlignment w:val="baseline"/>
              <w:rPr>
                <w:rFonts w:hint="default" w:ascii="Times New Roman" w:hAnsi="Times New Roman" w:eastAsia="宋体" w:cs="Times New Roman"/>
                <w:bCs/>
                <w:color w:val="auto"/>
                <w:szCs w:val="21"/>
              </w:rPr>
            </w:pPr>
            <w:r>
              <w:rPr>
                <w:rFonts w:hint="default" w:ascii="Times New Roman" w:hAnsi="Times New Roman" w:eastAsia="宋体" w:cs="Times New Roman"/>
                <w:bCs/>
                <w:color w:val="auto"/>
                <w:szCs w:val="21"/>
              </w:rPr>
              <w:t>土壤污染防治行动计划</w:t>
            </w:r>
          </w:p>
        </w:tc>
        <w:tc>
          <w:tcPr>
            <w:tcW w:w="1405" w:type="pct"/>
            <w:noWrap w:val="0"/>
            <w:vAlign w:val="center"/>
          </w:tcPr>
          <w:p w14:paraId="45B6BA37">
            <w:pPr>
              <w:adjustRightInd w:val="0"/>
              <w:snapToGrid w:val="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国发〔2016〕31号</w:t>
            </w:r>
          </w:p>
        </w:tc>
        <w:tc>
          <w:tcPr>
            <w:tcW w:w="694" w:type="pct"/>
            <w:noWrap w:val="0"/>
            <w:vAlign w:val="center"/>
          </w:tcPr>
          <w:p w14:paraId="69755682">
            <w:pPr>
              <w:adjustRightInd w:val="0"/>
              <w:snapToGrid w:val="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2016.5.28</w:t>
            </w:r>
          </w:p>
        </w:tc>
      </w:tr>
      <w:tr w14:paraId="5AC44F8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594" w:type="dxa"/>
            <w:noWrap w:val="0"/>
            <w:vAlign w:val="center"/>
          </w:tcPr>
          <w:p w14:paraId="064AAEB2">
            <w:pPr>
              <w:adjustRightInd w:val="0"/>
              <w:snapToGrid w:val="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13</w:t>
            </w:r>
          </w:p>
        </w:tc>
        <w:tc>
          <w:tcPr>
            <w:tcW w:w="2571" w:type="pct"/>
            <w:noWrap w:val="0"/>
            <w:vAlign w:val="center"/>
          </w:tcPr>
          <w:p w14:paraId="7631DAE0">
            <w:pPr>
              <w:adjustRightInd w:val="0"/>
              <w:snapToGrid w:val="0"/>
              <w:jc w:val="center"/>
              <w:textAlignment w:val="baseline"/>
              <w:rPr>
                <w:rFonts w:hint="default" w:ascii="Times New Roman" w:hAnsi="Times New Roman" w:eastAsia="宋体" w:cs="Times New Roman"/>
                <w:bCs/>
                <w:color w:val="auto"/>
                <w:szCs w:val="21"/>
              </w:rPr>
            </w:pPr>
            <w:r>
              <w:rPr>
                <w:rFonts w:hint="default" w:ascii="Times New Roman" w:hAnsi="Times New Roman" w:eastAsia="宋体" w:cs="Times New Roman"/>
                <w:color w:val="auto"/>
                <w:szCs w:val="21"/>
              </w:rPr>
              <w:t>建设项目环境保护管理条例</w:t>
            </w:r>
          </w:p>
        </w:tc>
        <w:tc>
          <w:tcPr>
            <w:tcW w:w="1405" w:type="pct"/>
            <w:noWrap w:val="0"/>
            <w:vAlign w:val="center"/>
          </w:tcPr>
          <w:p w14:paraId="24F3C5F4">
            <w:pPr>
              <w:adjustRightInd w:val="0"/>
              <w:snapToGrid w:val="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国务院令682号</w:t>
            </w:r>
          </w:p>
        </w:tc>
        <w:tc>
          <w:tcPr>
            <w:tcW w:w="694" w:type="pct"/>
            <w:noWrap w:val="0"/>
            <w:vAlign w:val="center"/>
          </w:tcPr>
          <w:p w14:paraId="233F7073">
            <w:pPr>
              <w:adjustRightInd w:val="0"/>
              <w:snapToGrid w:val="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2017.10.1</w:t>
            </w:r>
          </w:p>
        </w:tc>
      </w:tr>
      <w:tr w14:paraId="6F53052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594" w:type="dxa"/>
            <w:noWrap w:val="0"/>
            <w:vAlign w:val="center"/>
          </w:tcPr>
          <w:p w14:paraId="14DFF8EC">
            <w:pPr>
              <w:adjustRightInd w:val="0"/>
              <w:snapToGrid w:val="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14</w:t>
            </w:r>
          </w:p>
        </w:tc>
        <w:tc>
          <w:tcPr>
            <w:tcW w:w="2571" w:type="pct"/>
            <w:noWrap w:val="0"/>
            <w:vAlign w:val="center"/>
          </w:tcPr>
          <w:p w14:paraId="71B5BC2E">
            <w:pPr>
              <w:adjustRightInd w:val="0"/>
              <w:snapToGrid w:val="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全国生态环境保护纲要</w:t>
            </w:r>
          </w:p>
        </w:tc>
        <w:tc>
          <w:tcPr>
            <w:tcW w:w="1405" w:type="pct"/>
            <w:noWrap w:val="0"/>
            <w:vAlign w:val="center"/>
          </w:tcPr>
          <w:p w14:paraId="423987A6">
            <w:pPr>
              <w:adjustRightInd w:val="0"/>
              <w:snapToGrid w:val="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国发[2000]38号</w:t>
            </w:r>
          </w:p>
        </w:tc>
        <w:tc>
          <w:tcPr>
            <w:tcW w:w="694" w:type="pct"/>
            <w:noWrap w:val="0"/>
            <w:vAlign w:val="center"/>
          </w:tcPr>
          <w:p w14:paraId="7E7034C4">
            <w:pPr>
              <w:adjustRightInd w:val="0"/>
              <w:snapToGrid w:val="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2000.11.26</w:t>
            </w:r>
          </w:p>
        </w:tc>
      </w:tr>
      <w:tr w14:paraId="2BB778C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594" w:type="dxa"/>
            <w:noWrap w:val="0"/>
            <w:vAlign w:val="center"/>
          </w:tcPr>
          <w:p w14:paraId="7A686AB3">
            <w:pPr>
              <w:adjustRightInd w:val="0"/>
              <w:snapToGrid w:val="0"/>
              <w:jc w:val="center"/>
              <w:textAlignment w:val="baseline"/>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rPr>
              <w:t>15</w:t>
            </w:r>
          </w:p>
        </w:tc>
        <w:tc>
          <w:tcPr>
            <w:tcW w:w="2571" w:type="pct"/>
            <w:noWrap w:val="0"/>
            <w:vAlign w:val="center"/>
          </w:tcPr>
          <w:p w14:paraId="7DA514F7">
            <w:pPr>
              <w:adjustRightInd w:val="0"/>
              <w:snapToGrid w:val="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rPr>
              <w:t>新疆维吾尔自治区环境保护条例（2018年修订）</w:t>
            </w:r>
          </w:p>
        </w:tc>
        <w:tc>
          <w:tcPr>
            <w:tcW w:w="1405" w:type="pct"/>
            <w:noWrap w:val="0"/>
            <w:vAlign w:val="center"/>
          </w:tcPr>
          <w:p w14:paraId="22706EF6">
            <w:pPr>
              <w:adjustRightInd w:val="0"/>
              <w:snapToGrid w:val="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w:t>
            </w:r>
          </w:p>
        </w:tc>
        <w:tc>
          <w:tcPr>
            <w:tcW w:w="694" w:type="pct"/>
            <w:noWrap w:val="0"/>
            <w:vAlign w:val="center"/>
          </w:tcPr>
          <w:p w14:paraId="2AA608D2">
            <w:pPr>
              <w:adjustRightInd w:val="0"/>
              <w:snapToGrid w:val="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2018.9.21</w:t>
            </w:r>
          </w:p>
        </w:tc>
      </w:tr>
      <w:tr w14:paraId="00C613D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594" w:type="dxa"/>
            <w:noWrap w:val="0"/>
            <w:vAlign w:val="center"/>
          </w:tcPr>
          <w:p w14:paraId="7E0031F9">
            <w:pPr>
              <w:adjustRightInd w:val="0"/>
              <w:snapToGrid w:val="0"/>
              <w:jc w:val="center"/>
              <w:textAlignment w:val="baseline"/>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16</w:t>
            </w:r>
          </w:p>
        </w:tc>
        <w:tc>
          <w:tcPr>
            <w:tcW w:w="2571" w:type="pct"/>
            <w:noWrap w:val="0"/>
            <w:vAlign w:val="center"/>
          </w:tcPr>
          <w:p w14:paraId="06FBCB74">
            <w:pPr>
              <w:adjustRightInd w:val="0"/>
              <w:snapToGrid w:val="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bCs/>
                <w:color w:val="auto"/>
                <w:szCs w:val="21"/>
              </w:rPr>
              <w:t>新疆维吾尔自治区生态环境功能区划</w:t>
            </w:r>
          </w:p>
        </w:tc>
        <w:tc>
          <w:tcPr>
            <w:tcW w:w="1405" w:type="pct"/>
            <w:noWrap w:val="0"/>
            <w:vAlign w:val="center"/>
          </w:tcPr>
          <w:p w14:paraId="0EA09B60">
            <w:pPr>
              <w:adjustRightInd w:val="0"/>
              <w:snapToGrid w:val="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bCs/>
                <w:color w:val="auto"/>
                <w:szCs w:val="21"/>
              </w:rPr>
              <w:t>/</w:t>
            </w:r>
          </w:p>
        </w:tc>
        <w:tc>
          <w:tcPr>
            <w:tcW w:w="694" w:type="pct"/>
            <w:noWrap w:val="0"/>
            <w:vAlign w:val="center"/>
          </w:tcPr>
          <w:p w14:paraId="17372D47">
            <w:pPr>
              <w:adjustRightInd w:val="0"/>
              <w:snapToGrid w:val="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bCs/>
                <w:color w:val="auto"/>
                <w:szCs w:val="21"/>
              </w:rPr>
              <w:t>2011</w:t>
            </w:r>
          </w:p>
        </w:tc>
      </w:tr>
      <w:tr w14:paraId="4A8E54B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594" w:type="dxa"/>
            <w:noWrap w:val="0"/>
            <w:vAlign w:val="center"/>
          </w:tcPr>
          <w:p w14:paraId="022B12E2">
            <w:pPr>
              <w:adjustRightInd w:val="0"/>
              <w:snapToGrid w:val="0"/>
              <w:jc w:val="center"/>
              <w:textAlignment w:val="baseline"/>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17</w:t>
            </w:r>
          </w:p>
        </w:tc>
        <w:tc>
          <w:tcPr>
            <w:tcW w:w="2571" w:type="pct"/>
            <w:noWrap w:val="0"/>
            <w:vAlign w:val="center"/>
          </w:tcPr>
          <w:p w14:paraId="610B06FF">
            <w:pPr>
              <w:adjustRightInd w:val="0"/>
              <w:snapToGrid w:val="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bCs/>
                <w:color w:val="auto"/>
                <w:szCs w:val="21"/>
              </w:rPr>
              <w:t>中国新疆水环境功能区划</w:t>
            </w:r>
          </w:p>
        </w:tc>
        <w:tc>
          <w:tcPr>
            <w:tcW w:w="1405" w:type="pct"/>
            <w:noWrap w:val="0"/>
            <w:vAlign w:val="center"/>
          </w:tcPr>
          <w:p w14:paraId="313F94C6">
            <w:pPr>
              <w:adjustRightInd w:val="0"/>
              <w:snapToGrid w:val="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bCs/>
                <w:color w:val="auto"/>
                <w:szCs w:val="21"/>
              </w:rPr>
              <w:t>/</w:t>
            </w:r>
          </w:p>
        </w:tc>
        <w:tc>
          <w:tcPr>
            <w:tcW w:w="694" w:type="pct"/>
            <w:noWrap w:val="0"/>
            <w:vAlign w:val="center"/>
          </w:tcPr>
          <w:p w14:paraId="471C248B">
            <w:pPr>
              <w:adjustRightInd w:val="0"/>
              <w:snapToGrid w:val="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bCs/>
                <w:color w:val="auto"/>
                <w:szCs w:val="21"/>
              </w:rPr>
              <w:t>2003.10</w:t>
            </w:r>
          </w:p>
        </w:tc>
      </w:tr>
      <w:tr w14:paraId="2CA4716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594" w:type="dxa"/>
            <w:noWrap w:val="0"/>
            <w:vAlign w:val="center"/>
          </w:tcPr>
          <w:p w14:paraId="36376190">
            <w:pPr>
              <w:adjustRightInd w:val="0"/>
              <w:snapToGrid w:val="0"/>
              <w:jc w:val="center"/>
              <w:textAlignment w:val="baseline"/>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18</w:t>
            </w:r>
          </w:p>
        </w:tc>
        <w:tc>
          <w:tcPr>
            <w:tcW w:w="2571" w:type="pct"/>
            <w:noWrap w:val="0"/>
            <w:vAlign w:val="center"/>
          </w:tcPr>
          <w:p w14:paraId="78B72812">
            <w:pPr>
              <w:adjustRightInd w:val="0"/>
              <w:snapToGrid w:val="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bCs/>
                <w:color w:val="auto"/>
                <w:szCs w:val="21"/>
              </w:rPr>
              <w:t>新疆维吾尔自治区主体功能区规划</w:t>
            </w:r>
          </w:p>
        </w:tc>
        <w:tc>
          <w:tcPr>
            <w:tcW w:w="1405" w:type="pct"/>
            <w:noWrap w:val="0"/>
            <w:vAlign w:val="center"/>
          </w:tcPr>
          <w:p w14:paraId="52CF0B1D">
            <w:pPr>
              <w:adjustRightInd w:val="0"/>
              <w:snapToGrid w:val="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bCs/>
                <w:color w:val="auto"/>
                <w:szCs w:val="21"/>
              </w:rPr>
              <w:t>/</w:t>
            </w:r>
          </w:p>
        </w:tc>
        <w:tc>
          <w:tcPr>
            <w:tcW w:w="694" w:type="pct"/>
            <w:noWrap w:val="0"/>
            <w:vAlign w:val="center"/>
          </w:tcPr>
          <w:p w14:paraId="39D34DFA">
            <w:pPr>
              <w:adjustRightInd w:val="0"/>
              <w:snapToGrid w:val="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bCs/>
                <w:color w:val="auto"/>
                <w:szCs w:val="21"/>
              </w:rPr>
              <w:t>2013</w:t>
            </w:r>
          </w:p>
        </w:tc>
      </w:tr>
      <w:tr w14:paraId="2C5B624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594" w:type="dxa"/>
            <w:noWrap w:val="0"/>
            <w:vAlign w:val="center"/>
          </w:tcPr>
          <w:p w14:paraId="7EA55C77">
            <w:pPr>
              <w:adjustRightInd w:val="0"/>
              <w:snapToGrid w:val="0"/>
              <w:jc w:val="center"/>
              <w:textAlignment w:val="baseline"/>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19</w:t>
            </w:r>
          </w:p>
        </w:tc>
        <w:tc>
          <w:tcPr>
            <w:tcW w:w="2571" w:type="pct"/>
            <w:noWrap w:val="0"/>
            <w:vAlign w:val="center"/>
          </w:tcPr>
          <w:p w14:paraId="436B3E46">
            <w:pPr>
              <w:adjustRightInd w:val="0"/>
              <w:snapToGrid w:val="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rPr>
              <w:t>新疆维吾尔自治区环境保护“十三五”规划</w:t>
            </w:r>
          </w:p>
        </w:tc>
        <w:tc>
          <w:tcPr>
            <w:tcW w:w="1405" w:type="pct"/>
            <w:noWrap w:val="0"/>
            <w:vAlign w:val="center"/>
          </w:tcPr>
          <w:p w14:paraId="680788EF">
            <w:pPr>
              <w:adjustRightInd w:val="0"/>
              <w:snapToGrid w:val="0"/>
              <w:jc w:val="center"/>
              <w:textAlignment w:val="baseline"/>
              <w:rPr>
                <w:rFonts w:hint="default" w:ascii="Times New Roman" w:hAnsi="Times New Roman" w:eastAsia="宋体" w:cs="Times New Roman"/>
                <w:color w:val="auto"/>
              </w:rPr>
            </w:pPr>
            <w:r>
              <w:rPr>
                <w:rFonts w:hint="default" w:ascii="Times New Roman" w:hAnsi="Times New Roman" w:eastAsia="宋体" w:cs="Times New Roman"/>
                <w:color w:val="auto"/>
              </w:rPr>
              <w:t>新疆维吾尔自治区</w:t>
            </w:r>
          </w:p>
          <w:p w14:paraId="27AC4FE4">
            <w:pPr>
              <w:adjustRightInd w:val="0"/>
              <w:snapToGrid w:val="0"/>
              <w:jc w:val="center"/>
              <w:textAlignment w:val="baseline"/>
              <w:rPr>
                <w:rFonts w:hint="default" w:ascii="Times New Roman" w:hAnsi="Times New Roman" w:eastAsia="宋体" w:cs="Times New Roman"/>
                <w:color w:val="auto"/>
                <w:szCs w:val="21"/>
              </w:rPr>
            </w:pPr>
            <w:bookmarkStart w:id="2" w:name="_GoBack"/>
            <w:bookmarkEnd w:id="2"/>
            <w:r>
              <w:rPr>
                <w:rFonts w:hint="default" w:ascii="Times New Roman" w:hAnsi="Times New Roman" w:eastAsia="宋体" w:cs="Times New Roman"/>
                <w:color w:val="auto"/>
              </w:rPr>
              <w:t>人民政府</w:t>
            </w:r>
          </w:p>
        </w:tc>
        <w:tc>
          <w:tcPr>
            <w:tcW w:w="694" w:type="pct"/>
            <w:noWrap w:val="0"/>
            <w:vAlign w:val="center"/>
          </w:tcPr>
          <w:p w14:paraId="4C49A1D2">
            <w:pPr>
              <w:adjustRightInd w:val="0"/>
              <w:snapToGrid w:val="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rPr>
              <w:t>2017.06</w:t>
            </w:r>
          </w:p>
        </w:tc>
      </w:tr>
    </w:tbl>
    <w:p w14:paraId="6FC81A44">
      <w:pPr>
        <w:spacing w:line="360" w:lineRule="auto"/>
        <w:ind w:firstLine="482" w:firstLineChars="200"/>
        <w:rPr>
          <w:rFonts w:hint="default"/>
          <w:b/>
          <w:bCs/>
          <w:color w:val="auto"/>
          <w:sz w:val="24"/>
          <w:szCs w:val="24"/>
          <w:lang w:val="en-US" w:eastAsia="zh-CN"/>
        </w:rPr>
      </w:pPr>
      <w:bookmarkStart w:id="0" w:name="_Toc18266"/>
      <w:bookmarkStart w:id="1" w:name="_Toc16659"/>
      <w:r>
        <w:rPr>
          <w:rFonts w:hint="eastAsia"/>
          <w:b/>
          <w:bCs/>
          <w:color w:val="auto"/>
          <w:sz w:val="24"/>
          <w:szCs w:val="24"/>
          <w:lang w:val="en-US" w:eastAsia="zh-CN"/>
        </w:rPr>
        <w:t>2.2</w:t>
      </w:r>
      <w:r>
        <w:rPr>
          <w:rFonts w:hint="default"/>
          <w:b/>
          <w:bCs/>
          <w:color w:val="auto"/>
          <w:sz w:val="24"/>
          <w:szCs w:val="24"/>
          <w:lang w:val="en-US" w:eastAsia="zh-CN"/>
        </w:rPr>
        <w:t xml:space="preserve"> 环评有关技术导则与技术规范</w:t>
      </w:r>
      <w:bookmarkEnd w:id="0"/>
      <w:bookmarkEnd w:id="1"/>
    </w:p>
    <w:p w14:paraId="5E3E39E7">
      <w:pPr>
        <w:adjustRightInd w:val="0"/>
        <w:snapToGrid w:val="0"/>
        <w:spacing w:line="360" w:lineRule="auto"/>
        <w:jc w:val="center"/>
        <w:rPr>
          <w:rFonts w:hint="default" w:ascii="Times New Roman" w:hAnsi="Times New Roman" w:eastAsia="宋体" w:cs="Times New Roman"/>
          <w:b/>
          <w:color w:val="auto"/>
          <w:kern w:val="0"/>
        </w:rPr>
      </w:pPr>
      <w:r>
        <w:rPr>
          <w:rFonts w:hint="default" w:ascii="Times New Roman" w:hAnsi="Times New Roman" w:eastAsia="宋体" w:cs="Times New Roman"/>
          <w:b/>
          <w:color w:val="auto"/>
          <w:kern w:val="0"/>
        </w:rPr>
        <w:t>表</w:t>
      </w:r>
      <w:r>
        <w:rPr>
          <w:rFonts w:hint="eastAsia" w:ascii="Times New Roman" w:hAnsi="Times New Roman" w:eastAsia="宋体" w:cs="Times New Roman"/>
          <w:b/>
          <w:color w:val="auto"/>
          <w:kern w:val="0"/>
          <w:lang w:val="en-US" w:eastAsia="zh-CN"/>
        </w:rPr>
        <w:t>1-</w:t>
      </w:r>
      <w:r>
        <w:rPr>
          <w:rFonts w:hint="default" w:ascii="Times New Roman" w:hAnsi="Times New Roman" w:eastAsia="宋体" w:cs="Times New Roman"/>
          <w:b/>
          <w:color w:val="auto"/>
          <w:kern w:val="0"/>
        </w:rPr>
        <w:t>2       环境影响评价技术导则与技术规范一览表</w:t>
      </w:r>
    </w:p>
    <w:tbl>
      <w:tblPr>
        <w:tblStyle w:val="11"/>
        <w:tblW w:w="4997"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777"/>
        <w:gridCol w:w="4000"/>
        <w:gridCol w:w="1849"/>
        <w:gridCol w:w="1891"/>
      </w:tblGrid>
      <w:tr w14:paraId="6E5386E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456" w:type="pct"/>
            <w:noWrap w:val="0"/>
            <w:vAlign w:val="center"/>
          </w:tcPr>
          <w:p w14:paraId="70AEEF73">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rPr>
                <w:rFonts w:hint="default" w:ascii="Times New Roman" w:hAnsi="Times New Roman" w:eastAsia="宋体" w:cs="Times New Roman"/>
                <w:b/>
                <w:color w:val="auto"/>
                <w:szCs w:val="21"/>
              </w:rPr>
            </w:pPr>
            <w:r>
              <w:rPr>
                <w:rFonts w:hint="default" w:ascii="Times New Roman" w:hAnsi="Times New Roman" w:eastAsia="宋体" w:cs="Times New Roman"/>
                <w:b/>
                <w:color w:val="auto"/>
                <w:szCs w:val="21"/>
              </w:rPr>
              <w:t>序号</w:t>
            </w:r>
          </w:p>
        </w:tc>
        <w:tc>
          <w:tcPr>
            <w:tcW w:w="2348" w:type="pct"/>
            <w:noWrap w:val="0"/>
            <w:vAlign w:val="center"/>
          </w:tcPr>
          <w:p w14:paraId="5F71C10A">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rPr>
                <w:rFonts w:hint="default" w:ascii="Times New Roman" w:hAnsi="Times New Roman" w:eastAsia="宋体" w:cs="Times New Roman"/>
                <w:b/>
                <w:color w:val="auto"/>
                <w:szCs w:val="21"/>
              </w:rPr>
            </w:pPr>
            <w:r>
              <w:rPr>
                <w:rFonts w:hint="default" w:ascii="Times New Roman" w:hAnsi="Times New Roman" w:eastAsia="宋体" w:cs="Times New Roman"/>
                <w:b/>
                <w:color w:val="auto"/>
                <w:szCs w:val="21"/>
              </w:rPr>
              <w:t>标准名称</w:t>
            </w:r>
          </w:p>
        </w:tc>
        <w:tc>
          <w:tcPr>
            <w:tcW w:w="1085" w:type="pct"/>
            <w:noWrap w:val="0"/>
            <w:vAlign w:val="center"/>
          </w:tcPr>
          <w:p w14:paraId="49E8AC44">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rPr>
                <w:rFonts w:hint="default" w:ascii="Times New Roman" w:hAnsi="Times New Roman" w:eastAsia="宋体" w:cs="Times New Roman"/>
                <w:b/>
                <w:color w:val="auto"/>
                <w:szCs w:val="21"/>
              </w:rPr>
            </w:pPr>
            <w:r>
              <w:rPr>
                <w:rFonts w:hint="default" w:ascii="Times New Roman" w:hAnsi="Times New Roman" w:eastAsia="宋体" w:cs="Times New Roman"/>
                <w:b/>
                <w:color w:val="auto"/>
                <w:szCs w:val="21"/>
              </w:rPr>
              <w:t>标准号</w:t>
            </w:r>
          </w:p>
        </w:tc>
        <w:tc>
          <w:tcPr>
            <w:tcW w:w="1110" w:type="pct"/>
            <w:noWrap w:val="0"/>
            <w:vAlign w:val="center"/>
          </w:tcPr>
          <w:p w14:paraId="0B59419F">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rPr>
                <w:rFonts w:hint="default" w:ascii="Times New Roman" w:hAnsi="Times New Roman" w:eastAsia="宋体" w:cs="Times New Roman"/>
                <w:b/>
                <w:color w:val="auto"/>
                <w:szCs w:val="21"/>
              </w:rPr>
            </w:pPr>
            <w:r>
              <w:rPr>
                <w:rFonts w:hint="default" w:ascii="Times New Roman" w:hAnsi="Times New Roman" w:eastAsia="宋体" w:cs="Times New Roman"/>
                <w:b/>
                <w:color w:val="auto"/>
                <w:szCs w:val="21"/>
              </w:rPr>
              <w:t>实施、编制时间</w:t>
            </w:r>
          </w:p>
        </w:tc>
      </w:tr>
      <w:tr w14:paraId="2C29796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456" w:type="pct"/>
            <w:noWrap w:val="0"/>
            <w:vAlign w:val="center"/>
          </w:tcPr>
          <w:p w14:paraId="52C27FE2">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1</w:t>
            </w:r>
          </w:p>
        </w:tc>
        <w:tc>
          <w:tcPr>
            <w:tcW w:w="2348" w:type="pct"/>
            <w:noWrap w:val="0"/>
            <w:vAlign w:val="center"/>
          </w:tcPr>
          <w:p w14:paraId="59D42935">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建设项目环境影响评价技术导则  总纲</w:t>
            </w:r>
          </w:p>
        </w:tc>
        <w:tc>
          <w:tcPr>
            <w:tcW w:w="1085" w:type="pct"/>
            <w:noWrap w:val="0"/>
            <w:vAlign w:val="center"/>
          </w:tcPr>
          <w:p w14:paraId="54AE60C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HJ 2.1-2016</w:t>
            </w:r>
          </w:p>
        </w:tc>
        <w:tc>
          <w:tcPr>
            <w:tcW w:w="1110" w:type="pct"/>
            <w:noWrap w:val="0"/>
            <w:vAlign w:val="center"/>
          </w:tcPr>
          <w:p w14:paraId="764CFE91">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2017.1.1</w:t>
            </w:r>
          </w:p>
        </w:tc>
      </w:tr>
      <w:tr w14:paraId="56079D7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456" w:type="pct"/>
            <w:noWrap w:val="0"/>
            <w:vAlign w:val="center"/>
          </w:tcPr>
          <w:p w14:paraId="69F7D324">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2</w:t>
            </w:r>
          </w:p>
        </w:tc>
        <w:tc>
          <w:tcPr>
            <w:tcW w:w="2348" w:type="pct"/>
            <w:noWrap w:val="0"/>
            <w:vAlign w:val="center"/>
          </w:tcPr>
          <w:p w14:paraId="45D829CF">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环境影响评价技术导则  大气环境</w:t>
            </w:r>
          </w:p>
        </w:tc>
        <w:tc>
          <w:tcPr>
            <w:tcW w:w="1085" w:type="pct"/>
            <w:noWrap w:val="0"/>
            <w:vAlign w:val="center"/>
          </w:tcPr>
          <w:p w14:paraId="70FE1D68">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HJ 2.2-2018</w:t>
            </w:r>
          </w:p>
        </w:tc>
        <w:tc>
          <w:tcPr>
            <w:tcW w:w="1110" w:type="pct"/>
            <w:noWrap w:val="0"/>
            <w:vAlign w:val="center"/>
          </w:tcPr>
          <w:p w14:paraId="22880C72">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2018.12.1</w:t>
            </w:r>
          </w:p>
        </w:tc>
      </w:tr>
      <w:tr w14:paraId="3CBDE50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456" w:type="pct"/>
            <w:noWrap w:val="0"/>
            <w:vAlign w:val="center"/>
          </w:tcPr>
          <w:p w14:paraId="3D6FEA83">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3</w:t>
            </w:r>
          </w:p>
        </w:tc>
        <w:tc>
          <w:tcPr>
            <w:tcW w:w="2348" w:type="pct"/>
            <w:noWrap w:val="0"/>
            <w:vAlign w:val="center"/>
          </w:tcPr>
          <w:p w14:paraId="3B8A2F3A">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环境影响评价技术导则  地</w:t>
            </w:r>
            <w:r>
              <w:rPr>
                <w:rFonts w:hint="eastAsia" w:ascii="Times New Roman" w:hAnsi="Times New Roman" w:eastAsia="宋体" w:cs="Times New Roman"/>
                <w:color w:val="auto"/>
                <w:szCs w:val="21"/>
                <w:lang w:eastAsia="zh-CN"/>
              </w:rPr>
              <w:t>表</w:t>
            </w:r>
            <w:r>
              <w:rPr>
                <w:rFonts w:hint="default" w:ascii="Times New Roman" w:hAnsi="Times New Roman" w:eastAsia="宋体" w:cs="Times New Roman"/>
                <w:color w:val="auto"/>
                <w:szCs w:val="21"/>
              </w:rPr>
              <w:t>水环境</w:t>
            </w:r>
          </w:p>
        </w:tc>
        <w:tc>
          <w:tcPr>
            <w:tcW w:w="1085" w:type="pct"/>
            <w:noWrap w:val="0"/>
            <w:vAlign w:val="center"/>
          </w:tcPr>
          <w:p w14:paraId="209D4F96">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HJ 2.3-2018</w:t>
            </w:r>
          </w:p>
        </w:tc>
        <w:tc>
          <w:tcPr>
            <w:tcW w:w="1110" w:type="pct"/>
            <w:noWrap w:val="0"/>
            <w:vAlign w:val="center"/>
          </w:tcPr>
          <w:p w14:paraId="4380DBEF">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1994.4.1</w:t>
            </w:r>
          </w:p>
        </w:tc>
      </w:tr>
      <w:tr w14:paraId="64A3FC1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456" w:type="pct"/>
            <w:noWrap w:val="0"/>
            <w:vAlign w:val="center"/>
          </w:tcPr>
          <w:p w14:paraId="61BF46D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4</w:t>
            </w:r>
          </w:p>
        </w:tc>
        <w:tc>
          <w:tcPr>
            <w:tcW w:w="2348" w:type="pct"/>
            <w:noWrap w:val="0"/>
            <w:vAlign w:val="center"/>
          </w:tcPr>
          <w:p w14:paraId="761B3D91">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环境影响评价技术导则  地下水环境</w:t>
            </w:r>
          </w:p>
        </w:tc>
        <w:tc>
          <w:tcPr>
            <w:tcW w:w="1085" w:type="pct"/>
            <w:noWrap w:val="0"/>
            <w:vAlign w:val="center"/>
          </w:tcPr>
          <w:p w14:paraId="649E2C1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HJ</w:t>
            </w:r>
            <w:r>
              <w:rPr>
                <w:rFonts w:hint="default" w:ascii="Times New Roman" w:hAnsi="Times New Roman" w:eastAsia="宋体" w:cs="Times New Roman"/>
                <w:color w:val="auto"/>
                <w:szCs w:val="21"/>
                <w:lang w:val="en-US" w:eastAsia="zh-CN"/>
              </w:rPr>
              <w:t xml:space="preserve"> </w:t>
            </w:r>
            <w:r>
              <w:rPr>
                <w:rFonts w:hint="default" w:ascii="Times New Roman" w:hAnsi="Times New Roman" w:eastAsia="宋体" w:cs="Times New Roman"/>
                <w:color w:val="auto"/>
                <w:szCs w:val="21"/>
              </w:rPr>
              <w:t>610-2016</w:t>
            </w:r>
          </w:p>
        </w:tc>
        <w:tc>
          <w:tcPr>
            <w:tcW w:w="1110" w:type="pct"/>
            <w:noWrap w:val="0"/>
            <w:vAlign w:val="center"/>
          </w:tcPr>
          <w:p w14:paraId="77EC60D5">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2016.1.7</w:t>
            </w:r>
          </w:p>
        </w:tc>
      </w:tr>
      <w:tr w14:paraId="095A554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56" w:type="pct"/>
            <w:noWrap w:val="0"/>
            <w:vAlign w:val="center"/>
          </w:tcPr>
          <w:p w14:paraId="436CF46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5</w:t>
            </w:r>
          </w:p>
        </w:tc>
        <w:tc>
          <w:tcPr>
            <w:tcW w:w="2348" w:type="pct"/>
            <w:noWrap w:val="0"/>
            <w:vAlign w:val="center"/>
          </w:tcPr>
          <w:p w14:paraId="7C0132F2">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环境影响评价技术导则  声环境</w:t>
            </w:r>
          </w:p>
        </w:tc>
        <w:tc>
          <w:tcPr>
            <w:tcW w:w="1085" w:type="pct"/>
            <w:noWrap w:val="0"/>
            <w:vAlign w:val="center"/>
          </w:tcPr>
          <w:p w14:paraId="15C7AC25">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HJ</w:t>
            </w:r>
            <w:r>
              <w:rPr>
                <w:rFonts w:hint="default" w:ascii="Times New Roman" w:hAnsi="Times New Roman" w:eastAsia="宋体" w:cs="Times New Roman"/>
                <w:color w:val="auto"/>
                <w:szCs w:val="21"/>
                <w:lang w:val="en-US" w:eastAsia="zh-CN"/>
              </w:rPr>
              <w:t xml:space="preserve"> </w:t>
            </w:r>
            <w:r>
              <w:rPr>
                <w:rFonts w:hint="default" w:ascii="Times New Roman" w:hAnsi="Times New Roman" w:eastAsia="宋体" w:cs="Times New Roman"/>
                <w:color w:val="auto"/>
                <w:szCs w:val="21"/>
              </w:rPr>
              <w:t>2.4-2009</w:t>
            </w:r>
          </w:p>
        </w:tc>
        <w:tc>
          <w:tcPr>
            <w:tcW w:w="1110" w:type="pct"/>
            <w:noWrap w:val="0"/>
            <w:vAlign w:val="center"/>
          </w:tcPr>
          <w:p w14:paraId="5651CC93">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2010.4.1</w:t>
            </w:r>
          </w:p>
        </w:tc>
      </w:tr>
      <w:tr w14:paraId="0113F2D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53" w:hRule="atLeast"/>
        </w:trPr>
        <w:tc>
          <w:tcPr>
            <w:tcW w:w="456" w:type="pct"/>
            <w:noWrap w:val="0"/>
            <w:vAlign w:val="center"/>
          </w:tcPr>
          <w:p w14:paraId="3DCF311F">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6</w:t>
            </w:r>
          </w:p>
        </w:tc>
        <w:tc>
          <w:tcPr>
            <w:tcW w:w="2348" w:type="pct"/>
            <w:noWrap w:val="0"/>
            <w:vAlign w:val="center"/>
          </w:tcPr>
          <w:p w14:paraId="7AAE95A4">
            <w:pPr>
              <w:keepNext w:val="0"/>
              <w:keepLines w:val="0"/>
              <w:pageBreakBefore w:val="0"/>
              <w:widowControl w:val="0"/>
              <w:tabs>
                <w:tab w:val="left" w:pos="3525"/>
              </w:tabs>
              <w:kinsoku/>
              <w:wordWrap/>
              <w:overflowPunct/>
              <w:topLinePunct w:val="0"/>
              <w:autoSpaceDE/>
              <w:autoSpaceDN/>
              <w:bidi w:val="0"/>
              <w:adjustRightInd/>
              <w:snapToGrid/>
              <w:spacing w:line="240" w:lineRule="auto"/>
              <w:ind w:left="0" w:leftChars="0" w:firstLine="0" w:firstLineChars="0"/>
              <w:jc w:val="left"/>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环境影响评价技术导则  生态影响</w:t>
            </w:r>
          </w:p>
        </w:tc>
        <w:tc>
          <w:tcPr>
            <w:tcW w:w="1085" w:type="pct"/>
            <w:noWrap w:val="0"/>
            <w:vAlign w:val="center"/>
          </w:tcPr>
          <w:p w14:paraId="31943465">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HJ19-2011</w:t>
            </w:r>
          </w:p>
        </w:tc>
        <w:tc>
          <w:tcPr>
            <w:tcW w:w="1110" w:type="pct"/>
            <w:noWrap w:val="0"/>
            <w:vAlign w:val="center"/>
          </w:tcPr>
          <w:p w14:paraId="40D023AB">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2011.9.1</w:t>
            </w:r>
          </w:p>
        </w:tc>
      </w:tr>
      <w:tr w14:paraId="5FC887B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53" w:hRule="atLeast"/>
        </w:trPr>
        <w:tc>
          <w:tcPr>
            <w:tcW w:w="456" w:type="pct"/>
            <w:noWrap w:val="0"/>
            <w:vAlign w:val="center"/>
          </w:tcPr>
          <w:p w14:paraId="58690F28">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7</w:t>
            </w:r>
          </w:p>
        </w:tc>
        <w:tc>
          <w:tcPr>
            <w:tcW w:w="2348" w:type="pct"/>
            <w:noWrap w:val="0"/>
            <w:vAlign w:val="center"/>
          </w:tcPr>
          <w:p w14:paraId="2E76CD40">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环境影响评价技术导则·土壤环境（试行）</w:t>
            </w:r>
          </w:p>
        </w:tc>
        <w:tc>
          <w:tcPr>
            <w:tcW w:w="1085" w:type="pct"/>
            <w:noWrap w:val="0"/>
            <w:vAlign w:val="center"/>
          </w:tcPr>
          <w:p w14:paraId="1A3841A7">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HJ 964-2018</w:t>
            </w:r>
          </w:p>
        </w:tc>
        <w:tc>
          <w:tcPr>
            <w:tcW w:w="1110" w:type="pct"/>
            <w:noWrap w:val="0"/>
            <w:vAlign w:val="center"/>
          </w:tcPr>
          <w:p w14:paraId="1195CF86">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baseline"/>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2019.7.1</w:t>
            </w:r>
          </w:p>
        </w:tc>
      </w:tr>
      <w:tr w14:paraId="733E7BE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53" w:hRule="atLeast"/>
        </w:trPr>
        <w:tc>
          <w:tcPr>
            <w:tcW w:w="456" w:type="pct"/>
            <w:noWrap w:val="0"/>
            <w:vAlign w:val="center"/>
          </w:tcPr>
          <w:p w14:paraId="1899D89F">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8</w:t>
            </w:r>
          </w:p>
        </w:tc>
        <w:tc>
          <w:tcPr>
            <w:tcW w:w="2348" w:type="pct"/>
            <w:noWrap w:val="0"/>
            <w:vAlign w:val="center"/>
          </w:tcPr>
          <w:p w14:paraId="35556D8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建设项目环境风险评价技术导则</w:t>
            </w:r>
          </w:p>
        </w:tc>
        <w:tc>
          <w:tcPr>
            <w:tcW w:w="1085" w:type="pct"/>
            <w:noWrap w:val="0"/>
            <w:vAlign w:val="center"/>
          </w:tcPr>
          <w:p w14:paraId="39A2EFD2">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HJ 169-2018</w:t>
            </w:r>
          </w:p>
        </w:tc>
        <w:tc>
          <w:tcPr>
            <w:tcW w:w="1110" w:type="pct"/>
            <w:noWrap w:val="0"/>
            <w:vAlign w:val="center"/>
          </w:tcPr>
          <w:p w14:paraId="2A1CD6B2">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baseline"/>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2019.3.1</w:t>
            </w:r>
          </w:p>
        </w:tc>
      </w:tr>
      <w:tr w14:paraId="345DCFB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456" w:type="pct"/>
            <w:noWrap w:val="0"/>
            <w:vAlign w:val="center"/>
          </w:tcPr>
          <w:p w14:paraId="3464F2F3">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9</w:t>
            </w:r>
          </w:p>
        </w:tc>
        <w:tc>
          <w:tcPr>
            <w:tcW w:w="2348" w:type="pct"/>
            <w:noWrap w:val="0"/>
            <w:vAlign w:val="center"/>
          </w:tcPr>
          <w:p w14:paraId="4E476BDF">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bCs/>
                <w:color w:val="auto"/>
                <w:szCs w:val="21"/>
              </w:rPr>
              <w:t>建设项目环境影响评价分类管理名录</w:t>
            </w:r>
          </w:p>
        </w:tc>
        <w:tc>
          <w:tcPr>
            <w:tcW w:w="1085" w:type="pct"/>
            <w:noWrap w:val="0"/>
            <w:vAlign w:val="center"/>
          </w:tcPr>
          <w:p w14:paraId="4C9373F4">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环保部令第44号</w:t>
            </w:r>
          </w:p>
        </w:tc>
        <w:tc>
          <w:tcPr>
            <w:tcW w:w="1110" w:type="pct"/>
            <w:noWrap w:val="0"/>
            <w:vAlign w:val="center"/>
          </w:tcPr>
          <w:p w14:paraId="74AED971">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2017.9.1</w:t>
            </w:r>
          </w:p>
        </w:tc>
      </w:tr>
      <w:tr w14:paraId="0176BB7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456" w:type="pct"/>
            <w:noWrap w:val="0"/>
            <w:vAlign w:val="center"/>
          </w:tcPr>
          <w:p w14:paraId="1E6DC832">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10</w:t>
            </w:r>
          </w:p>
        </w:tc>
        <w:tc>
          <w:tcPr>
            <w:tcW w:w="2348" w:type="pct"/>
            <w:noWrap w:val="0"/>
            <w:vAlign w:val="center"/>
          </w:tcPr>
          <w:p w14:paraId="504BF40B">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baseline"/>
              <w:rPr>
                <w:rFonts w:hint="default" w:ascii="Times New Roman" w:hAnsi="Times New Roman" w:eastAsia="宋体" w:cs="Times New Roman"/>
                <w:bCs/>
                <w:color w:val="auto"/>
                <w:szCs w:val="21"/>
              </w:rPr>
            </w:pPr>
            <w:r>
              <w:rPr>
                <w:rFonts w:hint="default" w:ascii="Times New Roman" w:hAnsi="Times New Roman" w:eastAsia="宋体" w:cs="Times New Roman"/>
                <w:bCs/>
                <w:color w:val="auto"/>
                <w:szCs w:val="21"/>
              </w:rPr>
              <w:t>关于修改《建设项目环境影响评价分类管理名录》 部分内容的决定</w:t>
            </w:r>
          </w:p>
        </w:tc>
        <w:tc>
          <w:tcPr>
            <w:tcW w:w="1085" w:type="pct"/>
            <w:noWrap w:val="0"/>
            <w:vAlign w:val="center"/>
          </w:tcPr>
          <w:p w14:paraId="3CCAA9F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bCs/>
                <w:color w:val="auto"/>
                <w:szCs w:val="21"/>
              </w:rPr>
              <w:t>生态环境部令第1号</w:t>
            </w:r>
          </w:p>
        </w:tc>
        <w:tc>
          <w:tcPr>
            <w:tcW w:w="1110" w:type="pct"/>
            <w:noWrap w:val="0"/>
            <w:vAlign w:val="center"/>
          </w:tcPr>
          <w:p w14:paraId="5C287765">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2018.4.28</w:t>
            </w:r>
          </w:p>
        </w:tc>
      </w:tr>
      <w:tr w14:paraId="2D83FB0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6" w:type="pct"/>
            <w:noWrap w:val="0"/>
            <w:vAlign w:val="center"/>
          </w:tcPr>
          <w:p w14:paraId="3D4E83FF">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11</w:t>
            </w:r>
          </w:p>
        </w:tc>
        <w:tc>
          <w:tcPr>
            <w:tcW w:w="2348" w:type="pct"/>
            <w:noWrap w:val="0"/>
            <w:vAlign w:val="center"/>
          </w:tcPr>
          <w:p w14:paraId="4A51A089">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产业结构调整指导目录（</w:t>
            </w:r>
            <w:r>
              <w:rPr>
                <w:rFonts w:hint="eastAsia" w:ascii="Times New Roman" w:hAnsi="Times New Roman" w:eastAsia="宋体" w:cs="Times New Roman"/>
                <w:color w:val="auto"/>
                <w:szCs w:val="21"/>
                <w:lang w:val="en-US" w:eastAsia="zh-CN"/>
              </w:rPr>
              <w:t>2019</w:t>
            </w:r>
            <w:r>
              <w:rPr>
                <w:rFonts w:hint="default" w:ascii="Times New Roman" w:hAnsi="Times New Roman" w:eastAsia="宋体" w:cs="Times New Roman"/>
                <w:color w:val="auto"/>
                <w:szCs w:val="21"/>
              </w:rPr>
              <w:t>年版）</w:t>
            </w:r>
          </w:p>
        </w:tc>
        <w:tc>
          <w:tcPr>
            <w:tcW w:w="1085" w:type="pct"/>
            <w:noWrap w:val="0"/>
            <w:vAlign w:val="center"/>
          </w:tcPr>
          <w:p w14:paraId="3ADC918B">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baseline"/>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国家发展和改革委员会令第</w:t>
            </w:r>
            <w:r>
              <w:rPr>
                <w:rFonts w:hint="eastAsia" w:ascii="Times New Roman" w:hAnsi="Times New Roman" w:eastAsia="宋体" w:cs="Times New Roman"/>
                <w:color w:val="auto"/>
                <w:szCs w:val="21"/>
                <w:lang w:val="en-US" w:eastAsia="zh-CN"/>
              </w:rPr>
              <w:t>2</w:t>
            </w:r>
            <w:r>
              <w:rPr>
                <w:rFonts w:hint="default" w:ascii="Times New Roman" w:hAnsi="Times New Roman" w:eastAsia="宋体" w:cs="Times New Roman"/>
                <w:color w:val="auto"/>
                <w:szCs w:val="21"/>
              </w:rPr>
              <w:t>9号</w:t>
            </w:r>
          </w:p>
        </w:tc>
        <w:tc>
          <w:tcPr>
            <w:tcW w:w="1110" w:type="pct"/>
            <w:noWrap w:val="0"/>
            <w:vAlign w:val="center"/>
          </w:tcPr>
          <w:p w14:paraId="20F85E83">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baseline"/>
              <w:rPr>
                <w:rFonts w:hint="eastAsia"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rPr>
              <w:t>201</w:t>
            </w:r>
            <w:r>
              <w:rPr>
                <w:rFonts w:hint="eastAsia" w:ascii="Times New Roman" w:hAnsi="Times New Roman" w:eastAsia="宋体" w:cs="Times New Roman"/>
                <w:color w:val="auto"/>
                <w:szCs w:val="21"/>
                <w:lang w:val="en-US" w:eastAsia="zh-CN"/>
              </w:rPr>
              <w:t>9</w:t>
            </w:r>
            <w:r>
              <w:rPr>
                <w:rFonts w:hint="default" w:ascii="Times New Roman" w:hAnsi="Times New Roman" w:eastAsia="宋体" w:cs="Times New Roman"/>
                <w:color w:val="auto"/>
                <w:szCs w:val="21"/>
              </w:rPr>
              <w:t>.</w:t>
            </w:r>
            <w:r>
              <w:rPr>
                <w:rFonts w:hint="eastAsia" w:ascii="Times New Roman" w:hAnsi="Times New Roman" w:eastAsia="宋体" w:cs="Times New Roman"/>
                <w:color w:val="auto"/>
                <w:szCs w:val="21"/>
                <w:lang w:val="en-US" w:eastAsia="zh-CN"/>
              </w:rPr>
              <w:t>11</w:t>
            </w:r>
            <w:r>
              <w:rPr>
                <w:rFonts w:hint="default" w:ascii="Times New Roman" w:hAnsi="Times New Roman" w:eastAsia="宋体" w:cs="Times New Roman"/>
                <w:color w:val="auto"/>
                <w:szCs w:val="21"/>
              </w:rPr>
              <w:t>.</w:t>
            </w:r>
            <w:r>
              <w:rPr>
                <w:rFonts w:hint="eastAsia" w:ascii="Times New Roman" w:hAnsi="Times New Roman" w:eastAsia="宋体" w:cs="Times New Roman"/>
                <w:color w:val="auto"/>
                <w:szCs w:val="21"/>
                <w:lang w:val="en-US" w:eastAsia="zh-CN"/>
              </w:rPr>
              <w:t>6</w:t>
            </w:r>
          </w:p>
        </w:tc>
      </w:tr>
    </w:tbl>
    <w:p w14:paraId="2AEA32E9">
      <w:pPr>
        <w:pStyle w:val="2"/>
        <w:rPr>
          <w:rFonts w:hint="eastAsia"/>
          <w:lang w:val="en-US" w:eastAsia="zh-CN"/>
        </w:rPr>
      </w:pPr>
    </w:p>
    <w:p w14:paraId="296FF429">
      <w:pPr>
        <w:pStyle w:val="2"/>
        <w:rPr>
          <w:rFonts w:hint="eastAsia" w:ascii="宋体" w:hAnsi="宋体" w:cs="宋体"/>
          <w:bCs/>
          <w:sz w:val="24"/>
          <w:szCs w:val="24"/>
          <w:lang w:val="zh-CN"/>
        </w:rPr>
      </w:pPr>
      <w:r>
        <w:rPr>
          <w:rFonts w:hint="eastAsia" w:ascii="宋体" w:hAnsi="宋体" w:cs="宋体"/>
          <w:bCs/>
          <w:sz w:val="24"/>
          <w:szCs w:val="24"/>
          <w:lang w:val="zh-CN"/>
        </w:rPr>
        <w:t>意见</w:t>
      </w:r>
      <w:r>
        <w:rPr>
          <w:rFonts w:hint="eastAsia" w:ascii="宋体" w:hAnsi="宋体" w:cs="宋体"/>
          <w:bCs/>
          <w:sz w:val="24"/>
          <w:szCs w:val="24"/>
          <w:lang w:val="en-US" w:eastAsia="zh-CN"/>
        </w:rPr>
        <w:t>13、</w:t>
      </w:r>
      <w:r>
        <w:rPr>
          <w:rFonts w:hint="eastAsia" w:ascii="宋体" w:hAnsi="宋体" w:cs="宋体"/>
          <w:bCs/>
          <w:sz w:val="24"/>
          <w:szCs w:val="24"/>
          <w:lang w:val="zh-CN"/>
        </w:rPr>
        <w:t>规范报告附图及附件。</w:t>
      </w:r>
    </w:p>
    <w:p w14:paraId="5054C1E0">
      <w:pPr>
        <w:rPr>
          <w:rFonts w:hint="eastAsia"/>
          <w:lang w:val="zh-CN"/>
        </w:rPr>
      </w:pPr>
      <w:r>
        <w:rPr>
          <w:rFonts w:hint="eastAsia" w:ascii="宋体" w:hAnsi="宋体" w:cs="宋体"/>
          <w:bCs/>
          <w:sz w:val="24"/>
          <w:szCs w:val="24"/>
          <w:vertAlign w:val="baseline"/>
          <w:lang w:val="en-US" w:eastAsia="zh-CN"/>
        </w:rPr>
        <w:t>附件附图已修改</w:t>
      </w:r>
    </w:p>
    <w:p w14:paraId="1CEC5ABA">
      <w:pPr>
        <w:rPr>
          <w:rFonts w:hint="eastAsia"/>
          <w:lang w:val="zh-CN"/>
        </w:rPr>
      </w:pPr>
    </w:p>
    <w:p w14:paraId="6D26F521">
      <w:pPr>
        <w:rPr>
          <w:rFonts w:hint="eastAsia"/>
          <w:lang w:val="zh-CN"/>
        </w:rPr>
      </w:pPr>
    </w:p>
    <w:p w14:paraId="35C51576">
      <w:pPr>
        <w:rPr>
          <w:rFonts w:hint="eastAsia"/>
          <w:lang w:val="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D1A55B"/>
    <w:multiLevelType w:val="singleLevel"/>
    <w:tmpl w:val="19D1A55B"/>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5A689D"/>
    <w:rsid w:val="2AE94F4B"/>
    <w:rsid w:val="3A3141CF"/>
    <w:rsid w:val="4F5A689D"/>
    <w:rsid w:val="749E6A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link w:val="15"/>
    <w:semiHidden/>
    <w:unhideWhenUsed/>
    <w:qFormat/>
    <w:uiPriority w:val="0"/>
    <w:pPr>
      <w:keepNext/>
      <w:spacing w:line="360" w:lineRule="auto"/>
      <w:ind w:left="0" w:firstLine="0"/>
      <w:outlineLvl w:val="1"/>
    </w:pPr>
    <w:rPr>
      <w:rFonts w:ascii="Times New Roman" w:hAnsi="Times New Roman" w:eastAsia="宋体"/>
      <w:b/>
      <w:sz w:val="24"/>
    </w:rPr>
  </w:style>
  <w:style w:type="paragraph" w:styleId="2">
    <w:name w:val="heading 3"/>
    <w:basedOn w:val="1"/>
    <w:next w:val="1"/>
    <w:qFormat/>
    <w:uiPriority w:val="0"/>
    <w:pPr>
      <w:keepNext/>
      <w:keepLines/>
      <w:spacing w:before="260" w:after="260" w:line="416" w:lineRule="auto"/>
      <w:outlineLvl w:val="2"/>
    </w:pPr>
    <w:rPr>
      <w:b/>
      <w:bCs/>
      <w:sz w:val="32"/>
      <w:szCs w:val="32"/>
    </w:rPr>
  </w:style>
  <w:style w:type="character" w:default="1" w:styleId="13">
    <w:name w:val="Default Paragraph Font"/>
    <w:semiHidden/>
    <w:uiPriority w:val="0"/>
  </w:style>
  <w:style w:type="table" w:default="1" w:styleId="11">
    <w:name w:val="Normal Table"/>
    <w:semiHidden/>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szCs w:val="24"/>
    </w:rPr>
  </w:style>
  <w:style w:type="paragraph" w:styleId="5">
    <w:name w:val="Body Text"/>
    <w:basedOn w:val="1"/>
    <w:qFormat/>
    <w:uiPriority w:val="0"/>
    <w:pPr>
      <w:spacing w:line="400" w:lineRule="exact"/>
    </w:pPr>
    <w:rPr>
      <w:sz w:val="28"/>
    </w:rPr>
  </w:style>
  <w:style w:type="paragraph" w:styleId="6">
    <w:name w:val="Body Text Indent"/>
    <w:basedOn w:val="1"/>
    <w:next w:val="7"/>
    <w:qFormat/>
    <w:uiPriority w:val="0"/>
    <w:pPr>
      <w:spacing w:after="120"/>
      <w:ind w:left="420" w:leftChars="200"/>
    </w:pPr>
  </w:style>
  <w:style w:type="paragraph" w:styleId="7">
    <w:name w:val="Body Text First Indent 2"/>
    <w:basedOn w:val="6"/>
    <w:next w:val="5"/>
    <w:qFormat/>
    <w:uiPriority w:val="0"/>
    <w:pPr>
      <w:ind w:firstLine="420" w:firstLineChars="200"/>
    </w:pPr>
    <w:rPr>
      <w:szCs w:val="24"/>
    </w:rPr>
  </w:style>
  <w:style w:type="paragraph" w:styleId="8">
    <w:name w:val="Plain Text"/>
    <w:basedOn w:val="1"/>
    <w:next w:val="1"/>
    <w:qFormat/>
    <w:uiPriority w:val="0"/>
    <w:rPr>
      <w:rFonts w:ascii="宋体" w:hAnsi="Courier New" w:cs="Courier New"/>
      <w:szCs w:val="21"/>
    </w:rPr>
  </w:style>
  <w:style w:type="paragraph" w:styleId="9">
    <w:name w:val="Date"/>
    <w:basedOn w:val="1"/>
    <w:next w:val="1"/>
    <w:qFormat/>
    <w:uiPriority w:val="0"/>
    <w:rPr>
      <w:sz w:val="28"/>
    </w:rPr>
  </w:style>
  <w:style w:type="paragraph" w:styleId="10">
    <w:name w:val="Normal (Web)"/>
    <w:basedOn w:val="1"/>
    <w:uiPriority w:val="0"/>
    <w:pPr>
      <w:widowControl/>
      <w:spacing w:before="100" w:beforeAutospacing="1" w:after="100" w:afterAutospacing="1"/>
      <w:jc w:val="left"/>
    </w:pPr>
    <w:rPr>
      <w:rFonts w:ascii="宋体" w:hAnsi="宋体" w:cs="宋体"/>
      <w:kern w:val="0"/>
      <w:sz w:val="24"/>
      <w:szCs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annotation reference"/>
    <w:semiHidden/>
    <w:qFormat/>
    <w:uiPriority w:val="0"/>
    <w:rPr>
      <w:sz w:val="21"/>
      <w:szCs w:val="21"/>
    </w:rPr>
  </w:style>
  <w:style w:type="character" w:customStyle="1" w:styleId="15">
    <w:name w:val="标题 2 Char2"/>
    <w:link w:val="3"/>
    <w:qFormat/>
    <w:uiPriority w:val="0"/>
    <w:rPr>
      <w:rFonts w:ascii="Times New Roman" w:hAnsi="Times New Roman" w:eastAsia="宋体"/>
      <w:b/>
      <w:kern w:val="2"/>
      <w:sz w:val="24"/>
      <w:szCs w:val="24"/>
    </w:rPr>
  </w:style>
  <w:style w:type="paragraph" w:customStyle="1" w:styleId="16">
    <w:name w:val="样式 正文缩进 + 宋体 行距: 固定值 22 磅"/>
    <w:basedOn w:val="4"/>
    <w:qFormat/>
    <w:uiPriority w:val="0"/>
    <w:pPr>
      <w:ind w:firstLine="0" w:firstLineChars="0"/>
    </w:pPr>
    <w:rPr>
      <w:rFonts w:ascii="Arial Unicode MS" w:hAnsi="Arial Unicode MS" w:cs="宋体"/>
      <w:szCs w:val="20"/>
    </w:rPr>
  </w:style>
  <w:style w:type="paragraph" w:customStyle="1" w:styleId="17">
    <w:name w:val="Default"/>
    <w:basedOn w:val="1"/>
    <w:qFormat/>
    <w:uiPriority w:val="0"/>
    <w:pPr>
      <w:keepNext w:val="0"/>
      <w:keepLines w:val="0"/>
      <w:widowControl w:val="0"/>
      <w:suppressLineNumbers w:val="0"/>
      <w:autoSpaceDE w:val="0"/>
      <w:autoSpaceDN w:val="0"/>
      <w:spacing w:before="0" w:beforeAutospacing="0" w:after="0" w:afterAutospacing="0"/>
      <w:ind w:left="0" w:right="0"/>
      <w:jc w:val="left"/>
    </w:pPr>
    <w:rPr>
      <w:rFonts w:hint="eastAsia" w:ascii="宋体" w:hAnsi="Times New Roman" w:eastAsia="宋体" w:cs="宋体"/>
      <w:color w:val="000000"/>
      <w:kern w:val="0"/>
      <w:sz w:val="24"/>
      <w:szCs w:val="24"/>
      <w:lang w:val="en-US" w:eastAsia="zh-CN" w:bidi="ar"/>
    </w:rPr>
  </w:style>
  <w:style w:type="paragraph" w:customStyle="1" w:styleId="18">
    <w:name w:val="文本"/>
    <w:basedOn w:val="1"/>
    <w:qFormat/>
    <w:uiPriority w:val="0"/>
    <w:pPr>
      <w:adjustRightInd w:val="0"/>
      <w:snapToGrid w:val="0"/>
      <w:spacing w:line="360" w:lineRule="auto"/>
      <w:ind w:firstLine="480" w:firstLineChars="200"/>
      <w:jc w:val="left"/>
    </w:pPr>
    <w:rPr>
      <w:sz w:val="24"/>
      <w:szCs w:val="24"/>
    </w:rPr>
  </w:style>
  <w:style w:type="paragraph" w:customStyle="1" w:styleId="19">
    <w:name w:val="正文 + 四号"/>
    <w:basedOn w:val="6"/>
    <w:qFormat/>
    <w:uiPriority w:val="0"/>
  </w:style>
  <w:style w:type="paragraph" w:customStyle="1" w:styleId="20">
    <w:name w:val="正文新"/>
    <w:basedOn w:val="1"/>
    <w:qFormat/>
    <w:uiPriority w:val="0"/>
    <w:pPr>
      <w:spacing w:line="348" w:lineRule="auto"/>
      <w:ind w:firstLine="200"/>
    </w:pPr>
    <w:rPr>
      <w:color w:val="000000"/>
    </w:rPr>
  </w:style>
  <w:style w:type="paragraph" w:customStyle="1" w:styleId="21">
    <w:name w:val="表头"/>
    <w:basedOn w:val="1"/>
    <w:next w:val="1"/>
    <w:qFormat/>
    <w:uiPriority w:val="0"/>
    <w:pPr>
      <w:tabs>
        <w:tab w:val="left" w:pos="360"/>
        <w:tab w:val="left" w:pos="1620"/>
      </w:tabs>
      <w:spacing w:line="560" w:lineRule="exact"/>
      <w:jc w:val="center"/>
    </w:pPr>
    <w:rPr>
      <w:rFonts w:ascii="宋体" w:hAnsi="宋体"/>
      <w:b/>
      <w:color w:val="000000"/>
      <w:szCs w:val="21"/>
    </w:rPr>
  </w:style>
  <w:style w:type="paragraph" w:customStyle="1" w:styleId="22">
    <w:name w:val="Table Paragraph"/>
    <w:basedOn w:val="1"/>
    <w:qFormat/>
    <w:uiPriority w:val="1"/>
    <w:pPr>
      <w:jc w:val="center"/>
    </w:pPr>
    <w:rPr>
      <w:rFonts w:ascii="Times New Roman" w:hAnsi="Times New Roman" w:eastAsia="Times New Roman" w:cs="Times New Roman"/>
      <w:lang w:val="zh-CN" w:eastAsia="zh-CN" w:bidi="zh-CN"/>
    </w:rPr>
  </w:style>
  <w:style w:type="paragraph" w:customStyle="1" w:styleId="23">
    <w:name w:val="表格内容格式"/>
    <w:basedOn w:val="1"/>
    <w:next w:val="5"/>
    <w:qFormat/>
    <w:uiPriority w:val="1"/>
    <w:pPr>
      <w:spacing w:line="240" w:lineRule="auto"/>
      <w:ind w:firstLine="0" w:firstLineChars="0"/>
      <w:jc w:val="center"/>
    </w:pPr>
    <w:rPr>
      <w:rFonts w:ascii="Calibri" w:hAnsi="Calibri"/>
      <w:kern w:val="0"/>
      <w:sz w:val="22"/>
      <w:szCs w:val="20"/>
      <w:lang w:eastAsia="en-US"/>
    </w:rPr>
  </w:style>
  <w:style w:type="paragraph" w:customStyle="1" w:styleId="24">
    <w:name w:val="表格222"/>
    <w:basedOn w:val="1"/>
    <w:qFormat/>
    <w:uiPriority w:val="0"/>
    <w:pPr>
      <w:adjustRightInd w:val="0"/>
      <w:snapToGrid w:val="0"/>
      <w:spacing w:line="320" w:lineRule="exact"/>
      <w:ind w:firstLine="0" w:firstLineChars="0"/>
      <w:jc w:val="center"/>
    </w:pPr>
    <w:rPr>
      <w:kern w:val="10"/>
      <w:sz w:val="22"/>
    </w:rPr>
  </w:style>
  <w:style w:type="paragraph" w:customStyle="1" w:styleId="25">
    <w:name w:val="表格内"/>
    <w:basedOn w:val="1"/>
    <w:qFormat/>
    <w:uiPriority w:val="0"/>
    <w:pPr>
      <w:adjustRightInd w:val="0"/>
      <w:snapToGrid w:val="0"/>
      <w:spacing w:line="360" w:lineRule="exact"/>
      <w:jc w:val="center"/>
    </w:pPr>
    <w:rPr>
      <w:rFonts w:eastAsia="Times New Roman"/>
      <w:snapToGrid w:val="0"/>
      <w:kern w:val="0"/>
      <w:sz w:val="21"/>
      <w:szCs w:val="21"/>
      <w:lang w:val="zh-CN"/>
    </w:rPr>
  </w:style>
  <w:style w:type="character" w:customStyle="1" w:styleId="26">
    <w:name w:val="font41"/>
    <w:qFormat/>
    <w:uiPriority w:val="0"/>
    <w:rPr>
      <w:rFonts w:hint="default" w:ascii="Times New Roman" w:hAnsi="Times New Roman" w:cs="Times New Roman"/>
      <w:color w:val="000000"/>
      <w:sz w:val="22"/>
      <w:szCs w:val="22"/>
      <w:u w:val="none"/>
    </w:rPr>
  </w:style>
  <w:style w:type="paragraph" w:customStyle="1" w:styleId="27">
    <w:name w:val="标题表格"/>
    <w:basedOn w:val="1"/>
    <w:qFormat/>
    <w:uiPriority w:val="0"/>
    <w:pPr>
      <w:spacing w:beforeLines="50" w:line="240" w:lineRule="auto"/>
      <w:ind w:firstLine="0" w:firstLineChars="0"/>
      <w:jc w:val="center"/>
    </w:pPr>
    <w:rPr>
      <w:rFonts w:ascii="黑体" w:hAnsi="楷体_GB2312" w:eastAsia="黑体" w:cs="宋体"/>
    </w:rPr>
  </w:style>
  <w:style w:type="paragraph" w:customStyle="1" w:styleId="28">
    <w:name w:val="A-z正文"/>
    <w:basedOn w:val="1"/>
    <w:qFormat/>
    <w:uiPriority w:val="0"/>
    <w:pPr>
      <w:spacing w:line="360" w:lineRule="auto"/>
      <w:ind w:firstLine="200"/>
    </w:pPr>
    <w:rPr>
      <w:rFonts w:cs="宋体"/>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oleObject" Target="embeddings/oleObject1.bin"/><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8.wmf"/><Relationship Id="rId14" Type="http://schemas.openxmlformats.org/officeDocument/2006/relationships/oleObject" Target="embeddings/oleObject4.bin"/><Relationship Id="rId13" Type="http://schemas.openxmlformats.org/officeDocument/2006/relationships/image" Target="media/image7.wmf"/><Relationship Id="rId12" Type="http://schemas.openxmlformats.org/officeDocument/2006/relationships/oleObject" Target="embeddings/oleObject3.bin"/><Relationship Id="rId11" Type="http://schemas.openxmlformats.org/officeDocument/2006/relationships/image" Target="media/image6.w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3548</Words>
  <Characters>3765</Characters>
  <Lines>0</Lines>
  <Paragraphs>0</Paragraphs>
  <TotalTime>1</TotalTime>
  <ScaleCrop>false</ScaleCrop>
  <LinksUpToDate>false</LinksUpToDate>
  <CharactersWithSpaces>3766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2020-09-14T05:04:00Z</dcterms:created>
  <dc:creator>-ZYJ。</dc:creator>
  <cp:lastModifiedBy>小麦啾</cp:lastModifiedBy>
  <dcterms:modified xsi:type="dcterms:W3CDTF">2025-02-26T03:01:45Z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eyJoZGlkIjoiMTQwNTdkZmUxMjVlOTRkZTdmOTI5NDJiMjc2MGY0NDgiLCJ1c2VySWQiOiIzMjQ5NjUzODcifQ==</vt:lpwstr>
  </property>
  <property fmtid="{D5CDD505-2E9C-101B-9397-08002B2CF9AE}" pid="4" name="ICV">
    <vt:lpwstr>8A41C01BFAE741469DC5BA4CE9AA7914_12</vt:lpwstr>
  </property>
</Properties>
</file>