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EB48D">
      <w:pPr>
        <w:rPr>
          <w:rFonts w:hint="default" w:ascii="仿宋_GB2312" w:hAnsi="仿宋_GB2312" w:eastAsia="仿宋_GB2312" w:cs="仿宋_GB2312"/>
          <w:sz w:val="36"/>
          <w:szCs w:val="36"/>
        </w:rPr>
      </w:pPr>
    </w:p>
    <w:p w14:paraId="43B18AC4">
      <w:pPr>
        <w:rPr>
          <w:rFonts w:hint="default" w:ascii="仿宋_GB2312" w:hAnsi="仿宋_GB2312" w:eastAsia="仿宋_GB2312" w:cs="仿宋_GB2312"/>
          <w:sz w:val="36"/>
          <w:szCs w:val="36"/>
        </w:rPr>
      </w:pPr>
    </w:p>
    <w:p w14:paraId="66CD538F">
      <w:pPr>
        <w:rPr>
          <w:rFonts w:hint="default" w:ascii="仿宋_GB2312" w:hAnsi="仿宋_GB2312" w:eastAsia="仿宋_GB2312" w:cs="仿宋_GB2312"/>
          <w:sz w:val="36"/>
          <w:szCs w:val="36"/>
        </w:rPr>
      </w:pPr>
    </w:p>
    <w:p w14:paraId="795EC286">
      <w:pPr>
        <w:rPr>
          <w:rFonts w:hint="default" w:ascii="仿宋_GB2312" w:hAnsi="仿宋_GB2312" w:eastAsia="仿宋_GB2312" w:cs="仿宋_GB2312"/>
          <w:sz w:val="36"/>
          <w:szCs w:val="36"/>
        </w:rPr>
      </w:pPr>
    </w:p>
    <w:p w14:paraId="706D819B">
      <w:pPr>
        <w:rPr>
          <w:rFonts w:hint="default" w:ascii="仿宋_GB2312" w:hAnsi="仿宋_GB2312" w:eastAsia="仿宋_GB2312" w:cs="仿宋_GB2312"/>
          <w:sz w:val="36"/>
          <w:szCs w:val="36"/>
        </w:rPr>
      </w:pPr>
    </w:p>
    <w:p w14:paraId="28D2BE47">
      <w:pPr>
        <w:adjustRightInd w:val="0"/>
        <w:snapToGrid w:val="0"/>
        <w:jc w:val="center"/>
        <w:outlineLvl w:val="0"/>
        <w:rPr>
          <w:rFonts w:hint="default" w:ascii="方正小标宋_GBK" w:hAnsi="Times New Roman" w:eastAsia="方正小标宋_GBK" w:cs="Times New Roman"/>
          <w:bCs/>
          <w:sz w:val="72"/>
          <w:szCs w:val="72"/>
        </w:rPr>
      </w:pPr>
      <w:r>
        <w:rPr>
          <w:rFonts w:hint="default" w:ascii="方正小标宋_GBK" w:hAnsi="Times New Roman" w:eastAsia="方正小标宋_GBK" w:cs="Times New Roman"/>
          <w:bCs/>
          <w:sz w:val="72"/>
          <w:szCs w:val="72"/>
        </w:rPr>
        <w:t>建设项目环境影响报告表</w:t>
      </w:r>
    </w:p>
    <w:p w14:paraId="11D9ABC7">
      <w:pPr>
        <w:adjustRightInd w:val="0"/>
        <w:snapToGrid w:val="0"/>
        <w:spacing w:before="192" w:beforeLines="80"/>
        <w:jc w:val="center"/>
        <w:rPr>
          <w:rFonts w:hint="default" w:ascii="Times New Roman" w:hAnsi="Times New Roman" w:cs="Times New Roman" w:eastAsiaTheme="minorEastAsia"/>
          <w:bCs/>
          <w:color w:val="auto"/>
          <w:sz w:val="48"/>
          <w:szCs w:val="48"/>
        </w:rPr>
      </w:pPr>
      <w:r>
        <w:rPr>
          <w:rFonts w:hint="default" w:ascii="楷体_GB2312" w:hAnsi="Times New Roman" w:eastAsia="楷体_GB2312" w:cs="Times New Roman"/>
          <w:bCs/>
          <w:sz w:val="48"/>
          <w:szCs w:val="48"/>
        </w:rPr>
        <w:t>（污染影响类）</w:t>
      </w:r>
    </w:p>
    <w:p w14:paraId="3CCF39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（报批稿）</w:t>
      </w:r>
    </w:p>
    <w:p w14:paraId="10C1AB78">
      <w:pPr>
        <w:jc w:val="center"/>
        <w:rPr>
          <w:rFonts w:hint="default" w:ascii="Times New Roman" w:hAnsi="Times New Roman" w:cs="Times New Roman" w:eastAsiaTheme="minorEastAsia"/>
          <w:color w:val="auto"/>
          <w:sz w:val="52"/>
          <w:szCs w:val="52"/>
        </w:rPr>
      </w:pPr>
    </w:p>
    <w:p w14:paraId="4318E8E0">
      <w:pPr>
        <w:ind w:firstLine="1040"/>
        <w:rPr>
          <w:rFonts w:hint="default" w:ascii="Times New Roman" w:hAnsi="Times New Roman" w:eastAsia="仿宋" w:cs="Times New Roman"/>
          <w:sz w:val="44"/>
          <w:szCs w:val="44"/>
        </w:rPr>
      </w:pPr>
    </w:p>
    <w:p w14:paraId="72675DA5">
      <w:pPr>
        <w:ind w:firstLine="1040"/>
        <w:rPr>
          <w:rFonts w:hint="default" w:ascii="Times New Roman" w:hAnsi="Times New Roman" w:eastAsia="仿宋" w:cs="Times New Roman"/>
          <w:sz w:val="44"/>
          <w:szCs w:val="44"/>
        </w:rPr>
      </w:pPr>
    </w:p>
    <w:p w14:paraId="7A8A6668">
      <w:pPr>
        <w:ind w:firstLine="1040"/>
        <w:rPr>
          <w:rFonts w:hint="default" w:ascii="Times New Roman" w:hAnsi="Times New Roman" w:eastAsia="仿宋" w:cs="Times New Roman"/>
          <w:sz w:val="44"/>
          <w:szCs w:val="44"/>
        </w:rPr>
      </w:pPr>
    </w:p>
    <w:p w14:paraId="35679922">
      <w:pPr>
        <w:ind w:firstLine="1040"/>
        <w:rPr>
          <w:rFonts w:hint="default" w:ascii="Times New Roman" w:hAnsi="Times New Roman" w:eastAsia="仿宋" w:cs="Times New Roman"/>
          <w:sz w:val="44"/>
          <w:szCs w:val="44"/>
        </w:rPr>
      </w:pPr>
    </w:p>
    <w:p w14:paraId="6EA12A8E">
      <w:pPr>
        <w:keepNext/>
        <w:keepLines/>
        <w:pageBreakBefore w:val="0"/>
        <w:widowControl w:val="0"/>
        <w:kinsoku/>
        <w:wordWrap/>
        <w:overflowPunct/>
        <w:topLinePunct w:val="0"/>
        <w:autoSpaceDE/>
        <w:autoSpaceDN/>
        <w:bidi w:val="0"/>
        <w:adjustRightInd/>
        <w:snapToGrid/>
        <w:spacing w:line="360" w:lineRule="auto"/>
        <w:ind w:firstLine="658" w:firstLineChars="183"/>
        <w:textAlignment w:val="auto"/>
        <w:outlineLvl w:val="9"/>
        <w:rPr>
          <w:rFonts w:hint="default" w:ascii="方正仿宋_GB2312" w:hAnsi="方正仿宋_GB2312" w:eastAsia="方正仿宋_GB2312" w:cs="方正仿宋_GB2312"/>
          <w:kern w:val="2"/>
          <w:sz w:val="36"/>
          <w:szCs w:val="36"/>
          <w:lang w:val="en-US" w:eastAsia="zh-CN" w:bidi="ar-SA"/>
        </w:rPr>
      </w:pPr>
      <w:r>
        <w:rPr>
          <w:rFonts w:hint="eastAsia" w:ascii="方正仿宋_GB2312" w:hAnsi="方正仿宋_GB2312" w:eastAsia="方正仿宋_GB2312" w:cs="方正仿宋_GB2312"/>
          <w:kern w:val="2"/>
          <w:sz w:val="36"/>
          <w:szCs w:val="36"/>
          <w:lang w:val="en-US" w:eastAsia="zh-CN" w:bidi="ar-SA"/>
        </w:rPr>
        <w:t>项目名称：</w:t>
      </w:r>
      <w:r>
        <w:rPr>
          <w:rFonts w:hint="default" w:ascii="方正仿宋_GB2312" w:hAnsi="方正仿宋_GB2312" w:eastAsia="方正仿宋_GB2312" w:cs="方正仿宋_GB2312"/>
          <w:sz w:val="36"/>
          <w:szCs w:val="36"/>
          <w:u w:val="single"/>
          <w:lang w:eastAsia="zh-CN"/>
        </w:rPr>
        <w:t>阜康市佳贝宠宠物医院颅腔、胸腔、腹腔手术诊疗项目</w:t>
      </w:r>
      <w:r>
        <w:rPr>
          <w:rFonts w:hint="eastAsia" w:ascii="方正仿宋_GB2312" w:hAnsi="方正仿宋_GB2312" w:eastAsia="方正仿宋_GB2312" w:cs="方正仿宋_GB2312"/>
          <w:sz w:val="36"/>
          <w:szCs w:val="36"/>
          <w:u w:val="single"/>
          <w:lang w:val="en-US" w:eastAsia="zh-CN"/>
        </w:rPr>
        <w:t xml:space="preserve">                                     </w:t>
      </w:r>
    </w:p>
    <w:p w14:paraId="47583B26">
      <w:pPr>
        <w:pageBreakBefore w:val="0"/>
        <w:widowControl w:val="0"/>
        <w:kinsoku/>
        <w:wordWrap/>
        <w:overflowPunct/>
        <w:topLinePunct w:val="0"/>
        <w:autoSpaceDE/>
        <w:autoSpaceDN/>
        <w:bidi w:val="0"/>
        <w:adjustRightInd/>
        <w:snapToGrid/>
        <w:spacing w:line="360" w:lineRule="auto"/>
        <w:ind w:firstLine="658" w:firstLineChars="183"/>
        <w:textAlignment w:val="auto"/>
        <w:outlineLvl w:val="9"/>
        <w:rPr>
          <w:rFonts w:hint="default" w:ascii="方正仿宋_GB2312" w:hAnsi="方正仿宋_GB2312" w:eastAsia="方正仿宋_GB2312" w:cs="方正仿宋_GB2312"/>
          <w:kern w:val="2"/>
          <w:sz w:val="36"/>
          <w:szCs w:val="36"/>
          <w:u w:val="single"/>
          <w:lang w:val="en-US" w:eastAsia="zh-CN" w:bidi="ar-SA"/>
        </w:rPr>
      </w:pPr>
      <w:r>
        <w:rPr>
          <w:rFonts w:hint="eastAsia" w:ascii="方正仿宋_GB2312" w:hAnsi="方正仿宋_GB2312" w:eastAsia="方正仿宋_GB2312" w:cs="方正仿宋_GB2312"/>
          <w:sz w:val="36"/>
          <w:szCs w:val="36"/>
        </w:rPr>
        <w:t>建设单位（盖章）</w:t>
      </w:r>
      <w:r>
        <w:rPr>
          <w:rFonts w:hint="eastAsia" w:ascii="方正仿宋_GB2312" w:hAnsi="方正仿宋_GB2312" w:eastAsia="方正仿宋_GB2312" w:cs="方正仿宋_GB2312"/>
          <w:sz w:val="36"/>
          <w:szCs w:val="36"/>
          <w:u w:val="none"/>
          <w:lang w:eastAsia="zh-CN"/>
        </w:rPr>
        <w:t>：</w:t>
      </w:r>
      <w:r>
        <w:rPr>
          <w:rFonts w:hint="eastAsia" w:ascii="方正仿宋_GB2312" w:hAnsi="方正仿宋_GB2312" w:eastAsia="方正仿宋_GB2312" w:cs="方正仿宋_GB2312"/>
          <w:sz w:val="36"/>
          <w:szCs w:val="36"/>
          <w:u w:val="single"/>
          <w:lang w:val="en-US" w:eastAsia="zh-CN"/>
        </w:rPr>
        <w:t xml:space="preserve">  </w:t>
      </w:r>
      <w:r>
        <w:rPr>
          <w:rFonts w:hint="default" w:ascii="方正仿宋_GB2312" w:hAnsi="方正仿宋_GB2312" w:eastAsia="方正仿宋_GB2312" w:cs="方正仿宋_GB2312"/>
          <w:sz w:val="36"/>
          <w:szCs w:val="36"/>
          <w:u w:val="single"/>
          <w:lang w:eastAsia="zh-CN"/>
        </w:rPr>
        <w:t>阜康市佳贝宠宠物医院</w:t>
      </w:r>
      <w:r>
        <w:rPr>
          <w:rFonts w:hint="eastAsia" w:ascii="方正仿宋_GB2312" w:hAnsi="方正仿宋_GB2312" w:eastAsia="方正仿宋_GB2312" w:cs="方正仿宋_GB2312"/>
          <w:sz w:val="36"/>
          <w:szCs w:val="36"/>
          <w:u w:val="single"/>
          <w:lang w:val="en-US" w:eastAsia="zh-CN"/>
        </w:rPr>
        <w:t xml:space="preserve">     </w:t>
      </w:r>
    </w:p>
    <w:p w14:paraId="45AA74F1">
      <w:pPr>
        <w:pageBreakBefore w:val="0"/>
        <w:widowControl w:val="0"/>
        <w:kinsoku/>
        <w:wordWrap/>
        <w:overflowPunct/>
        <w:topLinePunct w:val="0"/>
        <w:autoSpaceDE/>
        <w:autoSpaceDN/>
        <w:bidi w:val="0"/>
        <w:adjustRightInd/>
        <w:snapToGrid/>
        <w:spacing w:line="360" w:lineRule="auto"/>
        <w:ind w:firstLine="658" w:firstLineChars="183"/>
        <w:jc w:val="both"/>
        <w:textAlignment w:val="auto"/>
        <w:outlineLvl w:val="9"/>
        <w:rPr>
          <w:rFonts w:hint="default" w:ascii="方正仿宋_GB2312" w:hAnsi="方正仿宋_GB2312" w:eastAsia="方正仿宋_GB2312" w:cs="方正仿宋_GB2312"/>
          <w:kern w:val="2"/>
          <w:sz w:val="36"/>
          <w:szCs w:val="36"/>
          <w:lang w:val="en-US" w:eastAsia="zh-CN" w:bidi="ar-SA"/>
        </w:rPr>
      </w:pPr>
      <w:r>
        <w:rPr>
          <w:rFonts w:hint="eastAsia" w:ascii="方正仿宋_GB2312" w:hAnsi="方正仿宋_GB2312" w:eastAsia="方正仿宋_GB2312" w:cs="方正仿宋_GB2312"/>
          <w:sz w:val="36"/>
          <w:szCs w:val="36"/>
        </w:rPr>
        <w:t>编制日期：</w:t>
      </w:r>
      <w:r>
        <w:rPr>
          <w:rFonts w:hint="eastAsia" w:ascii="方正仿宋_GB2312" w:hAnsi="方正仿宋_GB2312" w:eastAsia="方正仿宋_GB2312" w:cs="方正仿宋_GB2312"/>
          <w:sz w:val="36"/>
          <w:szCs w:val="36"/>
          <w:u w:val="single"/>
          <w:lang w:val="en-US" w:eastAsia="zh-CN"/>
        </w:rPr>
        <w:t xml:space="preserve">        </w:t>
      </w:r>
      <w:r>
        <w:rPr>
          <w:rFonts w:hint="eastAsia" w:ascii="方正仿宋_GB2312" w:hAnsi="方正仿宋_GB2312" w:eastAsia="方正仿宋_GB2312" w:cs="方正仿宋_GB2312"/>
          <w:kern w:val="2"/>
          <w:sz w:val="36"/>
          <w:szCs w:val="36"/>
          <w:u w:val="single"/>
          <w:lang w:val="en-US" w:eastAsia="zh-CN" w:bidi="ar-SA"/>
        </w:rPr>
        <w:t>二〇二四</w:t>
      </w:r>
      <w:r>
        <w:rPr>
          <w:rFonts w:hint="default" w:ascii="方正仿宋_GB2312" w:hAnsi="方正仿宋_GB2312" w:eastAsia="方正仿宋_GB2312" w:cs="方正仿宋_GB2312"/>
          <w:kern w:val="2"/>
          <w:sz w:val="36"/>
          <w:szCs w:val="36"/>
          <w:u w:val="single"/>
          <w:lang w:val="en-US" w:eastAsia="zh-CN" w:bidi="ar-SA"/>
        </w:rPr>
        <w:t>年</w:t>
      </w:r>
      <w:r>
        <w:rPr>
          <w:rFonts w:hint="eastAsia" w:ascii="方正仿宋_GB2312" w:hAnsi="方正仿宋_GB2312" w:eastAsia="方正仿宋_GB2312" w:cs="方正仿宋_GB2312"/>
          <w:kern w:val="2"/>
          <w:sz w:val="36"/>
          <w:szCs w:val="36"/>
          <w:u w:val="single"/>
          <w:lang w:val="en-US" w:eastAsia="zh-CN" w:bidi="ar-SA"/>
        </w:rPr>
        <w:t>十二</w:t>
      </w:r>
      <w:r>
        <w:rPr>
          <w:rFonts w:hint="default" w:ascii="方正仿宋_GB2312" w:hAnsi="方正仿宋_GB2312" w:eastAsia="方正仿宋_GB2312" w:cs="方正仿宋_GB2312"/>
          <w:kern w:val="2"/>
          <w:sz w:val="36"/>
          <w:szCs w:val="36"/>
          <w:u w:val="single"/>
          <w:lang w:val="en-US" w:eastAsia="zh-CN" w:bidi="ar-SA"/>
        </w:rPr>
        <w:t>月</w:t>
      </w:r>
      <w:r>
        <w:rPr>
          <w:rFonts w:hint="eastAsia" w:ascii="方正仿宋_GB2312" w:hAnsi="方正仿宋_GB2312" w:eastAsia="方正仿宋_GB2312" w:cs="方正仿宋_GB2312"/>
          <w:kern w:val="2"/>
          <w:sz w:val="36"/>
          <w:szCs w:val="36"/>
          <w:u w:val="single"/>
          <w:lang w:val="en-US" w:eastAsia="zh-CN" w:bidi="ar-SA"/>
        </w:rPr>
        <w:t xml:space="preserve">             </w:t>
      </w:r>
    </w:p>
    <w:p w14:paraId="7D0DE094">
      <w:pPr>
        <w:adjustRightInd w:val="0"/>
        <w:snapToGrid w:val="0"/>
        <w:spacing w:line="288" w:lineRule="auto"/>
        <w:ind w:firstLine="1040"/>
        <w:rPr>
          <w:rFonts w:hint="default" w:ascii="仿宋_GB2312" w:hAnsi="Times New Roman" w:eastAsia="仿宋_GB2312" w:cs="Times New Roman"/>
          <w:sz w:val="36"/>
          <w:szCs w:val="36"/>
          <w:u w:val="single"/>
        </w:rPr>
      </w:pPr>
    </w:p>
    <w:p w14:paraId="5F5DDECB">
      <w:pPr>
        <w:adjustRightInd w:val="0"/>
        <w:snapToGrid w:val="0"/>
        <w:spacing w:line="288" w:lineRule="auto"/>
        <w:rPr>
          <w:rFonts w:hint="default" w:ascii="仿宋_GB2312" w:hAnsi="Times New Roman" w:eastAsia="仿宋_GB2312" w:cs="Times New Roman"/>
          <w:sz w:val="36"/>
          <w:szCs w:val="36"/>
          <w:u w:val="single"/>
        </w:rPr>
      </w:pPr>
    </w:p>
    <w:p w14:paraId="16862528">
      <w:pPr>
        <w:adjustRightInd w:val="0"/>
        <w:snapToGrid w:val="0"/>
        <w:spacing w:line="288" w:lineRule="auto"/>
        <w:ind w:firstLine="1040"/>
        <w:rPr>
          <w:rFonts w:hint="default" w:ascii="仿宋_GB2312" w:hAnsi="Times New Roman" w:eastAsia="仿宋_GB2312" w:cs="Times New Roman"/>
          <w:sz w:val="36"/>
          <w:szCs w:val="36"/>
          <w:u w:val="single"/>
        </w:rPr>
      </w:pPr>
    </w:p>
    <w:p w14:paraId="76F72137">
      <w:pPr>
        <w:adjustRightInd w:val="0"/>
        <w:snapToGrid w:val="0"/>
        <w:spacing w:line="288" w:lineRule="auto"/>
        <w:ind w:firstLine="1040"/>
        <w:rPr>
          <w:rFonts w:hint="default" w:ascii="仿宋_GB2312" w:hAnsi="Times New Roman" w:eastAsia="仿宋_GB2312" w:cs="Times New Roman"/>
          <w:sz w:val="36"/>
          <w:szCs w:val="36"/>
          <w:u w:val="single"/>
        </w:rPr>
      </w:pPr>
    </w:p>
    <w:p w14:paraId="6B2ED901">
      <w:pPr>
        <w:adjustRightInd w:val="0"/>
        <w:snapToGrid w:val="0"/>
        <w:spacing w:line="288" w:lineRule="auto"/>
        <w:jc w:val="center"/>
        <w:rPr>
          <w:rFonts w:hint="default" w:ascii="楷体_GB2312" w:hAnsi="Times New Roman" w:eastAsia="楷体_GB2312" w:cs="Times New Roman"/>
          <w:sz w:val="36"/>
          <w:szCs w:val="36"/>
        </w:rPr>
      </w:pPr>
      <w:r>
        <w:rPr>
          <w:rFonts w:hint="default" w:ascii="楷体_GB2312" w:hAnsi="Times New Roman" w:eastAsia="楷体_GB2312" w:cs="Times New Roman"/>
          <w:sz w:val="36"/>
          <w:szCs w:val="36"/>
        </w:rPr>
        <w:t>中华人民共和国生态环境部制</w:t>
      </w:r>
    </w:p>
    <w:p w14:paraId="563739CC">
      <w:pPr>
        <w:rPr>
          <w:rFonts w:hint="default" w:ascii="Times New Roman" w:hAnsi="Times New Roman" w:cs="Times New Roman" w:eastAsiaTheme="minorEastAsia"/>
          <w:color w:val="auto"/>
          <w:sz w:val="36"/>
          <w:szCs w:val="36"/>
        </w:rPr>
      </w:pPr>
      <w:r>
        <w:rPr>
          <w:rFonts w:hint="default" w:ascii="Times New Roman" w:hAnsi="Times New Roman" w:cs="Times New Roman" w:eastAsiaTheme="minorEastAsia"/>
          <w:color w:val="auto"/>
          <w:sz w:val="36"/>
          <w:szCs w:val="36"/>
        </w:rPr>
        <w:br w:type="page"/>
      </w:r>
    </w:p>
    <w:p w14:paraId="68B31E08">
      <w:pPr>
        <w:pStyle w:val="19"/>
        <w:numPr>
          <w:ilvl w:val="0"/>
          <w:numId w:val="1"/>
        </w:numPr>
        <w:jc w:val="center"/>
        <w:outlineLvl w:val="0"/>
        <w:rPr>
          <w:rFonts w:hint="eastAsia" w:ascii="Times New Roman" w:hAnsi="Times New Roman" w:cs="Times New Roman" w:eastAsiaTheme="minorEastAsia"/>
          <w:b/>
          <w:bCs/>
          <w:snapToGrid w:val="0"/>
          <w:color w:val="auto"/>
          <w:sz w:val="30"/>
          <w:szCs w:val="30"/>
          <w:lang w:val="en-US" w:eastAsia="zh-CN"/>
        </w:rPr>
      </w:pPr>
      <w:r>
        <w:rPr>
          <w:rFonts w:hint="default" w:ascii="Times New Roman" w:hAnsi="Times New Roman" w:cs="Times New Roman" w:eastAsiaTheme="minorEastAsia"/>
          <w:b/>
          <w:bCs/>
          <w:snapToGrid w:val="0"/>
          <w:color w:val="auto"/>
          <w:sz w:val="30"/>
          <w:szCs w:val="30"/>
        </w:rPr>
        <w:t>建设项目基本情况</w:t>
      </w:r>
    </w:p>
    <w:tbl>
      <w:tblPr>
        <w:tblStyle w:val="23"/>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83"/>
        <w:gridCol w:w="1950"/>
        <w:gridCol w:w="1875"/>
        <w:gridCol w:w="2962"/>
      </w:tblGrid>
      <w:tr w14:paraId="0885D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2083" w:type="dxa"/>
            <w:tcMar>
              <w:top w:w="16" w:type="dxa"/>
              <w:left w:w="16" w:type="dxa"/>
              <w:right w:w="16" w:type="dxa"/>
            </w:tcMar>
            <w:vAlign w:val="center"/>
          </w:tcPr>
          <w:p w14:paraId="3611897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建设项目名称</w:t>
            </w:r>
          </w:p>
        </w:tc>
        <w:tc>
          <w:tcPr>
            <w:tcW w:w="6787" w:type="dxa"/>
            <w:gridSpan w:val="3"/>
            <w:vAlign w:val="center"/>
          </w:tcPr>
          <w:p w14:paraId="6B3008B5">
            <w:pPr>
              <w:pStyle w:val="19"/>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lang w:eastAsia="zh-CN"/>
              </w:rPr>
              <w:t>阜康市佳贝宠宠物医院颅腔、胸腔、腹腔手术诊疗项目</w:t>
            </w:r>
          </w:p>
        </w:tc>
      </w:tr>
      <w:tr w14:paraId="315D1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083" w:type="dxa"/>
            <w:tcMar>
              <w:top w:w="16" w:type="dxa"/>
              <w:left w:w="16" w:type="dxa"/>
              <w:right w:w="16" w:type="dxa"/>
            </w:tcMar>
            <w:vAlign w:val="center"/>
          </w:tcPr>
          <w:p w14:paraId="287BACC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项目代码</w:t>
            </w:r>
          </w:p>
        </w:tc>
        <w:tc>
          <w:tcPr>
            <w:tcW w:w="6787" w:type="dxa"/>
            <w:gridSpan w:val="3"/>
            <w:vAlign w:val="center"/>
          </w:tcPr>
          <w:p w14:paraId="4270212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eastAsia="zh-CN"/>
              </w:rPr>
            </w:pPr>
            <w:r>
              <w:rPr>
                <w:rFonts w:hint="eastAsia" w:cs="Times New Roman" w:eastAsiaTheme="minorEastAsia"/>
                <w:color w:val="auto"/>
                <w:sz w:val="24"/>
                <w:lang w:val="en-US" w:eastAsia="zh-CN"/>
              </w:rPr>
              <w:t>无</w:t>
            </w:r>
          </w:p>
        </w:tc>
      </w:tr>
      <w:tr w14:paraId="31FBB2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083" w:type="dxa"/>
            <w:tcMar>
              <w:top w:w="16" w:type="dxa"/>
              <w:left w:w="16" w:type="dxa"/>
              <w:right w:w="16" w:type="dxa"/>
            </w:tcMar>
            <w:vAlign w:val="center"/>
          </w:tcPr>
          <w:p w14:paraId="06F7F6C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建设单位联系人</w:t>
            </w:r>
          </w:p>
        </w:tc>
        <w:tc>
          <w:tcPr>
            <w:tcW w:w="1950" w:type="dxa"/>
            <w:vAlign w:val="center"/>
          </w:tcPr>
          <w:p w14:paraId="060F64D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eastAsia="zh-CN"/>
              </w:rPr>
              <w:t>吴军</w:t>
            </w:r>
          </w:p>
        </w:tc>
        <w:tc>
          <w:tcPr>
            <w:tcW w:w="1875" w:type="dxa"/>
            <w:vAlign w:val="center"/>
          </w:tcPr>
          <w:p w14:paraId="56F4247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联系方式</w:t>
            </w:r>
          </w:p>
        </w:tc>
        <w:tc>
          <w:tcPr>
            <w:tcW w:w="2962" w:type="dxa"/>
            <w:vAlign w:val="center"/>
          </w:tcPr>
          <w:p w14:paraId="3379350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eastAsia="zh-CN"/>
              </w:rPr>
            </w:pPr>
            <w:r>
              <w:rPr>
                <w:rFonts w:hint="eastAsia" w:ascii="Times New Roman" w:hAnsi="Times New Roman" w:cs="Times New Roman" w:eastAsiaTheme="minorEastAsia"/>
                <w:color w:val="auto"/>
                <w:sz w:val="24"/>
                <w:lang w:val="en-US" w:eastAsia="zh-CN"/>
              </w:rPr>
              <w:t>15099171525</w:t>
            </w:r>
          </w:p>
        </w:tc>
      </w:tr>
      <w:tr w14:paraId="47F3E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2083" w:type="dxa"/>
            <w:tcMar>
              <w:top w:w="16" w:type="dxa"/>
              <w:left w:w="16" w:type="dxa"/>
              <w:right w:w="16" w:type="dxa"/>
            </w:tcMar>
            <w:vAlign w:val="center"/>
          </w:tcPr>
          <w:p w14:paraId="05750CA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建设地点</w:t>
            </w:r>
          </w:p>
        </w:tc>
        <w:tc>
          <w:tcPr>
            <w:tcW w:w="6787" w:type="dxa"/>
            <w:gridSpan w:val="3"/>
            <w:vAlign w:val="center"/>
          </w:tcPr>
          <w:p w14:paraId="3804DFE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eastAsia="zh-CN"/>
              </w:rPr>
              <w:t>新疆维吾尔自治区昌吉回族自治州阜康市准噶尔路394号</w:t>
            </w:r>
          </w:p>
        </w:tc>
      </w:tr>
      <w:tr w14:paraId="44901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2083" w:type="dxa"/>
            <w:tcMar>
              <w:top w:w="16" w:type="dxa"/>
              <w:left w:w="16" w:type="dxa"/>
              <w:right w:w="16" w:type="dxa"/>
            </w:tcMar>
            <w:vAlign w:val="center"/>
          </w:tcPr>
          <w:p w14:paraId="39BCE9A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地理坐标</w:t>
            </w:r>
          </w:p>
        </w:tc>
        <w:tc>
          <w:tcPr>
            <w:tcW w:w="6787" w:type="dxa"/>
            <w:gridSpan w:val="3"/>
            <w:vAlign w:val="center"/>
          </w:tcPr>
          <w:p w14:paraId="27495A9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u w:val="single"/>
              </w:rPr>
              <w:t>8</w:t>
            </w:r>
            <w:r>
              <w:rPr>
                <w:rFonts w:hint="default" w:ascii="Times New Roman" w:hAnsi="Times New Roman" w:cs="Times New Roman" w:eastAsiaTheme="minorEastAsia"/>
                <w:color w:val="auto"/>
                <w:sz w:val="24"/>
                <w:u w:val="single"/>
                <w:lang w:val="en-US" w:eastAsia="zh-CN"/>
              </w:rPr>
              <w:t>7</w:t>
            </w:r>
            <w:r>
              <w:rPr>
                <w:rFonts w:hint="default" w:ascii="Times New Roman" w:hAnsi="Times New Roman" w:cs="Times New Roman" w:eastAsiaTheme="minorEastAsia"/>
                <w:color w:val="auto"/>
                <w:sz w:val="24"/>
              </w:rPr>
              <w:t>度</w:t>
            </w:r>
            <w:r>
              <w:rPr>
                <w:rFonts w:hint="default" w:ascii="Times New Roman" w:hAnsi="Times New Roman" w:cs="Times New Roman" w:eastAsiaTheme="minorEastAsia"/>
                <w:color w:val="auto"/>
                <w:sz w:val="24"/>
                <w:u w:val="single"/>
                <w:lang w:val="en-US" w:eastAsia="zh-CN"/>
              </w:rPr>
              <w:t>58</w:t>
            </w:r>
            <w:r>
              <w:rPr>
                <w:rFonts w:hint="default" w:ascii="Times New Roman" w:hAnsi="Times New Roman" w:cs="Times New Roman" w:eastAsiaTheme="minorEastAsia"/>
                <w:color w:val="auto"/>
                <w:sz w:val="24"/>
              </w:rPr>
              <w:t>分</w:t>
            </w:r>
            <w:r>
              <w:rPr>
                <w:rFonts w:hint="default" w:ascii="Times New Roman" w:hAnsi="Times New Roman" w:cs="Times New Roman" w:eastAsiaTheme="minorEastAsia"/>
                <w:color w:val="auto"/>
                <w:sz w:val="24"/>
                <w:u w:val="single"/>
                <w:lang w:val="en-US" w:eastAsia="zh-CN"/>
              </w:rPr>
              <w:t>40.793</w:t>
            </w:r>
            <w:r>
              <w:rPr>
                <w:rFonts w:hint="default" w:ascii="Times New Roman" w:hAnsi="Times New Roman" w:cs="Times New Roman" w:eastAsiaTheme="minorEastAsia"/>
                <w:color w:val="auto"/>
                <w:sz w:val="24"/>
              </w:rPr>
              <w:t>秒，</w:t>
            </w:r>
            <w:r>
              <w:rPr>
                <w:rFonts w:hint="default" w:ascii="Times New Roman" w:hAnsi="Times New Roman" w:cs="Times New Roman" w:eastAsiaTheme="minorEastAsia"/>
                <w:color w:val="auto"/>
                <w:sz w:val="24"/>
                <w:u w:val="single"/>
              </w:rPr>
              <w:t>4</w:t>
            </w:r>
            <w:r>
              <w:rPr>
                <w:rFonts w:hint="default" w:ascii="Times New Roman" w:hAnsi="Times New Roman" w:cs="Times New Roman" w:eastAsiaTheme="minorEastAsia"/>
                <w:color w:val="auto"/>
                <w:sz w:val="24"/>
                <w:u w:val="single"/>
                <w:lang w:val="en-US" w:eastAsia="zh-CN"/>
              </w:rPr>
              <w:t>4</w:t>
            </w:r>
            <w:r>
              <w:rPr>
                <w:rFonts w:hint="default" w:ascii="Times New Roman" w:hAnsi="Times New Roman" w:cs="Times New Roman" w:eastAsiaTheme="minorEastAsia"/>
                <w:color w:val="auto"/>
                <w:sz w:val="24"/>
              </w:rPr>
              <w:t>度</w:t>
            </w:r>
            <w:r>
              <w:rPr>
                <w:rFonts w:hint="default" w:ascii="Times New Roman" w:hAnsi="Times New Roman" w:cs="Times New Roman" w:eastAsiaTheme="minorEastAsia"/>
                <w:color w:val="auto"/>
                <w:sz w:val="24"/>
                <w:u w:val="single"/>
              </w:rPr>
              <w:t>09</w:t>
            </w:r>
            <w:r>
              <w:rPr>
                <w:rFonts w:hint="default" w:ascii="Times New Roman" w:hAnsi="Times New Roman" w:cs="Times New Roman" w:eastAsiaTheme="minorEastAsia"/>
                <w:color w:val="auto"/>
                <w:sz w:val="24"/>
              </w:rPr>
              <w:t>分</w:t>
            </w:r>
            <w:r>
              <w:rPr>
                <w:rFonts w:hint="default" w:ascii="Times New Roman" w:hAnsi="Times New Roman" w:cs="Times New Roman" w:eastAsiaTheme="minorEastAsia"/>
                <w:color w:val="auto"/>
                <w:sz w:val="24"/>
                <w:u w:val="single"/>
                <w:lang w:val="en-US" w:eastAsia="zh-CN"/>
              </w:rPr>
              <w:t>0.970</w:t>
            </w:r>
            <w:r>
              <w:rPr>
                <w:rFonts w:hint="default" w:ascii="Times New Roman" w:hAnsi="Times New Roman" w:cs="Times New Roman" w:eastAsiaTheme="minorEastAsia"/>
                <w:color w:val="auto"/>
                <w:sz w:val="24"/>
              </w:rPr>
              <w:t>秒）</w:t>
            </w:r>
          </w:p>
        </w:tc>
      </w:tr>
      <w:tr w14:paraId="275C9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2083" w:type="dxa"/>
            <w:tcMar>
              <w:top w:w="16" w:type="dxa"/>
              <w:left w:w="16" w:type="dxa"/>
              <w:right w:w="16" w:type="dxa"/>
            </w:tcMar>
            <w:vAlign w:val="center"/>
          </w:tcPr>
          <w:p w14:paraId="72B7102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国民经济</w:t>
            </w:r>
          </w:p>
          <w:p w14:paraId="15B3F98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行业类别</w:t>
            </w:r>
          </w:p>
        </w:tc>
        <w:tc>
          <w:tcPr>
            <w:tcW w:w="1950" w:type="dxa"/>
            <w:vAlign w:val="center"/>
          </w:tcPr>
          <w:p w14:paraId="216620B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eastAsia="zh-CN"/>
              </w:rPr>
              <w:t>O8222宠物医院服务</w:t>
            </w:r>
          </w:p>
        </w:tc>
        <w:tc>
          <w:tcPr>
            <w:tcW w:w="1875" w:type="dxa"/>
            <w:vAlign w:val="center"/>
          </w:tcPr>
          <w:p w14:paraId="290E0DE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bookmarkStart w:id="0" w:name="_Hlk49843745"/>
            <w:r>
              <w:rPr>
                <w:rFonts w:hint="default" w:ascii="Times New Roman" w:hAnsi="Times New Roman" w:cs="Times New Roman" w:eastAsiaTheme="minorEastAsia"/>
                <w:color w:val="auto"/>
                <w:sz w:val="24"/>
              </w:rPr>
              <w:t>建设项目</w:t>
            </w:r>
          </w:p>
          <w:p w14:paraId="76732E0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行业类别</w:t>
            </w:r>
            <w:bookmarkEnd w:id="0"/>
          </w:p>
        </w:tc>
        <w:tc>
          <w:tcPr>
            <w:tcW w:w="2962" w:type="dxa"/>
            <w:vAlign w:val="center"/>
          </w:tcPr>
          <w:p w14:paraId="57585A38">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eastAsiaTheme="minorEastAsia"/>
                <w:color w:val="auto"/>
                <w:sz w:val="24"/>
              </w:rPr>
            </w:pPr>
            <w:r>
              <w:rPr>
                <w:rFonts w:hint="default" w:ascii="Times New Roman" w:hAnsi="Times New Roman" w:cs="Times New Roman" w:eastAsiaTheme="minorEastAsia"/>
                <w:snapToGrid w:val="0"/>
                <w:color w:val="auto"/>
                <w:kern w:val="0"/>
                <w:sz w:val="24"/>
                <w:szCs w:val="22"/>
              </w:rPr>
              <w:t>“</w:t>
            </w:r>
            <w:r>
              <w:rPr>
                <w:rFonts w:hint="default" w:ascii="Times New Roman" w:hAnsi="Times New Roman" w:cs="Times New Roman" w:eastAsiaTheme="minorEastAsia"/>
                <w:snapToGrid w:val="0"/>
                <w:color w:val="auto"/>
                <w:kern w:val="0"/>
                <w:sz w:val="24"/>
                <w:szCs w:val="22"/>
                <w:lang w:eastAsia="zh-CN"/>
              </w:rPr>
              <w:t>五十、社会事业与服务业</w:t>
            </w:r>
            <w:r>
              <w:rPr>
                <w:rFonts w:hint="default" w:ascii="Times New Roman" w:hAnsi="Times New Roman" w:cs="Times New Roman" w:eastAsiaTheme="minorEastAsia"/>
                <w:snapToGrid w:val="0"/>
                <w:color w:val="auto"/>
                <w:kern w:val="0"/>
                <w:sz w:val="24"/>
                <w:szCs w:val="22"/>
              </w:rPr>
              <w:t>”中的“</w:t>
            </w:r>
            <w:r>
              <w:rPr>
                <w:rFonts w:hint="default" w:ascii="Times New Roman" w:hAnsi="Times New Roman" w:cs="Times New Roman" w:eastAsiaTheme="minorEastAsia"/>
                <w:snapToGrid w:val="0"/>
                <w:color w:val="auto"/>
                <w:kern w:val="0"/>
                <w:sz w:val="24"/>
                <w:szCs w:val="22"/>
                <w:lang w:eastAsia="zh-CN"/>
              </w:rPr>
              <w:t>123动物医院</w:t>
            </w:r>
            <w:r>
              <w:rPr>
                <w:rFonts w:hint="default" w:ascii="Times New Roman" w:hAnsi="Times New Roman" w:cs="Times New Roman" w:eastAsiaTheme="minorEastAsia"/>
                <w:snapToGrid w:val="0"/>
                <w:color w:val="auto"/>
                <w:kern w:val="0"/>
                <w:sz w:val="24"/>
                <w:szCs w:val="22"/>
              </w:rPr>
              <w:t>”</w:t>
            </w:r>
          </w:p>
        </w:tc>
      </w:tr>
      <w:tr w14:paraId="71876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2083" w:type="dxa"/>
            <w:tcMar>
              <w:top w:w="16" w:type="dxa"/>
              <w:left w:w="16" w:type="dxa"/>
              <w:right w:w="16" w:type="dxa"/>
            </w:tcMar>
            <w:vAlign w:val="center"/>
          </w:tcPr>
          <w:p w14:paraId="338DBA9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建设性质</w:t>
            </w:r>
          </w:p>
        </w:tc>
        <w:tc>
          <w:tcPr>
            <w:tcW w:w="1950" w:type="dxa"/>
            <w:vAlign w:val="center"/>
          </w:tcPr>
          <w:p w14:paraId="033C13B8">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w:char="00FE"/>
            </w:r>
            <w:r>
              <w:rPr>
                <w:rFonts w:hint="default" w:ascii="Times New Roman" w:hAnsi="Times New Roman" w:cs="Times New Roman" w:eastAsiaTheme="minorEastAsia"/>
                <w:color w:val="auto"/>
                <w:sz w:val="24"/>
              </w:rPr>
              <w:t>新建（迁建）</w:t>
            </w:r>
          </w:p>
          <w:p w14:paraId="361C3D4B">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2" w:char="00A3"/>
            </w:r>
            <w:r>
              <w:rPr>
                <w:rFonts w:hint="default" w:ascii="Times New Roman" w:hAnsi="Times New Roman" w:cs="Times New Roman" w:eastAsiaTheme="minorEastAsia"/>
                <w:color w:val="auto"/>
                <w:sz w:val="24"/>
              </w:rPr>
              <w:t>改建</w:t>
            </w:r>
          </w:p>
          <w:p w14:paraId="0579FD71">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2" w:char="00A3"/>
            </w:r>
            <w:r>
              <w:rPr>
                <w:rFonts w:hint="default" w:ascii="Times New Roman" w:hAnsi="Times New Roman" w:cs="Times New Roman" w:eastAsiaTheme="minorEastAsia"/>
                <w:color w:val="auto"/>
                <w:sz w:val="24"/>
              </w:rPr>
              <w:t>扩建</w:t>
            </w:r>
          </w:p>
          <w:p w14:paraId="63510C95">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2" w:char="00A3"/>
            </w:r>
            <w:r>
              <w:rPr>
                <w:rFonts w:hint="default" w:ascii="Times New Roman" w:hAnsi="Times New Roman" w:cs="Times New Roman" w:eastAsiaTheme="minorEastAsia"/>
                <w:color w:val="auto"/>
                <w:sz w:val="24"/>
              </w:rPr>
              <w:t>技术改造</w:t>
            </w:r>
          </w:p>
        </w:tc>
        <w:tc>
          <w:tcPr>
            <w:tcW w:w="1875" w:type="dxa"/>
            <w:vAlign w:val="center"/>
          </w:tcPr>
          <w:p w14:paraId="35406EC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建设项目</w:t>
            </w:r>
          </w:p>
          <w:p w14:paraId="4F755E7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申报情形</w:t>
            </w:r>
          </w:p>
        </w:tc>
        <w:tc>
          <w:tcPr>
            <w:tcW w:w="2962" w:type="dxa"/>
            <w:vAlign w:val="center"/>
          </w:tcPr>
          <w:p w14:paraId="6BBE99A7">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w:char="00FE"/>
            </w:r>
            <w:r>
              <w:rPr>
                <w:rFonts w:hint="default" w:ascii="Times New Roman" w:hAnsi="Times New Roman" w:cs="Times New Roman" w:eastAsiaTheme="minorEastAsia"/>
                <w:color w:val="auto"/>
                <w:sz w:val="24"/>
              </w:rPr>
              <w:t>首次申报项目</w:t>
            </w:r>
          </w:p>
          <w:p w14:paraId="7AF01E16">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2" w:char="00A3"/>
            </w:r>
            <w:r>
              <w:rPr>
                <w:rFonts w:hint="default" w:ascii="Times New Roman" w:hAnsi="Times New Roman" w:cs="Times New Roman" w:eastAsiaTheme="minorEastAsia"/>
                <w:color w:val="auto"/>
                <w:sz w:val="24"/>
              </w:rPr>
              <w:t>不予批准后再次申报项目</w:t>
            </w:r>
          </w:p>
          <w:p w14:paraId="1CE857D1">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w:char="00A8"/>
            </w:r>
            <w:r>
              <w:rPr>
                <w:rFonts w:hint="default" w:ascii="Times New Roman" w:hAnsi="Times New Roman" w:cs="Times New Roman" w:eastAsiaTheme="minorEastAsia"/>
                <w:color w:val="auto"/>
                <w:sz w:val="24"/>
              </w:rPr>
              <w:t>超五年重新审核项目</w:t>
            </w:r>
          </w:p>
          <w:p w14:paraId="20EAF283">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2" w:char="00A3"/>
            </w:r>
            <w:r>
              <w:rPr>
                <w:rFonts w:hint="default" w:ascii="Times New Roman" w:hAnsi="Times New Roman" w:cs="Times New Roman" w:eastAsiaTheme="minorEastAsia"/>
                <w:color w:val="auto"/>
                <w:sz w:val="24"/>
              </w:rPr>
              <w:t>重大变动重新报批项目</w:t>
            </w:r>
          </w:p>
        </w:tc>
      </w:tr>
      <w:tr w14:paraId="28D98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083" w:type="dxa"/>
            <w:tcMar>
              <w:top w:w="16" w:type="dxa"/>
              <w:left w:w="16" w:type="dxa"/>
              <w:right w:w="16" w:type="dxa"/>
            </w:tcMar>
            <w:vAlign w:val="center"/>
          </w:tcPr>
          <w:p w14:paraId="0E73174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项目审批（核准/</w:t>
            </w:r>
          </w:p>
          <w:p w14:paraId="0E55CDF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备案）部门（选填）</w:t>
            </w:r>
          </w:p>
        </w:tc>
        <w:tc>
          <w:tcPr>
            <w:tcW w:w="1950" w:type="dxa"/>
            <w:vAlign w:val="center"/>
          </w:tcPr>
          <w:p w14:paraId="4E9AFD1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val="en-US" w:eastAsia="zh-CN"/>
              </w:rPr>
              <w:t>/</w:t>
            </w:r>
          </w:p>
        </w:tc>
        <w:tc>
          <w:tcPr>
            <w:tcW w:w="1875" w:type="dxa"/>
            <w:vAlign w:val="center"/>
          </w:tcPr>
          <w:p w14:paraId="3B92728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项目审批（核准/备案）文号（选填）</w:t>
            </w:r>
          </w:p>
        </w:tc>
        <w:tc>
          <w:tcPr>
            <w:tcW w:w="2962" w:type="dxa"/>
            <w:vAlign w:val="center"/>
          </w:tcPr>
          <w:p w14:paraId="1236073C">
            <w:pPr>
              <w:pStyle w:val="71"/>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val="en-US" w:eastAsia="zh-CN"/>
              </w:rPr>
              <w:t>/</w:t>
            </w:r>
          </w:p>
        </w:tc>
      </w:tr>
      <w:tr w14:paraId="57603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83" w:type="dxa"/>
            <w:tcMar>
              <w:top w:w="16" w:type="dxa"/>
              <w:left w:w="16" w:type="dxa"/>
              <w:right w:w="16" w:type="dxa"/>
            </w:tcMar>
            <w:vAlign w:val="center"/>
          </w:tcPr>
          <w:p w14:paraId="518D90C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总投资（万元）</w:t>
            </w:r>
          </w:p>
        </w:tc>
        <w:tc>
          <w:tcPr>
            <w:tcW w:w="1950" w:type="dxa"/>
            <w:vAlign w:val="center"/>
          </w:tcPr>
          <w:p w14:paraId="75443D7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val="en-US" w:eastAsia="zh-CN"/>
              </w:rPr>
            </w:pPr>
            <w:r>
              <w:rPr>
                <w:rFonts w:hint="eastAsia" w:cs="Times New Roman" w:eastAsiaTheme="minorEastAsia"/>
                <w:color w:val="auto"/>
                <w:sz w:val="24"/>
                <w:lang w:val="en-US" w:eastAsia="zh-CN"/>
              </w:rPr>
              <w:t>60</w:t>
            </w:r>
          </w:p>
        </w:tc>
        <w:tc>
          <w:tcPr>
            <w:tcW w:w="1875" w:type="dxa"/>
            <w:tcMar>
              <w:top w:w="16" w:type="dxa"/>
              <w:left w:w="16" w:type="dxa"/>
              <w:right w:w="16" w:type="dxa"/>
            </w:tcMar>
            <w:vAlign w:val="center"/>
          </w:tcPr>
          <w:p w14:paraId="6E8983D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环保投资（万元）</w:t>
            </w:r>
          </w:p>
        </w:tc>
        <w:tc>
          <w:tcPr>
            <w:tcW w:w="2962" w:type="dxa"/>
            <w:vAlign w:val="center"/>
          </w:tcPr>
          <w:p w14:paraId="4F92963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val="en-US" w:eastAsia="zh-CN"/>
              </w:rPr>
            </w:pPr>
            <w:r>
              <w:rPr>
                <w:rFonts w:hint="eastAsia" w:cs="Times New Roman" w:eastAsiaTheme="minorEastAsia"/>
                <w:color w:val="auto"/>
                <w:sz w:val="24"/>
                <w:lang w:val="en-US" w:eastAsia="zh-CN"/>
              </w:rPr>
              <w:t>6.4</w:t>
            </w:r>
          </w:p>
        </w:tc>
      </w:tr>
      <w:tr w14:paraId="3D395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2083" w:type="dxa"/>
            <w:tcMar>
              <w:top w:w="16" w:type="dxa"/>
              <w:left w:w="16" w:type="dxa"/>
              <w:right w:w="16" w:type="dxa"/>
            </w:tcMar>
            <w:vAlign w:val="center"/>
          </w:tcPr>
          <w:p w14:paraId="5F0EB4F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环保投资占比（%）</w:t>
            </w:r>
          </w:p>
        </w:tc>
        <w:tc>
          <w:tcPr>
            <w:tcW w:w="1950" w:type="dxa"/>
            <w:vAlign w:val="center"/>
          </w:tcPr>
          <w:p w14:paraId="187CB4A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val="en-US" w:eastAsia="zh-CN"/>
              </w:rPr>
            </w:pPr>
            <w:r>
              <w:rPr>
                <w:rFonts w:hint="eastAsia" w:cs="Times New Roman" w:eastAsiaTheme="minorEastAsia"/>
                <w:color w:val="auto"/>
                <w:sz w:val="24"/>
                <w:lang w:val="en-US" w:eastAsia="zh-CN"/>
              </w:rPr>
              <w:t>10.7</w:t>
            </w:r>
          </w:p>
        </w:tc>
        <w:tc>
          <w:tcPr>
            <w:tcW w:w="1875" w:type="dxa"/>
            <w:tcMar>
              <w:top w:w="16" w:type="dxa"/>
              <w:left w:w="16" w:type="dxa"/>
              <w:right w:w="16" w:type="dxa"/>
            </w:tcMar>
            <w:vAlign w:val="center"/>
          </w:tcPr>
          <w:p w14:paraId="35CCC86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施工工期</w:t>
            </w:r>
          </w:p>
        </w:tc>
        <w:tc>
          <w:tcPr>
            <w:tcW w:w="2962" w:type="dxa"/>
            <w:vAlign w:val="center"/>
          </w:tcPr>
          <w:p w14:paraId="36E208C5">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auto"/>
                <w:sz w:val="24"/>
                <w:lang w:eastAsia="zh-CN"/>
              </w:rPr>
            </w:pPr>
            <w:r>
              <w:rPr>
                <w:rFonts w:hint="eastAsia" w:cs="Times New Roman" w:eastAsiaTheme="minorEastAsia"/>
                <w:color w:val="auto"/>
                <w:sz w:val="24"/>
                <w:lang w:val="en-US" w:eastAsia="zh-CN"/>
              </w:rPr>
              <w:t>/</w:t>
            </w:r>
          </w:p>
        </w:tc>
      </w:tr>
      <w:tr w14:paraId="3E749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3" w:type="dxa"/>
            <w:tcMar>
              <w:top w:w="16" w:type="dxa"/>
              <w:left w:w="16" w:type="dxa"/>
              <w:right w:w="16" w:type="dxa"/>
            </w:tcMar>
            <w:vAlign w:val="center"/>
          </w:tcPr>
          <w:p w14:paraId="0576BAB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是否开工建设</w:t>
            </w:r>
          </w:p>
        </w:tc>
        <w:tc>
          <w:tcPr>
            <w:tcW w:w="1950" w:type="dxa"/>
            <w:vAlign w:val="center"/>
          </w:tcPr>
          <w:p w14:paraId="14E8D5AE">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w:char="00A8"/>
            </w:r>
            <w:r>
              <w:rPr>
                <w:rFonts w:hint="default" w:ascii="Times New Roman" w:hAnsi="Times New Roman" w:cs="Times New Roman" w:eastAsiaTheme="minorEastAsia"/>
                <w:color w:val="auto"/>
                <w:sz w:val="24"/>
              </w:rPr>
              <w:t>否</w:t>
            </w:r>
          </w:p>
          <w:p w14:paraId="1A6CB636">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sym w:font="Wingdings" w:char="00FE"/>
            </w:r>
            <w:r>
              <w:rPr>
                <w:rFonts w:hint="default" w:ascii="Times New Roman" w:hAnsi="Times New Roman" w:cs="Times New Roman" w:eastAsiaTheme="minorEastAsia"/>
                <w:color w:val="auto"/>
                <w:sz w:val="24"/>
              </w:rPr>
              <w:t>是</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val="en-US" w:eastAsia="zh-CN"/>
              </w:rPr>
              <w:t>本项目于2024年4月建设完成，目前未投入使用。阜康市分局要求建设单位在规定的时限内完成整改，按照相关法律法规要求，完成环境影响评价手续的补办工作</w:t>
            </w:r>
            <w:r>
              <w:rPr>
                <w:rFonts w:hint="default" w:ascii="Times New Roman" w:hAnsi="Times New Roman" w:cs="Times New Roman" w:eastAsiaTheme="minorEastAsia"/>
                <w:b w:val="0"/>
                <w:bCs/>
                <w:color w:val="auto"/>
                <w:sz w:val="24"/>
                <w:szCs w:val="24"/>
                <w:u w:val="none"/>
                <w:lang w:val="en-US" w:eastAsia="zh-CN"/>
              </w:rPr>
              <w:t>。</w:t>
            </w:r>
          </w:p>
        </w:tc>
        <w:tc>
          <w:tcPr>
            <w:tcW w:w="1875" w:type="dxa"/>
            <w:tcMar>
              <w:top w:w="16" w:type="dxa"/>
              <w:left w:w="16" w:type="dxa"/>
              <w:right w:w="16" w:type="dxa"/>
            </w:tcMar>
            <w:vAlign w:val="center"/>
          </w:tcPr>
          <w:p w14:paraId="6424F96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pacing w:val="-6"/>
                <w:sz w:val="24"/>
              </w:rPr>
            </w:pPr>
            <w:r>
              <w:rPr>
                <w:rFonts w:hint="default" w:ascii="Times New Roman" w:hAnsi="Times New Roman" w:cs="Times New Roman" w:eastAsiaTheme="minorEastAsia"/>
                <w:color w:val="auto"/>
                <w:spacing w:val="-6"/>
                <w:sz w:val="24"/>
              </w:rPr>
              <w:t>用地（用海）</w:t>
            </w:r>
          </w:p>
          <w:p w14:paraId="2867B22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pacing w:val="-6"/>
                <w:sz w:val="24"/>
              </w:rPr>
              <w:t>面积（m</w:t>
            </w:r>
            <w:r>
              <w:rPr>
                <w:rFonts w:hint="default" w:ascii="Times New Roman" w:hAnsi="Times New Roman" w:cs="Times New Roman" w:eastAsiaTheme="minorEastAsia"/>
                <w:color w:val="auto"/>
                <w:spacing w:val="-6"/>
                <w:sz w:val="24"/>
                <w:vertAlign w:val="superscript"/>
              </w:rPr>
              <w:t>2</w:t>
            </w:r>
            <w:r>
              <w:rPr>
                <w:rFonts w:hint="default" w:ascii="Times New Roman" w:hAnsi="Times New Roman" w:cs="Times New Roman" w:eastAsiaTheme="minorEastAsia"/>
                <w:color w:val="auto"/>
                <w:spacing w:val="-6"/>
                <w:sz w:val="24"/>
              </w:rPr>
              <w:t>）</w:t>
            </w:r>
          </w:p>
        </w:tc>
        <w:tc>
          <w:tcPr>
            <w:tcW w:w="2962" w:type="dxa"/>
            <w:tcMar>
              <w:top w:w="16" w:type="dxa"/>
              <w:left w:w="16" w:type="dxa"/>
              <w:right w:w="16" w:type="dxa"/>
            </w:tcMar>
            <w:vAlign w:val="center"/>
          </w:tcPr>
          <w:p w14:paraId="312EC8C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val="en-US" w:eastAsia="zh-CN"/>
              </w:rPr>
            </w:pPr>
            <w:r>
              <w:rPr>
                <w:rFonts w:hint="eastAsia" w:cs="Times New Roman" w:eastAsiaTheme="minorEastAsia"/>
                <w:color w:val="auto"/>
                <w:sz w:val="24"/>
                <w:lang w:val="en-US" w:eastAsia="zh-CN"/>
              </w:rPr>
              <w:t>300</w:t>
            </w:r>
          </w:p>
        </w:tc>
      </w:tr>
      <w:tr w14:paraId="4F674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083" w:type="dxa"/>
            <w:vAlign w:val="center"/>
          </w:tcPr>
          <w:p w14:paraId="59533853">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专项评价设置情况</w:t>
            </w:r>
          </w:p>
        </w:tc>
        <w:tc>
          <w:tcPr>
            <w:tcW w:w="6787" w:type="dxa"/>
            <w:gridSpan w:val="3"/>
            <w:vAlign w:val="center"/>
          </w:tcPr>
          <w:p w14:paraId="09DDA23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无</w:t>
            </w:r>
          </w:p>
        </w:tc>
      </w:tr>
      <w:tr w14:paraId="7E14F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83" w:type="dxa"/>
            <w:vAlign w:val="center"/>
          </w:tcPr>
          <w:p w14:paraId="66F31E3B">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规划情况</w:t>
            </w:r>
          </w:p>
        </w:tc>
        <w:tc>
          <w:tcPr>
            <w:tcW w:w="6787" w:type="dxa"/>
            <w:gridSpan w:val="3"/>
            <w:vAlign w:val="center"/>
          </w:tcPr>
          <w:p w14:paraId="39A3374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无</w:t>
            </w:r>
          </w:p>
        </w:tc>
      </w:tr>
      <w:tr w14:paraId="25B6C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83" w:type="dxa"/>
            <w:vAlign w:val="center"/>
          </w:tcPr>
          <w:p w14:paraId="3F23B757">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规划环境影响</w:t>
            </w:r>
          </w:p>
          <w:p w14:paraId="1C35BF5B">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评价情况</w:t>
            </w:r>
          </w:p>
        </w:tc>
        <w:tc>
          <w:tcPr>
            <w:tcW w:w="6787" w:type="dxa"/>
            <w:gridSpan w:val="3"/>
            <w:vAlign w:val="center"/>
          </w:tcPr>
          <w:p w14:paraId="64C8A8A1">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无</w:t>
            </w:r>
          </w:p>
        </w:tc>
      </w:tr>
      <w:tr w14:paraId="39547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83" w:type="dxa"/>
            <w:vAlign w:val="center"/>
          </w:tcPr>
          <w:p w14:paraId="451B248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规划及规划环境</w:t>
            </w:r>
          </w:p>
          <w:p w14:paraId="45573FE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影响评价符合性分析</w:t>
            </w:r>
          </w:p>
        </w:tc>
        <w:tc>
          <w:tcPr>
            <w:tcW w:w="6787" w:type="dxa"/>
            <w:gridSpan w:val="3"/>
            <w:vAlign w:val="center"/>
          </w:tcPr>
          <w:p w14:paraId="2201AB4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无</w:t>
            </w:r>
          </w:p>
        </w:tc>
      </w:tr>
      <w:tr w14:paraId="57835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41" w:hRule="atLeast"/>
          <w:jc w:val="center"/>
        </w:trPr>
        <w:tc>
          <w:tcPr>
            <w:tcW w:w="2083" w:type="dxa"/>
            <w:vAlign w:val="center"/>
          </w:tcPr>
          <w:p w14:paraId="26208EB3">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其他符合性分析</w:t>
            </w:r>
          </w:p>
        </w:tc>
        <w:tc>
          <w:tcPr>
            <w:tcW w:w="6787" w:type="dxa"/>
            <w:gridSpan w:val="3"/>
            <w:vAlign w:val="center"/>
          </w:tcPr>
          <w:p w14:paraId="674A9E6B">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1</w:t>
            </w:r>
            <w:r>
              <w:rPr>
                <w:rFonts w:hint="eastAsia" w:cs="Times New Roman" w:eastAsiaTheme="minorEastAsia"/>
                <w:b/>
                <w:bCs/>
                <w:color w:val="auto"/>
                <w:sz w:val="24"/>
                <w:szCs w:val="24"/>
                <w:lang w:val="en-US" w:eastAsia="zh-CN"/>
              </w:rPr>
              <w:t>.</w:t>
            </w:r>
            <w:r>
              <w:rPr>
                <w:rFonts w:hint="default" w:ascii="Times New Roman" w:hAnsi="Times New Roman" w:cs="Times New Roman" w:eastAsiaTheme="minorEastAsia"/>
                <w:b/>
                <w:bCs/>
                <w:color w:val="auto"/>
                <w:sz w:val="24"/>
                <w:szCs w:val="24"/>
              </w:rPr>
              <w:t>与国家产业政策的符合性分析</w:t>
            </w:r>
          </w:p>
          <w:p w14:paraId="0D16B7A6">
            <w:pPr>
              <w:pStyle w:val="71"/>
              <w:keepNext w:val="0"/>
              <w:keepLines w:val="0"/>
              <w:suppressLineNumbers w:val="0"/>
              <w:spacing w:before="0" w:beforeAutospacing="0" w:after="0" w:afterAutospacing="0" w:line="520" w:lineRule="exact"/>
              <w:ind w:left="0" w:right="0" w:firstLine="480" w:firstLineChars="200"/>
              <w:jc w:val="left"/>
              <w:rPr>
                <w:rFonts w:hint="eastAsia"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根据《产业结构调整指导目录（20</w:t>
            </w:r>
            <w:r>
              <w:rPr>
                <w:rFonts w:hint="default" w:ascii="Times New Roman" w:hAnsi="Times New Roman" w:cs="Times New Roman" w:eastAsiaTheme="minorEastAsia"/>
                <w:color w:val="auto"/>
                <w:sz w:val="24"/>
                <w:szCs w:val="24"/>
                <w:lang w:val="en-US" w:eastAsia="zh-CN"/>
              </w:rPr>
              <w:t>24</w:t>
            </w:r>
            <w:r>
              <w:rPr>
                <w:rFonts w:hint="default" w:ascii="Times New Roman" w:hAnsi="Times New Roman" w:cs="Times New Roman" w:eastAsiaTheme="minorEastAsia"/>
                <w:color w:val="auto"/>
                <w:sz w:val="24"/>
                <w:szCs w:val="24"/>
              </w:rPr>
              <w:t>年本）》</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本项目不属于“</w:t>
            </w:r>
            <w:r>
              <w:rPr>
                <w:rFonts w:hint="default" w:ascii="Times New Roman" w:hAnsi="Times New Roman" w:cs="Times New Roman" w:eastAsiaTheme="minorEastAsia"/>
                <w:color w:val="auto"/>
                <w:sz w:val="24"/>
                <w:szCs w:val="24"/>
                <w:lang w:val="en-US"/>
              </w:rPr>
              <w:t>限制类</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rPr>
              <w:t>淘汰类和鼓励类</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rPr>
              <w:t>，</w:t>
            </w:r>
            <w:r>
              <w:rPr>
                <w:rFonts w:hint="eastAsia" w:cs="Times New Roman" w:eastAsiaTheme="minorEastAsia"/>
                <w:color w:val="auto"/>
                <w:sz w:val="24"/>
                <w:szCs w:val="24"/>
                <w:lang w:val="en-US" w:eastAsia="zh-CN"/>
              </w:rPr>
              <w:t>即</w:t>
            </w:r>
            <w:r>
              <w:rPr>
                <w:rFonts w:hint="default" w:ascii="Times New Roman" w:hAnsi="Times New Roman" w:cs="Times New Roman" w:eastAsiaTheme="minorEastAsia"/>
                <w:color w:val="auto"/>
                <w:sz w:val="24"/>
                <w:szCs w:val="24"/>
                <w:lang w:val="en-US" w:eastAsia="zh-CN"/>
              </w:rPr>
              <w:t>属于“</w:t>
            </w:r>
            <w:r>
              <w:rPr>
                <w:rFonts w:hint="default" w:ascii="Times New Roman" w:hAnsi="Times New Roman" w:cs="Times New Roman" w:eastAsiaTheme="minorEastAsia"/>
                <w:color w:val="auto"/>
                <w:sz w:val="24"/>
                <w:szCs w:val="24"/>
                <w:lang w:val="en-US"/>
              </w:rPr>
              <w:t>允许类</w:t>
            </w:r>
            <w:r>
              <w:rPr>
                <w:rFonts w:hint="default" w:ascii="Times New Roman" w:hAnsi="Times New Roman" w:cs="Times New Roman" w:eastAsiaTheme="minorEastAsia"/>
                <w:color w:val="auto"/>
                <w:sz w:val="24"/>
                <w:szCs w:val="24"/>
                <w:lang w:val="en-US" w:eastAsia="zh-CN"/>
              </w:rPr>
              <w:t>”规定范畴，</w:t>
            </w:r>
            <w:r>
              <w:rPr>
                <w:rFonts w:hint="default" w:ascii="Times New Roman" w:hAnsi="Times New Roman" w:cs="Times New Roman" w:eastAsiaTheme="minorEastAsia"/>
                <w:color w:val="auto"/>
                <w:sz w:val="24"/>
                <w:szCs w:val="24"/>
                <w:lang w:val="en-US"/>
              </w:rPr>
              <w:t>因此，本项目符合《产业结构调整指导目录（2024年本）》产业政策要求</w:t>
            </w:r>
            <w:r>
              <w:rPr>
                <w:rFonts w:hint="eastAsia" w:ascii="Times New Roman" w:hAnsi="Times New Roman" w:cs="Times New Roman" w:eastAsiaTheme="minorEastAsia"/>
                <w:color w:val="auto"/>
                <w:sz w:val="24"/>
                <w:szCs w:val="24"/>
                <w:lang w:val="en-US" w:eastAsia="zh-CN"/>
              </w:rPr>
              <w:t>。</w:t>
            </w:r>
          </w:p>
          <w:p w14:paraId="4DD1400F">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lang w:val="en-US" w:eastAsia="zh-CN"/>
              </w:rPr>
              <w:t>2</w:t>
            </w:r>
            <w:r>
              <w:rPr>
                <w:rFonts w:hint="eastAsia" w:cs="Times New Roman" w:eastAsiaTheme="minorEastAsia"/>
                <w:b/>
                <w:bCs/>
                <w:color w:val="auto"/>
                <w:sz w:val="24"/>
                <w:szCs w:val="24"/>
                <w:lang w:val="en-US" w:eastAsia="zh-CN"/>
              </w:rPr>
              <w:t>.</w:t>
            </w:r>
            <w:r>
              <w:rPr>
                <w:rFonts w:hint="default" w:ascii="Times New Roman" w:hAnsi="Times New Roman" w:cs="Times New Roman" w:eastAsiaTheme="minorEastAsia"/>
                <w:b/>
                <w:bCs/>
                <w:color w:val="auto"/>
                <w:sz w:val="24"/>
                <w:szCs w:val="24"/>
              </w:rPr>
              <w:t>“三线一单”符合性分析</w:t>
            </w:r>
          </w:p>
          <w:p w14:paraId="2868990D">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ascii="Times New Roman" w:hAnsi="Times New Roman" w:cs="Times New Roman" w:eastAsiaTheme="minorEastAsia"/>
                <w:b/>
                <w:bCs/>
                <w:color w:val="auto"/>
                <w:sz w:val="24"/>
                <w:szCs w:val="24"/>
                <w:lang w:val="en-US" w:eastAsia="zh-CN"/>
              </w:rPr>
              <w:t>2.1</w:t>
            </w:r>
            <w:r>
              <w:rPr>
                <w:rFonts w:hint="default" w:ascii="Times New Roman" w:hAnsi="Times New Roman" w:cs="Times New Roman" w:eastAsiaTheme="minorEastAsia"/>
                <w:b/>
                <w:bCs/>
                <w:color w:val="auto"/>
                <w:sz w:val="24"/>
                <w:szCs w:val="24"/>
                <w:lang w:val="en-US" w:eastAsia="zh-CN"/>
              </w:rPr>
              <w:t>与《新疆维吾尔自治区“三线一单”生态环境分区管控方案》（2023版）符合性</w:t>
            </w:r>
            <w:r>
              <w:rPr>
                <w:rFonts w:hint="eastAsia" w:ascii="Times New Roman" w:hAnsi="Times New Roman" w:cs="Times New Roman" w:eastAsiaTheme="minorEastAsia"/>
                <w:b/>
                <w:bCs/>
                <w:color w:val="auto"/>
                <w:sz w:val="24"/>
                <w:szCs w:val="24"/>
                <w:lang w:val="en-US" w:eastAsia="zh-CN"/>
              </w:rPr>
              <w:t>分析</w:t>
            </w:r>
          </w:p>
          <w:p w14:paraId="09A9099C">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rPr>
            </w:pPr>
            <w:r>
              <w:rPr>
                <w:rFonts w:hint="default" w:ascii="Times New Roman" w:hAnsi="Times New Roman" w:eastAsia="宋体" w:cs="Times New Roman"/>
                <w:color w:val="auto"/>
                <w:kern w:val="0"/>
                <w:sz w:val="24"/>
                <w:szCs w:val="24"/>
                <w:highlight w:val="none"/>
                <w:lang w:val="en-US" w:eastAsia="zh-CN"/>
              </w:rPr>
              <w:t>《新疆维吾尔自治区“三线一单”生态分区管控方案》于2021年2月由自治区人民政府发布并实施，并于2023年进行修订，</w:t>
            </w:r>
            <w:r>
              <w:rPr>
                <w:rFonts w:hint="default" w:ascii="Times New Roman" w:hAnsi="Times New Roman" w:cs="Times New Roman" w:eastAsiaTheme="minorEastAsia"/>
                <w:color w:val="auto"/>
                <w:sz w:val="24"/>
                <w:szCs w:val="24"/>
              </w:rPr>
              <w:t>本项目与新疆维吾尔自治区“三线一单”</w:t>
            </w:r>
            <w:r>
              <w:rPr>
                <w:rFonts w:hint="default" w:ascii="Times New Roman" w:hAnsi="Times New Roman" w:eastAsia="宋体" w:cs="Times New Roman"/>
                <w:color w:val="auto"/>
                <w:kern w:val="0"/>
                <w:sz w:val="24"/>
                <w:szCs w:val="24"/>
                <w:highlight w:val="none"/>
                <w:lang w:val="en-US" w:eastAsia="zh-CN"/>
              </w:rPr>
              <w:t>生态分区管控方案</w:t>
            </w:r>
            <w:r>
              <w:rPr>
                <w:rFonts w:hint="default" w:ascii="Times New Roman" w:hAnsi="Times New Roman" w:cs="Times New Roman" w:eastAsiaTheme="minorEastAsia"/>
                <w:color w:val="auto"/>
                <w:sz w:val="24"/>
                <w:szCs w:val="24"/>
              </w:rPr>
              <w:t>的符合性分析见表</w:t>
            </w:r>
            <w:r>
              <w:rPr>
                <w:rFonts w:hint="eastAsia"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w:t>
            </w:r>
          </w:p>
          <w:p w14:paraId="2988F1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baseline"/>
              <w:rPr>
                <w:rFonts w:hint="default" w:ascii="Times New Roman" w:hAnsi="Times New Roman" w:eastAsia="宋体" w:cs="Times New Roman"/>
                <w:b/>
                <w:bCs/>
                <w:color w:val="auto"/>
                <w:kern w:val="0"/>
                <w:sz w:val="21"/>
                <w:szCs w:val="21"/>
                <w:lang w:val="zh-CN"/>
              </w:rPr>
            </w:pPr>
            <w:r>
              <w:rPr>
                <w:rFonts w:hint="default" w:ascii="Times New Roman" w:hAnsi="Times New Roman" w:eastAsia="宋体" w:cs="Times New Roman"/>
                <w:b/>
                <w:bCs/>
                <w:color w:val="auto"/>
                <w:kern w:val="0"/>
                <w:sz w:val="21"/>
                <w:szCs w:val="21"/>
                <w:lang w:val="zh-CN"/>
              </w:rPr>
              <w:t>表</w:t>
            </w:r>
            <w:r>
              <w:rPr>
                <w:rFonts w:hint="eastAsia"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lang w:val="zh-CN"/>
              </w:rPr>
              <w:t>-</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lang w:val="zh-CN"/>
              </w:rPr>
              <w:t xml:space="preserve">   </w:t>
            </w:r>
            <w:r>
              <w:rPr>
                <w:rFonts w:hint="eastAsia" w:ascii="Times New Roman" w:hAnsi="Times New Roman" w:eastAsia="宋体" w:cs="Times New Roman"/>
                <w:b/>
                <w:bCs/>
                <w:color w:val="auto"/>
                <w:kern w:val="0"/>
                <w:sz w:val="21"/>
                <w:szCs w:val="21"/>
                <w:lang w:val="en-US" w:eastAsia="zh-CN"/>
              </w:rPr>
              <w:t>项目与《</w:t>
            </w:r>
            <w:r>
              <w:rPr>
                <w:rFonts w:hint="default" w:ascii="Times New Roman" w:hAnsi="Times New Roman" w:eastAsia="宋体" w:cs="Times New Roman"/>
                <w:b/>
                <w:bCs/>
                <w:color w:val="auto"/>
                <w:kern w:val="0"/>
                <w:sz w:val="21"/>
                <w:szCs w:val="21"/>
                <w:lang w:val="en-US" w:eastAsia="zh-CN"/>
              </w:rPr>
              <w:t>新疆维吾尔自治区“三线一单”生态环境分区管控方案》（2023版）</w:t>
            </w:r>
            <w:r>
              <w:rPr>
                <w:rFonts w:hint="default" w:ascii="Times New Roman" w:hAnsi="Times New Roman" w:eastAsia="宋体" w:cs="Times New Roman"/>
                <w:b/>
                <w:bCs/>
                <w:color w:val="auto"/>
                <w:kern w:val="0"/>
                <w:sz w:val="21"/>
                <w:szCs w:val="21"/>
                <w:lang w:val="zh-CN"/>
              </w:rPr>
              <w:t>符合性分析一览表</w:t>
            </w:r>
          </w:p>
          <w:tbl>
            <w:tblPr>
              <w:tblStyle w:val="23"/>
              <w:tblW w:w="65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1"/>
              <w:gridCol w:w="643"/>
              <w:gridCol w:w="2550"/>
              <w:gridCol w:w="2050"/>
              <w:gridCol w:w="884"/>
            </w:tblGrid>
            <w:tr w14:paraId="683473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14" w:type="dxa"/>
                  <w:gridSpan w:val="2"/>
                  <w:tcBorders>
                    <w:bottom w:val="single" w:color="auto" w:sz="12" w:space="0"/>
                  </w:tcBorders>
                  <w:noWrap w:val="0"/>
                  <w:vAlign w:val="center"/>
                </w:tcPr>
                <w:p w14:paraId="1EB6BC67">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管控</w:t>
                  </w:r>
                </w:p>
                <w:p w14:paraId="3CDD6F60">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类别</w:t>
                  </w:r>
                </w:p>
              </w:tc>
              <w:tc>
                <w:tcPr>
                  <w:tcW w:w="2550" w:type="dxa"/>
                  <w:tcBorders>
                    <w:bottom w:val="single" w:color="auto" w:sz="12" w:space="0"/>
                  </w:tcBorders>
                  <w:noWrap w:val="0"/>
                  <w:vAlign w:val="center"/>
                </w:tcPr>
                <w:p w14:paraId="32693DAC">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管控要求</w:t>
                  </w:r>
                </w:p>
              </w:tc>
              <w:tc>
                <w:tcPr>
                  <w:tcW w:w="2050" w:type="dxa"/>
                  <w:tcBorders>
                    <w:bottom w:val="single" w:color="auto" w:sz="12" w:space="0"/>
                  </w:tcBorders>
                  <w:noWrap w:val="0"/>
                  <w:vAlign w:val="center"/>
                </w:tcPr>
                <w:p w14:paraId="029BD924">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本项目情况</w:t>
                  </w:r>
                </w:p>
              </w:tc>
              <w:tc>
                <w:tcPr>
                  <w:tcW w:w="884" w:type="dxa"/>
                  <w:tcBorders>
                    <w:bottom w:val="single" w:color="auto" w:sz="12" w:space="0"/>
                  </w:tcBorders>
                  <w:noWrap w:val="0"/>
                  <w:vAlign w:val="center"/>
                </w:tcPr>
                <w:p w14:paraId="428761F4">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符合性</w:t>
                  </w:r>
                </w:p>
              </w:tc>
            </w:tr>
            <w:tr w14:paraId="6EEA46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vMerge w:val="restart"/>
                  <w:tcBorders>
                    <w:top w:val="single" w:color="auto" w:sz="12" w:space="0"/>
                  </w:tcBorders>
                  <w:noWrap w:val="0"/>
                  <w:vAlign w:val="center"/>
                </w:tcPr>
                <w:p w14:paraId="36694AB5">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eastAsiaTheme="minorEastAsia"/>
                      <w:bCs/>
                      <w:kern w:val="2"/>
                      <w:sz w:val="21"/>
                      <w:szCs w:val="21"/>
                    </w:rPr>
                  </w:pPr>
                  <w:r>
                    <w:rPr>
                      <w:rFonts w:hint="default" w:ascii="Times New Roman" w:hAnsi="Times New Roman" w:cs="Times New Roman" w:eastAsiaTheme="minorEastAsia"/>
                      <w:bCs/>
                      <w:kern w:val="2"/>
                      <w:sz w:val="21"/>
                      <w:szCs w:val="21"/>
                    </w:rPr>
                    <w:t>A6重点管控单元</w:t>
                  </w:r>
                </w:p>
                <w:p w14:paraId="18177165">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FF"/>
                      <w:sz w:val="21"/>
                      <w:szCs w:val="21"/>
                      <w:highlight w:val="none"/>
                    </w:rPr>
                  </w:pPr>
                </w:p>
              </w:tc>
              <w:tc>
                <w:tcPr>
                  <w:tcW w:w="643" w:type="dxa"/>
                  <w:tcBorders>
                    <w:top w:val="single" w:color="auto" w:sz="12" w:space="0"/>
                  </w:tcBorders>
                  <w:noWrap w:val="0"/>
                  <w:vAlign w:val="center"/>
                </w:tcPr>
                <w:p w14:paraId="12D39ABB">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FF"/>
                      <w:sz w:val="21"/>
                      <w:szCs w:val="21"/>
                      <w:highlight w:val="none"/>
                    </w:rPr>
                  </w:pPr>
                  <w:r>
                    <w:rPr>
                      <w:rFonts w:hint="default" w:ascii="Times New Roman" w:hAnsi="Times New Roman" w:cs="Times New Roman" w:eastAsiaTheme="minorEastAsia"/>
                      <w:bCs/>
                      <w:kern w:val="2"/>
                      <w:sz w:val="21"/>
                      <w:szCs w:val="21"/>
                    </w:rPr>
                    <w:t>A6.1空间布局约束</w:t>
                  </w:r>
                </w:p>
              </w:tc>
              <w:tc>
                <w:tcPr>
                  <w:tcW w:w="2550" w:type="dxa"/>
                  <w:tcBorders>
                    <w:top w:val="single" w:color="auto" w:sz="12" w:space="0"/>
                  </w:tcBorders>
                  <w:noWrap w:val="0"/>
                  <w:vAlign w:val="center"/>
                </w:tcPr>
                <w:p w14:paraId="28ED826A">
                  <w:pPr>
                    <w:keepNext w:val="0"/>
                    <w:keepLines w:val="0"/>
                    <w:widowControl w:val="0"/>
                    <w:suppressLineNumbers w:val="0"/>
                    <w:spacing w:before="0" w:beforeAutospacing="0" w:after="0" w:afterAutospacing="0" w:line="240" w:lineRule="auto"/>
                    <w:ind w:left="0" w:right="0"/>
                    <w:jc w:val="left"/>
                    <w:rPr>
                      <w:rFonts w:hint="default" w:ascii="Times New Roman" w:hAnsi="Times New Roman" w:cs="Times New Roman" w:eastAsiaTheme="minorEastAsia"/>
                      <w:bCs/>
                      <w:kern w:val="2"/>
                      <w:sz w:val="21"/>
                      <w:szCs w:val="21"/>
                    </w:rPr>
                  </w:pPr>
                  <w:r>
                    <w:rPr>
                      <w:rFonts w:hint="default" w:ascii="Times New Roman" w:hAnsi="Times New Roman" w:cs="Times New Roman" w:eastAsiaTheme="minorEastAsia"/>
                      <w:bCs/>
                      <w:kern w:val="2"/>
                      <w:sz w:val="21"/>
                      <w:szCs w:val="21"/>
                    </w:rPr>
                    <w:t>【A6.1-1】根据产业集聚区块的功能定位，建立分区差别化的产业准入条件。严格控制重要水系源头地区和重要生态功能区“高污染、高环境风险产品”工业项目准入。优化完善区域产业布局，合理规划布局“高污染、高环境风险产品”工业项目，鼓励对“高污染、高环境风险产品”工业项目进行淘汰和提升改造。合理规划居住区与工业功能区，在居住区和工业区、工业企业之间设置防护绿化隔离带。</w:t>
                  </w:r>
                </w:p>
                <w:p w14:paraId="020FBF39">
                  <w:pPr>
                    <w:keepNext w:val="0"/>
                    <w:keepLines w:val="0"/>
                    <w:widowControl w:val="0"/>
                    <w:suppressLineNumbers w:val="0"/>
                    <w:spacing w:before="0" w:beforeAutospacing="0" w:after="0" w:afterAutospacing="0" w:line="240" w:lineRule="auto"/>
                    <w:ind w:left="0" w:right="0"/>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【A6.1-2】大气环境重点管控区内：</w:t>
                  </w:r>
                  <w:r>
                    <w:rPr>
                      <w:rFonts w:hint="default" w:ascii="Times New Roman" w:hAnsi="Times New Roman" w:cs="Times New Roman" w:eastAsiaTheme="minorEastAsia"/>
                      <w:kern w:val="0"/>
                      <w:sz w:val="21"/>
                      <w:szCs w:val="21"/>
                      <w:lang w:val="en-US" w:eastAsia="zh-CN" w:bidi="ar-SA"/>
                    </w:rPr>
                    <w:t>禁止引进国家和自治区明令禁止或淘汰的产业及工艺、园区规划的项目；引进符合国家产业政策和清洁生产要求的、采用先进生产工艺和设备的、自动化程度高的、具有可靠先进的污染治理技术的生产项目。</w:t>
                  </w:r>
                </w:p>
                <w:p w14:paraId="692819A7">
                  <w:pPr>
                    <w:keepNext w:val="0"/>
                    <w:keepLines w:val="0"/>
                    <w:widowControl w:val="0"/>
                    <w:suppressLineNumbers w:val="0"/>
                    <w:spacing w:before="0" w:beforeAutospacing="0" w:after="0" w:afterAutospacing="0" w:line="240" w:lineRule="auto"/>
                    <w:ind w:left="0" w:right="0"/>
                    <w:jc w:val="left"/>
                    <w:rPr>
                      <w:rFonts w:hint="default" w:ascii="Times New Roman" w:hAnsi="Times New Roman" w:cs="Times New Roman" w:eastAsiaTheme="minorEastAsia"/>
                      <w:bCs/>
                      <w:kern w:val="2"/>
                      <w:sz w:val="21"/>
                      <w:szCs w:val="21"/>
                    </w:rPr>
                  </w:pPr>
                  <w:r>
                    <w:rPr>
                      <w:rFonts w:hint="default" w:ascii="Times New Roman" w:hAnsi="Times New Roman" w:cs="Times New Roman" w:eastAsiaTheme="minorEastAsia"/>
                      <w:bCs/>
                      <w:kern w:val="2"/>
                      <w:sz w:val="21"/>
                      <w:szCs w:val="21"/>
                    </w:rPr>
                    <w:t>【A6.1-3】水环境重点管控区内：制定产业准入对污染排放不达标的企业限期整改，确保水污染物达标排放；加快推进生态园区建设和循环化改造，完善污水集中处理设施及再生水回用系统，加强配套管网建设，并确保稳定运行，工业废水必须经预处理达到集中处理要求后，方可进入污水集中处理设施，不断提高污水集中处理中水回用率。加强城镇配套管网建设，提高城镇生活污水出水排放标准，推进城镇生活污水深度治理，提高污水厂脱氮除磷效率。对农业污染重点管控区，推进畜禽养殖禁养区、限养区的划定，限期依法关闭或搬迁禁养区内的畜禽养殖场，对现有规模化畜禽养殖配套建设粪便污水贮存、处理、利用设施，鼓励设施农业循环发展模式，推进养殖废弃物资源化利用。控制化肥农药使用量，推进农膜回收及加工再利用，农药化肥等包装废弃物的安全收集处置设施建设，降低农业污染负荷。</w:t>
                  </w:r>
                </w:p>
                <w:p w14:paraId="680B5FA8">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kern w:val="2"/>
                      <w:sz w:val="21"/>
                      <w:szCs w:val="21"/>
                    </w:rPr>
                    <w:t>【A6.1-4】土壤环境重点管控区内：引入新建产业或企业时，应结合产业发展规划，充分考虑企业类型、污染物排放特征以及外环境情况等因素，避免企业形成交叉污染；涉重金属、持久性有机物等有毒有害污染物工业企业退出用地，须经评估、治理，满足后续相应用地土壤环境质量要求。</w:t>
                  </w:r>
                </w:p>
              </w:tc>
              <w:tc>
                <w:tcPr>
                  <w:tcW w:w="2050" w:type="dxa"/>
                  <w:tcBorders>
                    <w:top w:val="single" w:color="auto" w:sz="12" w:space="0"/>
                  </w:tcBorders>
                  <w:noWrap w:val="0"/>
                  <w:vAlign w:val="center"/>
                </w:tcPr>
                <w:p w14:paraId="438C52D3">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bCs/>
                      <w:sz w:val="21"/>
                      <w:szCs w:val="21"/>
                      <w:lang w:eastAsia="zh-CN"/>
                    </w:rPr>
                  </w:pPr>
                  <w:r>
                    <w:rPr>
                      <w:rFonts w:hint="default" w:ascii="Times New Roman" w:hAnsi="Times New Roman" w:cs="Times New Roman" w:eastAsiaTheme="minorEastAsia"/>
                      <w:bCs/>
                      <w:sz w:val="21"/>
                      <w:szCs w:val="21"/>
                      <w:lang w:val="en-US" w:eastAsia="zh-CN"/>
                    </w:rPr>
                    <w:t>1.本项目符合</w:t>
                  </w:r>
                  <w:r>
                    <w:rPr>
                      <w:rFonts w:hint="default" w:ascii="Times New Roman" w:hAnsi="Times New Roman" w:cs="Times New Roman" w:eastAsiaTheme="minorEastAsia"/>
                      <w:bCs/>
                      <w:sz w:val="21"/>
                      <w:szCs w:val="21"/>
                    </w:rPr>
                    <w:t>《产业结构调整指导目录（20</w:t>
                  </w:r>
                  <w:r>
                    <w:rPr>
                      <w:rFonts w:hint="default" w:ascii="Times New Roman" w:hAnsi="Times New Roman" w:cs="Times New Roman" w:eastAsiaTheme="minorEastAsia"/>
                      <w:bCs/>
                      <w:sz w:val="21"/>
                      <w:szCs w:val="21"/>
                      <w:lang w:val="en-US" w:eastAsia="zh-CN"/>
                    </w:rPr>
                    <w:t>24</w:t>
                  </w:r>
                  <w:r>
                    <w:rPr>
                      <w:rFonts w:hint="default" w:ascii="Times New Roman" w:hAnsi="Times New Roman" w:cs="Times New Roman" w:eastAsiaTheme="minorEastAsia"/>
                      <w:bCs/>
                      <w:sz w:val="21"/>
                      <w:szCs w:val="21"/>
                    </w:rPr>
                    <w:t>年本）》</w:t>
                  </w:r>
                  <w:r>
                    <w:rPr>
                      <w:rFonts w:hint="default" w:ascii="Times New Roman" w:hAnsi="Times New Roman" w:cs="Times New Roman" w:eastAsiaTheme="minorEastAsia"/>
                      <w:bCs/>
                      <w:sz w:val="21"/>
                      <w:szCs w:val="21"/>
                      <w:lang w:val="en-US"/>
                    </w:rPr>
                    <w:t>产业政策要求</w:t>
                  </w:r>
                  <w:r>
                    <w:rPr>
                      <w:rFonts w:hint="default" w:ascii="Times New Roman" w:hAnsi="Times New Roman" w:cs="Times New Roman" w:eastAsiaTheme="minorEastAsia"/>
                      <w:bCs/>
                      <w:sz w:val="21"/>
                      <w:szCs w:val="21"/>
                      <w:lang w:val="en-US" w:eastAsia="zh-CN"/>
                    </w:rPr>
                    <w:t>；本项目不属于</w:t>
                  </w:r>
                  <w:r>
                    <w:rPr>
                      <w:rFonts w:hint="default" w:ascii="Times New Roman" w:hAnsi="Times New Roman" w:cs="Times New Roman" w:eastAsiaTheme="minorEastAsia"/>
                      <w:bCs/>
                      <w:sz w:val="21"/>
                      <w:szCs w:val="21"/>
                    </w:rPr>
                    <w:t>《市场准入负面清单（2022年版）》禁止准入类事项</w:t>
                  </w:r>
                  <w:r>
                    <w:rPr>
                      <w:rFonts w:hint="default" w:ascii="Times New Roman" w:hAnsi="Times New Roman" w:cs="Times New Roman" w:eastAsiaTheme="minorEastAsia"/>
                      <w:bCs/>
                      <w:sz w:val="21"/>
                      <w:szCs w:val="21"/>
                      <w:lang w:eastAsia="zh-CN"/>
                    </w:rPr>
                    <w:t>。</w:t>
                  </w:r>
                </w:p>
                <w:p w14:paraId="3EDA7D49">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bCs/>
                      <w:sz w:val="21"/>
                      <w:szCs w:val="21"/>
                      <w:lang w:val="en-US" w:eastAsia="zh-CN"/>
                    </w:rPr>
                    <w:t>2.本项目符合</w:t>
                  </w:r>
                  <w:r>
                    <w:rPr>
                      <w:rFonts w:hint="default" w:ascii="Times New Roman" w:hAnsi="Times New Roman" w:cs="Times New Roman" w:eastAsiaTheme="minorEastAsia"/>
                      <w:kern w:val="2"/>
                      <w:sz w:val="21"/>
                      <w:szCs w:val="21"/>
                    </w:rPr>
                    <w:t>《自治区严禁“三高”项目进新疆推动经济高质量发展实施方案》</w:t>
                  </w:r>
                  <w:r>
                    <w:rPr>
                      <w:rFonts w:hint="default" w:ascii="Times New Roman" w:hAnsi="Times New Roman" w:cs="Times New Roman" w:eastAsiaTheme="minorEastAsia"/>
                      <w:kern w:val="2"/>
                      <w:sz w:val="21"/>
                      <w:szCs w:val="21"/>
                      <w:lang w:val="en-US" w:eastAsia="zh-CN"/>
                    </w:rPr>
                    <w:t>要求。</w:t>
                  </w:r>
                </w:p>
                <w:p w14:paraId="2C5E4847">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kern w:val="2"/>
                      <w:sz w:val="21"/>
                      <w:szCs w:val="21"/>
                      <w:lang w:val="en-US" w:eastAsia="zh-CN"/>
                    </w:rPr>
                    <w:t>3.</w:t>
                  </w:r>
                  <w:r>
                    <w:rPr>
                      <w:rFonts w:hint="default" w:ascii="Times New Roman" w:hAnsi="Times New Roman" w:cs="Times New Roman" w:eastAsiaTheme="minorEastAsia"/>
                      <w:bCs/>
                      <w:color w:val="auto"/>
                      <w:sz w:val="21"/>
                      <w:szCs w:val="21"/>
                      <w:lang w:val="en-US" w:eastAsia="zh-CN"/>
                    </w:rPr>
                    <w:t>本项目消毒装置出水符合《医疗机构水污染物排放标准》(GB18466-2005</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中的“综合医疗机构和其他医疗机构水污染排放限值（日均值</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”中的预处理排放要求；</w:t>
                  </w:r>
                  <w:r>
                    <w:rPr>
                      <w:rFonts w:hint="default" w:ascii="Times New Roman" w:hAnsi="Times New Roman" w:cs="Times New Roman" w:eastAsiaTheme="minorEastAsia"/>
                      <w:color w:val="auto"/>
                      <w:sz w:val="21"/>
                      <w:szCs w:val="21"/>
                      <w:highlight w:val="none"/>
                      <w:lang w:val="en-US" w:eastAsia="zh-CN"/>
                    </w:rPr>
                    <w:t>项目生产过程中产生的各类污染物均满足</w:t>
                  </w:r>
                  <w:r>
                    <w:rPr>
                      <w:rFonts w:hint="default" w:ascii="Times New Roman" w:hAnsi="Times New Roman" w:cs="Times New Roman" w:eastAsiaTheme="minorEastAsia"/>
                      <w:color w:val="auto"/>
                      <w:sz w:val="21"/>
                      <w:szCs w:val="21"/>
                      <w:highlight w:val="none"/>
                    </w:rPr>
                    <w:t>相关排放标准</w:t>
                  </w:r>
                  <w:r>
                    <w:rPr>
                      <w:rFonts w:hint="default" w:ascii="Times New Roman" w:hAnsi="Times New Roman" w:cs="Times New Roman" w:eastAsiaTheme="minorEastAsia"/>
                      <w:bCs/>
                      <w:color w:val="auto"/>
                      <w:sz w:val="21"/>
                      <w:szCs w:val="21"/>
                      <w:lang w:val="en-US" w:eastAsia="zh-CN"/>
                    </w:rPr>
                    <w:t>。</w:t>
                  </w:r>
                </w:p>
                <w:p w14:paraId="7B4C924D">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4.本项目不属于</w:t>
                  </w:r>
                  <w:r>
                    <w:rPr>
                      <w:rFonts w:hint="default" w:ascii="Times New Roman" w:hAnsi="Times New Roman" w:cs="Times New Roman" w:eastAsiaTheme="minorEastAsia"/>
                      <w:bCs/>
                      <w:kern w:val="2"/>
                      <w:sz w:val="21"/>
                      <w:szCs w:val="21"/>
                    </w:rPr>
                    <w:t>涉重金属、持久性有机物等有毒有害污染物工业企业</w:t>
                  </w:r>
                  <w:r>
                    <w:rPr>
                      <w:rFonts w:hint="eastAsia" w:cs="Times New Roman" w:eastAsiaTheme="minorEastAsia"/>
                      <w:bCs/>
                      <w:kern w:val="2"/>
                      <w:sz w:val="21"/>
                      <w:szCs w:val="21"/>
                      <w:lang w:eastAsia="zh-CN"/>
                    </w:rPr>
                    <w:t>。</w:t>
                  </w:r>
                </w:p>
              </w:tc>
              <w:tc>
                <w:tcPr>
                  <w:tcW w:w="884" w:type="dxa"/>
                  <w:tcBorders>
                    <w:top w:val="single" w:color="auto" w:sz="12" w:space="0"/>
                  </w:tcBorders>
                  <w:noWrap w:val="0"/>
                  <w:vAlign w:val="center"/>
                </w:tcPr>
                <w:p w14:paraId="47D1B291">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符合</w:t>
                  </w:r>
                </w:p>
              </w:tc>
            </w:tr>
            <w:tr w14:paraId="70EC15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71" w:type="dxa"/>
                  <w:vMerge w:val="continue"/>
                  <w:noWrap w:val="0"/>
                  <w:vAlign w:val="center"/>
                </w:tcPr>
                <w:p w14:paraId="5D8C43D3">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FF"/>
                      <w:sz w:val="21"/>
                      <w:szCs w:val="21"/>
                      <w:highlight w:val="none"/>
                    </w:rPr>
                  </w:pPr>
                </w:p>
              </w:tc>
              <w:tc>
                <w:tcPr>
                  <w:tcW w:w="643" w:type="dxa"/>
                  <w:noWrap w:val="0"/>
                  <w:vAlign w:val="center"/>
                </w:tcPr>
                <w:p w14:paraId="517B19CB">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kern w:val="2"/>
                      <w:sz w:val="21"/>
                      <w:szCs w:val="21"/>
                    </w:rPr>
                    <w:t>A6.2污染物排放管控</w:t>
                  </w:r>
                </w:p>
              </w:tc>
              <w:tc>
                <w:tcPr>
                  <w:tcW w:w="2550" w:type="dxa"/>
                  <w:noWrap w:val="0"/>
                  <w:vAlign w:val="center"/>
                </w:tcPr>
                <w:p w14:paraId="67B83CF3">
                  <w:pPr>
                    <w:keepNext w:val="0"/>
                    <w:keepLines w:val="0"/>
                    <w:widowControl w:val="0"/>
                    <w:suppressLineNumbers w:val="0"/>
                    <w:spacing w:before="0" w:beforeAutospacing="0" w:after="0" w:afterAutospacing="0" w:line="240" w:lineRule="auto"/>
                    <w:ind w:left="0" w:right="0"/>
                    <w:jc w:val="left"/>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kern w:val="2"/>
                      <w:sz w:val="21"/>
                      <w:szCs w:val="21"/>
                    </w:rPr>
                    <w:t>【A6.2-1】严格实施污染物总量控制制度，根据区域环境质量改善目标，削减污染物排放总量。新建工业项目污染物排放水平要达到同行业国内先进水平。加快落实污水处理厂建设及提升改造，推进工业园区（工业企业）污水处理综合利用设施建设，所有企业实现稳定达标排放。加强土壤和地下水污染防治与修复。</w:t>
                  </w:r>
                </w:p>
              </w:tc>
              <w:tc>
                <w:tcPr>
                  <w:tcW w:w="2050" w:type="dxa"/>
                  <w:noWrap w:val="0"/>
                  <w:vAlign w:val="center"/>
                </w:tcPr>
                <w:p w14:paraId="1B95EFFA">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color w:val="auto"/>
                      <w:sz w:val="21"/>
                      <w:szCs w:val="21"/>
                      <w:lang w:val="en-US" w:eastAsia="zh-CN"/>
                    </w:rPr>
                    <w:t>本项目不涉及总量控制指标。</w:t>
                  </w:r>
                  <w:r>
                    <w:rPr>
                      <w:rFonts w:hint="default" w:ascii="Times New Roman" w:hAnsi="Times New Roman" w:cs="Times New Roman" w:eastAsiaTheme="minorEastAsia"/>
                      <w:bCs/>
                      <w:color w:val="auto"/>
                      <w:sz w:val="21"/>
                      <w:szCs w:val="21"/>
                      <w:lang w:val="en-US" w:eastAsia="zh-CN"/>
                    </w:rPr>
                    <w:t>本项目消毒装置出水符合《医疗机构水污染物排放标准》(GB18466-2005</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中的“综合医疗机构和其他医疗机构水污染排放限值（日均值</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”中的预处理排放要求。</w:t>
                  </w:r>
                  <w:r>
                    <w:rPr>
                      <w:rFonts w:hint="default" w:ascii="Times New Roman" w:hAnsi="Times New Roman" w:cs="Times New Roman" w:eastAsiaTheme="minorEastAsia"/>
                      <w:color w:val="auto"/>
                      <w:kern w:val="2"/>
                      <w:sz w:val="21"/>
                      <w:szCs w:val="21"/>
                      <w:lang w:val="en-US" w:eastAsia="zh-CN" w:bidi="ar-SA"/>
                    </w:rPr>
                    <w:t>本项目医疗废物处理设施地面采取防渗水泥硬化，对地下水、土壤环境基本无影响；医疗废物暂存间地面采用水泥硬化，并采用环氧树脂进行防腐防渗处理，基本从入渗途径阻断了医疗废物泄漏对地下水、土壤的影响。</w:t>
                  </w:r>
                </w:p>
              </w:tc>
              <w:tc>
                <w:tcPr>
                  <w:tcW w:w="884" w:type="dxa"/>
                  <w:noWrap w:val="0"/>
                  <w:vAlign w:val="center"/>
                </w:tcPr>
                <w:p w14:paraId="7AB51BD5">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FF"/>
                      <w:sz w:val="21"/>
                      <w:szCs w:val="21"/>
                      <w:highlight w:val="none"/>
                    </w:rPr>
                  </w:pPr>
                  <w:r>
                    <w:rPr>
                      <w:rFonts w:hint="default" w:ascii="Times New Roman" w:hAnsi="Times New Roman" w:cs="Times New Roman" w:eastAsiaTheme="minorEastAsia"/>
                      <w:bCs/>
                      <w:sz w:val="21"/>
                      <w:szCs w:val="21"/>
                    </w:rPr>
                    <w:t>符合</w:t>
                  </w:r>
                </w:p>
              </w:tc>
            </w:tr>
            <w:tr w14:paraId="4D5830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471" w:type="dxa"/>
                  <w:vMerge w:val="continue"/>
                  <w:noWrap w:val="0"/>
                  <w:vAlign w:val="center"/>
                </w:tcPr>
                <w:p w14:paraId="60661327">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FF"/>
                      <w:sz w:val="21"/>
                      <w:szCs w:val="21"/>
                      <w:highlight w:val="none"/>
                    </w:rPr>
                  </w:pPr>
                </w:p>
              </w:tc>
              <w:tc>
                <w:tcPr>
                  <w:tcW w:w="643" w:type="dxa"/>
                  <w:noWrap w:val="0"/>
                  <w:vAlign w:val="center"/>
                </w:tcPr>
                <w:p w14:paraId="69AF088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kern w:val="2"/>
                      <w:sz w:val="21"/>
                      <w:szCs w:val="21"/>
                    </w:rPr>
                    <w:t>A6.3环境风险防控</w:t>
                  </w:r>
                </w:p>
              </w:tc>
              <w:tc>
                <w:tcPr>
                  <w:tcW w:w="2550" w:type="dxa"/>
                  <w:noWrap w:val="0"/>
                  <w:vAlign w:val="center"/>
                </w:tcPr>
                <w:p w14:paraId="5B3732EE">
                  <w:pPr>
                    <w:keepNext w:val="0"/>
                    <w:keepLines w:val="0"/>
                    <w:widowControl w:val="0"/>
                    <w:suppressLineNumbers w:val="0"/>
                    <w:spacing w:before="0" w:beforeAutospacing="0" w:after="0" w:afterAutospacing="0" w:line="240" w:lineRule="auto"/>
                    <w:ind w:left="0" w:right="0"/>
                    <w:jc w:val="left"/>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kern w:val="2"/>
                      <w:sz w:val="21"/>
                      <w:szCs w:val="21"/>
                    </w:rPr>
                    <w:t>【A6.3-1】定期评估邻近环境敏感区的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2050" w:type="dxa"/>
                  <w:noWrap w:val="0"/>
                  <w:vAlign w:val="center"/>
                </w:tcPr>
                <w:p w14:paraId="5FA579BC">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不涉及</w:t>
                  </w:r>
                  <w:r>
                    <w:rPr>
                      <w:rFonts w:hint="eastAsia" w:cs="Times New Roman" w:eastAsiaTheme="minorEastAsia"/>
                      <w:bCs/>
                      <w:sz w:val="21"/>
                      <w:szCs w:val="21"/>
                      <w:lang w:val="en-US" w:eastAsia="zh-CN"/>
                    </w:rPr>
                    <w:t>。</w:t>
                  </w:r>
                </w:p>
              </w:tc>
              <w:tc>
                <w:tcPr>
                  <w:tcW w:w="884" w:type="dxa"/>
                  <w:noWrap w:val="0"/>
                  <w:vAlign w:val="center"/>
                </w:tcPr>
                <w:p w14:paraId="033B3C00">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FF"/>
                      <w:sz w:val="21"/>
                      <w:szCs w:val="21"/>
                      <w:highlight w:val="none"/>
                    </w:rPr>
                  </w:pPr>
                  <w:r>
                    <w:rPr>
                      <w:rFonts w:hint="default" w:ascii="Times New Roman" w:hAnsi="Times New Roman" w:cs="Times New Roman" w:eastAsiaTheme="minorEastAsia"/>
                      <w:bCs/>
                      <w:sz w:val="21"/>
                      <w:szCs w:val="21"/>
                    </w:rPr>
                    <w:t>符合</w:t>
                  </w:r>
                </w:p>
              </w:tc>
            </w:tr>
            <w:tr w14:paraId="2AF86A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471" w:type="dxa"/>
                  <w:vMerge w:val="continue"/>
                  <w:noWrap w:val="0"/>
                  <w:vAlign w:val="center"/>
                </w:tcPr>
                <w:p w14:paraId="7DF21EFB">
                  <w:pPr>
                    <w:pStyle w:val="71"/>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FF"/>
                      <w:sz w:val="21"/>
                      <w:szCs w:val="21"/>
                      <w:highlight w:val="none"/>
                    </w:rPr>
                  </w:pPr>
                </w:p>
              </w:tc>
              <w:tc>
                <w:tcPr>
                  <w:tcW w:w="643" w:type="dxa"/>
                  <w:noWrap w:val="0"/>
                  <w:vAlign w:val="center"/>
                </w:tcPr>
                <w:p w14:paraId="76FFF24B">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kern w:val="2"/>
                      <w:sz w:val="21"/>
                      <w:szCs w:val="21"/>
                    </w:rPr>
                    <w:t>A6.4资源利用要求</w:t>
                  </w:r>
                </w:p>
              </w:tc>
              <w:tc>
                <w:tcPr>
                  <w:tcW w:w="2550" w:type="dxa"/>
                  <w:noWrap w:val="0"/>
                  <w:vAlign w:val="center"/>
                </w:tcPr>
                <w:p w14:paraId="3AFC4269">
                  <w:pPr>
                    <w:keepNext w:val="0"/>
                    <w:keepLines w:val="0"/>
                    <w:widowControl w:val="0"/>
                    <w:suppressLineNumbers w:val="0"/>
                    <w:spacing w:before="0" w:beforeAutospacing="0" w:after="0" w:afterAutospacing="0" w:line="240" w:lineRule="auto"/>
                    <w:ind w:left="0" w:right="0"/>
                    <w:jc w:val="left"/>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kern w:val="2"/>
                      <w:sz w:val="21"/>
                      <w:szCs w:val="21"/>
                    </w:rPr>
                    <w:t>【A6.4-1】推进工业集聚区生态化改造，强化企业清洁生产改造，推进节水型企业、节水型工业园区建设，提高资源能源利用效率。</w:t>
                  </w:r>
                </w:p>
              </w:tc>
              <w:tc>
                <w:tcPr>
                  <w:tcW w:w="2050" w:type="dxa"/>
                  <w:noWrap w:val="0"/>
                  <w:vAlign w:val="center"/>
                </w:tcPr>
                <w:p w14:paraId="0CDD9ABD">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lang w:val="en-US" w:eastAsia="zh-CN"/>
                    </w:rPr>
                    <w:t>本项目位于</w:t>
                  </w:r>
                  <w:r>
                    <w:rPr>
                      <w:rFonts w:hint="default" w:ascii="Times New Roman" w:hAnsi="Times New Roman" w:cs="Times New Roman" w:eastAsiaTheme="minorEastAsia"/>
                      <w:color w:val="auto"/>
                      <w:sz w:val="21"/>
                      <w:szCs w:val="21"/>
                      <w:lang w:val="en-US" w:eastAsia="zh-CN"/>
                    </w:rPr>
                    <w:t>城市建成区内，不涉及</w:t>
                  </w:r>
                  <w:r>
                    <w:rPr>
                      <w:rFonts w:hint="default" w:ascii="Times New Roman" w:hAnsi="Times New Roman" w:cs="Times New Roman" w:eastAsiaTheme="minorEastAsia"/>
                      <w:bCs/>
                      <w:kern w:val="2"/>
                      <w:sz w:val="21"/>
                      <w:szCs w:val="21"/>
                    </w:rPr>
                    <w:t>节水型企业、节水型工业园区建设</w:t>
                  </w:r>
                  <w:r>
                    <w:rPr>
                      <w:rFonts w:hint="default" w:ascii="Times New Roman" w:hAnsi="Times New Roman" w:cs="Times New Roman" w:eastAsiaTheme="minorEastAsia"/>
                      <w:bCs/>
                      <w:kern w:val="2"/>
                      <w:sz w:val="21"/>
                      <w:szCs w:val="21"/>
                      <w:lang w:eastAsia="zh-CN"/>
                    </w:rPr>
                    <w:t>。</w:t>
                  </w:r>
                </w:p>
              </w:tc>
              <w:tc>
                <w:tcPr>
                  <w:tcW w:w="884" w:type="dxa"/>
                  <w:noWrap w:val="0"/>
                  <w:vAlign w:val="center"/>
                </w:tcPr>
                <w:p w14:paraId="1524DB2A">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FF"/>
                      <w:sz w:val="21"/>
                      <w:szCs w:val="21"/>
                      <w:highlight w:val="none"/>
                    </w:rPr>
                  </w:pPr>
                  <w:r>
                    <w:rPr>
                      <w:rFonts w:hint="default" w:ascii="Times New Roman" w:hAnsi="Times New Roman" w:cs="Times New Roman" w:eastAsiaTheme="minorEastAsia"/>
                      <w:bCs/>
                      <w:sz w:val="21"/>
                      <w:szCs w:val="21"/>
                    </w:rPr>
                    <w:t>符合</w:t>
                  </w:r>
                </w:p>
              </w:tc>
            </w:tr>
          </w:tbl>
          <w:p w14:paraId="5DA4A25D">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ascii="Times New Roman" w:hAnsi="Times New Roman" w:cs="Times New Roman" w:eastAsiaTheme="minorEastAsia"/>
                <w:b/>
                <w:bCs/>
                <w:color w:val="auto"/>
                <w:sz w:val="24"/>
                <w:szCs w:val="24"/>
                <w:lang w:val="en-US" w:eastAsia="zh-CN"/>
              </w:rPr>
              <w:t>2.2与《新疆维吾尔自治区七大片区“三线一单”生态环境分区管控要求》符合性分析</w:t>
            </w:r>
          </w:p>
          <w:p w14:paraId="3A58B4A4">
            <w:pPr>
              <w:keepNext w:val="0"/>
              <w:keepLines w:val="0"/>
              <w:suppressLineNumbers w:val="0"/>
              <w:spacing w:before="0" w:beforeAutospacing="0" w:after="0" w:afterAutospacing="0" w:line="520" w:lineRule="exact"/>
              <w:ind w:left="0" w:right="0" w:firstLine="480" w:firstLineChars="200"/>
              <w:jc w:val="left"/>
              <w:rPr>
                <w:rFonts w:hint="eastAsia" w:eastAsiaTheme="minorEastAsia"/>
                <w:color w:val="auto"/>
                <w:sz w:val="24"/>
              </w:rPr>
            </w:pPr>
            <w:r>
              <w:rPr>
                <w:rFonts w:hint="eastAsia" w:eastAsiaTheme="minorEastAsia"/>
                <w:color w:val="auto"/>
                <w:sz w:val="24"/>
              </w:rPr>
              <w:t>根据《新疆维吾尔自治区七大片区“三线一单”生态环境分区管控要求》：除国家规划的项目外，乌鲁木齐七区一县、昌吉市、阜康市、玛纳斯县、呼图壁县、沙湾市建成区及周边敏感区域内不再布局建设煤化工、电解铝、燃煤纯发电机组、金属硅、碳化硅、聚氯乙烯（电石法）、焦炭（含半焦）等新增产能项目。煤炭、石油、天然气开发单位应当制定生态保护和恢复治理方案，并予以实施。生态保护和恢复治理方案内容应当向社会公布，接受社会监督。</w:t>
            </w:r>
          </w:p>
          <w:p w14:paraId="3E904C9C">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eastAsia" w:eastAsiaTheme="minorEastAsia"/>
                <w:color w:val="auto"/>
                <w:sz w:val="24"/>
              </w:rPr>
              <w:t>本项目</w:t>
            </w:r>
            <w:r>
              <w:rPr>
                <w:rFonts w:hint="eastAsia" w:ascii="Times New Roman" w:hAnsi="Times New Roman" w:cs="Times New Roman" w:eastAsiaTheme="minorEastAsia"/>
                <w:color w:val="auto"/>
                <w:kern w:val="2"/>
                <w:sz w:val="24"/>
                <w:szCs w:val="24"/>
                <w:lang w:val="en-US" w:eastAsia="zh-CN" w:bidi="ar-SA"/>
              </w:rPr>
              <w:t>属于</w:t>
            </w:r>
            <w:r>
              <w:rPr>
                <w:rFonts w:hint="default" w:ascii="Times New Roman" w:hAnsi="Times New Roman" w:cs="Times New Roman" w:eastAsiaTheme="minorEastAsia"/>
                <w:color w:val="auto"/>
                <w:kern w:val="2"/>
                <w:sz w:val="24"/>
                <w:szCs w:val="24"/>
                <w:lang w:val="en-US" w:eastAsia="zh-CN" w:bidi="ar-SA"/>
              </w:rPr>
              <w:t>宠物医院建设项目</w:t>
            </w:r>
            <w:r>
              <w:rPr>
                <w:rFonts w:hint="eastAsia" w:ascii="Times New Roman" w:hAnsi="Times New Roman" w:cs="Times New Roman" w:eastAsiaTheme="minorEastAsia"/>
                <w:color w:val="auto"/>
                <w:kern w:val="2"/>
                <w:sz w:val="24"/>
                <w:szCs w:val="24"/>
                <w:lang w:val="en-US" w:eastAsia="zh-CN" w:bidi="ar-SA"/>
              </w:rPr>
              <w:t>，</w:t>
            </w:r>
            <w:r>
              <w:rPr>
                <w:rFonts w:hint="eastAsia" w:eastAsiaTheme="minorEastAsia"/>
                <w:color w:val="auto"/>
                <w:sz w:val="24"/>
              </w:rPr>
              <w:t>不在上述新增产能项目中。综上所述，本项目建设符合《新疆维吾尔自治区七大片区“三线一单”生态环境分区管控要求》相关要求。</w:t>
            </w:r>
          </w:p>
          <w:p w14:paraId="35CCF965">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ascii="Times New Roman" w:hAnsi="Times New Roman" w:cs="Times New Roman" w:eastAsiaTheme="minorEastAsia"/>
                <w:b/>
                <w:bCs/>
                <w:color w:val="auto"/>
                <w:sz w:val="24"/>
                <w:szCs w:val="24"/>
                <w:lang w:val="en-US" w:eastAsia="zh-CN"/>
              </w:rPr>
              <w:t>2.3</w:t>
            </w:r>
            <w:r>
              <w:rPr>
                <w:rFonts w:hint="default" w:ascii="Times New Roman" w:hAnsi="Times New Roman" w:cs="Times New Roman" w:eastAsiaTheme="minorEastAsia"/>
                <w:b/>
                <w:bCs/>
                <w:color w:val="auto"/>
                <w:sz w:val="24"/>
                <w:szCs w:val="24"/>
                <w:lang w:val="en-US" w:eastAsia="zh-CN"/>
              </w:rPr>
              <w:t>与</w:t>
            </w:r>
            <w:r>
              <w:rPr>
                <w:rFonts w:hint="eastAsia" w:ascii="Times New Roman" w:hAnsi="Times New Roman" w:cs="Times New Roman" w:eastAsiaTheme="minorEastAsia"/>
                <w:b/>
                <w:bCs/>
                <w:color w:val="auto"/>
                <w:sz w:val="24"/>
                <w:szCs w:val="24"/>
                <w:lang w:val="en-US" w:eastAsia="zh-CN"/>
              </w:rPr>
              <w:t>《</w:t>
            </w:r>
            <w:r>
              <w:rPr>
                <w:rFonts w:hint="default" w:ascii="Times New Roman" w:hAnsi="Times New Roman" w:cs="Times New Roman" w:eastAsiaTheme="minorEastAsia"/>
                <w:b/>
                <w:bCs/>
                <w:color w:val="auto"/>
                <w:sz w:val="24"/>
                <w:szCs w:val="24"/>
                <w:lang w:val="en-US" w:eastAsia="zh-CN"/>
              </w:rPr>
              <w:t>昌吉回族自治州区域空间生态环境评价暨“</w:t>
            </w:r>
            <w:r>
              <w:rPr>
                <w:rFonts w:hint="eastAsia" w:ascii="Times New Roman" w:hAnsi="Times New Roman" w:cs="Times New Roman" w:eastAsiaTheme="minorEastAsia"/>
                <w:b/>
                <w:bCs/>
                <w:color w:val="auto"/>
                <w:sz w:val="24"/>
                <w:szCs w:val="24"/>
                <w:lang w:val="en-US" w:eastAsia="zh-CN"/>
              </w:rPr>
              <w:t>三线一单</w:t>
            </w:r>
            <w:r>
              <w:rPr>
                <w:rFonts w:hint="default" w:ascii="Times New Roman" w:hAnsi="Times New Roman" w:cs="Times New Roman" w:eastAsiaTheme="minorEastAsia"/>
                <w:b/>
                <w:bCs/>
                <w:color w:val="auto"/>
                <w:sz w:val="24"/>
                <w:szCs w:val="24"/>
                <w:lang w:val="en-US" w:eastAsia="zh-CN"/>
              </w:rPr>
              <w:t>”</w:t>
            </w:r>
            <w:r>
              <w:rPr>
                <w:rFonts w:hint="eastAsia" w:ascii="Times New Roman" w:hAnsi="Times New Roman" w:cs="Times New Roman" w:eastAsiaTheme="minorEastAsia"/>
                <w:b/>
                <w:bCs/>
                <w:color w:val="auto"/>
                <w:sz w:val="24"/>
                <w:szCs w:val="24"/>
                <w:lang w:val="en-US" w:eastAsia="zh-CN"/>
              </w:rPr>
              <w:t>生态环境准入清单动态更新成果》</w:t>
            </w:r>
            <w:r>
              <w:rPr>
                <w:rFonts w:hint="default" w:ascii="Times New Roman" w:hAnsi="Times New Roman" w:cs="Times New Roman" w:eastAsiaTheme="minorEastAsia"/>
                <w:b/>
                <w:bCs/>
                <w:color w:val="auto"/>
                <w:sz w:val="24"/>
                <w:szCs w:val="24"/>
                <w:lang w:val="en-US" w:eastAsia="zh-CN"/>
              </w:rPr>
              <w:t>符合性分析</w:t>
            </w:r>
          </w:p>
          <w:p w14:paraId="4E174824">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《昌吉回族自治州“三线一单”生态环境分区管控方案及生态环境准入清单》（昌州政办发〔2021〕41号）</w:t>
            </w:r>
            <w:r>
              <w:rPr>
                <w:rFonts w:hint="eastAsia" w:ascii="Times New Roman" w:hAnsi="Times New Roman" w:cs="Times New Roman" w:eastAsiaTheme="minorEastAsia"/>
                <w:color w:val="auto"/>
                <w:kern w:val="2"/>
                <w:sz w:val="24"/>
                <w:szCs w:val="24"/>
                <w:lang w:val="en-US" w:eastAsia="zh-CN" w:bidi="ar-SA"/>
              </w:rPr>
              <w:t>于2021年发布实施，并于2023年修订，根据《</w:t>
            </w:r>
            <w:r>
              <w:rPr>
                <w:rFonts w:hint="default" w:ascii="Times New Roman" w:hAnsi="Times New Roman" w:cs="Times New Roman" w:eastAsiaTheme="minorEastAsia"/>
                <w:color w:val="auto"/>
                <w:kern w:val="2"/>
                <w:sz w:val="24"/>
                <w:szCs w:val="24"/>
                <w:lang w:val="en-US" w:eastAsia="zh-CN" w:bidi="ar-SA"/>
              </w:rPr>
              <w:t>昌吉回族自治州区域空间生态环境评价暨“</w:t>
            </w:r>
            <w:r>
              <w:rPr>
                <w:rFonts w:hint="eastAsia" w:ascii="Times New Roman" w:hAnsi="Times New Roman" w:cs="Times New Roman" w:eastAsiaTheme="minorEastAsia"/>
                <w:color w:val="auto"/>
                <w:kern w:val="2"/>
                <w:sz w:val="24"/>
                <w:szCs w:val="24"/>
                <w:lang w:val="en-US" w:eastAsia="zh-CN" w:bidi="ar-SA"/>
              </w:rPr>
              <w:t>三线一单</w:t>
            </w:r>
            <w:r>
              <w:rPr>
                <w:rFonts w:hint="default" w:ascii="Times New Roman" w:hAnsi="Times New Roman" w:cs="Times New Roman" w:eastAsiaTheme="minorEastAsia"/>
                <w:color w:val="auto"/>
                <w:kern w:val="2"/>
                <w:sz w:val="24"/>
                <w:szCs w:val="24"/>
                <w:lang w:val="en-US" w:eastAsia="zh-CN" w:bidi="ar-SA"/>
              </w:rPr>
              <w:t>”</w:t>
            </w:r>
            <w:r>
              <w:rPr>
                <w:rFonts w:hint="eastAsia" w:ascii="Times New Roman" w:hAnsi="Times New Roman" w:cs="Times New Roman" w:eastAsiaTheme="minorEastAsia"/>
                <w:color w:val="auto"/>
                <w:kern w:val="2"/>
                <w:sz w:val="24"/>
                <w:szCs w:val="24"/>
                <w:lang w:val="en-US" w:eastAsia="zh-CN" w:bidi="ar-SA"/>
              </w:rPr>
              <w:t>生态环境准入清单动态更新成果》，</w:t>
            </w:r>
            <w:r>
              <w:rPr>
                <w:rFonts w:hint="default" w:ascii="Times New Roman" w:hAnsi="Times New Roman" w:cs="Times New Roman" w:eastAsiaTheme="minorEastAsia"/>
                <w:color w:val="auto"/>
                <w:kern w:val="2"/>
                <w:sz w:val="24"/>
                <w:szCs w:val="24"/>
                <w:lang w:val="en-US" w:eastAsia="zh-CN" w:bidi="ar-SA"/>
              </w:rPr>
              <w:t>本项目属于阜康市城镇集中建设区，为重点管控单元，环境管控单元编码为：ZH65230220001。本项目与其符合情况见下表1-</w:t>
            </w:r>
            <w:r>
              <w:rPr>
                <w:rFonts w:hint="eastAsia" w:ascii="Times New Roman" w:hAnsi="Times New Roman" w:cs="Times New Roman" w:eastAsiaTheme="minorEastAsia"/>
                <w:color w:val="auto"/>
                <w:kern w:val="2"/>
                <w:sz w:val="24"/>
                <w:szCs w:val="24"/>
                <w:lang w:val="en-US" w:eastAsia="zh-CN" w:bidi="ar-SA"/>
              </w:rPr>
              <w:t>2，</w:t>
            </w:r>
            <w:r>
              <w:rPr>
                <w:rFonts w:hint="default" w:ascii="Times New Roman" w:hAnsi="Times New Roman" w:cs="Times New Roman" w:eastAsiaTheme="minorEastAsia"/>
                <w:color w:val="auto"/>
                <w:kern w:val="2"/>
                <w:sz w:val="24"/>
                <w:szCs w:val="24"/>
                <w:lang w:val="en-US" w:eastAsia="zh-CN" w:bidi="ar-SA"/>
              </w:rPr>
              <w:t>环境管控单元分类图见</w:t>
            </w:r>
            <w:r>
              <w:rPr>
                <w:rFonts w:hint="default" w:ascii="Times New Roman" w:hAnsi="Times New Roman" w:cs="Times New Roman" w:eastAsiaTheme="minorEastAsia"/>
                <w:b/>
                <w:bCs/>
                <w:color w:val="auto"/>
                <w:kern w:val="2"/>
                <w:sz w:val="24"/>
                <w:szCs w:val="24"/>
                <w:lang w:val="en-US" w:eastAsia="zh-CN" w:bidi="ar-SA"/>
              </w:rPr>
              <w:t>附图</w:t>
            </w:r>
            <w:r>
              <w:rPr>
                <w:rFonts w:hint="eastAsia" w:ascii="Times New Roman" w:hAnsi="Times New Roman" w:cs="Times New Roman" w:eastAsiaTheme="minorEastAsia"/>
                <w:b/>
                <w:bCs/>
                <w:color w:val="auto"/>
                <w:kern w:val="2"/>
                <w:sz w:val="24"/>
                <w:szCs w:val="24"/>
                <w:lang w:val="en-US" w:eastAsia="zh-CN" w:bidi="ar-SA"/>
              </w:rPr>
              <w:t>1</w:t>
            </w:r>
            <w:r>
              <w:rPr>
                <w:rFonts w:hint="default" w:ascii="Times New Roman" w:hAnsi="Times New Roman" w:cs="Times New Roman" w:eastAsiaTheme="minorEastAsia"/>
                <w:color w:val="auto"/>
                <w:kern w:val="2"/>
                <w:sz w:val="24"/>
                <w:szCs w:val="24"/>
                <w:lang w:val="en-US" w:eastAsia="zh-CN" w:bidi="ar-SA"/>
              </w:rPr>
              <w:t>。</w:t>
            </w:r>
          </w:p>
          <w:p w14:paraId="01A20D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baseline"/>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表1-</w:t>
            </w:r>
            <w:r>
              <w:rPr>
                <w:rFonts w:hint="eastAsia" w:ascii="Times New Roman" w:hAnsi="Times New Roman" w:eastAsia="宋体" w:cs="Times New Roman"/>
                <w:b/>
                <w:bCs/>
                <w:color w:val="auto"/>
                <w:kern w:val="0"/>
                <w:sz w:val="21"/>
                <w:szCs w:val="21"/>
                <w:lang w:val="en-US" w:eastAsia="zh-CN"/>
              </w:rPr>
              <w:t>2</w:t>
            </w:r>
            <w:r>
              <w:rPr>
                <w:rFonts w:hint="default" w:ascii="Times New Roman" w:hAnsi="Times New Roman" w:eastAsia="宋体" w:cs="Times New Roman"/>
                <w:b/>
                <w:bCs/>
                <w:color w:val="auto"/>
                <w:kern w:val="0"/>
                <w:sz w:val="21"/>
                <w:szCs w:val="21"/>
                <w:lang w:val="en-US" w:eastAsia="zh-CN"/>
              </w:rPr>
              <w:t xml:space="preserve">   </w:t>
            </w:r>
            <w:r>
              <w:rPr>
                <w:rFonts w:hint="eastAsia" w:ascii="Times New Roman" w:hAnsi="Times New Roman" w:eastAsia="宋体" w:cs="Times New Roman"/>
                <w:b/>
                <w:bCs/>
                <w:color w:val="auto"/>
                <w:kern w:val="0"/>
                <w:sz w:val="21"/>
                <w:szCs w:val="21"/>
                <w:lang w:val="en-US" w:eastAsia="zh-CN"/>
              </w:rPr>
              <w:t>与《</w:t>
            </w:r>
            <w:r>
              <w:rPr>
                <w:rFonts w:hint="default" w:ascii="Times New Roman" w:hAnsi="Times New Roman" w:eastAsia="宋体" w:cs="Times New Roman"/>
                <w:b/>
                <w:bCs/>
                <w:color w:val="auto"/>
                <w:kern w:val="0"/>
                <w:sz w:val="21"/>
                <w:szCs w:val="21"/>
                <w:lang w:val="en-US" w:eastAsia="zh-CN"/>
              </w:rPr>
              <w:t>昌吉回族自治州区域空间生态环境评价暨“三线一单”生态环境准入清单动态更新成果》符合性分析一览表</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19"/>
              <w:gridCol w:w="1965"/>
              <w:gridCol w:w="768"/>
            </w:tblGrid>
            <w:tr w14:paraId="3D3B49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19" w:type="pct"/>
                  <w:gridSpan w:val="2"/>
                  <w:tcBorders>
                    <w:bottom w:val="single" w:color="auto" w:sz="12" w:space="0"/>
                  </w:tcBorders>
                  <w:vAlign w:val="center"/>
                </w:tcPr>
                <w:p w14:paraId="0F694868">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管控要求</w:t>
                  </w:r>
                </w:p>
              </w:tc>
              <w:tc>
                <w:tcPr>
                  <w:tcW w:w="1496" w:type="pct"/>
                  <w:tcBorders>
                    <w:bottom w:val="single" w:color="auto" w:sz="12" w:space="0"/>
                  </w:tcBorders>
                  <w:vAlign w:val="center"/>
                </w:tcPr>
                <w:p w14:paraId="5F7D78C9">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本项目工程概况</w:t>
                  </w:r>
                </w:p>
              </w:tc>
              <w:tc>
                <w:tcPr>
                  <w:tcW w:w="584" w:type="pct"/>
                  <w:tcBorders>
                    <w:bottom w:val="single" w:color="auto" w:sz="12" w:space="0"/>
                  </w:tcBorders>
                  <w:vAlign w:val="center"/>
                </w:tcPr>
                <w:p w14:paraId="579CF66E">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符合性</w:t>
                  </w:r>
                </w:p>
              </w:tc>
            </w:tr>
            <w:tr w14:paraId="55AF10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tcBorders>
                    <w:top w:val="single" w:color="auto" w:sz="12" w:space="0"/>
                  </w:tcBorders>
                  <w:vAlign w:val="center"/>
                </w:tcPr>
                <w:p w14:paraId="58632A01">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空间布局约束</w:t>
                  </w:r>
                </w:p>
              </w:tc>
              <w:tc>
                <w:tcPr>
                  <w:tcW w:w="2373" w:type="pct"/>
                  <w:tcBorders>
                    <w:top w:val="single" w:color="auto" w:sz="12" w:space="0"/>
                  </w:tcBorders>
                  <w:vAlign w:val="center"/>
                </w:tcPr>
                <w:p w14:paraId="01C692D6">
                  <w:pPr>
                    <w:pStyle w:val="96"/>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rPr>
                    <w:t>1、</w:t>
                  </w:r>
                  <w:r>
                    <w:rPr>
                      <w:rFonts w:hint="default" w:ascii="Times New Roman" w:hAnsi="Times New Roman" w:cs="Times New Roman" w:eastAsiaTheme="minorEastAsia"/>
                      <w:color w:val="auto"/>
                      <w:sz w:val="21"/>
                      <w:szCs w:val="21"/>
                      <w:highlight w:val="none"/>
                    </w:rPr>
                    <w:t>城市建成区内不得建设高污染的火电、化工、冶金、造纸、钢铁、建材等工业项目；已经建成的，应当逐步搬迁。</w:t>
                  </w:r>
                </w:p>
                <w:p w14:paraId="631F4F8F">
                  <w:pPr>
                    <w:pStyle w:val="96"/>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2、昌吉州“乌-昌-石”区域内不再新增自备燃煤机组。有序推进昌吉州“乌-昌-石”区域内自备电厂替代或退出。</w:t>
                  </w:r>
                </w:p>
                <w:p w14:paraId="0E3777D9">
                  <w:pPr>
                    <w:pStyle w:val="96"/>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3、不再新建每小时65蒸吨以下的燃煤锅炉；</w:t>
                  </w:r>
                </w:p>
                <w:p w14:paraId="284BEA65">
                  <w:pPr>
                    <w:pStyle w:val="96"/>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4、禁止在集中供热管网覆盖地区新建、扩建分散燃煤供热锅炉。</w:t>
                  </w:r>
                </w:p>
                <w:p w14:paraId="7826A52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rPr>
                    <w:t>5、在居民住宅区等人口密集区域和机关、医院、学校、幼儿园、养老院等其他需要特殊保护的区域及其周边，不得新建、改建和扩建易产生恶臭气体的生产项目，或者从事其他产生恶臭气体的生产经营活动。已建成的，应当逐步搬迁或者升级改造。</w:t>
                  </w:r>
                </w:p>
              </w:tc>
              <w:tc>
                <w:tcPr>
                  <w:tcW w:w="1496" w:type="pct"/>
                  <w:tcBorders>
                    <w:top w:val="single" w:color="auto" w:sz="12" w:space="0"/>
                  </w:tcBorders>
                  <w:vAlign w:val="center"/>
                </w:tcPr>
                <w:p w14:paraId="4EE923A5">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1.本项目不涉及高污染的火电、化工、冶金、造纸、钢铁、建材等工业项目。</w:t>
                  </w:r>
                </w:p>
                <w:p w14:paraId="20243FBD">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2.本项目不涉及</w:t>
                  </w:r>
                  <w:r>
                    <w:rPr>
                      <w:rFonts w:hint="default" w:ascii="Times New Roman" w:hAnsi="Times New Roman" w:cs="Times New Roman" w:eastAsiaTheme="minorEastAsia"/>
                      <w:color w:val="auto"/>
                      <w:sz w:val="21"/>
                      <w:szCs w:val="21"/>
                      <w:highlight w:val="none"/>
                    </w:rPr>
                    <w:t>自备燃煤机组</w:t>
                  </w:r>
                  <w:r>
                    <w:rPr>
                      <w:rFonts w:hint="default" w:ascii="Times New Roman" w:hAnsi="Times New Roman" w:cs="Times New Roman" w:eastAsiaTheme="minorEastAsia"/>
                      <w:b w:val="0"/>
                      <w:bCs/>
                      <w:color w:val="auto"/>
                      <w:kern w:val="2"/>
                      <w:sz w:val="21"/>
                      <w:szCs w:val="21"/>
                      <w:lang w:val="en-US" w:eastAsia="zh-CN" w:bidi="ar-SA"/>
                    </w:rPr>
                    <w:t>。</w:t>
                  </w:r>
                </w:p>
                <w:p w14:paraId="0F6116DB">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3.本项目不涉及燃煤锅炉。</w:t>
                  </w:r>
                </w:p>
                <w:p w14:paraId="442A286F">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eastAsia"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4.本项目不涉及</w:t>
                  </w:r>
                  <w:r>
                    <w:rPr>
                      <w:rFonts w:hint="default" w:ascii="Times New Roman" w:hAnsi="Times New Roman" w:cs="Times New Roman" w:eastAsiaTheme="minorEastAsia"/>
                      <w:color w:val="auto"/>
                      <w:sz w:val="21"/>
                      <w:szCs w:val="21"/>
                      <w:highlight w:val="none"/>
                    </w:rPr>
                    <w:t>燃煤供热锅炉</w:t>
                  </w:r>
                  <w:r>
                    <w:rPr>
                      <w:rFonts w:hint="eastAsia" w:cs="Times New Roman" w:eastAsiaTheme="minorEastAsia"/>
                      <w:color w:val="auto"/>
                      <w:sz w:val="21"/>
                      <w:szCs w:val="21"/>
                      <w:highlight w:val="none"/>
                      <w:lang w:eastAsia="zh-CN"/>
                    </w:rPr>
                    <w:t>。</w:t>
                  </w:r>
                </w:p>
                <w:p w14:paraId="48E4A26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5.本</w:t>
                  </w:r>
                  <w:r>
                    <w:rPr>
                      <w:rFonts w:hint="default" w:ascii="Times New Roman" w:hAnsi="Times New Roman" w:cs="Times New Roman" w:eastAsiaTheme="minorEastAsia"/>
                      <w:color w:val="auto"/>
                      <w:sz w:val="21"/>
                      <w:szCs w:val="21"/>
                      <w:lang w:val="en-US" w:eastAsia="zh-CN"/>
                    </w:rPr>
                    <w:t>项目诊室内产生的臭味较小，通过保持室内良好的通风条件，并对宠物笼进行定期打扫和喷洒除臭剂，污水处理设施采用密闭加盖处理，减少臭气排放，通过以上措施，本项目外排废气可达标排放，对周边环境影响较小。</w:t>
                  </w:r>
                </w:p>
              </w:tc>
              <w:tc>
                <w:tcPr>
                  <w:tcW w:w="584" w:type="pct"/>
                  <w:tcBorders>
                    <w:top w:val="single" w:color="auto" w:sz="12" w:space="0"/>
                  </w:tcBorders>
                  <w:vAlign w:val="center"/>
                </w:tcPr>
                <w:p w14:paraId="05DD710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符合</w:t>
                  </w:r>
                </w:p>
              </w:tc>
            </w:tr>
            <w:tr w14:paraId="70BE55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tcBorders>
                    <w:tl2br w:val="nil"/>
                    <w:tr2bl w:val="nil"/>
                  </w:tcBorders>
                  <w:vAlign w:val="center"/>
                </w:tcPr>
                <w:p w14:paraId="5FA3D17F">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污染物排放管控</w:t>
                  </w:r>
                </w:p>
              </w:tc>
              <w:tc>
                <w:tcPr>
                  <w:tcW w:w="2373" w:type="pct"/>
                  <w:tcBorders>
                    <w:tl2br w:val="nil"/>
                    <w:tr2bl w:val="nil"/>
                  </w:tcBorders>
                  <w:vAlign w:val="center"/>
                </w:tcPr>
                <w:p w14:paraId="4C441FDF">
                  <w:pPr>
                    <w:pStyle w:val="96"/>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rPr>
                    <w:t>1、到2024年县级及以上城市建成区基本淘汰35蒸吨/小时及以下的燃煤锅炉，“乌—昌—石”区域基本淘汰65蒸吨/小时以下燃煤锅炉。</w:t>
                  </w:r>
                </w:p>
                <w:p w14:paraId="4199EDBC">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2、新（改、扩）建项目应执行最严格的大气污染物排放标准。</w:t>
                  </w:r>
                </w:p>
                <w:p w14:paraId="7B9191C1">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3、向城镇污水集中处理设施排放水污染物，应当达到《污水综合排放标准》（GB 8978-1996）要求。排污许可中另有要求的执行许可的标准限值。</w:t>
                  </w:r>
                </w:p>
                <w:p w14:paraId="7521C698">
                  <w:pPr>
                    <w:pStyle w:val="96"/>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rPr>
                    <w:t>4、</w:t>
                  </w:r>
                  <w:r>
                    <w:rPr>
                      <w:rFonts w:hint="default" w:ascii="Times New Roman" w:hAnsi="Times New Roman" w:cs="Times New Roman" w:eastAsiaTheme="minorEastAsia"/>
                      <w:color w:val="auto"/>
                      <w:sz w:val="21"/>
                      <w:szCs w:val="21"/>
                      <w:highlight w:val="none"/>
                    </w:rPr>
                    <w:t>“乌-昌-石”区域内，已实施超低排放的涉气排污单位，其实施超低排放改造的污染因子执行超低排放限值，其他污染因子执行特别排放限值和特别控制要求。</w:t>
                  </w:r>
                </w:p>
                <w:p w14:paraId="5682158D">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rPr>
                    <w:t>5、施工工地全面落实“六个百分之百”（施工工地周边围挡、物料堆放覆盖、出入车辆冲洗、施工现场地面硬化、拆迁工地湿法作业、渣土车辆密闭运输）。</w:t>
                  </w:r>
                </w:p>
              </w:tc>
              <w:tc>
                <w:tcPr>
                  <w:tcW w:w="1496" w:type="pct"/>
                  <w:tcBorders>
                    <w:tl2br w:val="nil"/>
                    <w:tr2bl w:val="nil"/>
                  </w:tcBorders>
                  <w:vAlign w:val="center"/>
                </w:tcPr>
                <w:p w14:paraId="02BEC6A6">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1.本项目不涉及燃煤锅炉。</w:t>
                  </w:r>
                </w:p>
                <w:p w14:paraId="4ED30BF9">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2.本项目无组织废气参照执行《恶臭污染物排放标准》（GB14554-93）中表1中相关标准限值。</w:t>
                  </w:r>
                </w:p>
                <w:p w14:paraId="28541DDA">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3.</w:t>
                  </w:r>
                  <w:r>
                    <w:rPr>
                      <w:rFonts w:hint="default" w:ascii="Times New Roman" w:hAnsi="Times New Roman" w:cs="Times New Roman" w:eastAsiaTheme="minorEastAsia"/>
                      <w:bCs/>
                      <w:color w:val="auto"/>
                      <w:sz w:val="21"/>
                      <w:szCs w:val="21"/>
                      <w:lang w:val="en-US" w:eastAsia="zh-CN"/>
                    </w:rPr>
                    <w:t>本项目消毒装置出水符合《医疗机构水污染物排放标准》</w:t>
                  </w:r>
                  <w:r>
                    <w:rPr>
                      <w:rFonts w:hint="eastAsia"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GB18466-2005</w:t>
                  </w:r>
                  <w:r>
                    <w:rPr>
                      <w:rFonts w:hint="eastAsia"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中的“综合医疗机构和其他医疗机构水污染排放限值（日均值</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”中的预处理排放要求。</w:t>
                  </w:r>
                </w:p>
                <w:p w14:paraId="2F806618">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4.本项目不属于</w:t>
                  </w:r>
                  <w:r>
                    <w:rPr>
                      <w:rFonts w:hint="default" w:ascii="Times New Roman" w:hAnsi="Times New Roman" w:cs="Times New Roman" w:eastAsiaTheme="minorEastAsia"/>
                      <w:color w:val="auto"/>
                      <w:sz w:val="21"/>
                      <w:szCs w:val="21"/>
                      <w:lang w:val="en-US" w:eastAsia="zh-CN"/>
                    </w:rPr>
                    <w:t>超低排放的涉气排污单位</w:t>
                  </w:r>
                  <w:r>
                    <w:rPr>
                      <w:rFonts w:hint="default" w:ascii="Times New Roman" w:hAnsi="Times New Roman" w:cs="Times New Roman" w:eastAsiaTheme="minorEastAsia"/>
                      <w:b w:val="0"/>
                      <w:bCs/>
                      <w:color w:val="auto"/>
                      <w:kern w:val="2"/>
                      <w:sz w:val="21"/>
                      <w:szCs w:val="21"/>
                      <w:lang w:val="en-US" w:eastAsia="zh-CN" w:bidi="ar-SA"/>
                    </w:rPr>
                    <w:t>。</w:t>
                  </w:r>
                </w:p>
                <w:p w14:paraId="50E9972F">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5.本项目租赁现有商铺，施工过程不存在土建和装修工程。</w:t>
                  </w:r>
                </w:p>
              </w:tc>
              <w:tc>
                <w:tcPr>
                  <w:tcW w:w="584" w:type="pct"/>
                  <w:tcBorders>
                    <w:tl2br w:val="nil"/>
                    <w:tr2bl w:val="nil"/>
                  </w:tcBorders>
                  <w:vAlign w:val="center"/>
                </w:tcPr>
                <w:p w14:paraId="3A6C9E4C">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符合</w:t>
                  </w:r>
                </w:p>
              </w:tc>
            </w:tr>
            <w:tr w14:paraId="1DFA3C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tcBorders>
                    <w:tl2br w:val="nil"/>
                    <w:tr2bl w:val="nil"/>
                  </w:tcBorders>
                  <w:vAlign w:val="center"/>
                </w:tcPr>
                <w:p w14:paraId="3178428E">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环境风险防控</w:t>
                  </w:r>
                </w:p>
              </w:tc>
              <w:tc>
                <w:tcPr>
                  <w:tcW w:w="2373" w:type="pct"/>
                  <w:tcBorders>
                    <w:tl2br w:val="nil"/>
                    <w:tr2bl w:val="nil"/>
                  </w:tcBorders>
                  <w:vAlign w:val="center"/>
                </w:tcPr>
                <w:p w14:paraId="085F2150">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r>
                    <w:rPr>
                      <w:rFonts w:hint="default" w:ascii="Times New Roman" w:hAnsi="Times New Roman" w:cs="Times New Roman" w:eastAsiaTheme="minorEastAsia"/>
                      <w:bCs/>
                      <w:color w:val="auto"/>
                      <w:sz w:val="21"/>
                      <w:szCs w:val="21"/>
                      <w:highlight w:val="none"/>
                    </w:rPr>
                    <w:t>严格危险化学品废弃处置。对城镇人口密集区现有不符合安全和卫生防护距离要求的危险化学品生产企业，进行定量风险评估，就地改造达标、搬迁进入规范化工园区或关闭退出。</w:t>
                  </w:r>
                </w:p>
                <w:p w14:paraId="53AB906A">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2、</w:t>
                  </w:r>
                  <w:r>
                    <w:rPr>
                      <w:rFonts w:hint="default" w:ascii="Times New Roman" w:hAnsi="Times New Roman" w:cs="Times New Roman" w:eastAsiaTheme="minorEastAsia"/>
                      <w:bCs/>
                      <w:color w:val="auto"/>
                      <w:sz w:val="21"/>
                      <w:szCs w:val="21"/>
                      <w:highlight w:val="none"/>
                    </w:rPr>
                    <w:t>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机制，共享应急物资。</w:t>
                  </w:r>
                </w:p>
              </w:tc>
              <w:tc>
                <w:tcPr>
                  <w:tcW w:w="1496" w:type="pct"/>
                  <w:tcBorders>
                    <w:tl2br w:val="nil"/>
                    <w:tr2bl w:val="nil"/>
                  </w:tcBorders>
                  <w:vAlign w:val="center"/>
                </w:tcPr>
                <w:p w14:paraId="11531735">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1、本项目为宠物医院建设项目，不属于危险化学品生产企业。</w:t>
                  </w:r>
                </w:p>
                <w:p w14:paraId="57E2298C">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val="0"/>
                      <w:bCs w:val="0"/>
                      <w:color w:val="auto"/>
                      <w:kern w:val="2"/>
                      <w:sz w:val="21"/>
                      <w:szCs w:val="21"/>
                      <w:highlight w:val="none"/>
                      <w:lang w:val="en-US" w:eastAsia="zh-CN" w:bidi="ar-SA"/>
                    </w:rPr>
                    <w:t>2、本项目供水由市政管网供给。</w:t>
                  </w:r>
                </w:p>
              </w:tc>
              <w:tc>
                <w:tcPr>
                  <w:tcW w:w="584" w:type="pct"/>
                  <w:tcBorders>
                    <w:tl2br w:val="nil"/>
                    <w:tr2bl w:val="nil"/>
                  </w:tcBorders>
                  <w:vAlign w:val="center"/>
                </w:tcPr>
                <w:p w14:paraId="7118C84C">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符合</w:t>
                  </w:r>
                </w:p>
              </w:tc>
            </w:tr>
            <w:tr w14:paraId="5D1D0D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tcBorders>
                    <w:tl2br w:val="nil"/>
                    <w:tr2bl w:val="nil"/>
                  </w:tcBorders>
                  <w:vAlign w:val="center"/>
                </w:tcPr>
                <w:p w14:paraId="3A9972E6">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资源利用效率要求</w:t>
                  </w:r>
                </w:p>
              </w:tc>
              <w:tc>
                <w:tcPr>
                  <w:tcW w:w="2373" w:type="pct"/>
                  <w:tcBorders>
                    <w:tl2br w:val="nil"/>
                    <w:tr2bl w:val="nil"/>
                  </w:tcBorders>
                  <w:vAlign w:val="center"/>
                </w:tcPr>
                <w:p w14:paraId="2C146BF5">
                  <w:pPr>
                    <w:pStyle w:val="96"/>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1、国家大气污染防治重点区域内新建耗煤项目应严格按规定采取煤炭消费减量替代措施，不得使用高污染燃料作为煤炭减量替代措施。</w:t>
                  </w:r>
                </w:p>
                <w:p w14:paraId="7FBCD2B5">
                  <w:pPr>
                    <w:pStyle w:val="96"/>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2、鼓励使用清洁燃料，重点区域建设项目原则上不新建燃煤自备锅炉。</w:t>
                  </w:r>
                </w:p>
                <w:p w14:paraId="532B1F45">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rPr>
                    <w:t>3、禁燃区内禁止销售、燃用原煤、粉煤、各种可燃废物等高污染燃料；禁止新建、扩建燃用高污染燃料的设施，已建设成的，应当在规定的期限内改用清洁能源；严格控制引进高载能项目，禁止建设不符合国家和自治区环境保护标准的项目。</w:t>
                  </w:r>
                </w:p>
              </w:tc>
              <w:tc>
                <w:tcPr>
                  <w:tcW w:w="1496" w:type="pct"/>
                  <w:tcBorders>
                    <w:tl2br w:val="nil"/>
                    <w:tr2bl w:val="nil"/>
                  </w:tcBorders>
                  <w:vAlign w:val="center"/>
                </w:tcPr>
                <w:p w14:paraId="337713B9">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1、本项目不涉及燃煤燃料。</w:t>
                  </w:r>
                </w:p>
                <w:p w14:paraId="29BCA6BB">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2、本项目生产工艺不涉及燃料、无</w:t>
                  </w:r>
                  <w:r>
                    <w:rPr>
                      <w:rFonts w:hint="default" w:ascii="Times New Roman" w:hAnsi="Times New Roman" w:cs="Times New Roman" w:eastAsiaTheme="minorEastAsia"/>
                      <w:color w:val="auto"/>
                      <w:sz w:val="21"/>
                      <w:szCs w:val="21"/>
                      <w:highlight w:val="none"/>
                    </w:rPr>
                    <w:t>不燃煤自备锅炉</w:t>
                  </w:r>
                  <w:r>
                    <w:rPr>
                      <w:rFonts w:hint="default" w:ascii="Times New Roman" w:hAnsi="Times New Roman" w:cs="Times New Roman" w:eastAsiaTheme="minorEastAsia"/>
                      <w:b w:val="0"/>
                      <w:bCs/>
                      <w:color w:val="auto"/>
                      <w:kern w:val="2"/>
                      <w:sz w:val="21"/>
                      <w:szCs w:val="21"/>
                      <w:lang w:val="en-US" w:eastAsia="zh-CN" w:bidi="ar-SA"/>
                    </w:rPr>
                    <w:t>。</w:t>
                  </w:r>
                </w:p>
                <w:p w14:paraId="6D1DCFE9">
                  <w:pPr>
                    <w:pStyle w:val="6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3.本项目不涉及</w:t>
                  </w:r>
                  <w:r>
                    <w:rPr>
                      <w:rFonts w:hint="default" w:ascii="Times New Roman" w:hAnsi="Times New Roman" w:cs="Times New Roman" w:eastAsiaTheme="minorEastAsia"/>
                      <w:color w:val="auto"/>
                      <w:sz w:val="21"/>
                      <w:szCs w:val="21"/>
                      <w:highlight w:val="none"/>
                    </w:rPr>
                    <w:t>原煤、粉煤、各种可燃废物等高污染燃料</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不涉及</w:t>
                  </w:r>
                  <w:r>
                    <w:rPr>
                      <w:rFonts w:hint="default" w:ascii="Times New Roman" w:hAnsi="Times New Roman" w:cs="Times New Roman" w:eastAsiaTheme="minorEastAsia"/>
                      <w:color w:val="auto"/>
                      <w:sz w:val="21"/>
                      <w:szCs w:val="21"/>
                      <w:highlight w:val="none"/>
                    </w:rPr>
                    <w:t>燃用高污染燃料的设施</w:t>
                  </w:r>
                  <w:r>
                    <w:rPr>
                      <w:rFonts w:hint="default" w:ascii="Times New Roman" w:hAnsi="Times New Roman" w:cs="Times New Roman" w:eastAsiaTheme="minorEastAsia"/>
                      <w:color w:val="auto"/>
                      <w:sz w:val="21"/>
                      <w:szCs w:val="21"/>
                      <w:highlight w:val="none"/>
                      <w:lang w:eastAsia="zh-CN"/>
                    </w:rPr>
                    <w:t>。</w:t>
                  </w:r>
                </w:p>
              </w:tc>
              <w:tc>
                <w:tcPr>
                  <w:tcW w:w="584" w:type="pct"/>
                  <w:tcBorders>
                    <w:tl2br w:val="nil"/>
                    <w:tr2bl w:val="nil"/>
                  </w:tcBorders>
                  <w:vAlign w:val="center"/>
                </w:tcPr>
                <w:p w14:paraId="7D40F577">
                  <w:pPr>
                    <w:pStyle w:val="64"/>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符合</w:t>
                  </w:r>
                </w:p>
              </w:tc>
            </w:tr>
          </w:tbl>
          <w:p w14:paraId="5926C7F0">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ascii="Times New Roman" w:hAnsi="Times New Roman" w:cs="Times New Roman" w:eastAsiaTheme="minorEastAsia"/>
                <w:b/>
                <w:bCs/>
                <w:color w:val="auto"/>
                <w:sz w:val="24"/>
                <w:szCs w:val="24"/>
                <w:lang w:val="en-US" w:eastAsia="zh-CN"/>
              </w:rPr>
              <w:t>3.</w:t>
            </w:r>
            <w:r>
              <w:rPr>
                <w:rFonts w:hint="default" w:ascii="Times New Roman" w:hAnsi="Times New Roman" w:cs="Times New Roman" w:eastAsiaTheme="minorEastAsia"/>
                <w:b/>
                <w:bCs/>
                <w:color w:val="auto"/>
                <w:sz w:val="24"/>
                <w:szCs w:val="24"/>
                <w:lang w:val="en-US" w:eastAsia="zh-CN"/>
              </w:rPr>
              <w:t>与《新疆生态功能区划》符合性分析</w:t>
            </w:r>
          </w:p>
          <w:p w14:paraId="1CD7EC2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根据《新疆生态功能区划》（</w:t>
            </w:r>
            <w:r>
              <w:rPr>
                <w:rFonts w:hint="default" w:ascii="Times New Roman" w:hAnsi="Times New Roman" w:cs="Times New Roman" w:eastAsiaTheme="minorEastAsia"/>
                <w:color w:val="auto"/>
                <w:kern w:val="2"/>
                <w:sz w:val="24"/>
                <w:szCs w:val="24"/>
                <w:lang w:val="en-US" w:eastAsia="zh-CN" w:bidi="ar-SA"/>
              </w:rPr>
              <w:t>2005</w:t>
            </w:r>
            <w:r>
              <w:rPr>
                <w:rFonts w:hint="eastAsia" w:ascii="Times New Roman" w:hAnsi="Times New Roman" w:cs="Times New Roman" w:eastAsiaTheme="minorEastAsia"/>
                <w:color w:val="auto"/>
                <w:kern w:val="2"/>
                <w:sz w:val="24"/>
                <w:szCs w:val="24"/>
                <w:lang w:val="en-US" w:eastAsia="zh-CN" w:bidi="ar-SA"/>
              </w:rPr>
              <w:t>年），本项目所在区域属于准噶尔盆地温性荒漠与绿洲农业生态区，准噶尔盆地南部荒漠绿洲农业生态亚区，阜康—木垒绿洲农业、荒漠草地保护生态功能区。</w:t>
            </w:r>
            <w:r>
              <w:rPr>
                <w:rFonts w:hint="default" w:ascii="Times New Roman" w:hAnsi="Times New Roman" w:cs="Times New Roman" w:eastAsiaTheme="minorEastAsia"/>
                <w:color w:val="auto"/>
                <w:kern w:val="2"/>
                <w:sz w:val="24"/>
                <w:szCs w:val="24"/>
                <w:lang w:val="en-US" w:eastAsia="zh-CN" w:bidi="ar-SA"/>
              </w:rPr>
              <w:t>本项目租赁现有商铺，位于城市建成区内，用地周边主要为商铺、社区居民点和道路，无珍稀濒危物种、自然保护区、风景名胜区等生态环境保护目标，不属于生态敏感区</w:t>
            </w:r>
            <w:r>
              <w:rPr>
                <w:rFonts w:hint="eastAsia" w:ascii="Times New Roman" w:hAnsi="Times New Roman" w:cs="Times New Roman" w:eastAsiaTheme="minorEastAsia"/>
                <w:color w:val="auto"/>
                <w:kern w:val="2"/>
                <w:sz w:val="24"/>
                <w:szCs w:val="24"/>
                <w:lang w:val="en-US" w:eastAsia="zh-CN" w:bidi="ar-SA"/>
              </w:rPr>
              <w:t>。</w:t>
            </w:r>
          </w:p>
          <w:p w14:paraId="69C58D92">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cs="Times New Roman" w:eastAsiaTheme="minorEastAsia"/>
                <w:b/>
                <w:bCs/>
                <w:color w:val="auto"/>
                <w:sz w:val="24"/>
                <w:szCs w:val="24"/>
                <w:lang w:val="en-US" w:eastAsia="zh-CN"/>
              </w:rPr>
              <w:t>4.与</w:t>
            </w:r>
            <w:r>
              <w:rPr>
                <w:rFonts w:hint="eastAsia"/>
                <w:b/>
                <w:bCs/>
                <w:kern w:val="0"/>
                <w:sz w:val="24"/>
              </w:rPr>
              <w:t>《新疆生态环境保护“十四五”规划》</w:t>
            </w:r>
            <w:r>
              <w:rPr>
                <w:rFonts w:hint="eastAsia" w:cs="Times New Roman" w:eastAsiaTheme="minorEastAsia"/>
                <w:b/>
                <w:bCs/>
                <w:color w:val="auto"/>
                <w:sz w:val="24"/>
                <w:szCs w:val="24"/>
                <w:lang w:val="en-US" w:eastAsia="zh-CN"/>
              </w:rPr>
              <w:t>符合性分析</w:t>
            </w:r>
          </w:p>
          <w:p w14:paraId="2F50DD3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新疆生态环境保护“十四五”规划》中“第六章强化“三水”统筹，提升水生态环境第二节持续深化水污染治理加强城镇基础设施系统化建设。加快城镇污水处理及再生利用设施提质增效，完善污水收集和处理系统，补齐生活污水收集处理设施短板；第十章强化风险防控，严守生态环境底线第一节加强危险废物医疗废物收集处理推进危险废物收运体系建设，开展危险废物集中收集贮存试点，提升小微企业、工业园区、检验检测机构、教学科研机构等危险废物收集转运能力。”</w:t>
            </w:r>
          </w:p>
          <w:p w14:paraId="1E5CBB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本项目</w:t>
            </w:r>
            <w:r>
              <w:rPr>
                <w:rFonts w:hint="default" w:ascii="Times New Roman" w:hAnsi="Times New Roman" w:cs="Times New Roman" w:eastAsiaTheme="minorEastAsia"/>
                <w:color w:val="auto"/>
                <w:kern w:val="2"/>
                <w:sz w:val="24"/>
                <w:szCs w:val="24"/>
                <w:lang w:val="en-US" w:eastAsia="zh-CN" w:bidi="ar-SA"/>
              </w:rPr>
              <w:t>诊疗废水</w:t>
            </w:r>
            <w:r>
              <w:rPr>
                <w:rFonts w:hint="eastAsia"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宠物笼清洗污水经一体化污水处理设施消毒处理后与其他废水</w:t>
            </w: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美容废水、生活污水</w:t>
            </w: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汇集后直接排入市政污水管网。医疗废物经分类收集，暂存于医疗废物暂存间（3m</w:t>
            </w:r>
            <w:r>
              <w:rPr>
                <w:rFonts w:hint="default" w:ascii="Times New Roman" w:hAnsi="Times New Roman" w:cs="Times New Roman" w:eastAsiaTheme="minorEastAsia"/>
                <w:color w:val="auto"/>
                <w:kern w:val="2"/>
                <w:sz w:val="24"/>
                <w:szCs w:val="24"/>
                <w:vertAlign w:val="superscript"/>
                <w:lang w:val="en-US" w:eastAsia="zh-CN" w:bidi="ar-SA"/>
              </w:rPr>
              <w:t>2</w:t>
            </w:r>
            <w:r>
              <w:rPr>
                <w:rFonts w:hint="default" w:ascii="Times New Roman" w:hAnsi="Times New Roman" w:cs="Times New Roman" w:eastAsiaTheme="minorEastAsia"/>
                <w:color w:val="auto"/>
                <w:kern w:val="2"/>
                <w:sz w:val="24"/>
                <w:szCs w:val="24"/>
                <w:lang w:val="en-US" w:eastAsia="zh-CN" w:bidi="ar-SA"/>
              </w:rPr>
              <w:t>），按要求委托有资质单位进行处置。医疗污水处理设备产生的污泥定期清掏，委托有资质处置单位处置。</w:t>
            </w:r>
          </w:p>
          <w:p w14:paraId="3B090F1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Times New Roman" w:hAnsi="Times New Roman" w:cs="Times New Roman" w:eastAsiaTheme="minorEastAsia"/>
                <w:color w:val="auto"/>
                <w:kern w:val="2"/>
                <w:sz w:val="24"/>
                <w:szCs w:val="24"/>
                <w:lang w:val="en-US" w:eastAsia="zh-CN" w:bidi="ar-SA"/>
              </w:rPr>
            </w:pPr>
            <w:r>
              <w:rPr>
                <w:rFonts w:hint="eastAsia" w:cs="Times New Roman" w:eastAsiaTheme="minorEastAsia"/>
                <w:color w:val="auto"/>
                <w:sz w:val="24"/>
                <w:szCs w:val="24"/>
                <w:lang w:val="en-US" w:eastAsia="zh-CN"/>
              </w:rPr>
              <w:t>因此，本项目</w:t>
            </w:r>
            <w:r>
              <w:rPr>
                <w:rFonts w:hint="default" w:ascii="Times New Roman" w:hAnsi="Times New Roman" w:cs="Times New Roman" w:eastAsiaTheme="minorEastAsia"/>
                <w:color w:val="auto"/>
                <w:sz w:val="24"/>
                <w:szCs w:val="24"/>
                <w:lang w:val="en-US" w:eastAsia="zh-CN"/>
              </w:rPr>
              <w:t>符合《</w:t>
            </w:r>
            <w:r>
              <w:rPr>
                <w:rFonts w:hint="eastAsia" w:ascii="Times New Roman" w:hAnsi="Times New Roman" w:cs="Times New Roman" w:eastAsiaTheme="minorEastAsia"/>
                <w:color w:val="auto"/>
                <w:kern w:val="2"/>
                <w:sz w:val="24"/>
                <w:szCs w:val="24"/>
                <w:lang w:val="en-US" w:eastAsia="zh-CN" w:bidi="ar-SA"/>
              </w:rPr>
              <w:t>新疆生态环境保护“十四五”规划</w:t>
            </w:r>
            <w:r>
              <w:rPr>
                <w:rFonts w:hint="default" w:ascii="Times New Roman" w:hAnsi="Times New Roman" w:cs="Times New Roman" w:eastAsiaTheme="minorEastAsia"/>
                <w:color w:val="auto"/>
                <w:sz w:val="24"/>
                <w:szCs w:val="24"/>
                <w:lang w:val="en-US" w:eastAsia="zh-CN"/>
              </w:rPr>
              <w:t>》</w:t>
            </w:r>
            <w:r>
              <w:rPr>
                <w:rFonts w:hint="eastAsia" w:cs="Times New Roman" w:eastAsiaTheme="minorEastAsia"/>
                <w:b w:val="0"/>
                <w:bCs w:val="0"/>
                <w:color w:val="auto"/>
                <w:sz w:val="24"/>
                <w:szCs w:val="24"/>
                <w:lang w:val="en-US" w:eastAsia="zh-CN"/>
              </w:rPr>
              <w:t>中</w:t>
            </w:r>
            <w:r>
              <w:rPr>
                <w:rFonts w:hint="default" w:ascii="Times New Roman" w:hAnsi="Times New Roman" w:cs="Times New Roman" w:eastAsiaTheme="minorEastAsia"/>
                <w:color w:val="auto"/>
                <w:sz w:val="24"/>
                <w:szCs w:val="24"/>
                <w:lang w:val="en-US" w:eastAsia="zh-CN"/>
              </w:rPr>
              <w:t>相关规定。</w:t>
            </w:r>
          </w:p>
          <w:p w14:paraId="57B82A75">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cs="Times New Roman" w:eastAsiaTheme="minorEastAsia"/>
                <w:b/>
                <w:bCs/>
                <w:color w:val="auto"/>
                <w:sz w:val="24"/>
                <w:szCs w:val="24"/>
                <w:lang w:val="en-US" w:eastAsia="zh-CN"/>
              </w:rPr>
              <w:t>5</w:t>
            </w:r>
            <w:r>
              <w:rPr>
                <w:rFonts w:hint="eastAsia" w:ascii="Times New Roman" w:hAnsi="Times New Roman" w:cs="Times New Roman" w:eastAsiaTheme="minorEastAsia"/>
                <w:b/>
                <w:bCs/>
                <w:color w:val="auto"/>
                <w:sz w:val="24"/>
                <w:szCs w:val="24"/>
                <w:lang w:val="en-US" w:eastAsia="zh-CN"/>
              </w:rPr>
              <w:t>.与《</w:t>
            </w:r>
            <w:r>
              <w:rPr>
                <w:rFonts w:hint="default" w:ascii="Times New Roman" w:hAnsi="Times New Roman" w:cs="Times New Roman" w:eastAsiaTheme="minorEastAsia"/>
                <w:b/>
                <w:bCs/>
                <w:color w:val="auto"/>
                <w:sz w:val="24"/>
                <w:szCs w:val="24"/>
                <w:lang w:val="en-US" w:eastAsia="zh-CN"/>
              </w:rPr>
              <w:t>昌吉回族自治州生态环境保护与建设“十四五”规划</w:t>
            </w:r>
            <w:r>
              <w:rPr>
                <w:rFonts w:hint="eastAsia" w:ascii="Times New Roman" w:hAnsi="Times New Roman" w:cs="Times New Roman" w:eastAsiaTheme="minorEastAsia"/>
                <w:b/>
                <w:bCs/>
                <w:color w:val="auto"/>
                <w:sz w:val="24"/>
                <w:szCs w:val="24"/>
                <w:lang w:val="en-US" w:eastAsia="zh-CN"/>
              </w:rPr>
              <w:t>》符合性分析</w:t>
            </w:r>
          </w:p>
          <w:p w14:paraId="12972A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昌吉回族自治州生态环境保护与建设“十四五”规划</w:t>
            </w:r>
            <w:r>
              <w:rPr>
                <w:rFonts w:hint="eastAsia" w:ascii="Times New Roman" w:hAnsi="Times New Roman" w:cs="Times New Roman" w:eastAsiaTheme="minorEastAsia"/>
                <w:color w:val="auto"/>
                <w:kern w:val="2"/>
                <w:sz w:val="24"/>
                <w:szCs w:val="24"/>
                <w:lang w:val="en-US" w:eastAsia="zh-CN" w:bidi="ar-SA"/>
              </w:rPr>
              <w:t>》中“三、重点任务（六）全面加强执法监管，继续实施固废污染防治行动 4.加强危险废弃物安全处置。加强医疗废物规范收集转运，推动医疗废物专项治理工作，推动各类医疗机构的医疗废物得到及时有效收集，转运和处置。</w:t>
            </w:r>
          </w:p>
          <w:p w14:paraId="328A7195">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kern w:val="2"/>
                <w:sz w:val="24"/>
                <w:szCs w:val="24"/>
                <w:lang w:val="en-US" w:eastAsia="zh-CN" w:bidi="ar-SA"/>
              </w:rPr>
              <w:t>本项目</w:t>
            </w:r>
            <w:r>
              <w:rPr>
                <w:rFonts w:hint="default" w:ascii="Times New Roman" w:hAnsi="Times New Roman" w:cs="Times New Roman" w:eastAsiaTheme="minorEastAsia"/>
                <w:color w:val="auto"/>
                <w:kern w:val="2"/>
                <w:sz w:val="24"/>
                <w:szCs w:val="24"/>
                <w:lang w:val="en-US" w:eastAsia="zh-CN" w:bidi="ar-SA"/>
              </w:rPr>
              <w:t>医疗废物经分类收集，暂存于医疗废物暂存间（3m</w:t>
            </w:r>
            <w:r>
              <w:rPr>
                <w:rFonts w:hint="default" w:ascii="Times New Roman" w:hAnsi="Times New Roman" w:cs="Times New Roman" w:eastAsiaTheme="minorEastAsia"/>
                <w:color w:val="auto"/>
                <w:kern w:val="2"/>
                <w:sz w:val="24"/>
                <w:szCs w:val="24"/>
                <w:vertAlign w:val="superscript"/>
                <w:lang w:val="en-US" w:eastAsia="zh-CN" w:bidi="ar-SA"/>
              </w:rPr>
              <w:t>2</w:t>
            </w:r>
            <w:r>
              <w:rPr>
                <w:rFonts w:hint="default" w:ascii="Times New Roman" w:hAnsi="Times New Roman" w:cs="Times New Roman" w:eastAsiaTheme="minorEastAsia"/>
                <w:color w:val="auto"/>
                <w:kern w:val="2"/>
                <w:sz w:val="24"/>
                <w:szCs w:val="24"/>
                <w:lang w:val="en-US" w:eastAsia="zh-CN" w:bidi="ar-SA"/>
              </w:rPr>
              <w:t>），按要求委托有资质单位进行处置。医疗污水处理设备产生的污泥定期清掏，委托有资质处置单位处置。</w:t>
            </w:r>
          </w:p>
          <w:p w14:paraId="1CF48B93">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因此，本项目</w:t>
            </w:r>
            <w:r>
              <w:rPr>
                <w:rFonts w:hint="default" w:ascii="Times New Roman" w:hAnsi="Times New Roman" w:cs="Times New Roman" w:eastAsiaTheme="minorEastAsia"/>
                <w:color w:val="auto"/>
                <w:sz w:val="24"/>
                <w:szCs w:val="24"/>
                <w:lang w:val="en-US" w:eastAsia="zh-CN"/>
              </w:rPr>
              <w:t>符合《</w:t>
            </w:r>
            <w:r>
              <w:rPr>
                <w:rFonts w:hint="default" w:ascii="Times New Roman" w:hAnsi="Times New Roman" w:cs="Times New Roman" w:eastAsiaTheme="minorEastAsia"/>
                <w:color w:val="auto"/>
                <w:kern w:val="2"/>
                <w:sz w:val="24"/>
                <w:szCs w:val="24"/>
                <w:lang w:val="en-US" w:eastAsia="zh-CN" w:bidi="ar-SA"/>
              </w:rPr>
              <w:t>昌吉回族自治州生态环境保护与建设“十四五”规划</w:t>
            </w:r>
            <w:r>
              <w:rPr>
                <w:rFonts w:hint="default" w:ascii="Times New Roman" w:hAnsi="Times New Roman" w:cs="Times New Roman" w:eastAsiaTheme="minorEastAsia"/>
                <w:color w:val="auto"/>
                <w:sz w:val="24"/>
                <w:szCs w:val="24"/>
                <w:lang w:val="en-US" w:eastAsia="zh-CN"/>
              </w:rPr>
              <w:t>》</w:t>
            </w:r>
            <w:r>
              <w:rPr>
                <w:rFonts w:hint="eastAsia" w:cs="Times New Roman" w:eastAsiaTheme="minorEastAsia"/>
                <w:b w:val="0"/>
                <w:bCs w:val="0"/>
                <w:color w:val="auto"/>
                <w:sz w:val="24"/>
                <w:szCs w:val="24"/>
                <w:lang w:val="en-US" w:eastAsia="zh-CN"/>
              </w:rPr>
              <w:t>中</w:t>
            </w:r>
            <w:r>
              <w:rPr>
                <w:rFonts w:hint="default" w:ascii="Times New Roman" w:hAnsi="Times New Roman" w:cs="Times New Roman" w:eastAsiaTheme="minorEastAsia"/>
                <w:color w:val="auto"/>
                <w:sz w:val="24"/>
                <w:szCs w:val="24"/>
                <w:lang w:val="en-US" w:eastAsia="zh-CN"/>
              </w:rPr>
              <w:t>相关规定。</w:t>
            </w:r>
          </w:p>
          <w:p w14:paraId="0BDAC746">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cs="Times New Roman" w:eastAsiaTheme="minorEastAsia"/>
                <w:b/>
                <w:bCs/>
                <w:color w:val="auto"/>
                <w:sz w:val="24"/>
                <w:szCs w:val="24"/>
                <w:lang w:val="en-US" w:eastAsia="zh-CN"/>
              </w:rPr>
              <w:t>6.</w:t>
            </w:r>
            <w:r>
              <w:rPr>
                <w:rFonts w:hint="default" w:ascii="Times New Roman" w:hAnsi="Times New Roman" w:cs="Times New Roman" w:eastAsiaTheme="minorEastAsia"/>
                <w:b/>
                <w:bCs/>
                <w:color w:val="auto"/>
                <w:sz w:val="24"/>
                <w:szCs w:val="24"/>
                <w:lang w:val="en-US" w:eastAsia="zh-CN"/>
              </w:rPr>
              <w:t>与《空气质量持续改善行动计划》</w:t>
            </w:r>
            <w:r>
              <w:rPr>
                <w:rFonts w:hint="eastAsia" w:cs="Times New Roman" w:eastAsiaTheme="minorEastAsia"/>
                <w:b/>
                <w:bCs/>
                <w:color w:val="auto"/>
                <w:sz w:val="24"/>
                <w:szCs w:val="24"/>
                <w:lang w:val="en-US" w:eastAsia="zh-CN"/>
              </w:rPr>
              <w:t>符合性分析</w:t>
            </w:r>
          </w:p>
          <w:p w14:paraId="037EC55B">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《空气质量持续改善行动计划》</w:t>
            </w:r>
            <w:r>
              <w:rPr>
                <w:rFonts w:hint="default" w:ascii="Times New Roman" w:hAnsi="Times New Roman" w:cs="Times New Roman" w:eastAsiaTheme="minorEastAsia"/>
                <w:b w:val="0"/>
                <w:bCs w:val="0"/>
                <w:color w:val="auto"/>
                <w:sz w:val="24"/>
                <w:szCs w:val="24"/>
                <w:lang w:val="en-US" w:eastAsia="zh-CN"/>
              </w:rPr>
              <w:t>（国发〔2023〕24号）</w:t>
            </w:r>
            <w:r>
              <w:rPr>
                <w:rFonts w:hint="default" w:ascii="Times New Roman" w:hAnsi="Times New Roman" w:cs="Times New Roman" w:eastAsiaTheme="minorEastAsia"/>
                <w:color w:val="auto"/>
                <w:sz w:val="24"/>
                <w:szCs w:val="24"/>
                <w:lang w:val="en-US" w:eastAsia="zh-CN"/>
              </w:rPr>
              <w:t>指出：</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完善区域大气污染防治协作机制。国家统筹推进京津冀及周边地区大气污染联防联控工作，继续发挥长三角地区协作机制、汾渭平原协作机制作用。国家加强对成渝地区、长江中游城市群、东北地区、天山北坡城市群等区域大气污染防治协作的指导，将粤港澳大湾区作为空气质量改善先行示范区。各省级政府加强本行政区域内联防联控。鼓励省际交界地区市县积极开展联防联控，推动联合交叉执法。对省界两侧20公里内的涉气重点行业新建项目，以及对下风向空气质量影响大的新建高架源项目，有关省份要开展环</w:t>
            </w:r>
            <w:r>
              <w:rPr>
                <w:rFonts w:hint="eastAsia" w:cs="Times New Roman" w:eastAsiaTheme="minorEastAsia"/>
                <w:color w:val="auto"/>
                <w:sz w:val="24"/>
                <w:szCs w:val="24"/>
                <w:lang w:val="en-US" w:eastAsia="zh-CN"/>
              </w:rPr>
              <w:t>评一</w:t>
            </w:r>
            <w:r>
              <w:rPr>
                <w:rFonts w:hint="default" w:ascii="Times New Roman" w:hAnsi="Times New Roman" w:cs="Times New Roman" w:eastAsiaTheme="minorEastAsia"/>
                <w:color w:val="auto"/>
                <w:sz w:val="24"/>
                <w:szCs w:val="24"/>
                <w:lang w:val="en-US" w:eastAsia="zh-CN"/>
              </w:rPr>
              <w:t>致性会商。</w:t>
            </w:r>
            <w:r>
              <w:rPr>
                <w:rFonts w:hint="eastAsia" w:cs="Times New Roman" w:eastAsiaTheme="minorEastAsia"/>
                <w:color w:val="auto"/>
                <w:sz w:val="24"/>
                <w:szCs w:val="24"/>
                <w:lang w:val="en-US" w:eastAsia="zh-CN"/>
              </w:rPr>
              <w:t>”</w:t>
            </w:r>
          </w:p>
          <w:p w14:paraId="3AB3F27A">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本项目位于新疆昌吉州阜康市准噶尔路394号，属于天山北坡城市群，本项目严格执行自治区、乌昌石片区总体准入要求中关于重点管控单元污染物排放管控的准入要求</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本项目诊室内产生的臭味较小，通过保持室内良好的通风条件，并对宠物笼进行定期打扫和喷洒除臭剂，污水处理设施采用密闭加盖处理，减少臭气排放，通过以上措施，本项目外排废气可达标排放，对周边环境影响较小</w:t>
            </w:r>
            <w:r>
              <w:rPr>
                <w:rFonts w:hint="eastAsia" w:ascii="Times New Roman" w:hAnsi="Times New Roman" w:cs="Times New Roman" w:eastAsiaTheme="minorEastAsia"/>
                <w:color w:val="auto"/>
                <w:sz w:val="24"/>
                <w:szCs w:val="24"/>
                <w:lang w:val="en-US" w:eastAsia="zh-CN"/>
              </w:rPr>
              <w:t>。</w:t>
            </w:r>
          </w:p>
          <w:p w14:paraId="1926FBD2">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因此，</w:t>
            </w:r>
            <w:r>
              <w:rPr>
                <w:rFonts w:hint="default" w:ascii="Times New Roman" w:hAnsi="Times New Roman" w:cs="Times New Roman" w:eastAsiaTheme="minorEastAsia"/>
                <w:color w:val="auto"/>
                <w:sz w:val="24"/>
                <w:szCs w:val="24"/>
                <w:lang w:val="en-US" w:eastAsia="zh-CN"/>
              </w:rPr>
              <w:t>项目的建设符合《空气质量持续改善行动计划》</w:t>
            </w:r>
            <w:r>
              <w:rPr>
                <w:rFonts w:hint="default" w:ascii="Times New Roman" w:hAnsi="Times New Roman" w:cs="Times New Roman" w:eastAsiaTheme="minorEastAsia"/>
                <w:b w:val="0"/>
                <w:bCs w:val="0"/>
                <w:color w:val="auto"/>
                <w:sz w:val="24"/>
                <w:szCs w:val="24"/>
                <w:lang w:val="en-US" w:eastAsia="zh-CN"/>
              </w:rPr>
              <w:t>（国发〔2023〕24号）</w:t>
            </w:r>
            <w:r>
              <w:rPr>
                <w:rFonts w:hint="default" w:ascii="Times New Roman" w:hAnsi="Times New Roman" w:cs="Times New Roman" w:eastAsiaTheme="minorEastAsia"/>
                <w:color w:val="auto"/>
                <w:sz w:val="24"/>
                <w:szCs w:val="24"/>
                <w:lang w:val="en-US" w:eastAsia="zh-CN"/>
              </w:rPr>
              <w:t>文件相关规定。</w:t>
            </w:r>
          </w:p>
          <w:p w14:paraId="55E334CB">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cs="Times New Roman" w:eastAsiaTheme="minorEastAsia"/>
                <w:b/>
                <w:bCs/>
                <w:color w:val="auto"/>
                <w:sz w:val="24"/>
                <w:szCs w:val="24"/>
                <w:lang w:val="en-US" w:eastAsia="zh-CN"/>
              </w:rPr>
              <w:t>7.</w:t>
            </w:r>
            <w:r>
              <w:rPr>
                <w:rFonts w:hint="default" w:ascii="Times New Roman" w:hAnsi="Times New Roman" w:cs="Times New Roman" w:eastAsiaTheme="minorEastAsia"/>
                <w:b/>
                <w:bCs/>
                <w:color w:val="auto"/>
                <w:sz w:val="24"/>
                <w:szCs w:val="24"/>
                <w:lang w:val="en-US" w:eastAsia="zh-CN"/>
              </w:rPr>
              <w:t>与《关于深入打好污染防治攻坚战的实施方案》符合性分析</w:t>
            </w:r>
          </w:p>
          <w:p w14:paraId="6688E3E1">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根据自治区党委、自治区人民政府印发《关于深入打好污染防治攻坚战的实施方案》有关要求：（五）持续推进散煤整治；（六）大力发展清洁能源；（七）坚决遏制高耗能高排放低水平项目盲目发展；（八）推动能源资源节约高效利用；（九）加强生态环境分区管控；（十一）着力打好重污染天气消除攻坚战；（十四）加强大气面源和噪声污染治理。</w:t>
            </w:r>
          </w:p>
          <w:p w14:paraId="106F87FC">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为宠物医院建设项目，项目生产工艺无需供热，生活供暖采用阜康市区集中供暖，不属于高耗能、高排放及落后项目，项目产生的废气、废水、固体废物、噪声污染均可达标排放，在采取了有效的处置措施后，项目的建设符合《关于深入打好污染防治攻坚战的实施方案》文件相关规定。</w:t>
            </w:r>
          </w:p>
          <w:p w14:paraId="2EC6B39D">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cs="Times New Roman" w:eastAsiaTheme="minorEastAsia"/>
                <w:b/>
                <w:bCs/>
                <w:color w:val="auto"/>
                <w:sz w:val="24"/>
                <w:szCs w:val="24"/>
                <w:lang w:val="en-US" w:eastAsia="zh-CN"/>
              </w:rPr>
              <w:t>8.</w:t>
            </w:r>
            <w:r>
              <w:rPr>
                <w:rFonts w:hint="default" w:ascii="Times New Roman" w:hAnsi="Times New Roman" w:cs="Times New Roman" w:eastAsiaTheme="minorEastAsia"/>
                <w:b/>
                <w:bCs/>
                <w:color w:val="auto"/>
                <w:sz w:val="24"/>
                <w:szCs w:val="24"/>
                <w:lang w:val="en-US" w:eastAsia="zh-CN"/>
              </w:rPr>
              <w:t>与《动物诊疗机构管理办法》</w:t>
            </w:r>
            <w:r>
              <w:rPr>
                <w:rFonts w:hint="eastAsia" w:cs="Times New Roman" w:eastAsiaTheme="minorEastAsia"/>
                <w:b/>
                <w:bCs/>
                <w:color w:val="auto"/>
                <w:sz w:val="24"/>
                <w:szCs w:val="24"/>
                <w:lang w:val="en-US" w:eastAsia="zh-CN"/>
              </w:rPr>
              <w:t>的</w:t>
            </w:r>
            <w:r>
              <w:rPr>
                <w:rFonts w:hint="default" w:ascii="Times New Roman" w:hAnsi="Times New Roman" w:cs="Times New Roman" w:eastAsiaTheme="minorEastAsia"/>
                <w:b/>
                <w:bCs/>
                <w:color w:val="auto"/>
                <w:sz w:val="24"/>
                <w:szCs w:val="24"/>
                <w:lang w:val="en-US" w:eastAsia="zh-CN"/>
              </w:rPr>
              <w:t>符合性分析</w:t>
            </w:r>
          </w:p>
          <w:p w14:paraId="0C1873DD">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对照《动物诊疗机构管理办法》（中华人民共和国农业农村部令，2022年第5号）符合性分析见表1-</w:t>
            </w:r>
            <w:r>
              <w:rPr>
                <w:rFonts w:hint="eastAsia"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w:t>
            </w:r>
          </w:p>
          <w:p w14:paraId="6327D4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baseline"/>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表1-</w:t>
            </w:r>
            <w:r>
              <w:rPr>
                <w:rFonts w:hint="eastAsia" w:ascii="Times New Roman" w:hAnsi="Times New Roman" w:eastAsia="宋体" w:cs="Times New Roman"/>
                <w:b/>
                <w:bCs/>
                <w:color w:val="auto"/>
                <w:kern w:val="0"/>
                <w:sz w:val="21"/>
                <w:szCs w:val="21"/>
                <w:lang w:val="en-US" w:eastAsia="zh-CN"/>
              </w:rPr>
              <w:t>3</w:t>
            </w:r>
            <w:r>
              <w:rPr>
                <w:rFonts w:hint="default" w:ascii="Times New Roman" w:hAnsi="Times New Roman" w:eastAsia="宋体" w:cs="Times New Roman"/>
                <w:b/>
                <w:bCs/>
                <w:color w:val="auto"/>
                <w:kern w:val="0"/>
                <w:sz w:val="21"/>
                <w:szCs w:val="21"/>
                <w:lang w:val="en-US" w:eastAsia="zh-CN"/>
              </w:rPr>
              <w:t xml:space="preserve">   《动物诊疗机构管理办法》符合性分析一览表</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2682"/>
              <w:gridCol w:w="768"/>
            </w:tblGrid>
            <w:tr w14:paraId="05461D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72" w:type="pct"/>
                  <w:tcBorders>
                    <w:bottom w:val="single" w:color="auto" w:sz="12" w:space="0"/>
                  </w:tcBorders>
                  <w:vAlign w:val="center"/>
                </w:tcPr>
                <w:p w14:paraId="4C3DDF60">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管控要求</w:t>
                  </w:r>
                </w:p>
              </w:tc>
              <w:tc>
                <w:tcPr>
                  <w:tcW w:w="2042" w:type="pct"/>
                  <w:tcBorders>
                    <w:bottom w:val="single" w:color="auto" w:sz="12" w:space="0"/>
                  </w:tcBorders>
                  <w:vAlign w:val="center"/>
                </w:tcPr>
                <w:p w14:paraId="1E3A06C4">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本项目工程概况</w:t>
                  </w:r>
                </w:p>
              </w:tc>
              <w:tc>
                <w:tcPr>
                  <w:tcW w:w="584" w:type="pct"/>
                  <w:tcBorders>
                    <w:bottom w:val="single" w:color="auto" w:sz="12" w:space="0"/>
                  </w:tcBorders>
                  <w:vAlign w:val="center"/>
                </w:tcPr>
                <w:p w14:paraId="29B83E7F">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符合性</w:t>
                  </w:r>
                </w:p>
              </w:tc>
            </w:tr>
            <w:tr w14:paraId="40B230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72" w:type="pct"/>
                  <w:tcBorders>
                    <w:top w:val="single" w:color="auto" w:sz="12" w:space="0"/>
                  </w:tcBorders>
                  <w:vAlign w:val="center"/>
                </w:tcPr>
                <w:p w14:paraId="46FFC9CB">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国家实行动物诊疗许可制度。从事动物诊疗活动的机构，应当取得动物诊疗许可证，并在规定的诊疗活动范围内开展动物诊疗活动</w:t>
                  </w:r>
                </w:p>
              </w:tc>
              <w:tc>
                <w:tcPr>
                  <w:tcW w:w="2042" w:type="pct"/>
                  <w:tcBorders>
                    <w:top w:val="single" w:color="auto" w:sz="12" w:space="0"/>
                  </w:tcBorders>
                  <w:vAlign w:val="center"/>
                </w:tcPr>
                <w:p w14:paraId="3473C2E5">
                  <w:pPr>
                    <w:pStyle w:val="64"/>
                    <w:keepNext w:val="0"/>
                    <w:keepLines w:val="0"/>
                    <w:suppressLineNumbers w:val="0"/>
                    <w:bidi w:val="0"/>
                    <w:spacing w:before="0" w:beforeAutospacing="0" w:after="0" w:afterAutospacing="0"/>
                    <w:ind w:left="0" w:right="0"/>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项目已取得动物诊疗许可证（</w:t>
                  </w:r>
                  <w:r>
                    <w:rPr>
                      <w:rFonts w:hint="eastAsia" w:cs="Times New Roman" w:eastAsiaTheme="minorEastAsia"/>
                      <w:color w:val="auto"/>
                      <w:sz w:val="21"/>
                      <w:szCs w:val="21"/>
                      <w:lang w:val="en-US" w:eastAsia="zh-CN"/>
                    </w:rPr>
                    <w:t>新昌阜动诊证﹝2024﹞第001号</w:t>
                  </w:r>
                  <w:r>
                    <w:rPr>
                      <w:rFonts w:hint="default" w:ascii="Times New Roman" w:hAnsi="Times New Roman" w:cs="Times New Roman" w:eastAsiaTheme="minorEastAsia"/>
                      <w:color w:val="auto"/>
                      <w:sz w:val="21"/>
                      <w:szCs w:val="21"/>
                      <w:lang w:val="en-US" w:eastAsia="zh-CN"/>
                    </w:rPr>
                    <w:t>），并在规定的诊疗活动范围内开展动物诊疗活动，见附件。</w:t>
                  </w:r>
                </w:p>
              </w:tc>
              <w:tc>
                <w:tcPr>
                  <w:tcW w:w="584" w:type="pct"/>
                  <w:tcBorders>
                    <w:top w:val="single" w:color="auto" w:sz="12" w:space="0"/>
                  </w:tcBorders>
                  <w:vAlign w:val="center"/>
                </w:tcPr>
                <w:p w14:paraId="01386636">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符合</w:t>
                  </w:r>
                </w:p>
              </w:tc>
            </w:tr>
            <w:tr w14:paraId="369D47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72" w:type="pct"/>
                  <w:tcBorders>
                    <w:tl2br w:val="nil"/>
                    <w:tr2bl w:val="nil"/>
                  </w:tcBorders>
                  <w:vAlign w:val="center"/>
                </w:tcPr>
                <w:p w14:paraId="7D14B8B8">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第六条 从事动物诊疗活动的机构</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应当具备下列条件</w:t>
                  </w:r>
                  <w:r>
                    <w:rPr>
                      <w:rFonts w:hint="default" w:ascii="Times New Roman" w:hAnsi="Times New Roman" w:cs="Times New Roman" w:eastAsiaTheme="minorEastAsia"/>
                      <w:color w:val="auto"/>
                      <w:sz w:val="21"/>
                      <w:szCs w:val="21"/>
                      <w:lang w:eastAsia="zh-CN"/>
                    </w:rPr>
                    <w:t>：</w:t>
                  </w:r>
                </w:p>
                <w:p w14:paraId="1168AAD0">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一</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有固定的动物诊疗场所，且动物诊疗场所使用面积符合省、自治区、直辖市人民政府农业农村主管部门的规定</w:t>
                  </w:r>
                  <w:r>
                    <w:rPr>
                      <w:rFonts w:hint="default" w:ascii="Times New Roman" w:hAnsi="Times New Roman" w:cs="Times New Roman" w:eastAsiaTheme="minorEastAsia"/>
                      <w:color w:val="auto"/>
                      <w:sz w:val="21"/>
                      <w:szCs w:val="21"/>
                      <w:lang w:eastAsia="zh-CN"/>
                    </w:rPr>
                    <w:t>；</w:t>
                  </w:r>
                </w:p>
                <w:p w14:paraId="2D138CCA">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二</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动物诊疗场所选址距离动物饲养场动物屠宰加工场所、经营动物的集贸市场不少于二百米</w:t>
                  </w:r>
                  <w:r>
                    <w:rPr>
                      <w:rFonts w:hint="default" w:ascii="Times New Roman" w:hAnsi="Times New Roman" w:cs="Times New Roman" w:eastAsiaTheme="minorEastAsia"/>
                      <w:color w:val="auto"/>
                      <w:sz w:val="21"/>
                      <w:szCs w:val="21"/>
                      <w:lang w:eastAsia="zh-CN"/>
                    </w:rPr>
                    <w:t>；</w:t>
                  </w:r>
                </w:p>
                <w:p w14:paraId="0A1F001A">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三</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动物诊疗场所设有独立的</w:t>
                  </w:r>
                  <w:r>
                    <w:rPr>
                      <w:rFonts w:hint="default" w:ascii="Times New Roman" w:hAnsi="Times New Roman" w:cs="Times New Roman" w:eastAsiaTheme="minorEastAsia"/>
                      <w:color w:val="auto"/>
                      <w:sz w:val="21"/>
                      <w:szCs w:val="21"/>
                      <w:lang w:eastAsia="zh-CN"/>
                    </w:rPr>
                    <w:t>出入口</w:t>
                  </w:r>
                  <w:r>
                    <w:rPr>
                      <w:rFonts w:hint="default" w:ascii="Times New Roman" w:hAnsi="Times New Roman" w:cs="Times New Roman" w:eastAsiaTheme="minorEastAsia"/>
                      <w:color w:val="auto"/>
                      <w:sz w:val="21"/>
                      <w:szCs w:val="21"/>
                    </w:rPr>
                    <w:t>不得设在居民住宅楼内或者院内不得与同一建筑物的其他用户共用通道</w:t>
                  </w:r>
                  <w:r>
                    <w:rPr>
                      <w:rFonts w:hint="default" w:ascii="Times New Roman" w:hAnsi="Times New Roman" w:cs="Times New Roman" w:eastAsiaTheme="minorEastAsia"/>
                      <w:color w:val="auto"/>
                      <w:sz w:val="21"/>
                      <w:szCs w:val="21"/>
                      <w:lang w:eastAsia="zh-CN"/>
                    </w:rPr>
                    <w:t>：</w:t>
                  </w:r>
                </w:p>
                <w:p w14:paraId="622A58E7">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四</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具有布局合理的诊疗室、隔离室、药房等功能区</w:t>
                  </w:r>
                  <w:r>
                    <w:rPr>
                      <w:rFonts w:hint="default" w:ascii="Times New Roman" w:hAnsi="Times New Roman" w:cs="Times New Roman" w:eastAsiaTheme="minorEastAsia"/>
                      <w:color w:val="auto"/>
                      <w:sz w:val="21"/>
                      <w:szCs w:val="21"/>
                      <w:lang w:eastAsia="zh-CN"/>
                    </w:rPr>
                    <w:t>；</w:t>
                  </w:r>
                </w:p>
                <w:p w14:paraId="2E24D74F">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具有诊断、消毒、冷藏、常规化验污水处理等器械设备</w:t>
                  </w:r>
                  <w:r>
                    <w:rPr>
                      <w:rFonts w:hint="default" w:ascii="Times New Roman" w:hAnsi="Times New Roman" w:cs="Times New Roman" w:eastAsiaTheme="minorEastAsia"/>
                      <w:color w:val="auto"/>
                      <w:sz w:val="21"/>
                      <w:szCs w:val="21"/>
                      <w:lang w:eastAsia="zh-CN"/>
                    </w:rPr>
                    <w:t>；</w:t>
                  </w:r>
                </w:p>
                <w:p w14:paraId="0BC59B1D">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六</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具有诊疗废弃物暂存处理设施，并委托专业处理机构处理</w:t>
                  </w:r>
                  <w:r>
                    <w:rPr>
                      <w:rFonts w:hint="default" w:ascii="Times New Roman" w:hAnsi="Times New Roman" w:cs="Times New Roman" w:eastAsiaTheme="minorEastAsia"/>
                      <w:color w:val="auto"/>
                      <w:sz w:val="21"/>
                      <w:szCs w:val="21"/>
                      <w:lang w:eastAsia="zh-CN"/>
                    </w:rPr>
                    <w:t>；</w:t>
                  </w:r>
                </w:p>
                <w:p w14:paraId="7CF3F748">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七</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具有染疫或者疑似染疫动物的隔离控制措施及设施设备</w:t>
                  </w:r>
                  <w:r>
                    <w:rPr>
                      <w:rFonts w:hint="default" w:ascii="Times New Roman" w:hAnsi="Times New Roman" w:cs="Times New Roman" w:eastAsiaTheme="minorEastAsia"/>
                      <w:color w:val="auto"/>
                      <w:sz w:val="21"/>
                      <w:szCs w:val="21"/>
                      <w:lang w:eastAsia="zh-CN"/>
                    </w:rPr>
                    <w:t>；</w:t>
                  </w:r>
                </w:p>
                <w:p w14:paraId="7FA17D6C">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八</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具有与动物诊疗活动相适应的执业兽医</w:t>
                  </w:r>
                  <w:r>
                    <w:rPr>
                      <w:rFonts w:hint="default" w:ascii="Times New Roman" w:hAnsi="Times New Roman" w:cs="Times New Roman" w:eastAsiaTheme="minorEastAsia"/>
                      <w:color w:val="auto"/>
                      <w:sz w:val="21"/>
                      <w:szCs w:val="21"/>
                      <w:lang w:eastAsia="zh-CN"/>
                    </w:rPr>
                    <w:t>；</w:t>
                  </w:r>
                </w:p>
                <w:p w14:paraId="15C744BB">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九</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具有完善的诊疗服务、疫情报告、卫生安全防护、消毒、隔离、诊疗废弃物暂存、兽医器械、兽医处方、药物和无害化处理等管理制度。</w:t>
                  </w:r>
                </w:p>
              </w:tc>
              <w:tc>
                <w:tcPr>
                  <w:tcW w:w="2042" w:type="pct"/>
                  <w:tcBorders>
                    <w:tl2br w:val="nil"/>
                    <w:tr2bl w:val="nil"/>
                  </w:tcBorders>
                  <w:vAlign w:val="center"/>
                </w:tcPr>
                <w:p w14:paraId="78C631B5">
                  <w:pPr>
                    <w:pStyle w:val="64"/>
                    <w:keepNext w:val="0"/>
                    <w:keepLines w:val="0"/>
                    <w:suppressLineNumbers w:val="0"/>
                    <w:bidi w:val="0"/>
                    <w:spacing w:before="0" w:beforeAutospacing="0" w:after="0" w:afterAutospacing="0"/>
                    <w:ind w:left="0" w:right="0"/>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（一）项目有固定的动物诊疗场所，租赁现有商铺，符合相关要求</w:t>
                  </w:r>
                  <w:r>
                    <w:rPr>
                      <w:rFonts w:hint="eastAsia" w:cs="Times New Roman" w:eastAsiaTheme="minorEastAsia"/>
                      <w:color w:val="auto"/>
                      <w:sz w:val="21"/>
                      <w:szCs w:val="21"/>
                      <w:lang w:val="en-US" w:eastAsia="zh-CN"/>
                    </w:rPr>
                    <w:t>；</w:t>
                  </w:r>
                </w:p>
                <w:p w14:paraId="1AC83562">
                  <w:pPr>
                    <w:pStyle w:val="65"/>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（二）项目周边200m不涉及动物饲养场、动物屠宰加工场所、经营动物的集贸市场</w:t>
                  </w:r>
                  <w:r>
                    <w:rPr>
                      <w:rFonts w:hint="eastAsia" w:cs="Times New Roman" w:eastAsiaTheme="minorEastAsia"/>
                      <w:b w:val="0"/>
                      <w:bCs/>
                      <w:color w:val="auto"/>
                      <w:kern w:val="2"/>
                      <w:sz w:val="21"/>
                      <w:szCs w:val="21"/>
                      <w:lang w:val="en-US" w:eastAsia="zh-CN" w:bidi="ar-SA"/>
                    </w:rPr>
                    <w:t>；</w:t>
                  </w:r>
                </w:p>
                <w:p w14:paraId="5CE0BBE0">
                  <w:pPr>
                    <w:pStyle w:val="65"/>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（三）项目动物诊疗场所设有独立的出入口，出入口不在居民住宅楼内或者院内，不与同一建筑物的其他用户共用通道</w:t>
                  </w:r>
                  <w:r>
                    <w:rPr>
                      <w:rFonts w:hint="eastAsia" w:cs="Times New Roman" w:eastAsiaTheme="minorEastAsia"/>
                      <w:b w:val="0"/>
                      <w:bCs/>
                      <w:color w:val="auto"/>
                      <w:kern w:val="2"/>
                      <w:sz w:val="21"/>
                      <w:szCs w:val="21"/>
                      <w:lang w:val="en-US" w:eastAsia="zh-CN" w:bidi="ar-SA"/>
                    </w:rPr>
                    <w:t>；</w:t>
                  </w:r>
                </w:p>
                <w:p w14:paraId="34FFBBB2">
                  <w:pPr>
                    <w:pStyle w:val="65"/>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（四）项目具有布局合理的诊疗室、隔离室、药房等功能区</w:t>
                  </w:r>
                  <w:r>
                    <w:rPr>
                      <w:rFonts w:hint="eastAsia" w:cs="Times New Roman" w:eastAsiaTheme="minorEastAsia"/>
                      <w:b w:val="0"/>
                      <w:bCs/>
                      <w:color w:val="auto"/>
                      <w:kern w:val="2"/>
                      <w:sz w:val="21"/>
                      <w:szCs w:val="21"/>
                      <w:lang w:val="en-US" w:eastAsia="zh-CN" w:bidi="ar-SA"/>
                    </w:rPr>
                    <w:t>；</w:t>
                  </w:r>
                </w:p>
                <w:p w14:paraId="059742DE">
                  <w:pPr>
                    <w:pStyle w:val="65"/>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（五）项目具有诊断、消毒、冷藏、常规化验、污水处理等器械设备</w:t>
                  </w:r>
                  <w:r>
                    <w:rPr>
                      <w:rFonts w:hint="eastAsia" w:cs="Times New Roman" w:eastAsiaTheme="minorEastAsia"/>
                      <w:b w:val="0"/>
                      <w:bCs/>
                      <w:color w:val="auto"/>
                      <w:kern w:val="2"/>
                      <w:sz w:val="21"/>
                      <w:szCs w:val="21"/>
                      <w:lang w:val="en-US" w:eastAsia="zh-CN" w:bidi="ar-SA"/>
                    </w:rPr>
                    <w:t>；</w:t>
                  </w:r>
                </w:p>
                <w:p w14:paraId="6B3E84DC">
                  <w:pPr>
                    <w:pStyle w:val="65"/>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（六）项目设立医疗废物收集桶、医疗废物暂存间等，并与医疗废物处置单位签订了处置协议</w:t>
                  </w:r>
                  <w:r>
                    <w:rPr>
                      <w:rFonts w:hint="eastAsia" w:cs="Times New Roman" w:eastAsiaTheme="minorEastAsia"/>
                      <w:b w:val="0"/>
                      <w:bCs/>
                      <w:color w:val="auto"/>
                      <w:kern w:val="2"/>
                      <w:sz w:val="21"/>
                      <w:szCs w:val="21"/>
                      <w:lang w:val="en-US" w:eastAsia="zh-CN" w:bidi="ar-SA"/>
                    </w:rPr>
                    <w:t>；</w:t>
                  </w:r>
                </w:p>
                <w:p w14:paraId="0CEDFCEB">
                  <w:pPr>
                    <w:pStyle w:val="65"/>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（七）项目设有隔离室并配套隔离设施设备</w:t>
                  </w:r>
                  <w:r>
                    <w:rPr>
                      <w:rFonts w:hint="eastAsia" w:cs="Times New Roman" w:eastAsiaTheme="minorEastAsia"/>
                      <w:b w:val="0"/>
                      <w:bCs/>
                      <w:color w:val="auto"/>
                      <w:kern w:val="2"/>
                      <w:sz w:val="21"/>
                      <w:szCs w:val="21"/>
                      <w:lang w:val="en-US" w:eastAsia="zh-CN" w:bidi="ar-SA"/>
                    </w:rPr>
                    <w:t>；</w:t>
                  </w:r>
                </w:p>
                <w:p w14:paraId="4816AA0E">
                  <w:pPr>
                    <w:pStyle w:val="65"/>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kern w:val="2"/>
                      <w:sz w:val="21"/>
                      <w:szCs w:val="21"/>
                      <w:lang w:val="en-US" w:eastAsia="zh-CN" w:bidi="ar-SA"/>
                    </w:rPr>
                    <w:t>（八）项目具有与动物诊疗活动相适应的执业兽医资格证；</w:t>
                  </w:r>
                </w:p>
                <w:p w14:paraId="1470D570">
                  <w:pPr>
                    <w:pStyle w:val="65"/>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val="0"/>
                      <w:bCs/>
                      <w:color w:val="auto"/>
                      <w:kern w:val="2"/>
                      <w:sz w:val="21"/>
                      <w:szCs w:val="21"/>
                      <w:lang w:val="en-US" w:eastAsia="zh-CN" w:bidi="ar-SA"/>
                    </w:rPr>
                    <w:t>（九）项目具有完善的诊疗服务、疫情报告、卫生安全防护、消毒、隔离、诊疗废弃物暂存、兽医器械、兽医处方等管理制度，病死的宠物由就诊人员带离，宠物医院不负责处理。</w:t>
                  </w:r>
                </w:p>
              </w:tc>
              <w:tc>
                <w:tcPr>
                  <w:tcW w:w="584" w:type="pct"/>
                  <w:tcBorders>
                    <w:tl2br w:val="nil"/>
                    <w:tr2bl w:val="nil"/>
                  </w:tcBorders>
                  <w:vAlign w:val="center"/>
                </w:tcPr>
                <w:p w14:paraId="05ADB0DB">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符合</w:t>
                  </w:r>
                </w:p>
              </w:tc>
            </w:tr>
            <w:tr w14:paraId="4FA88A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72" w:type="pct"/>
                  <w:tcBorders>
                    <w:tl2br w:val="nil"/>
                    <w:tr2bl w:val="nil"/>
                  </w:tcBorders>
                  <w:vAlign w:val="center"/>
                </w:tcPr>
                <w:p w14:paraId="7CDC8367">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kern w:val="2"/>
                      <w:sz w:val="21"/>
                      <w:szCs w:val="21"/>
                      <w:lang w:val="en-US" w:eastAsia="zh-CN" w:bidi="ar-SA"/>
                    </w:rPr>
                    <w:t xml:space="preserve">第七条 </w:t>
                  </w:r>
                  <w:r>
                    <w:rPr>
                      <w:rFonts w:hint="default" w:ascii="Times New Roman" w:hAnsi="Times New Roman" w:cs="Times New Roman" w:eastAsiaTheme="minorEastAsia"/>
                      <w:bCs/>
                      <w:color w:val="auto"/>
                      <w:sz w:val="21"/>
                      <w:szCs w:val="21"/>
                      <w:highlight w:val="none"/>
                      <w:lang w:val="en-US" w:eastAsia="zh-CN"/>
                    </w:rPr>
                    <w:t>动物诊所除具备本办法第六条规定的条件外，还应当具备下列条件：</w:t>
                  </w:r>
                </w:p>
                <w:p w14:paraId="3209C22B">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（一）具有一名以上执业兽医师；</w:t>
                  </w:r>
                </w:p>
                <w:p w14:paraId="1D30BD39">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（二）具有布局合理的手术室和手术设备</w:t>
                  </w:r>
                </w:p>
              </w:tc>
              <w:tc>
                <w:tcPr>
                  <w:tcW w:w="2042" w:type="pct"/>
                  <w:tcBorders>
                    <w:tl2br w:val="nil"/>
                    <w:tr2bl w:val="nil"/>
                  </w:tcBorders>
                  <w:vAlign w:val="center"/>
                </w:tcPr>
                <w:p w14:paraId="640990B7">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（一）项目配备了三名执业兽医师</w:t>
                  </w:r>
                  <w:r>
                    <w:rPr>
                      <w:rFonts w:hint="eastAsia" w:cs="Times New Roman" w:eastAsiaTheme="minorEastAsia"/>
                      <w:bCs/>
                      <w:color w:val="auto"/>
                      <w:sz w:val="21"/>
                      <w:szCs w:val="21"/>
                      <w:highlight w:val="none"/>
                      <w:lang w:val="en-US" w:eastAsia="zh-CN"/>
                    </w:rPr>
                    <w:t>；</w:t>
                  </w:r>
                </w:p>
                <w:p w14:paraId="6B00B155">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（二）手术室和手术设备布局合理。</w:t>
                  </w:r>
                </w:p>
              </w:tc>
              <w:tc>
                <w:tcPr>
                  <w:tcW w:w="584" w:type="pct"/>
                  <w:tcBorders>
                    <w:tl2br w:val="nil"/>
                    <w:tr2bl w:val="nil"/>
                  </w:tcBorders>
                  <w:vAlign w:val="center"/>
                </w:tcPr>
                <w:p w14:paraId="15849025">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符合</w:t>
                  </w:r>
                </w:p>
              </w:tc>
            </w:tr>
            <w:tr w14:paraId="129B47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72" w:type="pct"/>
                  <w:tcBorders>
                    <w:tl2br w:val="nil"/>
                    <w:tr2bl w:val="nil"/>
                  </w:tcBorders>
                  <w:vAlign w:val="center"/>
                </w:tcPr>
                <w:p w14:paraId="4EFD87C9">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CN" w:bidi="ar-SA"/>
                    </w:rPr>
                  </w:pPr>
                  <w:r>
                    <w:rPr>
                      <w:rFonts w:hint="default" w:ascii="Times New Roman" w:hAnsi="Times New Roman" w:cs="Times New Roman" w:eastAsiaTheme="minorEastAsia"/>
                      <w:color w:val="auto"/>
                      <w:kern w:val="2"/>
                      <w:sz w:val="21"/>
                      <w:szCs w:val="21"/>
                      <w:lang w:val="zh-TW" w:eastAsia="zh-TW" w:bidi="ar-SA"/>
                    </w:rPr>
                    <w:t>第八条</w:t>
                  </w:r>
                  <w:r>
                    <w:rPr>
                      <w:rFonts w:hint="default" w:ascii="Times New Roman" w:hAnsi="Times New Roman" w:cs="Times New Roman" w:eastAsiaTheme="minorEastAsia"/>
                      <w:color w:val="auto"/>
                      <w:kern w:val="2"/>
                      <w:sz w:val="21"/>
                      <w:szCs w:val="21"/>
                      <w:lang w:val="en-US" w:eastAsia="zh-CN" w:bidi="ar-SA"/>
                    </w:rPr>
                    <w:t xml:space="preserve"> </w:t>
                  </w:r>
                  <w:r>
                    <w:rPr>
                      <w:rFonts w:hint="default" w:ascii="Times New Roman" w:hAnsi="Times New Roman" w:cs="Times New Roman" w:eastAsiaTheme="minorEastAsia"/>
                      <w:color w:val="auto"/>
                      <w:kern w:val="2"/>
                      <w:sz w:val="21"/>
                      <w:szCs w:val="21"/>
                      <w:lang w:val="zh-TW" w:eastAsia="zh-TW" w:bidi="ar-SA"/>
                    </w:rPr>
                    <w:t>动物医院除具备本办法第六条规定项目具有三名执业兽医师</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并设的条件外，还应当具备下列条件</w:t>
                  </w:r>
                  <w:r>
                    <w:rPr>
                      <w:rFonts w:hint="default" w:ascii="Times New Roman" w:hAnsi="Times New Roman" w:cs="Times New Roman" w:eastAsiaTheme="minorEastAsia"/>
                      <w:color w:val="auto"/>
                      <w:kern w:val="2"/>
                      <w:sz w:val="21"/>
                      <w:szCs w:val="21"/>
                      <w:lang w:val="zh-TW" w:eastAsia="zh-CN" w:bidi="ar-SA"/>
                    </w:rPr>
                    <w:t>：</w:t>
                  </w:r>
                </w:p>
                <w:p w14:paraId="123F7C01">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CN" w:bidi="ar-SA"/>
                    </w:rPr>
                  </w:pPr>
                  <w:r>
                    <w:rPr>
                      <w:rFonts w:hint="default" w:ascii="Times New Roman" w:hAnsi="Times New Roman" w:cs="Times New Roman" w:eastAsiaTheme="minorEastAsia"/>
                      <w:color w:val="auto"/>
                      <w:kern w:val="2"/>
                      <w:sz w:val="21"/>
                      <w:szCs w:val="21"/>
                      <w:lang w:val="zh-TW" w:eastAsia="zh-CN" w:bidi="ar-SA"/>
                    </w:rPr>
                    <w:t>（一）</w:t>
                  </w:r>
                  <w:r>
                    <w:rPr>
                      <w:rFonts w:hint="default" w:ascii="Times New Roman" w:hAnsi="Times New Roman" w:cs="Times New Roman" w:eastAsiaTheme="minorEastAsia"/>
                      <w:color w:val="auto"/>
                      <w:kern w:val="2"/>
                      <w:sz w:val="21"/>
                      <w:szCs w:val="21"/>
                      <w:lang w:val="zh-TW" w:eastAsia="zh-TW" w:bidi="ar-SA"/>
                    </w:rPr>
                    <w:t>具有三名以上执业兽医师</w:t>
                  </w:r>
                  <w:r>
                    <w:rPr>
                      <w:rFonts w:hint="default" w:ascii="Times New Roman" w:hAnsi="Times New Roman" w:cs="Times New Roman" w:eastAsiaTheme="minorEastAsia"/>
                      <w:color w:val="auto"/>
                      <w:kern w:val="2"/>
                      <w:sz w:val="21"/>
                      <w:szCs w:val="21"/>
                      <w:lang w:val="zh-TW" w:eastAsia="zh-CN" w:bidi="ar-SA"/>
                    </w:rPr>
                    <w:t>；</w:t>
                  </w:r>
                </w:p>
                <w:p w14:paraId="27737F2C">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CN" w:bidi="ar-SA"/>
                    </w:rPr>
                  </w:pP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二</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具有</w:t>
                  </w:r>
                  <w:r>
                    <w:rPr>
                      <w:rFonts w:hint="default" w:ascii="Times New Roman" w:hAnsi="Times New Roman" w:cs="Times New Roman" w:eastAsiaTheme="minorEastAsia"/>
                      <w:color w:val="auto"/>
                      <w:kern w:val="2"/>
                      <w:sz w:val="21"/>
                      <w:szCs w:val="21"/>
                      <w:lang w:val="zh-TW" w:eastAsia="zh-CN" w:bidi="ar-SA"/>
                    </w:rPr>
                    <w:t>DR</w:t>
                  </w:r>
                  <w:r>
                    <w:rPr>
                      <w:rFonts w:hint="default" w:ascii="Times New Roman" w:hAnsi="Times New Roman" w:cs="Times New Roman" w:eastAsiaTheme="minorEastAsia"/>
                      <w:color w:val="auto"/>
                      <w:kern w:val="2"/>
                      <w:sz w:val="21"/>
                      <w:szCs w:val="21"/>
                      <w:lang w:val="zh-TW" w:eastAsia="zh-TW" w:bidi="ar-SA"/>
                    </w:rPr>
                    <w:t>机或者B超等器械设备</w:t>
                  </w:r>
                  <w:r>
                    <w:rPr>
                      <w:rFonts w:hint="default" w:ascii="Times New Roman" w:hAnsi="Times New Roman" w:cs="Times New Roman" w:eastAsiaTheme="minorEastAsia"/>
                      <w:color w:val="auto"/>
                      <w:kern w:val="2"/>
                      <w:sz w:val="21"/>
                      <w:szCs w:val="21"/>
                      <w:lang w:val="zh-TW" w:eastAsia="zh-CN" w:bidi="ar-SA"/>
                    </w:rPr>
                    <w:t>；</w:t>
                  </w:r>
                </w:p>
                <w:p w14:paraId="6B8E352A">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TW" w:bidi="ar-SA"/>
                    </w:rPr>
                  </w:pP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三</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具有布局合理的手术室和手术设备。除前款规定的动物医院外，其他动物诊疗机构不得从事动物颅腔、胸腔和腹腔手术。</w:t>
                  </w:r>
                </w:p>
              </w:tc>
              <w:tc>
                <w:tcPr>
                  <w:tcW w:w="2042" w:type="pct"/>
                  <w:tcBorders>
                    <w:tl2br w:val="nil"/>
                    <w:tr2bl w:val="nil"/>
                  </w:tcBorders>
                  <w:vAlign w:val="center"/>
                </w:tcPr>
                <w:p w14:paraId="1535CB8F">
                  <w:pPr>
                    <w:pStyle w:val="64"/>
                    <w:keepNext w:val="0"/>
                    <w:keepLines w:val="0"/>
                    <w:suppressLineNumbers w:val="0"/>
                    <w:bidi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（一）项目配备了三名执业兽医师；</w:t>
                  </w:r>
                </w:p>
                <w:p w14:paraId="73A7FEFF">
                  <w:pPr>
                    <w:pStyle w:val="64"/>
                    <w:keepNext w:val="0"/>
                    <w:keepLines w:val="0"/>
                    <w:suppressLineNumbers w:val="0"/>
                    <w:bidi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（二）本医院配备了一台DR 装置（动物用X射线诊断装置）；</w:t>
                  </w:r>
                </w:p>
                <w:p w14:paraId="4A848A04">
                  <w:pPr>
                    <w:pStyle w:val="64"/>
                    <w:keepNext w:val="0"/>
                    <w:keepLines w:val="0"/>
                    <w:suppressLineNumbers w:val="0"/>
                    <w:bidi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（三）项目配置符合要求的诊疗设备。</w:t>
                  </w:r>
                </w:p>
              </w:tc>
              <w:tc>
                <w:tcPr>
                  <w:tcW w:w="584" w:type="pct"/>
                  <w:tcBorders>
                    <w:tl2br w:val="nil"/>
                    <w:tr2bl w:val="nil"/>
                  </w:tcBorders>
                  <w:vAlign w:val="center"/>
                </w:tcPr>
                <w:p w14:paraId="7C561705">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符合</w:t>
                  </w:r>
                </w:p>
              </w:tc>
            </w:tr>
            <w:tr w14:paraId="3AE696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72" w:type="pct"/>
                  <w:tcBorders>
                    <w:tl2br w:val="nil"/>
                    <w:tr2bl w:val="nil"/>
                  </w:tcBorders>
                  <w:vAlign w:val="center"/>
                </w:tcPr>
                <w:p w14:paraId="3B1FF2B7">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CN" w:bidi="ar-SA"/>
                    </w:rPr>
                  </w:pPr>
                  <w:r>
                    <w:rPr>
                      <w:rFonts w:hint="default" w:ascii="Times New Roman" w:hAnsi="Times New Roman" w:cs="Times New Roman" w:eastAsiaTheme="minorEastAsia"/>
                      <w:color w:val="auto"/>
                      <w:kern w:val="2"/>
                      <w:sz w:val="21"/>
                      <w:szCs w:val="21"/>
                      <w:lang w:val="zh-TW" w:eastAsia="zh-CN" w:bidi="ar-SA"/>
                    </w:rPr>
                    <w:t>第九条</w:t>
                  </w:r>
                  <w:r>
                    <w:rPr>
                      <w:rFonts w:hint="default" w:ascii="Times New Roman" w:hAnsi="Times New Roman" w:cs="Times New Roman" w:eastAsiaTheme="minorEastAsia"/>
                      <w:color w:val="auto"/>
                      <w:kern w:val="2"/>
                      <w:sz w:val="21"/>
                      <w:szCs w:val="21"/>
                      <w:lang w:val="zh-TW" w:eastAsia="zh-TW" w:bidi="ar-SA"/>
                    </w:rPr>
                    <w:t>从事动物诊疗活动的机构，应当向动物诊疗场所所在地的发证机关提出申请，并提交下列材料</w:t>
                  </w:r>
                  <w:r>
                    <w:rPr>
                      <w:rFonts w:hint="default" w:ascii="Times New Roman" w:hAnsi="Times New Roman" w:cs="Times New Roman" w:eastAsiaTheme="minorEastAsia"/>
                      <w:color w:val="auto"/>
                      <w:kern w:val="2"/>
                      <w:sz w:val="21"/>
                      <w:szCs w:val="21"/>
                      <w:lang w:val="zh-TW" w:eastAsia="zh-CN" w:bidi="ar-SA"/>
                    </w:rPr>
                    <w:t>：</w:t>
                  </w:r>
                </w:p>
                <w:p w14:paraId="46810EEB">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CN" w:bidi="ar-SA"/>
                    </w:rPr>
                  </w:pPr>
                  <w:r>
                    <w:rPr>
                      <w:rFonts w:hint="default" w:ascii="Times New Roman" w:hAnsi="Times New Roman" w:cs="Times New Roman" w:eastAsiaTheme="minorEastAsia"/>
                      <w:color w:val="auto"/>
                      <w:kern w:val="2"/>
                      <w:sz w:val="21"/>
                      <w:szCs w:val="21"/>
                      <w:lang w:val="zh-TW" w:eastAsia="zh-CN" w:bidi="ar-SA"/>
                    </w:rPr>
                    <w:t>（一）</w:t>
                  </w:r>
                  <w:r>
                    <w:rPr>
                      <w:rFonts w:hint="default" w:ascii="Times New Roman" w:hAnsi="Times New Roman" w:cs="Times New Roman" w:eastAsiaTheme="minorEastAsia"/>
                      <w:color w:val="auto"/>
                      <w:kern w:val="2"/>
                      <w:sz w:val="21"/>
                      <w:szCs w:val="21"/>
                      <w:lang w:val="zh-TW" w:eastAsia="zh-TW" w:bidi="ar-SA"/>
                    </w:rPr>
                    <w:t>动物诊疗许可证申请表</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二</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动物诊疗场所地理方位图、室内平面图和各功能区布局图</w:t>
                  </w:r>
                  <w:r>
                    <w:rPr>
                      <w:rFonts w:hint="default" w:ascii="Times New Roman" w:hAnsi="Times New Roman" w:cs="Times New Roman" w:eastAsiaTheme="minorEastAsia"/>
                      <w:color w:val="auto"/>
                      <w:kern w:val="2"/>
                      <w:sz w:val="21"/>
                      <w:szCs w:val="21"/>
                      <w:lang w:val="zh-TW" w:eastAsia="zh-CN" w:bidi="ar-SA"/>
                    </w:rPr>
                    <w:t>；</w:t>
                  </w:r>
                </w:p>
                <w:p w14:paraId="34AC34BB">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CN" w:bidi="ar-SA"/>
                    </w:rPr>
                  </w:pP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三</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动物诊疗场所使用权证明</w:t>
                  </w:r>
                  <w:r>
                    <w:rPr>
                      <w:rFonts w:hint="default" w:ascii="Times New Roman" w:hAnsi="Times New Roman" w:cs="Times New Roman" w:eastAsiaTheme="minorEastAsia"/>
                      <w:color w:val="auto"/>
                      <w:kern w:val="2"/>
                      <w:sz w:val="21"/>
                      <w:szCs w:val="21"/>
                      <w:lang w:val="zh-TW" w:eastAsia="zh-CN" w:bidi="ar-SA"/>
                    </w:rPr>
                    <w:t>；</w:t>
                  </w:r>
                </w:p>
                <w:p w14:paraId="11DA976F">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CN" w:bidi="ar-SA"/>
                    </w:rPr>
                  </w:pP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四</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法定代表人</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负责人</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身份证明</w:t>
                  </w:r>
                  <w:r>
                    <w:rPr>
                      <w:rFonts w:hint="default" w:ascii="Times New Roman" w:hAnsi="Times New Roman" w:cs="Times New Roman" w:eastAsiaTheme="minorEastAsia"/>
                      <w:color w:val="auto"/>
                      <w:kern w:val="2"/>
                      <w:sz w:val="21"/>
                      <w:szCs w:val="21"/>
                      <w:lang w:val="zh-TW" w:eastAsia="zh-CN" w:bidi="ar-SA"/>
                    </w:rPr>
                    <w:t>；</w:t>
                  </w:r>
                </w:p>
                <w:p w14:paraId="349EE77D">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CN" w:bidi="ar-SA"/>
                    </w:rPr>
                  </w:pP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五</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执业兽医资格证书</w:t>
                  </w:r>
                  <w:r>
                    <w:rPr>
                      <w:rFonts w:hint="default" w:ascii="Times New Roman" w:hAnsi="Times New Roman" w:cs="Times New Roman" w:eastAsiaTheme="minorEastAsia"/>
                      <w:color w:val="auto"/>
                      <w:kern w:val="2"/>
                      <w:sz w:val="21"/>
                      <w:szCs w:val="21"/>
                      <w:lang w:val="zh-TW" w:eastAsia="zh-CN" w:bidi="ar-SA"/>
                    </w:rPr>
                    <w:t>；</w:t>
                  </w:r>
                </w:p>
                <w:p w14:paraId="3B1048E7">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CN" w:bidi="ar-SA"/>
                    </w:rPr>
                  </w:pP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六</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设施设备清单</w:t>
                  </w:r>
                  <w:r>
                    <w:rPr>
                      <w:rFonts w:hint="default" w:ascii="Times New Roman" w:hAnsi="Times New Roman" w:cs="Times New Roman" w:eastAsiaTheme="minorEastAsia"/>
                      <w:color w:val="auto"/>
                      <w:kern w:val="2"/>
                      <w:sz w:val="21"/>
                      <w:szCs w:val="21"/>
                      <w:lang w:val="zh-TW" w:eastAsia="zh-CN" w:bidi="ar-SA"/>
                    </w:rPr>
                    <w:t>；</w:t>
                  </w:r>
                </w:p>
                <w:p w14:paraId="6BC4C18A">
                  <w:pPr>
                    <w:pStyle w:val="64"/>
                    <w:keepNext w:val="0"/>
                    <w:keepLines w:val="0"/>
                    <w:numPr>
                      <w:ilvl w:val="0"/>
                      <w:numId w:val="0"/>
                    </w:numPr>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TW" w:bidi="ar-SA"/>
                    </w:rPr>
                  </w:pP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七</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管理制度文本。申请材料不齐全或者不符合规定条件的，发证机关应当自收到申请材料之日起五个工作日内一次性告知申请人需补正的内容。</w:t>
                  </w:r>
                </w:p>
              </w:tc>
              <w:tc>
                <w:tcPr>
                  <w:tcW w:w="2042" w:type="pct"/>
                  <w:tcBorders>
                    <w:tl2br w:val="nil"/>
                    <w:tr2bl w:val="nil"/>
                  </w:tcBorders>
                  <w:vAlign w:val="center"/>
                </w:tcPr>
                <w:p w14:paraId="684C9D1E">
                  <w:pPr>
                    <w:pStyle w:val="64"/>
                    <w:keepNext w:val="0"/>
                    <w:keepLines w:val="0"/>
                    <w:suppressLineNumbers w:val="0"/>
                    <w:bidi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项目已取得动物诊疗许可证（</w:t>
                  </w:r>
                  <w:r>
                    <w:rPr>
                      <w:rFonts w:hint="eastAsia" w:cs="Times New Roman" w:eastAsiaTheme="minorEastAsia"/>
                      <w:color w:val="auto"/>
                      <w:sz w:val="21"/>
                      <w:szCs w:val="21"/>
                      <w:lang w:val="en-US" w:eastAsia="zh-CN"/>
                    </w:rPr>
                    <w:t>新昌阜动诊证﹝2024﹞第001号</w:t>
                  </w:r>
                  <w:r>
                    <w:rPr>
                      <w:rFonts w:hint="default" w:ascii="Times New Roman" w:hAnsi="Times New Roman" w:cs="Times New Roman" w:eastAsiaTheme="minorEastAsia"/>
                      <w:color w:val="auto"/>
                      <w:sz w:val="21"/>
                      <w:szCs w:val="21"/>
                      <w:lang w:val="en-US" w:eastAsia="zh-CN"/>
                    </w:rPr>
                    <w:t>）。</w:t>
                  </w:r>
                </w:p>
              </w:tc>
              <w:tc>
                <w:tcPr>
                  <w:tcW w:w="584" w:type="pct"/>
                  <w:tcBorders>
                    <w:tl2br w:val="nil"/>
                    <w:tr2bl w:val="nil"/>
                  </w:tcBorders>
                  <w:vAlign w:val="center"/>
                </w:tcPr>
                <w:p w14:paraId="6FE40DDE">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符合</w:t>
                  </w:r>
                </w:p>
              </w:tc>
            </w:tr>
            <w:tr w14:paraId="506085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72" w:type="pct"/>
                  <w:tcBorders>
                    <w:tl2br w:val="nil"/>
                    <w:tr2bl w:val="nil"/>
                  </w:tcBorders>
                  <w:vAlign w:val="center"/>
                </w:tcPr>
                <w:p w14:paraId="4B813A81">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TW" w:bidi="ar-SA"/>
                    </w:rPr>
                  </w:pPr>
                  <w:r>
                    <w:rPr>
                      <w:rFonts w:hint="default" w:ascii="Times New Roman" w:hAnsi="Times New Roman" w:cs="Times New Roman" w:eastAsiaTheme="minorEastAsia"/>
                      <w:color w:val="auto"/>
                      <w:kern w:val="2"/>
                      <w:sz w:val="21"/>
                      <w:szCs w:val="21"/>
                      <w:lang w:val="zh-TW" w:eastAsia="zh-TW" w:bidi="ar-SA"/>
                    </w:rPr>
                    <w:t>第十条 动物诊疗机构应当使用规范的名称。</w:t>
                  </w:r>
                </w:p>
                <w:p w14:paraId="1806CBC8">
                  <w:pPr>
                    <w:pStyle w:val="64"/>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zh-TW" w:eastAsia="zh-TW" w:bidi="ar-SA"/>
                    </w:rPr>
                  </w:pPr>
                  <w:r>
                    <w:rPr>
                      <w:rFonts w:hint="default" w:ascii="Times New Roman" w:hAnsi="Times New Roman" w:cs="Times New Roman" w:eastAsiaTheme="minorEastAsia"/>
                      <w:color w:val="auto"/>
                      <w:kern w:val="2"/>
                      <w:sz w:val="21"/>
                      <w:szCs w:val="21"/>
                      <w:lang w:val="zh-TW" w:eastAsia="zh-TW" w:bidi="ar-SA"/>
                    </w:rPr>
                    <w:t>未取得相应许可的，不得使用“动物诊所</w:t>
                  </w:r>
                  <w:r>
                    <w:rPr>
                      <w:rFonts w:hint="default" w:ascii="Times New Roman" w:hAnsi="Times New Roman" w:cs="Times New Roman" w:eastAsiaTheme="minorEastAsia"/>
                      <w:color w:val="auto"/>
                      <w:kern w:val="2"/>
                      <w:sz w:val="21"/>
                      <w:szCs w:val="21"/>
                      <w:lang w:val="zh-TW" w:eastAsia="zh-CN" w:bidi="ar-SA"/>
                    </w:rPr>
                    <w:t>”</w:t>
                  </w:r>
                  <w:r>
                    <w:rPr>
                      <w:rFonts w:hint="default" w:ascii="Times New Roman" w:hAnsi="Times New Roman" w:cs="Times New Roman" w:eastAsiaTheme="minorEastAsia"/>
                      <w:color w:val="auto"/>
                      <w:kern w:val="2"/>
                      <w:sz w:val="21"/>
                      <w:szCs w:val="21"/>
                      <w:lang w:val="zh-TW" w:eastAsia="zh-TW" w:bidi="ar-SA"/>
                    </w:rPr>
                    <w:t>或者“动物医院”的名称。</w:t>
                  </w:r>
                </w:p>
              </w:tc>
              <w:tc>
                <w:tcPr>
                  <w:tcW w:w="2042" w:type="pct"/>
                  <w:tcBorders>
                    <w:tl2br w:val="nil"/>
                    <w:tr2bl w:val="nil"/>
                  </w:tcBorders>
                  <w:vAlign w:val="center"/>
                </w:tcPr>
                <w:p w14:paraId="3113510C">
                  <w:pPr>
                    <w:pStyle w:val="64"/>
                    <w:keepNext w:val="0"/>
                    <w:keepLines w:val="0"/>
                    <w:suppressLineNumbers w:val="0"/>
                    <w:bidi w:val="0"/>
                    <w:spacing w:before="0" w:beforeAutospacing="0" w:after="0" w:afterAutospacing="0"/>
                    <w:ind w:left="0" w:right="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项目已取得动物诊疗许可证（</w:t>
                  </w:r>
                  <w:r>
                    <w:rPr>
                      <w:rFonts w:hint="eastAsia" w:cs="Times New Roman" w:eastAsiaTheme="minorEastAsia"/>
                      <w:color w:val="auto"/>
                      <w:sz w:val="21"/>
                      <w:szCs w:val="21"/>
                      <w:lang w:val="en-US" w:eastAsia="zh-CN"/>
                    </w:rPr>
                    <w:t>新昌阜动诊证﹝2024﹞第001号</w:t>
                  </w:r>
                  <w:r>
                    <w:rPr>
                      <w:rFonts w:hint="default" w:ascii="Times New Roman" w:hAnsi="Times New Roman" w:cs="Times New Roman" w:eastAsiaTheme="minorEastAsia"/>
                      <w:color w:val="auto"/>
                      <w:sz w:val="21"/>
                      <w:szCs w:val="21"/>
                      <w:lang w:val="en-US" w:eastAsia="zh-CN"/>
                    </w:rPr>
                    <w:t>）。</w:t>
                  </w:r>
                </w:p>
              </w:tc>
              <w:tc>
                <w:tcPr>
                  <w:tcW w:w="584" w:type="pct"/>
                  <w:tcBorders>
                    <w:tl2br w:val="nil"/>
                    <w:tr2bl w:val="nil"/>
                  </w:tcBorders>
                  <w:vAlign w:val="center"/>
                </w:tcPr>
                <w:p w14:paraId="6E79BDEE">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符合</w:t>
                  </w:r>
                </w:p>
              </w:tc>
            </w:tr>
          </w:tbl>
          <w:p w14:paraId="2ED906AC">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cs="Times New Roman" w:eastAsiaTheme="minorEastAsia"/>
                <w:b/>
                <w:bCs/>
                <w:color w:val="auto"/>
                <w:sz w:val="24"/>
                <w:szCs w:val="24"/>
                <w:lang w:val="en-US" w:eastAsia="zh-CN"/>
              </w:rPr>
              <w:t>9.</w:t>
            </w:r>
            <w:r>
              <w:rPr>
                <w:rFonts w:hint="default" w:ascii="Times New Roman" w:hAnsi="Times New Roman" w:cs="Times New Roman" w:eastAsiaTheme="minorEastAsia"/>
                <w:b/>
                <w:bCs/>
                <w:color w:val="auto"/>
                <w:sz w:val="24"/>
                <w:szCs w:val="24"/>
                <w:lang w:val="en-US" w:eastAsia="zh-CN"/>
              </w:rPr>
              <w:t>与《医疗废物集中处置技术规范（试行）》符合性分析</w:t>
            </w:r>
          </w:p>
          <w:p w14:paraId="61FA9FB8">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《医疗废物集中处置技术规范（试行）》（环发</w:t>
            </w:r>
            <w:r>
              <w:rPr>
                <w:rFonts w:hint="eastAsia" w:cs="Times New Roman" w:eastAsiaTheme="minorEastAsia"/>
                <w:color w:val="auto"/>
                <w:sz w:val="24"/>
                <w:szCs w:val="24"/>
                <w:lang w:val="en-US" w:eastAsia="zh-CN"/>
              </w:rPr>
              <w:t>〔2003〕206号</w:t>
            </w:r>
            <w:r>
              <w:rPr>
                <w:rFonts w:hint="default" w:ascii="Times New Roman" w:hAnsi="Times New Roman" w:cs="Times New Roman" w:eastAsiaTheme="minorEastAsia"/>
                <w:color w:val="auto"/>
                <w:sz w:val="24"/>
                <w:szCs w:val="24"/>
                <w:lang w:val="en-US" w:eastAsia="zh-CN"/>
              </w:rPr>
              <w:t>）指出：应防止医疗废物在暂时贮存库房和专用暂时贮存柜</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箱</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中腐败散发恶臭，尽量做到日产日清；医疗卫生机构应制定医疗废物暂时贮存管理的有关规章制度、工作程序及应急处理措施；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拒不按规定对医疗废物进行包装的，运送人员有权拒绝运送，并向当地环保部门报告。</w:t>
            </w:r>
          </w:p>
          <w:p w14:paraId="6A279864">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医疗废物应进行分类贮存，尤其是对于不能长期贮存的动物尸体、病理组织、检验废液等，应确保日产日清，制定医疗废物暂时贮存管理制度，对于收集、转运、处置必须严格执行《医疗废物管理条例》及《医疗卫生机构医疗废物管理办法》的相关规定，本项目满足《医疗废物集中处置技术规范（试行）》（环发</w:t>
            </w:r>
            <w:r>
              <w:rPr>
                <w:rFonts w:hint="eastAsia" w:cs="Times New Roman" w:eastAsiaTheme="minorEastAsia"/>
                <w:color w:val="auto"/>
                <w:sz w:val="24"/>
                <w:szCs w:val="24"/>
                <w:lang w:val="en-US" w:eastAsia="zh-CN"/>
              </w:rPr>
              <w:t>〔2003〕206号</w:t>
            </w:r>
            <w:r>
              <w:rPr>
                <w:rFonts w:hint="default" w:ascii="Times New Roman" w:hAnsi="Times New Roman" w:cs="Times New Roman" w:eastAsiaTheme="minorEastAsia"/>
                <w:color w:val="auto"/>
                <w:sz w:val="24"/>
                <w:szCs w:val="24"/>
                <w:lang w:val="en-US" w:eastAsia="zh-CN"/>
              </w:rPr>
              <w:t>）文件相关规定。</w:t>
            </w:r>
          </w:p>
          <w:p w14:paraId="3E30E178">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cs="Times New Roman" w:eastAsiaTheme="minorEastAsia"/>
                <w:b/>
                <w:bCs/>
                <w:color w:val="auto"/>
                <w:sz w:val="24"/>
                <w:szCs w:val="24"/>
                <w:lang w:val="en-US" w:eastAsia="zh-CN"/>
              </w:rPr>
              <w:t>10.</w:t>
            </w:r>
            <w:r>
              <w:rPr>
                <w:rFonts w:hint="default" w:ascii="Times New Roman" w:hAnsi="Times New Roman" w:cs="Times New Roman" w:eastAsiaTheme="minorEastAsia"/>
                <w:b/>
                <w:bCs/>
                <w:color w:val="auto"/>
                <w:sz w:val="24"/>
                <w:szCs w:val="24"/>
                <w:lang w:val="en-US" w:eastAsia="zh-CN"/>
              </w:rPr>
              <w:t>与《医疗废物分类目录（2021年版）》符合性分析</w:t>
            </w:r>
          </w:p>
          <w:p w14:paraId="3987FAB9">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《医疗废物分类目录（2021年版）》指出：医疗废物分为感染性废物、损伤性废物、病理性废物、药物性废物和化学性废物。</w:t>
            </w:r>
          </w:p>
          <w:p w14:paraId="3C62764E">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本项目产生的医疗废物主要来源于：a.宠物体液、组织样本化验检验过程中产生的废弃试管、载玻片、棉球；b.宠物在治疗和手术过程中产生的病理组织和纱布等；c宠物类输液过程产生的一次性针头，塑料药品瓶等；d过期药品，属于感染性废物、损伤性废物、病理性废物、药物性废物和化学性废物，暂存于医疗废物暂存间，应</w:t>
            </w:r>
            <w:r>
              <w:rPr>
                <w:rFonts w:hint="eastAsia" w:cs="Times New Roman" w:eastAsiaTheme="minorEastAsia"/>
                <w:color w:val="auto"/>
                <w:sz w:val="24"/>
                <w:szCs w:val="24"/>
                <w:lang w:val="en-US" w:eastAsia="zh-CN"/>
              </w:rPr>
              <w:t>对</w:t>
            </w:r>
            <w:r>
              <w:rPr>
                <w:rFonts w:hint="default" w:ascii="Times New Roman" w:hAnsi="Times New Roman" w:cs="Times New Roman" w:eastAsiaTheme="minorEastAsia"/>
                <w:color w:val="auto"/>
                <w:sz w:val="24"/>
                <w:szCs w:val="24"/>
                <w:lang w:val="en-US" w:eastAsia="zh-CN"/>
              </w:rPr>
              <w:t>不同类型医疗废物分类贮存，满足《医疗废物分类目录（2021年版）》相关要求。</w:t>
            </w:r>
          </w:p>
          <w:p w14:paraId="009ADA1B">
            <w:pPr>
              <w:pStyle w:val="8"/>
              <w:keepNext w:val="0"/>
              <w:keepLines w:val="0"/>
              <w:suppressLineNumbers w:val="0"/>
              <w:snapToGrid/>
              <w:spacing w:before="0" w:beforeAutospacing="0" w:after="0" w:afterAutospacing="0" w:line="520" w:lineRule="exact"/>
              <w:ind w:left="0" w:right="0"/>
              <w:jc w:val="left"/>
              <w:rPr>
                <w:rFonts w:hint="default" w:ascii="Times New Roman" w:hAnsi="Times New Roman" w:cs="Times New Roman" w:eastAsiaTheme="minorEastAsia"/>
                <w:b/>
                <w:bCs/>
                <w:color w:val="auto"/>
                <w:sz w:val="24"/>
                <w:szCs w:val="24"/>
                <w:lang w:val="en-US" w:eastAsia="zh-CN"/>
              </w:rPr>
            </w:pPr>
            <w:r>
              <w:rPr>
                <w:rFonts w:hint="eastAsia" w:cs="Times New Roman" w:eastAsiaTheme="minorEastAsia"/>
                <w:b/>
                <w:bCs/>
                <w:color w:val="auto"/>
                <w:sz w:val="24"/>
                <w:szCs w:val="24"/>
                <w:lang w:val="en-US" w:eastAsia="zh-CN"/>
              </w:rPr>
              <w:t>11.</w:t>
            </w:r>
            <w:r>
              <w:rPr>
                <w:rFonts w:hint="default" w:ascii="Times New Roman" w:hAnsi="Times New Roman" w:cs="Times New Roman" w:eastAsiaTheme="minorEastAsia"/>
                <w:b/>
                <w:bCs/>
                <w:color w:val="auto"/>
                <w:sz w:val="24"/>
                <w:szCs w:val="24"/>
                <w:lang w:val="en-US" w:eastAsia="zh-CN"/>
              </w:rPr>
              <w:t>选址合理性分析</w:t>
            </w:r>
          </w:p>
          <w:p w14:paraId="6CE8664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本项目选址位于</w:t>
            </w:r>
            <w:r>
              <w:rPr>
                <w:rFonts w:hint="eastAsia" w:ascii="Times New Roman" w:hAnsi="Times New Roman" w:cs="Times New Roman" w:eastAsiaTheme="minorEastAsia"/>
                <w:color w:val="auto"/>
                <w:sz w:val="24"/>
                <w:szCs w:val="24"/>
                <w:lang w:val="en-US" w:eastAsia="zh-CN"/>
              </w:rPr>
              <w:t>新疆昌吉州阜康市准噶尔路394号</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kern w:val="0"/>
                <w:sz w:val="24"/>
                <w:szCs w:val="24"/>
                <w:lang w:bidi="ar"/>
              </w:rPr>
              <w:t>根据房产证，项目用地类型为商业用地。宠物医院</w:t>
            </w:r>
            <w:r>
              <w:rPr>
                <w:rFonts w:hint="default" w:ascii="Times New Roman" w:hAnsi="Times New Roman" w:cs="Times New Roman" w:eastAsiaTheme="minorEastAsia"/>
                <w:color w:val="auto"/>
                <w:kern w:val="0"/>
                <w:sz w:val="24"/>
                <w:szCs w:val="24"/>
                <w:lang w:val="en-US" w:eastAsia="zh-CN" w:bidi="ar"/>
              </w:rPr>
              <w:t>东侧为商铺，南侧为</w:t>
            </w:r>
            <w:r>
              <w:rPr>
                <w:rFonts w:hint="eastAsia" w:cs="Times New Roman" w:eastAsiaTheme="minorEastAsia"/>
                <w:color w:val="auto"/>
                <w:kern w:val="0"/>
                <w:sz w:val="24"/>
                <w:szCs w:val="24"/>
                <w:lang w:val="en-US" w:eastAsia="zh-CN" w:bidi="ar"/>
              </w:rPr>
              <w:t>准噶尔路</w:t>
            </w:r>
            <w:r>
              <w:rPr>
                <w:rFonts w:hint="default" w:ascii="Times New Roman" w:hAnsi="Times New Roman" w:cs="Times New Roman" w:eastAsiaTheme="minorEastAsia"/>
                <w:color w:val="auto"/>
                <w:kern w:val="0"/>
                <w:sz w:val="24"/>
                <w:szCs w:val="24"/>
                <w:lang w:val="en-US" w:eastAsia="zh-CN" w:bidi="ar"/>
              </w:rPr>
              <w:t>，西侧为</w:t>
            </w:r>
            <w:r>
              <w:rPr>
                <w:rFonts w:hint="eastAsia" w:cs="Times New Roman" w:eastAsiaTheme="minorEastAsia"/>
                <w:color w:val="auto"/>
                <w:kern w:val="0"/>
                <w:sz w:val="24"/>
                <w:szCs w:val="24"/>
                <w:lang w:val="en-US" w:eastAsia="zh-CN" w:bidi="ar"/>
              </w:rPr>
              <w:t>商铺</w:t>
            </w:r>
            <w:r>
              <w:rPr>
                <w:rFonts w:hint="default" w:ascii="Times New Roman" w:hAnsi="Times New Roman" w:cs="Times New Roman" w:eastAsiaTheme="minorEastAsia"/>
                <w:color w:val="auto"/>
                <w:kern w:val="0"/>
                <w:sz w:val="24"/>
                <w:szCs w:val="24"/>
                <w:lang w:val="en-US" w:eastAsia="zh-CN" w:bidi="ar"/>
              </w:rPr>
              <w:t>，北侧为</w:t>
            </w:r>
            <w:r>
              <w:rPr>
                <w:rFonts w:hint="eastAsia" w:ascii="Times New Roman" w:hAnsi="Times New Roman" w:cs="Times New Roman" w:eastAsiaTheme="minorEastAsia"/>
                <w:color w:val="auto"/>
                <w:kern w:val="0"/>
                <w:sz w:val="24"/>
                <w:szCs w:val="24"/>
                <w:lang w:val="en-US" w:eastAsia="zh-CN" w:bidi="ar"/>
              </w:rPr>
              <w:t>世纪花园住宅楼</w:t>
            </w:r>
            <w:r>
              <w:rPr>
                <w:rFonts w:hint="default" w:ascii="Times New Roman" w:hAnsi="Times New Roman" w:cs="Times New Roman" w:eastAsiaTheme="minorEastAsia"/>
                <w:color w:val="auto"/>
                <w:kern w:val="0"/>
                <w:sz w:val="24"/>
                <w:szCs w:val="24"/>
                <w:lang w:val="en-US" w:eastAsia="zh-CN" w:bidi="ar"/>
              </w:rPr>
              <w:t>。</w:t>
            </w:r>
          </w:p>
          <w:p w14:paraId="0272D82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项目周边多为商业功能，不与其他服务功能冲突，项目所在地属于城市区域，临近城市主干道，项目选址交通极为便利，地理位置优越，供水供电、通讯、生活垃圾处理等基础设施较完善。</w:t>
            </w:r>
          </w:p>
          <w:p w14:paraId="5128DC5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项目选址符合《动物诊疗机构管理办法》</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中华人民共和国农业农村部令，2022年第5号</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的有关规定</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本项目所在建筑为固定的动物诊疗场所</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动物诊疗场所周边200</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rPr>
              <w:t>范围内不存在动物饲养场、动物屠宰加工场所、经营动物的集贸市场。</w:t>
            </w:r>
          </w:p>
          <w:p w14:paraId="0E573F50">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本项目选址符合相关规定要求。</w:t>
            </w:r>
          </w:p>
          <w:p w14:paraId="0CFC976B">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rPr>
                <w:rFonts w:hint="default" w:ascii="Times New Roman" w:hAnsi="Times New Roman" w:cs="Times New Roman" w:eastAsiaTheme="minorEastAsia"/>
                <w:color w:val="auto"/>
                <w:sz w:val="24"/>
                <w:szCs w:val="24"/>
              </w:rPr>
            </w:pPr>
          </w:p>
          <w:p w14:paraId="76499CB5">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rPr>
                <w:rFonts w:hint="default" w:ascii="Times New Roman" w:hAnsi="Times New Roman" w:cs="Times New Roman" w:eastAsiaTheme="minorEastAsia"/>
                <w:color w:val="auto"/>
                <w:sz w:val="24"/>
                <w:szCs w:val="24"/>
              </w:rPr>
            </w:pPr>
          </w:p>
          <w:p w14:paraId="3B6DBC6B">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rPr>
                <w:rFonts w:hint="default" w:ascii="Times New Roman" w:hAnsi="Times New Roman" w:cs="Times New Roman" w:eastAsiaTheme="minorEastAsia"/>
                <w:color w:val="auto"/>
                <w:sz w:val="24"/>
                <w:szCs w:val="24"/>
              </w:rPr>
            </w:pPr>
          </w:p>
          <w:p w14:paraId="258F9854">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rPr>
                <w:rFonts w:hint="default" w:ascii="Times New Roman" w:hAnsi="Times New Roman" w:cs="Times New Roman" w:eastAsiaTheme="minorEastAsia"/>
                <w:color w:val="auto"/>
                <w:sz w:val="24"/>
                <w:szCs w:val="24"/>
              </w:rPr>
            </w:pPr>
          </w:p>
          <w:p w14:paraId="0C0710A8">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rPr>
                <w:rFonts w:hint="default" w:ascii="Times New Roman" w:hAnsi="Times New Roman" w:cs="Times New Roman" w:eastAsiaTheme="minorEastAsia"/>
                <w:color w:val="auto"/>
                <w:sz w:val="24"/>
                <w:szCs w:val="24"/>
              </w:rPr>
            </w:pPr>
          </w:p>
          <w:p w14:paraId="48B24042">
            <w:pPr>
              <w:pStyle w:val="7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20" w:firstLineChars="200"/>
              <w:jc w:val="left"/>
              <w:textAlignment w:val="auto"/>
              <w:rPr>
                <w:rFonts w:hint="eastAsia" w:ascii="Times New Roman" w:hAnsi="Times New Roman" w:cs="Times New Roman" w:eastAsiaTheme="minorEastAsia"/>
                <w:color w:val="auto"/>
                <w:lang w:val="en-US" w:eastAsia="zh-CN"/>
              </w:rPr>
            </w:pPr>
          </w:p>
        </w:tc>
      </w:tr>
    </w:tbl>
    <w:p w14:paraId="04F6EEC1">
      <w:pPr>
        <w:spacing w:line="360" w:lineRule="auto"/>
        <w:outlineLvl w:val="0"/>
        <w:rPr>
          <w:rFonts w:hint="default" w:ascii="Times New Roman" w:hAnsi="Times New Roman" w:cs="Times New Roman" w:eastAsiaTheme="minorEastAsia"/>
          <w:color w:val="auto"/>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14:paraId="7195CB34">
      <w:pPr>
        <w:pStyle w:val="19"/>
        <w:jc w:val="center"/>
        <w:outlineLvl w:val="0"/>
        <w:rPr>
          <w:rFonts w:hint="default" w:ascii="Times New Roman" w:hAnsi="Times New Roman" w:cs="Times New Roman" w:eastAsiaTheme="minorEastAsia"/>
          <w:b/>
          <w:bCs/>
          <w:snapToGrid w:val="0"/>
          <w:color w:val="auto"/>
          <w:sz w:val="30"/>
          <w:szCs w:val="30"/>
        </w:rPr>
      </w:pPr>
      <w:r>
        <w:rPr>
          <w:rFonts w:hint="default" w:ascii="Times New Roman" w:hAnsi="Times New Roman" w:cs="Times New Roman" w:eastAsiaTheme="minorEastAsia"/>
          <w:b/>
          <w:bCs/>
          <w:snapToGrid w:val="0"/>
          <w:color w:val="auto"/>
          <w:sz w:val="30"/>
          <w:szCs w:val="30"/>
        </w:rPr>
        <w:t>二、建设项目工程分析</w:t>
      </w:r>
    </w:p>
    <w:tbl>
      <w:tblPr>
        <w:tblStyle w:val="23"/>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165"/>
      </w:tblGrid>
      <w:tr w14:paraId="3B9AE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14:paraId="111A12A9">
            <w:pPr>
              <w:pStyle w:val="19"/>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Cs w:val="24"/>
              </w:rPr>
              <w:t>建设内容</w:t>
            </w:r>
          </w:p>
        </w:tc>
        <w:tc>
          <w:tcPr>
            <w:tcW w:w="8165" w:type="dxa"/>
          </w:tcPr>
          <w:p w14:paraId="46BF6FE0">
            <w:pPr>
              <w:keepNext w:val="0"/>
              <w:keepLines w:val="0"/>
              <w:suppressLineNumbers w:val="0"/>
              <w:spacing w:before="0" w:beforeAutospacing="0" w:after="0" w:afterAutospacing="0" w:line="520" w:lineRule="exact"/>
              <w:ind w:left="0" w:right="0"/>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1.</w:t>
            </w:r>
            <w:r>
              <w:rPr>
                <w:rFonts w:hint="default" w:ascii="Times New Roman" w:hAnsi="Times New Roman" w:cs="Times New Roman" w:eastAsiaTheme="minorEastAsia"/>
                <w:b/>
                <w:bCs/>
                <w:color w:val="auto"/>
                <w:sz w:val="24"/>
              </w:rPr>
              <w:t>项目由来</w:t>
            </w:r>
          </w:p>
          <w:p w14:paraId="270D1E4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本项目</w:t>
            </w:r>
            <w:r>
              <w:rPr>
                <w:rFonts w:hint="eastAsia" w:cs="Times New Roman" w:eastAsiaTheme="minorEastAsia"/>
                <w:color w:val="auto"/>
                <w:kern w:val="2"/>
                <w:sz w:val="24"/>
                <w:szCs w:val="24"/>
                <w:lang w:val="en-US" w:eastAsia="zh-CN" w:bidi="ar-SA"/>
              </w:rPr>
              <w:t>于</w:t>
            </w:r>
            <w:r>
              <w:rPr>
                <w:rFonts w:hint="default" w:ascii="Times New Roman" w:hAnsi="Times New Roman" w:cs="Times New Roman" w:eastAsiaTheme="minorEastAsia"/>
                <w:color w:val="auto"/>
                <w:kern w:val="2"/>
                <w:sz w:val="24"/>
                <w:szCs w:val="24"/>
                <w:lang w:val="en-US" w:eastAsia="zh-CN" w:bidi="ar-SA"/>
              </w:rPr>
              <w:t>202</w:t>
            </w:r>
            <w:r>
              <w:rPr>
                <w:rFonts w:hint="eastAsia" w:cs="Times New Roman" w:eastAsiaTheme="minorEastAsia"/>
                <w:color w:val="auto"/>
                <w:kern w:val="2"/>
                <w:sz w:val="24"/>
                <w:szCs w:val="24"/>
                <w:lang w:val="en-US" w:eastAsia="zh-CN" w:bidi="ar-SA"/>
              </w:rPr>
              <w:t>4</w:t>
            </w:r>
            <w:r>
              <w:rPr>
                <w:rFonts w:hint="default" w:ascii="Times New Roman" w:hAnsi="Times New Roman" w:cs="Times New Roman" w:eastAsiaTheme="minorEastAsia"/>
                <w:color w:val="auto"/>
                <w:kern w:val="2"/>
                <w:sz w:val="24"/>
                <w:szCs w:val="24"/>
                <w:lang w:val="en-US" w:eastAsia="zh-CN" w:bidi="ar-SA"/>
              </w:rPr>
              <w:t>年</w:t>
            </w:r>
            <w:r>
              <w:rPr>
                <w:rFonts w:hint="eastAsia" w:cs="Times New Roman" w:eastAsiaTheme="minorEastAsia"/>
                <w:color w:val="auto"/>
                <w:kern w:val="2"/>
                <w:sz w:val="24"/>
                <w:szCs w:val="24"/>
                <w:lang w:val="en-US" w:eastAsia="zh-CN" w:bidi="ar-SA"/>
              </w:rPr>
              <w:t>4</w:t>
            </w:r>
            <w:r>
              <w:rPr>
                <w:rFonts w:hint="default" w:ascii="Times New Roman" w:hAnsi="Times New Roman" w:cs="Times New Roman" w:eastAsiaTheme="minorEastAsia"/>
                <w:color w:val="auto"/>
                <w:kern w:val="2"/>
                <w:sz w:val="24"/>
                <w:szCs w:val="24"/>
                <w:lang w:val="en-US" w:eastAsia="zh-CN" w:bidi="ar-SA"/>
              </w:rPr>
              <w:t>月</w:t>
            </w:r>
            <w:r>
              <w:rPr>
                <w:rFonts w:hint="eastAsia" w:cs="Times New Roman" w:eastAsiaTheme="minorEastAsia"/>
                <w:color w:val="auto"/>
                <w:kern w:val="2"/>
                <w:sz w:val="24"/>
                <w:szCs w:val="24"/>
                <w:lang w:val="en-US" w:eastAsia="zh-CN" w:bidi="ar-SA"/>
              </w:rPr>
              <w:t>建设完成并</w:t>
            </w:r>
            <w:r>
              <w:rPr>
                <w:rFonts w:hint="default" w:ascii="Times New Roman" w:hAnsi="Times New Roman" w:cs="Times New Roman" w:eastAsiaTheme="minorEastAsia"/>
                <w:color w:val="auto"/>
                <w:kern w:val="2"/>
                <w:sz w:val="24"/>
                <w:szCs w:val="24"/>
                <w:lang w:val="en-US" w:eastAsia="zh-CN" w:bidi="ar-SA"/>
              </w:rPr>
              <w:t>取得动物诊疗许可证</w:t>
            </w:r>
            <w:r>
              <w:rPr>
                <w:rFonts w:hint="eastAsia" w:cs="Times New Roman" w:eastAsiaTheme="minorEastAsia"/>
                <w:color w:val="auto"/>
                <w:kern w:val="2"/>
                <w:sz w:val="24"/>
                <w:szCs w:val="24"/>
                <w:lang w:val="en-US" w:eastAsia="zh-CN" w:bidi="ar-SA"/>
              </w:rPr>
              <w:t>，目前未投入使用。本项目存在“未批先建”违法行为。</w:t>
            </w:r>
            <w:r>
              <w:rPr>
                <w:rFonts w:hint="default" w:ascii="Times New Roman" w:hAnsi="Times New Roman" w:cs="Times New Roman" w:eastAsiaTheme="minorEastAsia"/>
                <w:b w:val="0"/>
                <w:bCs/>
                <w:color w:val="auto"/>
                <w:sz w:val="24"/>
                <w:szCs w:val="24"/>
                <w:u w:val="single"/>
                <w:lang w:val="en-US" w:eastAsia="zh-CN"/>
              </w:rPr>
              <w:t>依据《关于阜康市两家宠物医院</w:t>
            </w:r>
            <w:r>
              <w:rPr>
                <w:rFonts w:hint="default" w:ascii="Times New Roman" w:hAnsi="Times New Roman" w:cs="Times New Roman" w:eastAsiaTheme="minorEastAsia"/>
                <w:color w:val="auto"/>
                <w:sz w:val="24"/>
                <w:szCs w:val="24"/>
                <w:u w:val="single"/>
                <w:lang w:eastAsia="zh-CN"/>
              </w:rPr>
              <w:t>颅腔、胸腔、腹腔手术诊疗项目</w:t>
            </w:r>
            <w:r>
              <w:rPr>
                <w:rFonts w:hint="default" w:ascii="Times New Roman" w:hAnsi="Times New Roman" w:cs="Times New Roman" w:eastAsiaTheme="minorEastAsia"/>
                <w:color w:val="auto"/>
                <w:sz w:val="24"/>
                <w:szCs w:val="24"/>
                <w:u w:val="single"/>
                <w:lang w:val="en-US" w:eastAsia="zh-CN"/>
              </w:rPr>
              <w:t>未批先建处理意见的报告</w:t>
            </w:r>
            <w:r>
              <w:rPr>
                <w:rFonts w:hint="default" w:ascii="Times New Roman" w:hAnsi="Times New Roman" w:cs="Times New Roman" w:eastAsiaTheme="minorEastAsia"/>
                <w:b w:val="0"/>
                <w:bCs/>
                <w:color w:val="auto"/>
                <w:sz w:val="24"/>
                <w:szCs w:val="24"/>
                <w:u w:val="single"/>
                <w:lang w:val="en-US" w:eastAsia="zh-CN"/>
              </w:rPr>
              <w:t>》，要求</w:t>
            </w:r>
            <w:r>
              <w:rPr>
                <w:rFonts w:hint="eastAsia" w:cs="Times New Roman" w:eastAsiaTheme="minorEastAsia"/>
                <w:b w:val="0"/>
                <w:bCs/>
                <w:color w:val="auto"/>
                <w:sz w:val="24"/>
                <w:szCs w:val="24"/>
                <w:u w:val="single"/>
                <w:lang w:val="en-US" w:eastAsia="zh-CN"/>
              </w:rPr>
              <w:t>建设单位</w:t>
            </w:r>
            <w:r>
              <w:rPr>
                <w:rFonts w:hint="default" w:ascii="Times New Roman" w:hAnsi="Times New Roman" w:cs="Times New Roman" w:eastAsiaTheme="minorEastAsia"/>
                <w:b w:val="0"/>
                <w:bCs/>
                <w:color w:val="auto"/>
                <w:sz w:val="24"/>
                <w:szCs w:val="24"/>
                <w:u w:val="single"/>
                <w:lang w:val="en-US" w:eastAsia="zh-CN"/>
              </w:rPr>
              <w:t>在规定的时限内完成整改，在整改期内停止宠物医院的动物颅腔、胸腔或腹腔手术经营活动，并按照相关法律法规要求，完成环境影响评价手续的补办工作。</w:t>
            </w:r>
          </w:p>
          <w:p w14:paraId="73CE1C4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cs="Times New Roman" w:eastAsiaTheme="minorEastAsia"/>
                <w:color w:val="auto"/>
                <w:kern w:val="2"/>
                <w:sz w:val="24"/>
                <w:szCs w:val="24"/>
                <w:lang w:val="en-US" w:eastAsia="zh-CN" w:bidi="ar-SA"/>
              </w:rPr>
            </w:pPr>
            <w:r>
              <w:rPr>
                <w:rFonts w:hint="eastAsia" w:cs="Times New Roman" w:eastAsiaTheme="minorEastAsia"/>
                <w:color w:val="auto"/>
                <w:kern w:val="2"/>
                <w:sz w:val="24"/>
                <w:szCs w:val="24"/>
                <w:lang w:val="en-US" w:eastAsia="zh-CN" w:bidi="ar-SA"/>
              </w:rPr>
              <w:t>2024年8月26日昌吉回族自治州生态环境局阜康市分局对阜康市佳贝宠宠物医院出具责令整改正通知书，故该医院委托我单位对本项目进行环境影响评价。</w:t>
            </w:r>
          </w:p>
          <w:p w14:paraId="2FA6411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cs="Times New Roman" w:eastAsiaTheme="minorEastAsia"/>
                <w:color w:val="auto"/>
                <w:kern w:val="2"/>
                <w:sz w:val="24"/>
                <w:szCs w:val="24"/>
                <w:lang w:val="en-US" w:eastAsia="zh-CN" w:bidi="ar-SA"/>
              </w:rPr>
            </w:pPr>
            <w:r>
              <w:rPr>
                <w:rFonts w:hint="eastAsia" w:cs="Times New Roman" w:eastAsiaTheme="minorEastAsia"/>
                <w:color w:val="auto"/>
                <w:kern w:val="2"/>
                <w:sz w:val="24"/>
                <w:szCs w:val="24"/>
                <w:lang w:val="en-US" w:eastAsia="zh-CN" w:bidi="ar-SA"/>
              </w:rPr>
              <w:t>本项目主要建设内容为宠物医院内</w:t>
            </w:r>
            <w:r>
              <w:rPr>
                <w:rFonts w:hint="default" w:ascii="Times New Roman" w:hAnsi="Times New Roman" w:cs="Times New Roman" w:eastAsiaTheme="minorEastAsia"/>
                <w:color w:val="auto"/>
                <w:kern w:val="2"/>
                <w:sz w:val="24"/>
                <w:szCs w:val="24"/>
                <w:lang w:val="en-US" w:eastAsia="zh-CN" w:bidi="ar-SA"/>
              </w:rPr>
              <w:t>设猫狗住院室、X光室、诊室、免疫区、手术室及美容室等，其中X光室需要另外进行环境影响评价（辐射类）不在本次评价范围内</w:t>
            </w:r>
            <w:r>
              <w:rPr>
                <w:rFonts w:hint="default" w:ascii="Times New Roman" w:hAnsi="Times New Roman" w:cs="Times New Roman" w:eastAsiaTheme="minorEastAsia"/>
                <w:b w:val="0"/>
                <w:bCs/>
                <w:color w:val="auto"/>
                <w:sz w:val="24"/>
                <w:szCs w:val="24"/>
                <w:u w:val="none"/>
                <w:lang w:val="en-US" w:eastAsia="zh-CN"/>
              </w:rPr>
              <w:t>。</w:t>
            </w:r>
          </w:p>
          <w:p w14:paraId="3DD5181F">
            <w:pPr>
              <w:keepNext w:val="0"/>
              <w:keepLines w:val="0"/>
              <w:suppressLineNumbers w:val="0"/>
              <w:spacing w:before="0" w:beforeAutospacing="0" w:after="0" w:afterAutospacing="0" w:line="520" w:lineRule="exact"/>
              <w:ind w:left="0" w:right="0"/>
              <w:rPr>
                <w:rFonts w:hint="default" w:ascii="Times New Roman" w:hAnsi="Times New Roman" w:cs="Times New Roman" w:eastAsiaTheme="minorEastAsia"/>
                <w:color w:val="auto"/>
                <w:sz w:val="24"/>
              </w:rPr>
            </w:pPr>
            <w:r>
              <w:rPr>
                <w:rFonts w:hint="eastAsia" w:cs="Times New Roman" w:eastAsiaTheme="minorEastAsia"/>
                <w:b/>
                <w:bCs/>
                <w:color w:val="auto"/>
                <w:sz w:val="24"/>
                <w:lang w:val="en-US" w:eastAsia="zh-CN"/>
              </w:rPr>
              <w:t>2.</w:t>
            </w:r>
            <w:r>
              <w:rPr>
                <w:rFonts w:hint="default" w:ascii="Times New Roman" w:hAnsi="Times New Roman" w:cs="Times New Roman" w:eastAsiaTheme="minorEastAsia"/>
                <w:b/>
                <w:color w:val="auto"/>
                <w:kern w:val="0"/>
                <w:sz w:val="24"/>
                <w:lang w:bidi="ar"/>
              </w:rPr>
              <w:t>工程建设内容及规模</w:t>
            </w:r>
          </w:p>
          <w:p w14:paraId="37B4A8C9">
            <w:pPr>
              <w:pStyle w:val="71"/>
              <w:keepNext w:val="0"/>
              <w:keepLines w:val="0"/>
              <w:suppressLineNumbers w:val="0"/>
              <w:spacing w:before="0" w:beforeAutospacing="0" w:after="0" w:afterAutospacing="0" w:line="520" w:lineRule="exact"/>
              <w:ind w:left="0" w:right="0" w:firstLine="480" w:firstLineChars="200"/>
              <w:jc w:val="left"/>
              <w:rPr>
                <w:rFonts w:hint="eastAsia"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rPr>
              <w:t>本项目</w:t>
            </w:r>
            <w:r>
              <w:rPr>
                <w:rFonts w:hint="default" w:ascii="Times New Roman" w:hAnsi="Times New Roman" w:cs="Times New Roman" w:eastAsiaTheme="minorEastAsia"/>
                <w:color w:val="auto"/>
                <w:sz w:val="24"/>
                <w:lang w:val="en-US" w:eastAsia="zh-CN"/>
              </w:rPr>
              <w:t>建设地点位于</w:t>
            </w:r>
            <w:r>
              <w:rPr>
                <w:rFonts w:hint="default" w:ascii="Times New Roman" w:hAnsi="Times New Roman" w:cs="Times New Roman" w:eastAsiaTheme="minorEastAsia"/>
                <w:color w:val="auto"/>
                <w:sz w:val="24"/>
              </w:rPr>
              <w:t>新疆维吾尔自治区昌吉回族自治州阜康市准噶尔路394号</w:t>
            </w:r>
            <w:r>
              <w:rPr>
                <w:rFonts w:hint="eastAsia" w:cs="Times New Roman" w:eastAsiaTheme="minorEastAsia"/>
                <w:color w:val="auto"/>
                <w:sz w:val="24"/>
                <w:lang w:eastAsia="zh-CN"/>
              </w:rPr>
              <w:t>，</w:t>
            </w:r>
            <w:r>
              <w:rPr>
                <w:rFonts w:hint="eastAsia" w:cs="Times New Roman" w:eastAsiaTheme="minorEastAsia"/>
                <w:color w:val="auto"/>
                <w:sz w:val="24"/>
                <w:lang w:val="en-US" w:eastAsia="zh-CN"/>
              </w:rPr>
              <w:t>中心地理坐标E</w:t>
            </w:r>
            <w:r>
              <w:rPr>
                <w:rFonts w:hint="default" w:ascii="Times New Roman" w:hAnsi="Times New Roman" w:cs="Times New Roman" w:eastAsiaTheme="minorEastAsia"/>
                <w:color w:val="auto"/>
                <w:sz w:val="24"/>
              </w:rPr>
              <w:t>87°58′40.793″，</w:t>
            </w:r>
            <w:r>
              <w:rPr>
                <w:rFonts w:hint="default" w:ascii="Times New Roman" w:hAnsi="Times New Roman" w:cs="Times New Roman" w:eastAsiaTheme="minorEastAsia"/>
                <w:color w:val="auto"/>
                <w:sz w:val="24"/>
                <w:lang w:val="en-US" w:eastAsia="zh-CN"/>
              </w:rPr>
              <w:t>N</w:t>
            </w:r>
            <w:r>
              <w:rPr>
                <w:rFonts w:hint="default" w:ascii="Times New Roman" w:hAnsi="Times New Roman" w:cs="Times New Roman" w:eastAsiaTheme="minorEastAsia"/>
                <w:color w:val="auto"/>
                <w:sz w:val="24"/>
              </w:rPr>
              <w:t>44°09′0.970″</w:t>
            </w:r>
            <w:r>
              <w:rPr>
                <w:rFonts w:hint="eastAsia" w:cs="Times New Roman" w:eastAsiaTheme="minorEastAsia"/>
                <w:color w:val="auto"/>
                <w:sz w:val="24"/>
                <w:lang w:eastAsia="zh-CN"/>
              </w:rPr>
              <w:t>。</w:t>
            </w:r>
          </w:p>
          <w:p w14:paraId="66D4575C">
            <w:pPr>
              <w:pStyle w:val="71"/>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snapToGrid w:val="0"/>
                <w:color w:val="auto"/>
                <w:kern w:val="0"/>
                <w:sz w:val="24"/>
              </w:rPr>
            </w:pPr>
            <w:r>
              <w:rPr>
                <w:rFonts w:hint="default" w:ascii="Times New Roman" w:hAnsi="Times New Roman" w:cs="Times New Roman" w:eastAsiaTheme="minorEastAsia"/>
                <w:color w:val="auto"/>
                <w:sz w:val="24"/>
              </w:rPr>
              <w:t>周边环境：</w:t>
            </w:r>
            <w:r>
              <w:rPr>
                <w:rFonts w:hint="default" w:ascii="Times New Roman" w:hAnsi="Times New Roman" w:cs="Times New Roman" w:eastAsiaTheme="minorEastAsia"/>
                <w:color w:val="auto"/>
                <w:kern w:val="0"/>
                <w:sz w:val="24"/>
                <w:szCs w:val="24"/>
                <w:lang w:bidi="ar"/>
              </w:rPr>
              <w:t>宠物医院</w:t>
            </w:r>
            <w:r>
              <w:rPr>
                <w:rFonts w:hint="default" w:ascii="Times New Roman" w:hAnsi="Times New Roman" w:cs="Times New Roman" w:eastAsiaTheme="minorEastAsia"/>
                <w:color w:val="auto"/>
                <w:kern w:val="0"/>
                <w:sz w:val="24"/>
                <w:szCs w:val="24"/>
                <w:lang w:val="en-US" w:eastAsia="zh-CN" w:bidi="ar"/>
              </w:rPr>
              <w:t>东侧为商铺，南侧为</w:t>
            </w:r>
            <w:r>
              <w:rPr>
                <w:rFonts w:hint="eastAsia" w:cs="Times New Roman" w:eastAsiaTheme="minorEastAsia"/>
                <w:color w:val="auto"/>
                <w:kern w:val="0"/>
                <w:sz w:val="24"/>
                <w:szCs w:val="24"/>
                <w:lang w:val="en-US" w:eastAsia="zh-CN" w:bidi="ar"/>
              </w:rPr>
              <w:t>准噶尔路</w:t>
            </w:r>
            <w:r>
              <w:rPr>
                <w:rFonts w:hint="default" w:ascii="Times New Roman" w:hAnsi="Times New Roman" w:cs="Times New Roman" w:eastAsiaTheme="minorEastAsia"/>
                <w:color w:val="auto"/>
                <w:kern w:val="0"/>
                <w:sz w:val="24"/>
                <w:szCs w:val="24"/>
                <w:lang w:val="en-US" w:eastAsia="zh-CN" w:bidi="ar"/>
              </w:rPr>
              <w:t>，西侧为</w:t>
            </w:r>
            <w:r>
              <w:rPr>
                <w:rFonts w:hint="eastAsia" w:cs="Times New Roman" w:eastAsiaTheme="minorEastAsia"/>
                <w:color w:val="auto"/>
                <w:kern w:val="0"/>
                <w:sz w:val="24"/>
                <w:szCs w:val="24"/>
                <w:lang w:val="en-US" w:eastAsia="zh-CN" w:bidi="ar"/>
              </w:rPr>
              <w:t>商铺</w:t>
            </w:r>
            <w:r>
              <w:rPr>
                <w:rFonts w:hint="default" w:ascii="Times New Roman" w:hAnsi="Times New Roman" w:cs="Times New Roman" w:eastAsiaTheme="minorEastAsia"/>
                <w:color w:val="auto"/>
                <w:kern w:val="0"/>
                <w:sz w:val="24"/>
                <w:szCs w:val="24"/>
                <w:lang w:val="en-US" w:eastAsia="zh-CN" w:bidi="ar"/>
              </w:rPr>
              <w:t>，北侧为</w:t>
            </w:r>
            <w:r>
              <w:rPr>
                <w:rFonts w:hint="eastAsia" w:ascii="Times New Roman" w:hAnsi="Times New Roman" w:cs="Times New Roman" w:eastAsiaTheme="minorEastAsia"/>
                <w:color w:val="auto"/>
                <w:kern w:val="0"/>
                <w:sz w:val="24"/>
                <w:szCs w:val="24"/>
                <w:lang w:val="en-US" w:eastAsia="zh-CN" w:bidi="ar"/>
              </w:rPr>
              <w:t>世纪花园住宅楼</w:t>
            </w:r>
            <w:r>
              <w:rPr>
                <w:rFonts w:hint="default" w:ascii="Times New Roman" w:hAnsi="Times New Roman" w:cs="Times New Roman" w:eastAsiaTheme="minorEastAsia"/>
                <w:snapToGrid w:val="0"/>
                <w:color w:val="auto"/>
                <w:kern w:val="0"/>
                <w:sz w:val="24"/>
              </w:rPr>
              <w:t>。地理位置图详见</w:t>
            </w:r>
            <w:r>
              <w:rPr>
                <w:rFonts w:hint="default" w:ascii="Times New Roman" w:hAnsi="Times New Roman" w:cs="Times New Roman" w:eastAsiaTheme="minorEastAsia"/>
                <w:b/>
                <w:bCs/>
                <w:snapToGrid w:val="0"/>
                <w:color w:val="auto"/>
                <w:kern w:val="0"/>
                <w:sz w:val="24"/>
              </w:rPr>
              <w:t>附图2。</w:t>
            </w:r>
          </w:p>
          <w:p w14:paraId="215D89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项目内容及规模：本项目由主体工程、公用工程和环保工程组成，主要为宠物提供诊疗、治疗及绝育（腹腔）手术、美容等，年接待需诊治的宠物800例（含手术200台）、每年接待洗澡的动物约400只，项目组成及工程内容详见表</w:t>
            </w:r>
            <w:r>
              <w:rPr>
                <w:rFonts w:hint="eastAsia" w:ascii="Times New Roman" w:hAnsi="Times New Roman" w:cs="Times New Roman" w:eastAsiaTheme="minorEastAsia"/>
                <w:color w:val="auto"/>
                <w:kern w:val="2"/>
                <w:sz w:val="24"/>
                <w:szCs w:val="24"/>
                <w:lang w:val="en-US" w:eastAsia="zh-CN" w:bidi="ar-SA"/>
              </w:rPr>
              <w:t>2-1</w:t>
            </w:r>
            <w:r>
              <w:rPr>
                <w:rFonts w:hint="default" w:ascii="Times New Roman" w:hAnsi="Times New Roman" w:cs="Times New Roman" w:eastAsiaTheme="minorEastAsia"/>
                <w:color w:val="auto"/>
                <w:kern w:val="2"/>
                <w:sz w:val="24"/>
                <w:szCs w:val="24"/>
                <w:lang w:val="en-US" w:eastAsia="zh-CN" w:bidi="ar-SA"/>
              </w:rPr>
              <w:t>。</w:t>
            </w:r>
          </w:p>
          <w:p w14:paraId="17353E1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zh-CN" w:eastAsia="zh-CN"/>
              </w:rPr>
            </w:pPr>
            <w:r>
              <w:rPr>
                <w:rFonts w:hint="default" w:ascii="Times New Roman" w:hAnsi="Times New Roman" w:cs="Times New Roman" w:eastAsiaTheme="minorEastAsia"/>
                <w:b/>
                <w:color w:val="auto"/>
                <w:sz w:val="21"/>
                <w:szCs w:val="21"/>
                <w:lang w:val="zh-CN" w:eastAsia="zh-CN"/>
              </w:rPr>
              <w:t>表</w:t>
            </w:r>
            <w:r>
              <w:rPr>
                <w:rFonts w:hint="default" w:ascii="Times New Roman" w:hAnsi="Times New Roman" w:cs="Times New Roman" w:eastAsiaTheme="minorEastAsia"/>
                <w:b/>
                <w:color w:val="auto"/>
                <w:sz w:val="21"/>
                <w:szCs w:val="21"/>
                <w:lang w:val="en-US" w:eastAsia="zh-CN"/>
              </w:rPr>
              <w:t>2-</w:t>
            </w:r>
            <w:r>
              <w:rPr>
                <w:rFonts w:hint="eastAsia" w:ascii="Times New Roman" w:hAnsi="Times New Roman" w:cs="Times New Roman" w:eastAsiaTheme="minorEastAsia"/>
                <w:b/>
                <w:color w:val="auto"/>
                <w:sz w:val="21"/>
                <w:szCs w:val="21"/>
                <w:lang w:val="en-US" w:eastAsia="zh-CN"/>
              </w:rPr>
              <w:t>1</w:t>
            </w:r>
            <w:r>
              <w:rPr>
                <w:rFonts w:hint="default" w:ascii="Times New Roman" w:hAnsi="Times New Roman" w:cs="Times New Roman" w:eastAsiaTheme="minorEastAsia"/>
                <w:b/>
                <w:color w:val="auto"/>
                <w:sz w:val="21"/>
                <w:szCs w:val="21"/>
                <w:lang w:val="zh-CN" w:eastAsia="zh-CN"/>
              </w:rPr>
              <w:t xml:space="preserve">   </w:t>
            </w:r>
            <w:r>
              <w:rPr>
                <w:rFonts w:hint="eastAsia" w:ascii="Times New Roman" w:hAnsi="Times New Roman" w:cs="Times New Roman" w:eastAsiaTheme="minorEastAsia"/>
                <w:b/>
                <w:color w:val="auto"/>
                <w:sz w:val="21"/>
                <w:szCs w:val="21"/>
                <w:lang w:val="en-US" w:eastAsia="zh-CN"/>
              </w:rPr>
              <w:t>工程组成</w:t>
            </w:r>
            <w:r>
              <w:rPr>
                <w:rFonts w:hint="default" w:ascii="Times New Roman" w:hAnsi="Times New Roman" w:cs="Times New Roman" w:eastAsiaTheme="minorEastAsia"/>
                <w:b/>
                <w:color w:val="auto"/>
                <w:sz w:val="21"/>
                <w:szCs w:val="21"/>
                <w:lang w:val="zh-CN" w:eastAsia="zh-CN"/>
              </w:rPr>
              <w:t>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66"/>
              <w:gridCol w:w="3798"/>
              <w:gridCol w:w="1222"/>
            </w:tblGrid>
            <w:tr w14:paraId="41EB4A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92" w:type="pct"/>
                  <w:tcBorders>
                    <w:bottom w:val="single" w:color="auto" w:sz="12" w:space="0"/>
                  </w:tcBorders>
                  <w:noWrap w:val="0"/>
                  <w:vAlign w:val="center"/>
                </w:tcPr>
                <w:p w14:paraId="77D8DBB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val="0"/>
                      <w:color w:val="auto"/>
                      <w:sz w:val="21"/>
                      <w:szCs w:val="21"/>
                      <w:lang w:eastAsia="zh-CN"/>
                    </w:rPr>
                  </w:pPr>
                  <w:r>
                    <w:rPr>
                      <w:rFonts w:hint="default" w:ascii="Times New Roman" w:hAnsi="Times New Roman" w:cs="Times New Roman" w:eastAsiaTheme="minorEastAsia"/>
                      <w:b/>
                      <w:bCs w:val="0"/>
                      <w:color w:val="auto"/>
                      <w:sz w:val="21"/>
                      <w:szCs w:val="21"/>
                      <w:lang w:eastAsia="zh-CN"/>
                    </w:rPr>
                    <w:t>工程类型</w:t>
                  </w:r>
                </w:p>
              </w:tc>
              <w:tc>
                <w:tcPr>
                  <w:tcW w:w="1048" w:type="pct"/>
                  <w:tcBorders>
                    <w:bottom w:val="single" w:color="auto" w:sz="12" w:space="0"/>
                  </w:tcBorders>
                  <w:noWrap w:val="0"/>
                  <w:vAlign w:val="center"/>
                </w:tcPr>
                <w:p w14:paraId="540193A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建设名称</w:t>
                  </w:r>
                </w:p>
              </w:tc>
              <w:tc>
                <w:tcPr>
                  <w:tcW w:w="2389" w:type="pct"/>
                  <w:tcBorders>
                    <w:bottom w:val="single" w:color="auto" w:sz="12" w:space="0"/>
                  </w:tcBorders>
                  <w:noWrap w:val="0"/>
                  <w:vAlign w:val="center"/>
                </w:tcPr>
                <w:p w14:paraId="2DFC245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规模及用途</w:t>
                  </w:r>
                </w:p>
              </w:tc>
              <w:tc>
                <w:tcPr>
                  <w:tcW w:w="768" w:type="pct"/>
                  <w:tcBorders>
                    <w:bottom w:val="single" w:color="auto" w:sz="12" w:space="0"/>
                  </w:tcBorders>
                  <w:noWrap w:val="0"/>
                  <w:vAlign w:val="center"/>
                </w:tcPr>
                <w:p w14:paraId="218491A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备注</w:t>
                  </w:r>
                </w:p>
              </w:tc>
            </w:tr>
            <w:tr w14:paraId="44C8E7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tcBorders>
                    <w:top w:val="single" w:color="auto" w:sz="12" w:space="0"/>
                    <w:tl2br w:val="nil"/>
                    <w:tr2bl w:val="nil"/>
                  </w:tcBorders>
                  <w:noWrap w:val="0"/>
                  <w:vAlign w:val="center"/>
                </w:tcPr>
                <w:p w14:paraId="239BECD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主体工程</w:t>
                  </w:r>
                </w:p>
              </w:tc>
              <w:tc>
                <w:tcPr>
                  <w:tcW w:w="3438" w:type="pct"/>
                  <w:gridSpan w:val="2"/>
                  <w:tcBorders>
                    <w:top w:val="single" w:color="auto" w:sz="12" w:space="0"/>
                    <w:tl2br w:val="nil"/>
                    <w:tr2bl w:val="nil"/>
                  </w:tcBorders>
                  <w:noWrap w:val="0"/>
                  <w:vAlign w:val="center"/>
                </w:tcPr>
                <w:p w14:paraId="7BF18A74">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val="en-US" w:eastAsia="zh-CN"/>
                    </w:rPr>
                    <w:t>设置吧台、宠物用品区、诊室、手术室、化验室、药房、</w:t>
                  </w:r>
                  <w:r>
                    <w:rPr>
                      <w:rFonts w:hint="default" w:ascii="Times New Roman" w:hAnsi="Times New Roman" w:cs="Times New Roman" w:eastAsiaTheme="minorEastAsia"/>
                      <w:b w:val="0"/>
                      <w:bCs/>
                      <w:color w:val="auto"/>
                      <w:sz w:val="21"/>
                      <w:szCs w:val="21"/>
                    </w:rPr>
                    <w:t>住院</w:t>
                  </w:r>
                  <w:r>
                    <w:rPr>
                      <w:rFonts w:hint="default" w:ascii="Times New Roman" w:hAnsi="Times New Roman" w:cs="Times New Roman" w:eastAsiaTheme="minorEastAsia"/>
                      <w:b w:val="0"/>
                      <w:bCs/>
                      <w:color w:val="auto"/>
                      <w:sz w:val="21"/>
                      <w:szCs w:val="21"/>
                      <w:lang w:eastAsia="zh-CN"/>
                    </w:rPr>
                    <w:t>观察</w:t>
                  </w:r>
                  <w:r>
                    <w:rPr>
                      <w:rFonts w:hint="default" w:ascii="Times New Roman" w:hAnsi="Times New Roman" w:cs="Times New Roman" w:eastAsiaTheme="minorEastAsia"/>
                      <w:b w:val="0"/>
                      <w:bCs/>
                      <w:color w:val="auto"/>
                      <w:sz w:val="21"/>
                      <w:szCs w:val="21"/>
                    </w:rPr>
                    <w:t>室、休息室、库房</w:t>
                  </w:r>
                  <w:r>
                    <w:rPr>
                      <w:rFonts w:hint="default" w:ascii="Times New Roman" w:hAnsi="Times New Roman" w:cs="Times New Roman" w:eastAsiaTheme="minorEastAsia"/>
                      <w:b w:val="0"/>
                      <w:bCs/>
                      <w:color w:val="auto"/>
                      <w:sz w:val="21"/>
                      <w:szCs w:val="21"/>
                      <w:lang w:eastAsia="zh-CN"/>
                    </w:rPr>
                    <w:t>、</w:t>
                  </w:r>
                  <w:r>
                    <w:rPr>
                      <w:rFonts w:hint="default" w:ascii="Times New Roman" w:hAnsi="Times New Roman" w:cs="Times New Roman" w:eastAsiaTheme="minorEastAsia"/>
                      <w:b w:val="0"/>
                      <w:bCs/>
                      <w:color w:val="auto"/>
                      <w:sz w:val="21"/>
                      <w:szCs w:val="21"/>
                      <w:lang w:val="en-US" w:eastAsia="zh-CN"/>
                    </w:rPr>
                    <w:t>卫生间。</w:t>
                  </w:r>
                </w:p>
              </w:tc>
              <w:tc>
                <w:tcPr>
                  <w:tcW w:w="768" w:type="pct"/>
                  <w:tcBorders>
                    <w:top w:val="single" w:color="auto" w:sz="12" w:space="0"/>
                    <w:tl2br w:val="nil"/>
                    <w:tr2bl w:val="nil"/>
                  </w:tcBorders>
                  <w:noWrap w:val="0"/>
                  <w:vAlign w:val="center"/>
                </w:tcPr>
                <w:p w14:paraId="3A355152">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val="en-US" w:eastAsia="zh-CN"/>
                    </w:rPr>
                    <w:t>已建</w:t>
                  </w:r>
                </w:p>
              </w:tc>
            </w:tr>
            <w:tr w14:paraId="55CEA8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2" w:type="pct"/>
                  <w:vMerge w:val="restart"/>
                  <w:tcBorders>
                    <w:tl2br w:val="nil"/>
                    <w:tr2bl w:val="nil"/>
                  </w:tcBorders>
                  <w:noWrap w:val="0"/>
                  <w:vAlign w:val="center"/>
                </w:tcPr>
                <w:p w14:paraId="740C302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公用工程</w:t>
                  </w:r>
                </w:p>
              </w:tc>
              <w:tc>
                <w:tcPr>
                  <w:tcW w:w="1048" w:type="pct"/>
                  <w:tcBorders>
                    <w:tl2br w:val="nil"/>
                    <w:tr2bl w:val="nil"/>
                  </w:tcBorders>
                  <w:noWrap w:val="0"/>
                  <w:vAlign w:val="center"/>
                </w:tcPr>
                <w:p w14:paraId="77C72BB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供水工程</w:t>
                  </w:r>
                </w:p>
              </w:tc>
              <w:tc>
                <w:tcPr>
                  <w:tcW w:w="2389" w:type="pct"/>
                  <w:tcBorders>
                    <w:tl2br w:val="nil"/>
                    <w:tr2bl w:val="nil"/>
                  </w:tcBorders>
                  <w:noWrap w:val="0"/>
                  <w:vAlign w:val="center"/>
                </w:tcPr>
                <w:p w14:paraId="0F17DC0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市政供水管网提供。</w:t>
                  </w:r>
                </w:p>
              </w:tc>
              <w:tc>
                <w:tcPr>
                  <w:tcW w:w="768" w:type="pct"/>
                  <w:tcBorders>
                    <w:tl2br w:val="nil"/>
                    <w:tr2bl w:val="nil"/>
                  </w:tcBorders>
                  <w:noWrap w:val="0"/>
                  <w:vAlign w:val="center"/>
                </w:tcPr>
                <w:p w14:paraId="21A523C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230A36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92" w:type="pct"/>
                  <w:vMerge w:val="continue"/>
                  <w:tcBorders>
                    <w:tl2br w:val="nil"/>
                    <w:tr2bl w:val="nil"/>
                  </w:tcBorders>
                  <w:noWrap w:val="0"/>
                  <w:vAlign w:val="center"/>
                </w:tcPr>
                <w:p w14:paraId="2CA09D98">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p>
              </w:tc>
              <w:tc>
                <w:tcPr>
                  <w:tcW w:w="1048" w:type="pct"/>
                  <w:tcBorders>
                    <w:tl2br w:val="nil"/>
                    <w:tr2bl w:val="nil"/>
                  </w:tcBorders>
                  <w:noWrap w:val="0"/>
                  <w:vAlign w:val="center"/>
                </w:tcPr>
                <w:p w14:paraId="027E7144">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排水工程</w:t>
                  </w:r>
                </w:p>
              </w:tc>
              <w:tc>
                <w:tcPr>
                  <w:tcW w:w="2389" w:type="pct"/>
                  <w:tcBorders>
                    <w:tl2br w:val="nil"/>
                    <w:tr2bl w:val="nil"/>
                  </w:tcBorders>
                  <w:noWrap w:val="0"/>
                  <w:vAlign w:val="center"/>
                </w:tcPr>
                <w:p w14:paraId="33D34C7F">
                  <w:pPr>
                    <w:pStyle w:val="92"/>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eastAsia="zh-CN"/>
                    </w:rPr>
                    <w:t>诊疗废水经一体化污水处理设施消毒处理后与其他废水汇集后直接排入市政污水管网。</w:t>
                  </w:r>
                </w:p>
              </w:tc>
              <w:tc>
                <w:tcPr>
                  <w:tcW w:w="768" w:type="pct"/>
                  <w:tcBorders>
                    <w:tl2br w:val="nil"/>
                    <w:tr2bl w:val="nil"/>
                  </w:tcBorders>
                  <w:noWrap w:val="0"/>
                  <w:vAlign w:val="center"/>
                </w:tcPr>
                <w:p w14:paraId="0B9CE01D">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4E54FB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2" w:type="pct"/>
                  <w:vMerge w:val="continue"/>
                  <w:tcBorders>
                    <w:tl2br w:val="nil"/>
                    <w:tr2bl w:val="nil"/>
                  </w:tcBorders>
                  <w:noWrap w:val="0"/>
                  <w:vAlign w:val="center"/>
                </w:tcPr>
                <w:p w14:paraId="7CAE3B84">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p>
              </w:tc>
              <w:tc>
                <w:tcPr>
                  <w:tcW w:w="1048" w:type="pct"/>
                  <w:tcBorders>
                    <w:tl2br w:val="nil"/>
                    <w:tr2bl w:val="nil"/>
                  </w:tcBorders>
                  <w:noWrap w:val="0"/>
                  <w:vAlign w:val="center"/>
                </w:tcPr>
                <w:p w14:paraId="66D2E9D5">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供电工程</w:t>
                  </w:r>
                </w:p>
              </w:tc>
              <w:tc>
                <w:tcPr>
                  <w:tcW w:w="2389" w:type="pct"/>
                  <w:tcBorders>
                    <w:tl2br w:val="nil"/>
                    <w:tr2bl w:val="nil"/>
                  </w:tcBorders>
                  <w:noWrap w:val="0"/>
                  <w:vAlign w:val="center"/>
                </w:tcPr>
                <w:p w14:paraId="6A8FDC8A">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市政电网供给。</w:t>
                  </w:r>
                </w:p>
              </w:tc>
              <w:tc>
                <w:tcPr>
                  <w:tcW w:w="768" w:type="pct"/>
                  <w:tcBorders>
                    <w:tl2br w:val="nil"/>
                    <w:tr2bl w:val="nil"/>
                  </w:tcBorders>
                  <w:noWrap w:val="0"/>
                  <w:vAlign w:val="center"/>
                </w:tcPr>
                <w:p w14:paraId="5AADC09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450D1B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2" w:type="pct"/>
                  <w:vMerge w:val="continue"/>
                  <w:tcBorders>
                    <w:tl2br w:val="nil"/>
                    <w:tr2bl w:val="nil"/>
                  </w:tcBorders>
                  <w:noWrap w:val="0"/>
                  <w:vAlign w:val="center"/>
                </w:tcPr>
                <w:p w14:paraId="69131460">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p>
              </w:tc>
              <w:tc>
                <w:tcPr>
                  <w:tcW w:w="1048" w:type="pct"/>
                  <w:tcBorders>
                    <w:tl2br w:val="nil"/>
                    <w:tr2bl w:val="nil"/>
                  </w:tcBorders>
                  <w:noWrap w:val="0"/>
                  <w:vAlign w:val="center"/>
                </w:tcPr>
                <w:p w14:paraId="29752C62">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供暖工程</w:t>
                  </w:r>
                </w:p>
              </w:tc>
              <w:tc>
                <w:tcPr>
                  <w:tcW w:w="2389" w:type="pct"/>
                  <w:tcBorders>
                    <w:tl2br w:val="nil"/>
                    <w:tr2bl w:val="nil"/>
                  </w:tcBorders>
                  <w:noWrap w:val="0"/>
                  <w:vAlign w:val="center"/>
                </w:tcPr>
                <w:p w14:paraId="38EBE370">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集中供暖。</w:t>
                  </w:r>
                </w:p>
              </w:tc>
              <w:tc>
                <w:tcPr>
                  <w:tcW w:w="768" w:type="pct"/>
                  <w:tcBorders>
                    <w:tl2br w:val="nil"/>
                    <w:tr2bl w:val="nil"/>
                  </w:tcBorders>
                  <w:noWrap w:val="0"/>
                  <w:vAlign w:val="center"/>
                </w:tcPr>
                <w:p w14:paraId="14AE8DB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1B25D9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pct"/>
                  <w:vMerge w:val="restart"/>
                  <w:tcBorders>
                    <w:tl2br w:val="nil"/>
                    <w:tr2bl w:val="nil"/>
                  </w:tcBorders>
                  <w:noWrap w:val="0"/>
                  <w:vAlign w:val="center"/>
                </w:tcPr>
                <w:p w14:paraId="2657C74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环保工程</w:t>
                  </w:r>
                </w:p>
              </w:tc>
              <w:tc>
                <w:tcPr>
                  <w:tcW w:w="1048" w:type="pct"/>
                  <w:vMerge w:val="restart"/>
                  <w:tcBorders>
                    <w:tl2br w:val="nil"/>
                    <w:tr2bl w:val="nil"/>
                  </w:tcBorders>
                  <w:noWrap w:val="0"/>
                  <w:vAlign w:val="center"/>
                </w:tcPr>
                <w:p w14:paraId="23F820F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废气</w:t>
                  </w:r>
                </w:p>
              </w:tc>
              <w:tc>
                <w:tcPr>
                  <w:tcW w:w="2389" w:type="pct"/>
                  <w:tcBorders>
                    <w:tl2br w:val="nil"/>
                    <w:tr2bl w:val="nil"/>
                  </w:tcBorders>
                  <w:noWrap w:val="0"/>
                  <w:vAlign w:val="center"/>
                </w:tcPr>
                <w:p w14:paraId="2626BC9B">
                  <w:pPr>
                    <w:keepNext w:val="0"/>
                    <w:keepLines w:val="0"/>
                    <w:suppressLineNumbers w:val="0"/>
                    <w:snapToGrid w:val="0"/>
                    <w:spacing w:before="0" w:beforeAutospacing="0" w:after="0" w:afterAutospacing="0"/>
                    <w:ind w:left="0" w:right="0"/>
                    <w:jc w:val="left"/>
                    <w:rPr>
                      <w:rFonts w:hint="default" w:ascii="Times New Roman" w:hAnsi="Times New Roman" w:cs="Times New Roman" w:eastAsiaTheme="minorEastAsia"/>
                      <w:b w:val="0"/>
                      <w:bCs/>
                      <w:color w:val="auto"/>
                      <w:sz w:val="21"/>
                      <w:szCs w:val="21"/>
                      <w:lang w:val="en-US"/>
                    </w:rPr>
                  </w:pPr>
                  <w:r>
                    <w:rPr>
                      <w:rFonts w:hint="default" w:ascii="Times New Roman" w:hAnsi="Times New Roman" w:cs="Times New Roman" w:eastAsiaTheme="minorEastAsia"/>
                      <w:b w:val="0"/>
                      <w:bCs/>
                      <w:color w:val="auto"/>
                      <w:sz w:val="21"/>
                      <w:szCs w:val="21"/>
                      <w:lang w:val="en-US" w:eastAsia="zh-CN"/>
                    </w:rPr>
                    <w:t>宠物本身散发或手术产生的少量异味加强通风和定期消毒处理。</w:t>
                  </w:r>
                </w:p>
              </w:tc>
              <w:tc>
                <w:tcPr>
                  <w:tcW w:w="768" w:type="pct"/>
                  <w:tcBorders>
                    <w:tl2br w:val="nil"/>
                    <w:tr2bl w:val="nil"/>
                  </w:tcBorders>
                  <w:noWrap w:val="0"/>
                  <w:vAlign w:val="center"/>
                </w:tcPr>
                <w:p w14:paraId="2592C8A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val="en-US" w:eastAsia="zh-CN"/>
                    </w:rPr>
                    <w:t>已建</w:t>
                  </w:r>
                </w:p>
              </w:tc>
            </w:tr>
            <w:tr w14:paraId="790DC0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2" w:type="pct"/>
                  <w:vMerge w:val="continue"/>
                  <w:tcBorders>
                    <w:tl2br w:val="nil"/>
                    <w:tr2bl w:val="nil"/>
                  </w:tcBorders>
                  <w:noWrap w:val="0"/>
                  <w:vAlign w:val="center"/>
                </w:tcPr>
                <w:p w14:paraId="4FB3AF7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p>
              </w:tc>
              <w:tc>
                <w:tcPr>
                  <w:tcW w:w="1048" w:type="pct"/>
                  <w:vMerge w:val="continue"/>
                  <w:tcBorders>
                    <w:tl2br w:val="nil"/>
                    <w:tr2bl w:val="nil"/>
                  </w:tcBorders>
                  <w:noWrap w:val="0"/>
                  <w:vAlign w:val="center"/>
                </w:tcPr>
                <w:p w14:paraId="0395498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p>
              </w:tc>
              <w:tc>
                <w:tcPr>
                  <w:tcW w:w="2389" w:type="pct"/>
                  <w:tcBorders>
                    <w:tl2br w:val="nil"/>
                    <w:tr2bl w:val="nil"/>
                  </w:tcBorders>
                  <w:noWrap w:val="0"/>
                  <w:vAlign w:val="center"/>
                </w:tcPr>
                <w:p w14:paraId="1CCBD6B0">
                  <w:pPr>
                    <w:keepNext w:val="0"/>
                    <w:keepLines w:val="0"/>
                    <w:suppressLineNumbers w:val="0"/>
                    <w:snapToGrid w:val="0"/>
                    <w:spacing w:before="0" w:beforeAutospacing="0" w:after="0" w:afterAutospacing="0"/>
                    <w:ind w:left="0" w:right="0"/>
                    <w:jc w:val="left"/>
                    <w:rPr>
                      <w:rFonts w:hint="eastAsia" w:ascii="Times New Roman" w:hAnsi="Times New Roman" w:eastAsia="宋体" w:cs="Times New Roman"/>
                      <w:b w:val="0"/>
                      <w:bCs/>
                      <w:color w:val="auto"/>
                      <w:sz w:val="21"/>
                      <w:szCs w:val="21"/>
                      <w:lang w:val="en-US" w:eastAsia="zh-CN"/>
                    </w:rPr>
                  </w:pPr>
                  <w:r>
                    <w:rPr>
                      <w:rFonts w:hint="default" w:ascii="Times New Roman" w:hAnsi="Times New Roman" w:cs="Times New Roman" w:eastAsiaTheme="minorEastAsia"/>
                      <w:color w:val="auto"/>
                      <w:sz w:val="21"/>
                      <w:szCs w:val="21"/>
                      <w:lang w:val="en-US" w:eastAsia="zh-CN"/>
                    </w:rPr>
                    <w:t>污水处理设施异味</w:t>
                  </w:r>
                  <w:r>
                    <w:rPr>
                      <w:rFonts w:hint="default" w:ascii="宋体" w:hAnsi="宋体" w:eastAsia="宋体" w:cs="宋体"/>
                      <w:sz w:val="21"/>
                      <w:szCs w:val="21"/>
                    </w:rPr>
                    <w:t>采用密闭加盖处理</w:t>
                  </w:r>
                  <w:r>
                    <w:rPr>
                      <w:rFonts w:hint="eastAsia" w:ascii="宋体" w:hAnsi="宋体" w:cs="宋体"/>
                      <w:sz w:val="21"/>
                      <w:szCs w:val="21"/>
                      <w:lang w:eastAsia="zh-CN"/>
                    </w:rPr>
                    <w:t>。</w:t>
                  </w:r>
                </w:p>
              </w:tc>
              <w:tc>
                <w:tcPr>
                  <w:tcW w:w="768" w:type="pct"/>
                  <w:tcBorders>
                    <w:tl2br w:val="nil"/>
                    <w:tr2bl w:val="nil"/>
                  </w:tcBorders>
                  <w:noWrap w:val="0"/>
                  <w:vAlign w:val="center"/>
                </w:tcPr>
                <w:p w14:paraId="322F1F4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225EDC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92" w:type="pct"/>
                  <w:vMerge w:val="continue"/>
                  <w:tcBorders>
                    <w:tl2br w:val="nil"/>
                    <w:tr2bl w:val="nil"/>
                  </w:tcBorders>
                  <w:noWrap w:val="0"/>
                  <w:vAlign w:val="center"/>
                </w:tcPr>
                <w:p w14:paraId="17862221">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p>
              </w:tc>
              <w:tc>
                <w:tcPr>
                  <w:tcW w:w="1048" w:type="pct"/>
                  <w:tcBorders>
                    <w:tl2br w:val="nil"/>
                    <w:tr2bl w:val="nil"/>
                  </w:tcBorders>
                  <w:noWrap w:val="0"/>
                  <w:vAlign w:val="center"/>
                </w:tcPr>
                <w:p w14:paraId="1E32D709">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废水</w:t>
                  </w:r>
                </w:p>
              </w:tc>
              <w:tc>
                <w:tcPr>
                  <w:tcW w:w="2389" w:type="pct"/>
                  <w:tcBorders>
                    <w:tl2br w:val="nil"/>
                    <w:tr2bl w:val="nil"/>
                  </w:tcBorders>
                  <w:noWrap w:val="0"/>
                  <w:vAlign w:val="center"/>
                </w:tcPr>
                <w:p w14:paraId="632F0BA1">
                  <w:pPr>
                    <w:pStyle w:val="92"/>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eastAsia="zh-CN"/>
                    </w:rPr>
                    <w:t>诊疗废水</w:t>
                  </w:r>
                  <w:r>
                    <w:rPr>
                      <w:rFonts w:hint="eastAsia" w:cs="Times New Roman" w:eastAsiaTheme="minorEastAsia"/>
                      <w:b w:val="0"/>
                      <w:bCs/>
                      <w:color w:val="auto"/>
                      <w:sz w:val="21"/>
                      <w:szCs w:val="21"/>
                      <w:lang w:val="en-US" w:eastAsia="zh-CN"/>
                    </w:rPr>
                    <w:t>+</w:t>
                  </w:r>
                  <w:r>
                    <w:rPr>
                      <w:rFonts w:hint="default" w:ascii="Times New Roman" w:hAnsi="Times New Roman" w:cs="Times New Roman" w:eastAsiaTheme="minorEastAsia"/>
                      <w:color w:val="auto"/>
                      <w:kern w:val="2"/>
                      <w:sz w:val="21"/>
                      <w:szCs w:val="21"/>
                      <w:lang w:val="en-US" w:eastAsia="zh-CN" w:bidi="ar-SA"/>
                    </w:rPr>
                    <w:t>宠物笼清洗污水</w:t>
                  </w:r>
                  <w:r>
                    <w:rPr>
                      <w:rFonts w:hint="default" w:ascii="Times New Roman" w:hAnsi="Times New Roman" w:cs="Times New Roman" w:eastAsiaTheme="minorEastAsia"/>
                      <w:b w:val="0"/>
                      <w:bCs/>
                      <w:color w:val="auto"/>
                      <w:sz w:val="21"/>
                      <w:szCs w:val="21"/>
                      <w:lang w:eastAsia="zh-CN"/>
                    </w:rPr>
                    <w:t>经一体化污水处理设施消毒处理后与其他废水</w:t>
                  </w:r>
                  <w:r>
                    <w:rPr>
                      <w:rFonts w:hint="eastAsia" w:cs="Times New Roman" w:eastAsiaTheme="minorEastAsia"/>
                      <w:color w:val="auto"/>
                      <w:sz w:val="21"/>
                      <w:szCs w:val="21"/>
                      <w:lang w:eastAsia="zh-CN"/>
                    </w:rPr>
                    <w:t>（</w:t>
                  </w:r>
                  <w:r>
                    <w:rPr>
                      <w:rFonts w:hint="default" w:ascii="Times New Roman" w:hAnsi="Times New Roman" w:cs="Times New Roman" w:eastAsiaTheme="minorEastAsia"/>
                      <w:color w:val="auto"/>
                      <w:kern w:val="2"/>
                      <w:sz w:val="21"/>
                      <w:szCs w:val="21"/>
                      <w:lang w:val="en-US" w:eastAsia="zh-CN" w:bidi="ar-SA"/>
                    </w:rPr>
                    <w:t>美容废水、生活污水</w:t>
                  </w:r>
                  <w:r>
                    <w:rPr>
                      <w:rFonts w:hint="eastAsia" w:cs="Times New Roman" w:eastAsiaTheme="minorEastAsia"/>
                      <w:color w:val="auto"/>
                      <w:sz w:val="21"/>
                      <w:szCs w:val="21"/>
                      <w:lang w:eastAsia="zh-CN"/>
                    </w:rPr>
                    <w:t>）</w:t>
                  </w:r>
                  <w:r>
                    <w:rPr>
                      <w:rFonts w:hint="default" w:ascii="Times New Roman" w:hAnsi="Times New Roman" w:cs="Times New Roman" w:eastAsiaTheme="minorEastAsia"/>
                      <w:b w:val="0"/>
                      <w:bCs/>
                      <w:color w:val="auto"/>
                      <w:sz w:val="21"/>
                      <w:szCs w:val="21"/>
                      <w:lang w:eastAsia="zh-CN"/>
                    </w:rPr>
                    <w:t>汇集后直接排入市政污水管网。</w:t>
                  </w:r>
                </w:p>
              </w:tc>
              <w:tc>
                <w:tcPr>
                  <w:tcW w:w="768" w:type="pct"/>
                  <w:tcBorders>
                    <w:tl2br w:val="nil"/>
                    <w:tr2bl w:val="nil"/>
                  </w:tcBorders>
                  <w:noWrap w:val="0"/>
                  <w:vAlign w:val="center"/>
                </w:tcPr>
                <w:p w14:paraId="5ABB5D6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044E41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2" w:type="pct"/>
                  <w:vMerge w:val="continue"/>
                  <w:tcBorders>
                    <w:tl2br w:val="nil"/>
                    <w:tr2bl w:val="nil"/>
                  </w:tcBorders>
                  <w:noWrap w:val="0"/>
                  <w:vAlign w:val="center"/>
                </w:tcPr>
                <w:p w14:paraId="05C4FE42">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p>
              </w:tc>
              <w:tc>
                <w:tcPr>
                  <w:tcW w:w="1048" w:type="pct"/>
                  <w:vMerge w:val="restart"/>
                  <w:tcBorders>
                    <w:tl2br w:val="nil"/>
                    <w:tr2bl w:val="nil"/>
                  </w:tcBorders>
                  <w:noWrap w:val="0"/>
                  <w:vAlign w:val="center"/>
                </w:tcPr>
                <w:p w14:paraId="6C22E307">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噪声处理</w:t>
                  </w:r>
                </w:p>
              </w:tc>
              <w:tc>
                <w:tcPr>
                  <w:tcW w:w="2389" w:type="pct"/>
                  <w:tcBorders>
                    <w:tl2br w:val="nil"/>
                    <w:tr2bl w:val="nil"/>
                  </w:tcBorders>
                  <w:noWrap w:val="0"/>
                  <w:vAlign w:val="center"/>
                </w:tcPr>
                <w:p w14:paraId="761F8AAD">
                  <w:pPr>
                    <w:pStyle w:val="92"/>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color w:val="auto"/>
                      <w:sz w:val="21"/>
                      <w:szCs w:val="21"/>
                      <w:lang w:val="en-US" w:eastAsia="zh-CN"/>
                    </w:rPr>
                    <w:t>宠物叫声</w:t>
                  </w:r>
                  <w:r>
                    <w:rPr>
                      <w:rFonts w:hint="default" w:ascii="Times New Roman" w:hAnsi="Times New Roman" w:cs="Times New Roman" w:eastAsiaTheme="minorEastAsia"/>
                      <w:b w:val="0"/>
                      <w:bCs/>
                      <w:color w:val="auto"/>
                      <w:sz w:val="21"/>
                      <w:szCs w:val="21"/>
                      <w:lang w:val="en-US" w:eastAsia="zh-CN"/>
                    </w:rPr>
                    <w:t>采取</w:t>
                  </w:r>
                  <w:r>
                    <w:rPr>
                      <w:rFonts w:hint="eastAsia" w:ascii="Times New Roman" w:hAnsi="Times New Roman" w:cs="Times New Roman" w:eastAsiaTheme="minorEastAsia"/>
                      <w:b w:val="0"/>
                      <w:bCs/>
                      <w:color w:val="auto"/>
                      <w:sz w:val="21"/>
                      <w:szCs w:val="21"/>
                      <w:lang w:val="en-US" w:eastAsia="zh-CN"/>
                    </w:rPr>
                    <w:t>隔声、合理喂食、加强管理、宠物嘴套等措施</w:t>
                  </w:r>
                  <w:r>
                    <w:rPr>
                      <w:rFonts w:hint="default" w:ascii="Times New Roman" w:hAnsi="Times New Roman" w:cs="Times New Roman" w:eastAsiaTheme="minorEastAsia"/>
                      <w:b w:val="0"/>
                      <w:bCs/>
                      <w:color w:val="auto"/>
                      <w:sz w:val="21"/>
                      <w:szCs w:val="21"/>
                      <w:lang w:val="en-US" w:eastAsia="zh-CN"/>
                    </w:rPr>
                    <w:t>。</w:t>
                  </w:r>
                </w:p>
              </w:tc>
              <w:tc>
                <w:tcPr>
                  <w:tcW w:w="768" w:type="pct"/>
                  <w:tcBorders>
                    <w:tl2br w:val="nil"/>
                    <w:tr2bl w:val="nil"/>
                  </w:tcBorders>
                  <w:noWrap w:val="0"/>
                  <w:vAlign w:val="center"/>
                </w:tcPr>
                <w:p w14:paraId="64793D2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65C19B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2" w:type="pct"/>
                  <w:vMerge w:val="continue"/>
                  <w:tcBorders>
                    <w:tl2br w:val="nil"/>
                    <w:tr2bl w:val="nil"/>
                  </w:tcBorders>
                  <w:noWrap w:val="0"/>
                  <w:vAlign w:val="center"/>
                </w:tcPr>
                <w:p w14:paraId="77EBDC46">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r>
                    <w:rPr>
                      <w:rFonts w:hint="eastAsia" w:cs="Times New Roman" w:eastAsiaTheme="minorEastAsia"/>
                      <w:color w:val="auto"/>
                      <w:sz w:val="24"/>
                      <w:lang w:val="en-US" w:eastAsia="zh-CN"/>
                    </w:rPr>
                    <w:t>医疗设备</w:t>
                  </w:r>
                </w:p>
              </w:tc>
              <w:tc>
                <w:tcPr>
                  <w:tcW w:w="1048" w:type="pct"/>
                  <w:vMerge w:val="continue"/>
                  <w:tcBorders>
                    <w:tl2br w:val="nil"/>
                    <w:tr2bl w:val="nil"/>
                  </w:tcBorders>
                  <w:noWrap w:val="0"/>
                  <w:vAlign w:val="center"/>
                </w:tcPr>
                <w:p w14:paraId="68557615">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p>
              </w:tc>
              <w:tc>
                <w:tcPr>
                  <w:tcW w:w="2389" w:type="pct"/>
                  <w:tcBorders>
                    <w:tl2br w:val="nil"/>
                    <w:tr2bl w:val="nil"/>
                  </w:tcBorders>
                  <w:noWrap w:val="0"/>
                  <w:vAlign w:val="center"/>
                </w:tcPr>
                <w:p w14:paraId="58E6DB23">
                  <w:pPr>
                    <w:pStyle w:val="92"/>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医疗设备噪声采取</w:t>
                  </w:r>
                  <w:r>
                    <w:rPr>
                      <w:rFonts w:hint="eastAsia" w:ascii="Times New Roman" w:hAnsi="Times New Roman" w:cs="Times New Roman" w:eastAsiaTheme="minorEastAsia"/>
                      <w:b w:val="0"/>
                      <w:bCs/>
                      <w:color w:val="auto"/>
                      <w:sz w:val="21"/>
                      <w:szCs w:val="21"/>
                      <w:lang w:val="en-US" w:eastAsia="zh-CN"/>
                    </w:rPr>
                    <w:t>墙体隔声、吸声等措施</w:t>
                  </w:r>
                </w:p>
              </w:tc>
              <w:tc>
                <w:tcPr>
                  <w:tcW w:w="768" w:type="pct"/>
                  <w:tcBorders>
                    <w:tl2br w:val="nil"/>
                    <w:tr2bl w:val="nil"/>
                  </w:tcBorders>
                  <w:noWrap w:val="0"/>
                  <w:vAlign w:val="center"/>
                </w:tcPr>
                <w:p w14:paraId="7939C9B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46ECAC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pct"/>
                  <w:vMerge w:val="continue"/>
                  <w:tcBorders>
                    <w:tl2br w:val="nil"/>
                    <w:tr2bl w:val="nil"/>
                  </w:tcBorders>
                  <w:noWrap w:val="0"/>
                  <w:vAlign w:val="center"/>
                </w:tcPr>
                <w:p w14:paraId="328BBD34">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rPr>
                  </w:pPr>
                </w:p>
              </w:tc>
              <w:tc>
                <w:tcPr>
                  <w:tcW w:w="1048" w:type="pct"/>
                  <w:vMerge w:val="restart"/>
                  <w:tcBorders>
                    <w:tl2br w:val="nil"/>
                    <w:tr2bl w:val="nil"/>
                  </w:tcBorders>
                  <w:noWrap w:val="0"/>
                  <w:vAlign w:val="center"/>
                </w:tcPr>
                <w:p w14:paraId="08C8E3C8">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eastAsia="zh-CN"/>
                    </w:rPr>
                    <w:t>固废</w:t>
                  </w:r>
                </w:p>
              </w:tc>
              <w:tc>
                <w:tcPr>
                  <w:tcW w:w="2389" w:type="pct"/>
                  <w:tcBorders>
                    <w:tl2br w:val="nil"/>
                    <w:tr2bl w:val="nil"/>
                  </w:tcBorders>
                  <w:noWrap w:val="0"/>
                  <w:vAlign w:val="center"/>
                </w:tcPr>
                <w:p w14:paraId="6B7D6145">
                  <w:pPr>
                    <w:pStyle w:val="92"/>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cs="Times New Roman" w:eastAsiaTheme="minorEastAsia"/>
                      <w:b w:val="0"/>
                      <w:bCs/>
                      <w:color w:val="auto"/>
                      <w:sz w:val="21"/>
                      <w:szCs w:val="21"/>
                      <w:lang w:val="en-US" w:eastAsia="zh-CN"/>
                    </w:rPr>
                  </w:pPr>
                  <w:r>
                    <w:rPr>
                      <w:rFonts w:hint="eastAsia" w:cs="Times New Roman" w:eastAsiaTheme="minorEastAsia"/>
                      <w:b w:val="0"/>
                      <w:bCs/>
                      <w:color w:val="auto"/>
                      <w:sz w:val="21"/>
                      <w:szCs w:val="21"/>
                      <w:lang w:val="en-US" w:eastAsia="zh-CN"/>
                    </w:rPr>
                    <w:t>宠物排泄物</w:t>
                  </w:r>
                  <w:r>
                    <w:rPr>
                      <w:rFonts w:hint="default" w:ascii="Times New Roman" w:hAnsi="Times New Roman" w:cs="Times New Roman" w:eastAsiaTheme="minorEastAsia"/>
                      <w:b w:val="0"/>
                      <w:bCs/>
                      <w:color w:val="auto"/>
                      <w:sz w:val="21"/>
                      <w:szCs w:val="21"/>
                      <w:lang w:val="en-US" w:eastAsia="zh-CN"/>
                    </w:rPr>
                    <w:t>经清理消毒后袋装收集，与宠物毛发一同由环卫部门清运处理。</w:t>
                  </w:r>
                </w:p>
              </w:tc>
              <w:tc>
                <w:tcPr>
                  <w:tcW w:w="768" w:type="pct"/>
                  <w:tcBorders>
                    <w:tl2br w:val="nil"/>
                    <w:tr2bl w:val="nil"/>
                  </w:tcBorders>
                  <w:noWrap w:val="0"/>
                  <w:vAlign w:val="center"/>
                </w:tcPr>
                <w:p w14:paraId="45143C9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7D1329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92" w:type="pct"/>
                  <w:vMerge w:val="continue"/>
                  <w:tcBorders>
                    <w:tl2br w:val="nil"/>
                    <w:tr2bl w:val="nil"/>
                  </w:tcBorders>
                  <w:noWrap w:val="0"/>
                  <w:vAlign w:val="center"/>
                </w:tcPr>
                <w:p w14:paraId="199FA6E5">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rPr>
                  </w:pPr>
                </w:p>
              </w:tc>
              <w:tc>
                <w:tcPr>
                  <w:tcW w:w="1048" w:type="pct"/>
                  <w:vMerge w:val="continue"/>
                  <w:tcBorders>
                    <w:tl2br w:val="nil"/>
                    <w:tr2bl w:val="nil"/>
                  </w:tcBorders>
                  <w:noWrap w:val="0"/>
                  <w:vAlign w:val="center"/>
                </w:tcPr>
                <w:p w14:paraId="33A0696C">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rPr>
                  </w:pPr>
                </w:p>
              </w:tc>
              <w:tc>
                <w:tcPr>
                  <w:tcW w:w="2389" w:type="pct"/>
                  <w:tcBorders>
                    <w:tl2br w:val="nil"/>
                    <w:tr2bl w:val="nil"/>
                  </w:tcBorders>
                  <w:noWrap w:val="0"/>
                  <w:vAlign w:val="center"/>
                </w:tcPr>
                <w:p w14:paraId="5CC67F4E">
                  <w:pPr>
                    <w:pStyle w:val="92"/>
                    <w:keepNext w:val="0"/>
                    <w:keepLines w:val="0"/>
                    <w:suppressLineNumbers w:val="0"/>
                    <w:spacing w:before="0" w:beforeAutospacing="0" w:after="0" w:afterAutospacing="0" w:line="240" w:lineRule="auto"/>
                    <w:ind w:left="0" w:right="0" w:firstLine="0" w:firstLineChars="0"/>
                    <w:jc w:val="left"/>
                    <w:rPr>
                      <w:rFonts w:hint="eastAsia"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医疗废物经分类收集，暂存于医疗废物暂存间（3m</w:t>
                  </w:r>
                  <w:r>
                    <w:rPr>
                      <w:rFonts w:hint="default" w:ascii="Times New Roman" w:hAnsi="Times New Roman" w:cs="Times New Roman" w:eastAsiaTheme="minorEastAsia"/>
                      <w:b w:val="0"/>
                      <w:bCs/>
                      <w:color w:val="auto"/>
                      <w:sz w:val="21"/>
                      <w:szCs w:val="21"/>
                      <w:vertAlign w:val="superscript"/>
                      <w:lang w:val="en-US" w:eastAsia="zh-CN"/>
                    </w:rPr>
                    <w:t>2</w:t>
                  </w:r>
                  <w:r>
                    <w:rPr>
                      <w:rFonts w:hint="default" w:ascii="Times New Roman" w:hAnsi="Times New Roman" w:cs="Times New Roman" w:eastAsiaTheme="minorEastAsia"/>
                      <w:b w:val="0"/>
                      <w:bCs/>
                      <w:color w:val="auto"/>
                      <w:sz w:val="21"/>
                      <w:szCs w:val="21"/>
                      <w:lang w:val="en-US" w:eastAsia="zh-CN"/>
                    </w:rPr>
                    <w:t>），按要求委托有资质单位进行处置</w:t>
                  </w:r>
                  <w:r>
                    <w:rPr>
                      <w:rFonts w:hint="eastAsia" w:cs="Times New Roman" w:eastAsiaTheme="minorEastAsia"/>
                      <w:b w:val="0"/>
                      <w:bCs/>
                      <w:color w:val="auto"/>
                      <w:sz w:val="21"/>
                      <w:szCs w:val="21"/>
                      <w:lang w:val="en-US" w:eastAsia="zh-CN"/>
                    </w:rPr>
                    <w:t>；</w:t>
                  </w:r>
                </w:p>
                <w:p w14:paraId="287B92EC">
                  <w:pPr>
                    <w:pStyle w:val="92"/>
                    <w:keepNext w:val="0"/>
                    <w:keepLines w:val="0"/>
                    <w:suppressLineNumbers w:val="0"/>
                    <w:spacing w:before="0" w:beforeAutospacing="0" w:after="0" w:afterAutospacing="0" w:line="240" w:lineRule="auto"/>
                    <w:ind w:left="0" w:right="0" w:firstLine="0" w:firstLineChars="0"/>
                    <w:jc w:val="left"/>
                    <w:rPr>
                      <w:rFonts w:hint="eastAsia"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医疗污水处理设备产生的污泥定期清掏，委托有资质处置单位处置</w:t>
                  </w:r>
                  <w:r>
                    <w:rPr>
                      <w:rFonts w:hint="eastAsia" w:cs="Times New Roman" w:eastAsiaTheme="minorEastAsia"/>
                      <w:b w:val="0"/>
                      <w:bCs/>
                      <w:color w:val="auto"/>
                      <w:sz w:val="21"/>
                      <w:szCs w:val="21"/>
                      <w:lang w:val="en-US" w:eastAsia="zh-CN"/>
                    </w:rPr>
                    <w:t>；</w:t>
                  </w:r>
                </w:p>
                <w:p w14:paraId="58962B2B">
                  <w:pPr>
                    <w:pStyle w:val="92"/>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废紫外线灯管</w:t>
                  </w:r>
                  <w:r>
                    <w:rPr>
                      <w:rFonts w:hint="eastAsia" w:ascii="Times New Roman" w:hAnsi="Times New Roman" w:cs="Times New Roman" w:eastAsiaTheme="minorEastAsia"/>
                      <w:b w:val="0"/>
                      <w:bCs/>
                      <w:color w:val="auto"/>
                      <w:sz w:val="21"/>
                      <w:szCs w:val="21"/>
                      <w:lang w:val="en-US" w:eastAsia="zh-CN"/>
                    </w:rPr>
                    <w:t>分类收集消毒后暂存在医疗废物暂存间</w:t>
                  </w:r>
                  <w:r>
                    <w:rPr>
                      <w:rFonts w:hint="default" w:ascii="Times New Roman" w:hAnsi="Times New Roman" w:cs="Times New Roman" w:eastAsiaTheme="minorEastAsia"/>
                      <w:b w:val="0"/>
                      <w:bCs/>
                      <w:color w:val="auto"/>
                      <w:sz w:val="21"/>
                      <w:szCs w:val="21"/>
                      <w:lang w:val="en-US" w:eastAsia="zh-CN"/>
                    </w:rPr>
                    <w:t>（</w:t>
                  </w:r>
                  <w:r>
                    <w:rPr>
                      <w:rFonts w:hint="eastAsia" w:ascii="Times New Roman" w:hAnsi="Times New Roman" w:cs="Times New Roman" w:eastAsiaTheme="minorEastAsia"/>
                      <w:b w:val="0"/>
                      <w:bCs/>
                      <w:color w:val="auto"/>
                      <w:sz w:val="21"/>
                      <w:szCs w:val="21"/>
                      <w:lang w:val="en-US" w:eastAsia="zh-CN"/>
                    </w:rPr>
                    <w:t>3</w:t>
                  </w:r>
                  <w:r>
                    <w:rPr>
                      <w:rFonts w:hint="default" w:ascii="Times New Roman" w:hAnsi="Times New Roman" w:cs="Times New Roman" w:eastAsiaTheme="minorEastAsia"/>
                      <w:b w:val="0"/>
                      <w:bCs/>
                      <w:color w:val="auto"/>
                      <w:sz w:val="21"/>
                      <w:szCs w:val="21"/>
                      <w:lang w:val="en-US" w:eastAsia="zh-CN"/>
                    </w:rPr>
                    <w:t>m</w:t>
                  </w:r>
                  <w:r>
                    <w:rPr>
                      <w:rFonts w:hint="default" w:ascii="Times New Roman" w:hAnsi="Times New Roman" w:cs="Times New Roman" w:eastAsiaTheme="minorEastAsia"/>
                      <w:b w:val="0"/>
                      <w:bCs/>
                      <w:color w:val="auto"/>
                      <w:sz w:val="21"/>
                      <w:szCs w:val="21"/>
                      <w:vertAlign w:val="superscript"/>
                      <w:lang w:val="en-US" w:eastAsia="zh-CN"/>
                    </w:rPr>
                    <w:t>2</w:t>
                  </w:r>
                  <w:r>
                    <w:rPr>
                      <w:rFonts w:hint="default" w:ascii="Times New Roman" w:hAnsi="Times New Roman" w:cs="Times New Roman" w:eastAsiaTheme="minorEastAsia"/>
                      <w:b w:val="0"/>
                      <w:bCs/>
                      <w:color w:val="auto"/>
                      <w:sz w:val="21"/>
                      <w:szCs w:val="21"/>
                      <w:lang w:val="en-US" w:eastAsia="zh-CN"/>
                    </w:rPr>
                    <w:t>），</w:t>
                  </w:r>
                  <w:r>
                    <w:rPr>
                      <w:rFonts w:hint="eastAsia" w:ascii="Times New Roman" w:hAnsi="Times New Roman" w:cs="Times New Roman" w:eastAsiaTheme="minorEastAsia"/>
                      <w:b w:val="0"/>
                      <w:bCs/>
                      <w:color w:val="auto"/>
                      <w:sz w:val="21"/>
                      <w:szCs w:val="21"/>
                      <w:lang w:val="en-US" w:eastAsia="zh-CN"/>
                    </w:rPr>
                    <w:t>定期</w:t>
                  </w:r>
                  <w:r>
                    <w:rPr>
                      <w:rFonts w:hint="default" w:ascii="Times New Roman" w:hAnsi="Times New Roman" w:cs="Times New Roman" w:eastAsiaTheme="minorEastAsia"/>
                      <w:b w:val="0"/>
                      <w:bCs/>
                      <w:color w:val="auto"/>
                      <w:sz w:val="21"/>
                      <w:szCs w:val="21"/>
                      <w:lang w:val="en-US" w:eastAsia="zh-CN"/>
                    </w:rPr>
                    <w:t>委托有危险废物资质单位处置。</w:t>
                  </w:r>
                </w:p>
              </w:tc>
              <w:tc>
                <w:tcPr>
                  <w:tcW w:w="768" w:type="pct"/>
                  <w:tcBorders>
                    <w:tl2br w:val="nil"/>
                    <w:tr2bl w:val="nil"/>
                  </w:tcBorders>
                  <w:noWrap w:val="0"/>
                  <w:vAlign w:val="center"/>
                </w:tcPr>
                <w:p w14:paraId="0062813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65242F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pct"/>
                  <w:vMerge w:val="continue"/>
                  <w:tcBorders>
                    <w:tl2br w:val="nil"/>
                    <w:tr2bl w:val="nil"/>
                  </w:tcBorders>
                  <w:noWrap w:val="0"/>
                  <w:vAlign w:val="center"/>
                </w:tcPr>
                <w:p w14:paraId="7158B511">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p>
              </w:tc>
              <w:tc>
                <w:tcPr>
                  <w:tcW w:w="1048" w:type="pct"/>
                  <w:vMerge w:val="continue"/>
                  <w:tcBorders>
                    <w:tl2br w:val="nil"/>
                    <w:tr2bl w:val="nil"/>
                  </w:tcBorders>
                  <w:noWrap w:val="0"/>
                  <w:vAlign w:val="center"/>
                </w:tcPr>
                <w:p w14:paraId="5799EFAB">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p>
              </w:tc>
              <w:tc>
                <w:tcPr>
                  <w:tcW w:w="2389" w:type="pct"/>
                  <w:tcBorders>
                    <w:tl2br w:val="nil"/>
                    <w:tr2bl w:val="nil"/>
                  </w:tcBorders>
                  <w:noWrap w:val="0"/>
                  <w:vAlign w:val="center"/>
                </w:tcPr>
                <w:p w14:paraId="345B062D">
                  <w:pPr>
                    <w:pStyle w:val="9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生活垃圾由环卫部门清运处理。</w:t>
                  </w:r>
                </w:p>
              </w:tc>
              <w:tc>
                <w:tcPr>
                  <w:tcW w:w="768" w:type="pct"/>
                  <w:tcBorders>
                    <w:tl2br w:val="nil"/>
                    <w:tr2bl w:val="nil"/>
                  </w:tcBorders>
                  <w:noWrap w:val="0"/>
                  <w:vAlign w:val="center"/>
                </w:tcPr>
                <w:p w14:paraId="0D33030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bl>
          <w:p w14:paraId="7E33141D">
            <w:pPr>
              <w:keepNext w:val="0"/>
              <w:keepLines w:val="0"/>
              <w:suppressLineNumbers w:val="0"/>
              <w:spacing w:before="0" w:beforeAutospacing="0" w:after="0" w:afterAutospacing="0" w:line="520" w:lineRule="exact"/>
              <w:ind w:left="0" w:right="0"/>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3.</w:t>
            </w:r>
            <w:r>
              <w:rPr>
                <w:rFonts w:hint="default" w:ascii="Times New Roman" w:hAnsi="Times New Roman" w:cs="Times New Roman" w:eastAsiaTheme="minorEastAsia"/>
                <w:b/>
                <w:bCs/>
                <w:color w:val="auto"/>
                <w:sz w:val="24"/>
              </w:rPr>
              <w:t>主要生产设备</w:t>
            </w:r>
          </w:p>
          <w:p w14:paraId="36D1E40A">
            <w:pPr>
              <w:pStyle w:val="67"/>
              <w:keepNext w:val="0"/>
              <w:keepLines w:val="0"/>
              <w:suppressLineNumbers w:val="0"/>
              <w:adjustRightInd/>
              <w:snapToGrid/>
              <w:spacing w:before="0" w:beforeAutospacing="0" w:after="0" w:afterAutospacing="0" w:line="520" w:lineRule="exact"/>
              <w:ind w:left="0" w:right="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本项目主要</w:t>
            </w:r>
            <w:r>
              <w:rPr>
                <w:rFonts w:hint="default" w:ascii="Times New Roman" w:hAnsi="Times New Roman" w:cs="Times New Roman" w:eastAsiaTheme="minorEastAsia"/>
                <w:color w:val="auto"/>
                <w:lang w:val="en-US" w:eastAsia="zh-CN"/>
              </w:rPr>
              <w:t>医疗</w:t>
            </w:r>
            <w:r>
              <w:rPr>
                <w:rFonts w:hint="default" w:ascii="Times New Roman" w:hAnsi="Times New Roman" w:cs="Times New Roman" w:eastAsiaTheme="minorEastAsia"/>
                <w:color w:val="auto"/>
              </w:rPr>
              <w:t>设备详见下表。</w:t>
            </w:r>
          </w:p>
          <w:p w14:paraId="2457965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zh-CN"/>
              </w:rPr>
            </w:pPr>
            <w:r>
              <w:rPr>
                <w:rFonts w:hint="default" w:ascii="Times New Roman" w:hAnsi="Times New Roman" w:cs="Times New Roman" w:eastAsiaTheme="minorEastAsia"/>
                <w:b/>
                <w:color w:val="auto"/>
                <w:sz w:val="21"/>
                <w:szCs w:val="21"/>
                <w:lang w:val="zh-CN"/>
              </w:rPr>
              <w:t>表2-</w:t>
            </w:r>
            <w:r>
              <w:rPr>
                <w:rFonts w:hint="eastAsia" w:ascii="Times New Roman" w:hAnsi="Times New Roman" w:cs="Times New Roman" w:eastAsiaTheme="minorEastAsia"/>
                <w:b/>
                <w:color w:val="auto"/>
                <w:sz w:val="21"/>
                <w:szCs w:val="21"/>
                <w:lang w:val="en-US" w:eastAsia="zh-CN"/>
              </w:rPr>
              <w:t>2</w:t>
            </w:r>
            <w:r>
              <w:rPr>
                <w:rFonts w:hint="default" w:ascii="Times New Roman" w:hAnsi="Times New Roman" w:cs="Times New Roman" w:eastAsiaTheme="minorEastAsia"/>
                <w:b/>
                <w:color w:val="auto"/>
                <w:sz w:val="21"/>
                <w:szCs w:val="21"/>
                <w:lang w:val="zh-CN"/>
              </w:rPr>
              <w:t xml:space="preserve">   主要</w:t>
            </w:r>
            <w:r>
              <w:rPr>
                <w:rFonts w:hint="default" w:ascii="Times New Roman" w:hAnsi="Times New Roman" w:cs="Times New Roman" w:eastAsiaTheme="minorEastAsia"/>
                <w:b/>
                <w:color w:val="auto"/>
                <w:sz w:val="21"/>
                <w:szCs w:val="21"/>
                <w:lang w:val="en-US" w:eastAsia="zh-CN"/>
              </w:rPr>
              <w:t>医疗</w:t>
            </w:r>
            <w:r>
              <w:rPr>
                <w:rFonts w:hint="default" w:ascii="Times New Roman" w:hAnsi="Times New Roman" w:cs="Times New Roman" w:eastAsiaTheme="minorEastAsia"/>
                <w:b/>
                <w:color w:val="auto"/>
                <w:sz w:val="21"/>
                <w:szCs w:val="21"/>
                <w:lang w:val="zh-CN"/>
              </w:rPr>
              <w:t>设备一览表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10"/>
              <w:gridCol w:w="2575"/>
              <w:gridCol w:w="2005"/>
              <w:gridCol w:w="2256"/>
            </w:tblGrid>
            <w:tr w14:paraId="716AFDF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8" w:type="pct"/>
                  <w:tcBorders>
                    <w:bottom w:val="single" w:color="auto" w:sz="12" w:space="0"/>
                  </w:tcBorders>
                  <w:noWrap w:val="0"/>
                  <w:vAlign w:val="center"/>
                </w:tcPr>
                <w:p w14:paraId="48E3DBB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序号</w:t>
                  </w:r>
                </w:p>
              </w:tc>
              <w:tc>
                <w:tcPr>
                  <w:tcW w:w="1619" w:type="pct"/>
                  <w:tcBorders>
                    <w:bottom w:val="single" w:color="auto" w:sz="12" w:space="0"/>
                  </w:tcBorders>
                  <w:noWrap w:val="0"/>
                  <w:vAlign w:val="center"/>
                </w:tcPr>
                <w:p w14:paraId="478E2F3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设备名称</w:t>
                  </w:r>
                </w:p>
              </w:tc>
              <w:tc>
                <w:tcPr>
                  <w:tcW w:w="1261" w:type="pct"/>
                  <w:tcBorders>
                    <w:bottom w:val="single" w:color="auto" w:sz="12" w:space="0"/>
                  </w:tcBorders>
                  <w:noWrap w:val="0"/>
                  <w:vAlign w:val="center"/>
                </w:tcPr>
                <w:p w14:paraId="5F9D127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val="0"/>
                      <w:color w:val="auto"/>
                      <w:sz w:val="21"/>
                      <w:szCs w:val="21"/>
                      <w:lang w:eastAsia="zh-CN"/>
                    </w:rPr>
                  </w:pPr>
                  <w:r>
                    <w:rPr>
                      <w:rFonts w:hint="default" w:ascii="Times New Roman" w:hAnsi="Times New Roman" w:cs="Times New Roman" w:eastAsiaTheme="minorEastAsia"/>
                      <w:b/>
                      <w:bCs w:val="0"/>
                      <w:color w:val="auto"/>
                      <w:sz w:val="21"/>
                      <w:szCs w:val="21"/>
                      <w:lang w:eastAsia="zh-CN"/>
                    </w:rPr>
                    <w:t>数量</w:t>
                  </w:r>
                </w:p>
              </w:tc>
              <w:tc>
                <w:tcPr>
                  <w:tcW w:w="1419" w:type="pct"/>
                  <w:tcBorders>
                    <w:bottom w:val="single" w:color="auto" w:sz="12" w:space="0"/>
                  </w:tcBorders>
                  <w:noWrap w:val="0"/>
                  <w:vAlign w:val="center"/>
                </w:tcPr>
                <w:p w14:paraId="6A7BC56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val="0"/>
                      <w:color w:val="auto"/>
                      <w:sz w:val="21"/>
                      <w:szCs w:val="21"/>
                      <w:lang w:eastAsia="zh-CN"/>
                    </w:rPr>
                  </w:pPr>
                  <w:r>
                    <w:rPr>
                      <w:rFonts w:hint="default" w:ascii="Times New Roman" w:hAnsi="Times New Roman" w:cs="Times New Roman" w:eastAsiaTheme="minorEastAsia"/>
                      <w:b/>
                      <w:bCs w:val="0"/>
                      <w:color w:val="auto"/>
                      <w:sz w:val="21"/>
                      <w:szCs w:val="21"/>
                      <w:lang w:eastAsia="zh-CN"/>
                    </w:rPr>
                    <w:t>备注</w:t>
                  </w:r>
                </w:p>
              </w:tc>
            </w:tr>
            <w:tr w14:paraId="469B9F6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8" w:type="pct"/>
                  <w:tcBorders>
                    <w:top w:val="single" w:color="auto" w:sz="12" w:space="0"/>
                    <w:tl2br w:val="nil"/>
                    <w:tr2bl w:val="nil"/>
                  </w:tcBorders>
                  <w:noWrap w:val="0"/>
                  <w:vAlign w:val="center"/>
                </w:tcPr>
                <w:p w14:paraId="1F980B2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w:t>
                  </w:r>
                </w:p>
              </w:tc>
              <w:tc>
                <w:tcPr>
                  <w:tcW w:w="1619" w:type="pct"/>
                  <w:tcBorders>
                    <w:top w:val="single" w:color="auto" w:sz="12" w:space="0"/>
                    <w:tl2br w:val="nil"/>
                    <w:tr2bl w:val="nil"/>
                  </w:tcBorders>
                  <w:noWrap w:val="0"/>
                  <w:vAlign w:val="center"/>
                </w:tcPr>
                <w:p w14:paraId="546893F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麻醉工作站</w:t>
                  </w:r>
                </w:p>
              </w:tc>
              <w:tc>
                <w:tcPr>
                  <w:tcW w:w="1261" w:type="pct"/>
                  <w:tcBorders>
                    <w:top w:val="single" w:color="auto" w:sz="12" w:space="0"/>
                    <w:tl2br w:val="nil"/>
                    <w:tr2bl w:val="nil"/>
                  </w:tcBorders>
                  <w:noWrap w:val="0"/>
                  <w:vAlign w:val="center"/>
                </w:tcPr>
                <w:p w14:paraId="3BD5EBF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1个</w:t>
                  </w:r>
                </w:p>
              </w:tc>
              <w:tc>
                <w:tcPr>
                  <w:tcW w:w="1419" w:type="pct"/>
                  <w:tcBorders>
                    <w:top w:val="single" w:color="auto" w:sz="12" w:space="0"/>
                    <w:tl2br w:val="nil"/>
                    <w:tr2bl w:val="nil"/>
                  </w:tcBorders>
                  <w:noWrap w:val="0"/>
                  <w:vAlign w:val="center"/>
                </w:tcPr>
                <w:p w14:paraId="5957005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527F550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8" w:type="pct"/>
                  <w:tcBorders>
                    <w:tl2br w:val="nil"/>
                    <w:tr2bl w:val="nil"/>
                  </w:tcBorders>
                  <w:noWrap w:val="0"/>
                  <w:vAlign w:val="center"/>
                </w:tcPr>
                <w:p w14:paraId="0F4653E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2</w:t>
                  </w:r>
                </w:p>
              </w:tc>
              <w:tc>
                <w:tcPr>
                  <w:tcW w:w="1619" w:type="pct"/>
                  <w:tcBorders>
                    <w:tl2br w:val="nil"/>
                    <w:tr2bl w:val="nil"/>
                  </w:tcBorders>
                  <w:noWrap w:val="0"/>
                  <w:vAlign w:val="center"/>
                </w:tcPr>
                <w:p w14:paraId="034CA04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手术用心电监护</w:t>
                  </w:r>
                </w:p>
              </w:tc>
              <w:tc>
                <w:tcPr>
                  <w:tcW w:w="1261" w:type="pct"/>
                  <w:tcBorders>
                    <w:tl2br w:val="nil"/>
                    <w:tr2bl w:val="nil"/>
                  </w:tcBorders>
                  <w:noWrap w:val="0"/>
                  <w:vAlign w:val="center"/>
                </w:tcPr>
                <w:p w14:paraId="070B71B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1台</w:t>
                  </w:r>
                </w:p>
              </w:tc>
              <w:tc>
                <w:tcPr>
                  <w:tcW w:w="1419" w:type="pct"/>
                  <w:tcBorders>
                    <w:tl2br w:val="nil"/>
                    <w:tr2bl w:val="nil"/>
                  </w:tcBorders>
                  <w:noWrap w:val="0"/>
                  <w:vAlign w:val="center"/>
                </w:tcPr>
                <w:p w14:paraId="184E451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5CC8C1D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8" w:type="pct"/>
                  <w:tcBorders>
                    <w:tl2br w:val="nil"/>
                    <w:tr2bl w:val="nil"/>
                  </w:tcBorders>
                  <w:noWrap w:val="0"/>
                  <w:vAlign w:val="center"/>
                </w:tcPr>
                <w:p w14:paraId="10525AB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w:t>
                  </w:r>
                </w:p>
              </w:tc>
              <w:tc>
                <w:tcPr>
                  <w:tcW w:w="1619" w:type="pct"/>
                  <w:tcBorders>
                    <w:tl2br w:val="nil"/>
                    <w:tr2bl w:val="nil"/>
                  </w:tcBorders>
                  <w:noWrap w:val="0"/>
                  <w:vAlign w:val="center"/>
                </w:tcPr>
                <w:p w14:paraId="372E7C2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生化分析仪</w:t>
                  </w:r>
                </w:p>
              </w:tc>
              <w:tc>
                <w:tcPr>
                  <w:tcW w:w="1261" w:type="pct"/>
                  <w:tcBorders>
                    <w:tl2br w:val="nil"/>
                    <w:tr2bl w:val="nil"/>
                  </w:tcBorders>
                  <w:noWrap w:val="0"/>
                  <w:vAlign w:val="center"/>
                </w:tcPr>
                <w:p w14:paraId="3E1F0FE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1台</w:t>
                  </w:r>
                </w:p>
              </w:tc>
              <w:tc>
                <w:tcPr>
                  <w:tcW w:w="1419" w:type="pct"/>
                  <w:tcBorders>
                    <w:tl2br w:val="nil"/>
                    <w:tr2bl w:val="nil"/>
                  </w:tcBorders>
                  <w:noWrap w:val="0"/>
                  <w:vAlign w:val="center"/>
                </w:tcPr>
                <w:p w14:paraId="3D3EB61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5595CCE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8" w:type="pct"/>
                  <w:tcBorders>
                    <w:tl2br w:val="nil"/>
                    <w:tr2bl w:val="nil"/>
                  </w:tcBorders>
                  <w:noWrap w:val="0"/>
                  <w:vAlign w:val="center"/>
                </w:tcPr>
                <w:p w14:paraId="76E84A1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4</w:t>
                  </w:r>
                </w:p>
              </w:tc>
              <w:tc>
                <w:tcPr>
                  <w:tcW w:w="1619" w:type="pct"/>
                  <w:tcBorders>
                    <w:tl2br w:val="nil"/>
                    <w:tr2bl w:val="nil"/>
                  </w:tcBorders>
                  <w:noWrap w:val="0"/>
                  <w:vAlign w:val="center"/>
                </w:tcPr>
                <w:p w14:paraId="70F9B8E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显微镜</w:t>
                  </w:r>
                </w:p>
              </w:tc>
              <w:tc>
                <w:tcPr>
                  <w:tcW w:w="1261" w:type="pct"/>
                  <w:tcBorders>
                    <w:tl2br w:val="nil"/>
                    <w:tr2bl w:val="nil"/>
                  </w:tcBorders>
                  <w:noWrap w:val="0"/>
                  <w:vAlign w:val="center"/>
                </w:tcPr>
                <w:p w14:paraId="482D76C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1台</w:t>
                  </w:r>
                </w:p>
              </w:tc>
              <w:tc>
                <w:tcPr>
                  <w:tcW w:w="1419" w:type="pct"/>
                  <w:tcBorders>
                    <w:tl2br w:val="nil"/>
                    <w:tr2bl w:val="nil"/>
                  </w:tcBorders>
                  <w:noWrap w:val="0"/>
                  <w:vAlign w:val="center"/>
                </w:tcPr>
                <w:p w14:paraId="0936588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3D97E86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dxa"/>
                  <w:tcBorders>
                    <w:tl2br w:val="nil"/>
                    <w:tr2bl w:val="nil"/>
                  </w:tcBorders>
                  <w:noWrap w:val="0"/>
                  <w:vAlign w:val="center"/>
                </w:tcPr>
                <w:p w14:paraId="446F122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5</w:t>
                  </w:r>
                </w:p>
              </w:tc>
              <w:tc>
                <w:tcPr>
                  <w:tcW w:w="1619" w:type="pct"/>
                  <w:tcBorders>
                    <w:tl2br w:val="nil"/>
                    <w:tr2bl w:val="nil"/>
                  </w:tcBorders>
                  <w:noWrap w:val="0"/>
                  <w:vAlign w:val="center"/>
                </w:tcPr>
                <w:p w14:paraId="4238332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eastAsiaTheme="minorEastAsia"/>
                      <w:b w:val="0"/>
                      <w:bCs/>
                      <w:color w:val="auto"/>
                      <w:sz w:val="21"/>
                      <w:szCs w:val="21"/>
                      <w:lang w:val="en-US" w:eastAsia="zh-CN"/>
                    </w:rPr>
                    <w:t>DR医疗装置（动物用X射线诊断装置）</w:t>
                  </w:r>
                </w:p>
              </w:tc>
              <w:tc>
                <w:tcPr>
                  <w:tcW w:w="1261" w:type="pct"/>
                  <w:tcBorders>
                    <w:tl2br w:val="nil"/>
                    <w:tr2bl w:val="nil"/>
                  </w:tcBorders>
                  <w:noWrap w:val="0"/>
                  <w:vAlign w:val="center"/>
                </w:tcPr>
                <w:p w14:paraId="54B0793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eastAsia" w:cs="Times New Roman" w:eastAsiaTheme="minorEastAsia"/>
                      <w:b w:val="0"/>
                      <w:bCs/>
                      <w:color w:val="auto"/>
                      <w:sz w:val="21"/>
                      <w:szCs w:val="21"/>
                      <w:lang w:val="en-US" w:eastAsia="zh-CN"/>
                    </w:rPr>
                    <w:t>1套</w:t>
                  </w:r>
                </w:p>
              </w:tc>
              <w:tc>
                <w:tcPr>
                  <w:tcW w:w="1419" w:type="pct"/>
                  <w:tcBorders>
                    <w:tl2br w:val="nil"/>
                    <w:tr2bl w:val="nil"/>
                  </w:tcBorders>
                  <w:noWrap w:val="0"/>
                  <w:vAlign w:val="center"/>
                </w:tcPr>
                <w:p w14:paraId="737D7A0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eastAsia" w:cs="Times New Roman" w:eastAsiaTheme="minorEastAsia"/>
                      <w:b w:val="0"/>
                      <w:bCs/>
                      <w:color w:val="auto"/>
                      <w:sz w:val="21"/>
                      <w:szCs w:val="21"/>
                      <w:lang w:val="en-US" w:eastAsia="zh-CN"/>
                    </w:rPr>
                    <w:t>已建</w:t>
                  </w:r>
                </w:p>
              </w:tc>
            </w:tr>
            <w:tr w14:paraId="017C5FD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dxa"/>
                  <w:tcBorders>
                    <w:tl2br w:val="nil"/>
                    <w:tr2bl w:val="nil"/>
                  </w:tcBorders>
                  <w:noWrap w:val="0"/>
                  <w:vAlign w:val="center"/>
                </w:tcPr>
                <w:p w14:paraId="41FF561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6</w:t>
                  </w:r>
                </w:p>
              </w:tc>
              <w:tc>
                <w:tcPr>
                  <w:tcW w:w="1619" w:type="pct"/>
                  <w:tcBorders>
                    <w:tl2br w:val="nil"/>
                    <w:tr2bl w:val="nil"/>
                  </w:tcBorders>
                  <w:noWrap w:val="0"/>
                  <w:vAlign w:val="center"/>
                </w:tcPr>
                <w:p w14:paraId="3AE4A49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一体化污水处理设施</w:t>
                  </w:r>
                </w:p>
              </w:tc>
              <w:tc>
                <w:tcPr>
                  <w:tcW w:w="1261" w:type="pct"/>
                  <w:tcBorders>
                    <w:tl2br w:val="nil"/>
                    <w:tr2bl w:val="nil"/>
                  </w:tcBorders>
                  <w:noWrap w:val="0"/>
                  <w:vAlign w:val="center"/>
                </w:tcPr>
                <w:p w14:paraId="6D6683E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1套</w:t>
                  </w:r>
                </w:p>
              </w:tc>
              <w:tc>
                <w:tcPr>
                  <w:tcW w:w="1419" w:type="pct"/>
                  <w:tcBorders>
                    <w:tl2br w:val="nil"/>
                    <w:tr2bl w:val="nil"/>
                  </w:tcBorders>
                  <w:noWrap w:val="0"/>
                  <w:vAlign w:val="center"/>
                </w:tcPr>
                <w:p w14:paraId="6376ECB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已建</w:t>
                  </w:r>
                </w:p>
              </w:tc>
            </w:tr>
            <w:tr w14:paraId="328B17E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9" w:hRule="atLeast"/>
                <w:jc w:val="center"/>
              </w:trPr>
              <w:tc>
                <w:tcPr>
                  <w:tcW w:w="1110" w:type="dxa"/>
                  <w:tcBorders>
                    <w:tl2br w:val="nil"/>
                    <w:tr2bl w:val="nil"/>
                  </w:tcBorders>
                  <w:noWrap w:val="0"/>
                  <w:vAlign w:val="center"/>
                </w:tcPr>
                <w:p w14:paraId="20F636D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7</w:t>
                  </w:r>
                </w:p>
              </w:tc>
              <w:tc>
                <w:tcPr>
                  <w:tcW w:w="1619" w:type="pct"/>
                  <w:tcBorders>
                    <w:tl2br w:val="nil"/>
                    <w:tr2bl w:val="nil"/>
                  </w:tcBorders>
                  <w:noWrap w:val="0"/>
                  <w:vAlign w:val="center"/>
                </w:tcPr>
                <w:p w14:paraId="0EBEAC0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冰箱</w:t>
                  </w:r>
                </w:p>
              </w:tc>
              <w:tc>
                <w:tcPr>
                  <w:tcW w:w="1261" w:type="pct"/>
                  <w:tcBorders>
                    <w:tl2br w:val="nil"/>
                    <w:tr2bl w:val="nil"/>
                  </w:tcBorders>
                  <w:noWrap w:val="0"/>
                  <w:vAlign w:val="center"/>
                </w:tcPr>
                <w:p w14:paraId="0F33E77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2台</w:t>
                  </w:r>
                </w:p>
              </w:tc>
              <w:tc>
                <w:tcPr>
                  <w:tcW w:w="1419" w:type="pct"/>
                  <w:tcBorders>
                    <w:tl2br w:val="nil"/>
                    <w:tr2bl w:val="nil"/>
                  </w:tcBorders>
                  <w:noWrap w:val="0"/>
                  <w:vAlign w:val="center"/>
                </w:tcPr>
                <w:p w14:paraId="5D1F0B0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已建</w:t>
                  </w:r>
                </w:p>
              </w:tc>
            </w:tr>
            <w:tr w14:paraId="65CE81A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dxa"/>
                  <w:tcBorders>
                    <w:tl2br w:val="nil"/>
                    <w:tr2bl w:val="nil"/>
                  </w:tcBorders>
                  <w:noWrap w:val="0"/>
                  <w:vAlign w:val="center"/>
                </w:tcPr>
                <w:p w14:paraId="2A126F3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8</w:t>
                  </w:r>
                </w:p>
              </w:tc>
              <w:tc>
                <w:tcPr>
                  <w:tcW w:w="1619" w:type="pct"/>
                  <w:tcBorders>
                    <w:tl2br w:val="nil"/>
                    <w:tr2bl w:val="nil"/>
                  </w:tcBorders>
                  <w:noWrap w:val="0"/>
                  <w:vAlign w:val="center"/>
                </w:tcPr>
                <w:p w14:paraId="5464CE5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电脑</w:t>
                  </w:r>
                </w:p>
              </w:tc>
              <w:tc>
                <w:tcPr>
                  <w:tcW w:w="1261" w:type="pct"/>
                  <w:tcBorders>
                    <w:tl2br w:val="nil"/>
                    <w:tr2bl w:val="nil"/>
                  </w:tcBorders>
                  <w:noWrap w:val="0"/>
                  <w:vAlign w:val="center"/>
                </w:tcPr>
                <w:p w14:paraId="0799DF0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4台</w:t>
                  </w:r>
                </w:p>
              </w:tc>
              <w:tc>
                <w:tcPr>
                  <w:tcW w:w="1419" w:type="pct"/>
                  <w:tcBorders>
                    <w:tl2br w:val="nil"/>
                    <w:tr2bl w:val="nil"/>
                  </w:tcBorders>
                  <w:noWrap w:val="0"/>
                  <w:vAlign w:val="center"/>
                </w:tcPr>
                <w:p w14:paraId="76A5891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23ED3A8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dxa"/>
                  <w:tcBorders>
                    <w:tl2br w:val="nil"/>
                    <w:tr2bl w:val="nil"/>
                  </w:tcBorders>
                  <w:noWrap w:val="0"/>
                  <w:vAlign w:val="center"/>
                </w:tcPr>
                <w:p w14:paraId="6C8CB3D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9</w:t>
                  </w:r>
                </w:p>
              </w:tc>
              <w:tc>
                <w:tcPr>
                  <w:tcW w:w="1619" w:type="pct"/>
                  <w:tcBorders>
                    <w:tl2br w:val="nil"/>
                    <w:tr2bl w:val="nil"/>
                  </w:tcBorders>
                  <w:noWrap w:val="0"/>
                  <w:vAlign w:val="center"/>
                </w:tcPr>
                <w:p w14:paraId="4E6E01F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血常规</w:t>
                  </w:r>
                </w:p>
              </w:tc>
              <w:tc>
                <w:tcPr>
                  <w:tcW w:w="1261" w:type="pct"/>
                  <w:tcBorders>
                    <w:tl2br w:val="nil"/>
                    <w:tr2bl w:val="nil"/>
                  </w:tcBorders>
                  <w:noWrap w:val="0"/>
                  <w:vAlign w:val="center"/>
                </w:tcPr>
                <w:p w14:paraId="467B71C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1台</w:t>
                  </w:r>
                </w:p>
              </w:tc>
              <w:tc>
                <w:tcPr>
                  <w:tcW w:w="1419" w:type="pct"/>
                  <w:tcBorders>
                    <w:tl2br w:val="nil"/>
                    <w:tr2bl w:val="nil"/>
                  </w:tcBorders>
                  <w:noWrap w:val="0"/>
                  <w:vAlign w:val="center"/>
                </w:tcPr>
                <w:p w14:paraId="0C32615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r w14:paraId="340998D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8" w:type="pct"/>
                  <w:tcBorders>
                    <w:tl2br w:val="nil"/>
                    <w:tr2bl w:val="nil"/>
                  </w:tcBorders>
                  <w:noWrap w:val="0"/>
                  <w:vAlign w:val="center"/>
                </w:tcPr>
                <w:p w14:paraId="07FB968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eastAsia" w:cs="Times New Roman" w:eastAsiaTheme="minorEastAsia"/>
                      <w:b w:val="0"/>
                      <w:bCs/>
                      <w:color w:val="auto"/>
                      <w:sz w:val="21"/>
                      <w:szCs w:val="21"/>
                      <w:lang w:val="en-US" w:eastAsia="zh-CN"/>
                    </w:rPr>
                    <w:t>10</w:t>
                  </w:r>
                </w:p>
              </w:tc>
              <w:tc>
                <w:tcPr>
                  <w:tcW w:w="1619" w:type="pct"/>
                  <w:tcBorders>
                    <w:tl2br w:val="nil"/>
                    <w:tr2bl w:val="nil"/>
                  </w:tcBorders>
                  <w:noWrap w:val="0"/>
                  <w:vAlign w:val="center"/>
                </w:tcPr>
                <w:p w14:paraId="482EA05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打印机</w:t>
                  </w:r>
                </w:p>
              </w:tc>
              <w:tc>
                <w:tcPr>
                  <w:tcW w:w="1261" w:type="pct"/>
                  <w:tcBorders>
                    <w:tl2br w:val="nil"/>
                    <w:tr2bl w:val="nil"/>
                  </w:tcBorders>
                  <w:noWrap w:val="0"/>
                  <w:vAlign w:val="center"/>
                </w:tcPr>
                <w:p w14:paraId="06211F2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3台</w:t>
                  </w:r>
                </w:p>
              </w:tc>
              <w:tc>
                <w:tcPr>
                  <w:tcW w:w="1419" w:type="pct"/>
                  <w:tcBorders>
                    <w:tl2br w:val="nil"/>
                    <w:tr2bl w:val="nil"/>
                  </w:tcBorders>
                  <w:noWrap w:val="0"/>
                  <w:vAlign w:val="center"/>
                </w:tcPr>
                <w:p w14:paraId="087C07F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已建</w:t>
                  </w:r>
                </w:p>
              </w:tc>
            </w:tr>
          </w:tbl>
          <w:p w14:paraId="40D7B7C6">
            <w:pPr>
              <w:keepNext w:val="0"/>
              <w:keepLines w:val="0"/>
              <w:suppressLineNumbers w:val="0"/>
              <w:spacing w:before="0" w:beforeAutospacing="0" w:after="0" w:afterAutospacing="0" w:line="520" w:lineRule="exact"/>
              <w:ind w:left="0" w:right="0"/>
              <w:rPr>
                <w:rFonts w:hint="default" w:ascii="Times New Roman" w:hAnsi="Times New Roman" w:cs="Times New Roman" w:eastAsiaTheme="minorEastAsia"/>
                <w:b/>
                <w:bCs/>
                <w:color w:val="auto"/>
                <w:sz w:val="24"/>
                <w:lang w:val="en-US" w:eastAsia="zh-CN"/>
              </w:rPr>
            </w:pPr>
            <w:r>
              <w:rPr>
                <w:rFonts w:hint="eastAsia" w:cs="Times New Roman" w:eastAsiaTheme="minorEastAsia"/>
                <w:b/>
                <w:bCs/>
                <w:color w:val="auto"/>
                <w:sz w:val="24"/>
                <w:lang w:val="en-US" w:eastAsia="zh-CN"/>
              </w:rPr>
              <w:t>4.</w:t>
            </w:r>
            <w:r>
              <w:rPr>
                <w:rFonts w:hint="default" w:ascii="Times New Roman" w:hAnsi="Times New Roman" w:cs="Times New Roman" w:eastAsiaTheme="minorEastAsia"/>
                <w:b/>
                <w:bCs/>
                <w:color w:val="auto"/>
                <w:sz w:val="24"/>
                <w:lang w:val="en-US" w:eastAsia="zh-CN"/>
              </w:rPr>
              <w:t>医疗用品、药剂及能源消耗</w:t>
            </w:r>
          </w:p>
          <w:p w14:paraId="31D239BB">
            <w:pPr>
              <w:pStyle w:val="67"/>
              <w:keepNext w:val="0"/>
              <w:keepLines w:val="0"/>
              <w:suppressLineNumbers w:val="0"/>
              <w:adjustRightInd/>
              <w:snapToGrid/>
              <w:spacing w:before="0" w:beforeAutospacing="0" w:after="0" w:afterAutospacing="0" w:line="520" w:lineRule="exact"/>
              <w:ind w:left="0" w:right="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本项目主要</w:t>
            </w:r>
            <w:r>
              <w:rPr>
                <w:rFonts w:hint="default" w:ascii="Times New Roman" w:hAnsi="Times New Roman" w:cs="Times New Roman" w:eastAsiaTheme="minorEastAsia"/>
                <w:color w:val="auto"/>
                <w:lang w:val="en-US" w:eastAsia="zh-CN"/>
              </w:rPr>
              <w:t>医疗用品、药剂及能源消耗</w:t>
            </w:r>
            <w:r>
              <w:rPr>
                <w:rFonts w:hint="default" w:ascii="Times New Roman" w:hAnsi="Times New Roman" w:cs="Times New Roman" w:eastAsiaTheme="minorEastAsia"/>
                <w:color w:val="auto"/>
              </w:rPr>
              <w:t>见表2-</w:t>
            </w:r>
            <w:r>
              <w:rPr>
                <w:rFonts w:hint="eastAsia" w:cs="Times New Roman" w:eastAsiaTheme="minorEastAsia"/>
                <w:color w:val="auto"/>
                <w:lang w:val="en-US" w:eastAsia="zh-CN"/>
              </w:rPr>
              <w:t>3</w:t>
            </w:r>
            <w:r>
              <w:rPr>
                <w:rFonts w:hint="default" w:ascii="Times New Roman" w:hAnsi="Times New Roman" w:cs="Times New Roman" w:eastAsiaTheme="minorEastAsia"/>
                <w:color w:val="auto"/>
              </w:rPr>
              <w:t>。</w:t>
            </w:r>
          </w:p>
          <w:p w14:paraId="0F95D98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zh-CN"/>
              </w:rPr>
            </w:pPr>
            <w:r>
              <w:rPr>
                <w:rFonts w:hint="default" w:ascii="Times New Roman" w:hAnsi="Times New Roman" w:cs="Times New Roman" w:eastAsiaTheme="minorEastAsia"/>
                <w:b/>
                <w:color w:val="auto"/>
                <w:sz w:val="21"/>
                <w:szCs w:val="21"/>
                <w:lang w:val="zh-CN"/>
              </w:rPr>
              <w:t>表2-</w:t>
            </w:r>
            <w:r>
              <w:rPr>
                <w:rFonts w:hint="eastAsia" w:ascii="Times New Roman" w:hAnsi="Times New Roman" w:cs="Times New Roman" w:eastAsiaTheme="minorEastAsia"/>
                <w:b/>
                <w:color w:val="auto"/>
                <w:sz w:val="21"/>
                <w:szCs w:val="21"/>
                <w:lang w:val="en-US" w:eastAsia="zh-CN"/>
              </w:rPr>
              <w:t>3</w:t>
            </w:r>
            <w:r>
              <w:rPr>
                <w:rFonts w:hint="default" w:ascii="Times New Roman" w:hAnsi="Times New Roman" w:cs="Times New Roman" w:eastAsiaTheme="minorEastAsia"/>
                <w:b/>
                <w:color w:val="auto"/>
                <w:sz w:val="21"/>
                <w:szCs w:val="21"/>
                <w:lang w:val="zh-CN"/>
              </w:rPr>
              <w:t xml:space="preserve">   主要</w:t>
            </w:r>
            <w:r>
              <w:rPr>
                <w:rFonts w:hint="default" w:ascii="Times New Roman" w:hAnsi="Times New Roman" w:cs="Times New Roman" w:eastAsiaTheme="minorEastAsia"/>
                <w:b/>
                <w:color w:val="auto"/>
                <w:sz w:val="21"/>
                <w:szCs w:val="21"/>
                <w:lang w:val="en-US" w:eastAsia="zh-CN"/>
              </w:rPr>
              <w:t>医疗用品、药剂及能源消耗</w:t>
            </w:r>
            <w:r>
              <w:rPr>
                <w:rFonts w:hint="default" w:ascii="Times New Roman" w:hAnsi="Times New Roman" w:cs="Times New Roman" w:eastAsiaTheme="minorEastAsia"/>
                <w:b/>
                <w:color w:val="auto"/>
                <w:sz w:val="21"/>
                <w:szCs w:val="21"/>
                <w:lang w:val="zh-CN"/>
              </w:rPr>
              <w:t>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610"/>
              <w:gridCol w:w="892"/>
              <w:gridCol w:w="871"/>
              <w:gridCol w:w="983"/>
              <w:gridCol w:w="1875"/>
            </w:tblGrid>
            <w:tr w14:paraId="3D5431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bottom w:val="single" w:color="auto" w:sz="12" w:space="0"/>
                  </w:tcBorders>
                  <w:noWrap w:val="0"/>
                  <w:vAlign w:val="center"/>
                </w:tcPr>
                <w:p w14:paraId="543620B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序号</w:t>
                  </w:r>
                </w:p>
              </w:tc>
              <w:tc>
                <w:tcPr>
                  <w:tcW w:w="1642" w:type="pct"/>
                  <w:tcBorders>
                    <w:bottom w:val="single" w:color="auto" w:sz="12" w:space="0"/>
                  </w:tcBorders>
                  <w:noWrap w:val="0"/>
                  <w:vAlign w:val="center"/>
                </w:tcPr>
                <w:p w14:paraId="597E2E1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主要原料名称</w:t>
                  </w:r>
                </w:p>
              </w:tc>
              <w:tc>
                <w:tcPr>
                  <w:tcW w:w="561" w:type="pct"/>
                  <w:tcBorders>
                    <w:bottom w:val="single" w:color="auto" w:sz="12" w:space="0"/>
                  </w:tcBorders>
                  <w:noWrap w:val="0"/>
                  <w:vAlign w:val="center"/>
                </w:tcPr>
                <w:p w14:paraId="41A5642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单位</w:t>
                  </w:r>
                </w:p>
              </w:tc>
              <w:tc>
                <w:tcPr>
                  <w:tcW w:w="548" w:type="pct"/>
                  <w:tcBorders>
                    <w:bottom w:val="single" w:color="auto" w:sz="12" w:space="0"/>
                  </w:tcBorders>
                  <w:noWrap w:val="0"/>
                  <w:vAlign w:val="center"/>
                </w:tcPr>
                <w:p w14:paraId="28AF850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年</w:t>
                  </w:r>
                  <w:r>
                    <w:rPr>
                      <w:rFonts w:hint="default" w:ascii="Times New Roman" w:hAnsi="Times New Roman" w:cs="Times New Roman" w:eastAsiaTheme="minorEastAsia"/>
                      <w:b/>
                      <w:bCs/>
                      <w:color w:val="auto"/>
                      <w:sz w:val="21"/>
                      <w:szCs w:val="21"/>
                    </w:rPr>
                    <w:t>消耗数量</w:t>
                  </w:r>
                </w:p>
              </w:tc>
              <w:tc>
                <w:tcPr>
                  <w:tcW w:w="618" w:type="pct"/>
                  <w:tcBorders>
                    <w:bottom w:val="single" w:color="auto" w:sz="12" w:space="0"/>
                  </w:tcBorders>
                  <w:noWrap w:val="0"/>
                  <w:vAlign w:val="center"/>
                </w:tcPr>
                <w:p w14:paraId="7A3037C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储存方式</w:t>
                  </w:r>
                </w:p>
              </w:tc>
              <w:tc>
                <w:tcPr>
                  <w:tcW w:w="1179" w:type="pct"/>
                  <w:tcBorders>
                    <w:bottom w:val="single" w:color="auto" w:sz="12" w:space="0"/>
                  </w:tcBorders>
                  <w:noWrap w:val="0"/>
                  <w:vAlign w:val="center"/>
                </w:tcPr>
                <w:p w14:paraId="14FA418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备注</w:t>
                  </w:r>
                </w:p>
              </w:tc>
            </w:tr>
            <w:tr w14:paraId="6DBA0F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pct"/>
                  <w:tcBorders>
                    <w:top w:val="single" w:color="auto" w:sz="12" w:space="0"/>
                    <w:tl2br w:val="nil"/>
                    <w:tr2bl w:val="nil"/>
                  </w:tcBorders>
                  <w:noWrap w:val="0"/>
                  <w:vAlign w:val="center"/>
                </w:tcPr>
                <w:p w14:paraId="02B9DE8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1642" w:type="pct"/>
                  <w:tcBorders>
                    <w:top w:val="single" w:color="auto" w:sz="12" w:space="0"/>
                    <w:tl2br w:val="nil"/>
                    <w:tr2bl w:val="nil"/>
                  </w:tcBorders>
                  <w:noWrap w:val="0"/>
                  <w:vAlign w:val="center"/>
                </w:tcPr>
                <w:p w14:paraId="0AD9BFB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一次性注射器</w:t>
                  </w:r>
                </w:p>
              </w:tc>
              <w:tc>
                <w:tcPr>
                  <w:tcW w:w="561" w:type="pct"/>
                  <w:tcBorders>
                    <w:top w:val="single" w:color="auto" w:sz="12" w:space="0"/>
                    <w:tl2br w:val="nil"/>
                    <w:tr2bl w:val="nil"/>
                  </w:tcBorders>
                  <w:noWrap w:val="0"/>
                  <w:vAlign w:val="center"/>
                </w:tcPr>
                <w:p w14:paraId="0E31F6D2">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套</w:t>
                  </w:r>
                </w:p>
              </w:tc>
              <w:tc>
                <w:tcPr>
                  <w:tcW w:w="548" w:type="pct"/>
                  <w:tcBorders>
                    <w:top w:val="single" w:color="auto" w:sz="12" w:space="0"/>
                    <w:tl2br w:val="nil"/>
                    <w:tr2bl w:val="nil"/>
                  </w:tcBorders>
                  <w:noWrap w:val="0"/>
                  <w:vAlign w:val="center"/>
                </w:tcPr>
                <w:p w14:paraId="7645BA6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500</w:t>
                  </w:r>
                </w:p>
              </w:tc>
              <w:tc>
                <w:tcPr>
                  <w:tcW w:w="618" w:type="pct"/>
                  <w:tcBorders>
                    <w:top w:val="single" w:color="auto" w:sz="12" w:space="0"/>
                    <w:tl2br w:val="nil"/>
                    <w:tr2bl w:val="nil"/>
                  </w:tcBorders>
                  <w:noWrap w:val="0"/>
                  <w:vAlign w:val="center"/>
                </w:tcPr>
                <w:p w14:paraId="38AD056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op w:val="single" w:color="auto" w:sz="12" w:space="0"/>
                    <w:tl2br w:val="nil"/>
                    <w:tr2bl w:val="nil"/>
                  </w:tcBorders>
                  <w:noWrap w:val="0"/>
                  <w:vAlign w:val="center"/>
                </w:tcPr>
                <w:p w14:paraId="767950F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0C7DD4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35D1EDD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1642" w:type="pct"/>
                  <w:tcBorders>
                    <w:tl2br w:val="nil"/>
                    <w:tr2bl w:val="nil"/>
                  </w:tcBorders>
                  <w:noWrap w:val="0"/>
                  <w:vAlign w:val="center"/>
                </w:tcPr>
                <w:p w14:paraId="35BBBAB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一次性口罩</w:t>
                  </w:r>
                </w:p>
              </w:tc>
              <w:tc>
                <w:tcPr>
                  <w:tcW w:w="561" w:type="pct"/>
                  <w:tcBorders>
                    <w:tl2br w:val="nil"/>
                    <w:tr2bl w:val="nil"/>
                  </w:tcBorders>
                  <w:noWrap w:val="0"/>
                  <w:vAlign w:val="center"/>
                </w:tcPr>
                <w:p w14:paraId="4BF05284">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包</w:t>
                  </w:r>
                </w:p>
              </w:tc>
              <w:tc>
                <w:tcPr>
                  <w:tcW w:w="548" w:type="pct"/>
                  <w:tcBorders>
                    <w:tl2br w:val="nil"/>
                    <w:tr2bl w:val="nil"/>
                  </w:tcBorders>
                  <w:noWrap w:val="0"/>
                  <w:vAlign w:val="center"/>
                </w:tcPr>
                <w:p w14:paraId="0F78CA2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w:t>
                  </w:r>
                </w:p>
              </w:tc>
              <w:tc>
                <w:tcPr>
                  <w:tcW w:w="618" w:type="pct"/>
                  <w:tcBorders>
                    <w:tl2br w:val="nil"/>
                    <w:tr2bl w:val="nil"/>
                  </w:tcBorders>
                  <w:noWrap w:val="0"/>
                  <w:vAlign w:val="center"/>
                </w:tcPr>
                <w:p w14:paraId="52A8934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4659A3A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w:t>
                  </w:r>
                </w:p>
              </w:tc>
            </w:tr>
            <w:tr w14:paraId="6E51CB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7884189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3</w:t>
                  </w:r>
                </w:p>
              </w:tc>
              <w:tc>
                <w:tcPr>
                  <w:tcW w:w="1642" w:type="pct"/>
                  <w:tcBorders>
                    <w:tl2br w:val="nil"/>
                    <w:tr2bl w:val="nil"/>
                  </w:tcBorders>
                  <w:noWrap w:val="0"/>
                  <w:vAlign w:val="center"/>
                </w:tcPr>
                <w:p w14:paraId="3AC9CAB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一次性手套</w:t>
                  </w:r>
                </w:p>
              </w:tc>
              <w:tc>
                <w:tcPr>
                  <w:tcW w:w="561" w:type="pct"/>
                  <w:tcBorders>
                    <w:tl2br w:val="nil"/>
                    <w:tr2bl w:val="nil"/>
                  </w:tcBorders>
                  <w:noWrap w:val="0"/>
                  <w:vAlign w:val="center"/>
                </w:tcPr>
                <w:p w14:paraId="08588EC6">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盒</w:t>
                  </w:r>
                </w:p>
              </w:tc>
              <w:tc>
                <w:tcPr>
                  <w:tcW w:w="548" w:type="pct"/>
                  <w:tcBorders>
                    <w:tl2br w:val="nil"/>
                    <w:tr2bl w:val="nil"/>
                  </w:tcBorders>
                  <w:noWrap w:val="0"/>
                  <w:vAlign w:val="center"/>
                </w:tcPr>
                <w:p w14:paraId="4AFA575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w:t>
                  </w:r>
                </w:p>
              </w:tc>
              <w:tc>
                <w:tcPr>
                  <w:tcW w:w="618" w:type="pct"/>
                  <w:tcBorders>
                    <w:tl2br w:val="nil"/>
                    <w:tr2bl w:val="nil"/>
                  </w:tcBorders>
                  <w:noWrap w:val="0"/>
                  <w:vAlign w:val="center"/>
                </w:tcPr>
                <w:p w14:paraId="0C83D53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0650A82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159981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1FBBA6F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4</w:t>
                  </w:r>
                </w:p>
              </w:tc>
              <w:tc>
                <w:tcPr>
                  <w:tcW w:w="1642" w:type="pct"/>
                  <w:tcBorders>
                    <w:tl2br w:val="nil"/>
                    <w:tr2bl w:val="nil"/>
                  </w:tcBorders>
                  <w:noWrap w:val="0"/>
                  <w:vAlign w:val="center"/>
                </w:tcPr>
                <w:p w14:paraId="5437DE6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输液袋</w:t>
                  </w:r>
                </w:p>
              </w:tc>
              <w:tc>
                <w:tcPr>
                  <w:tcW w:w="561" w:type="pct"/>
                  <w:tcBorders>
                    <w:tl2br w:val="nil"/>
                    <w:tr2bl w:val="nil"/>
                  </w:tcBorders>
                  <w:noWrap w:val="0"/>
                  <w:vAlign w:val="center"/>
                </w:tcPr>
                <w:p w14:paraId="5ABE7A29">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个</w:t>
                  </w:r>
                </w:p>
              </w:tc>
              <w:tc>
                <w:tcPr>
                  <w:tcW w:w="548" w:type="pct"/>
                  <w:tcBorders>
                    <w:tl2br w:val="nil"/>
                    <w:tr2bl w:val="nil"/>
                  </w:tcBorders>
                  <w:noWrap w:val="0"/>
                  <w:vAlign w:val="center"/>
                </w:tcPr>
                <w:p w14:paraId="390AEC7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200</w:t>
                  </w:r>
                </w:p>
              </w:tc>
              <w:tc>
                <w:tcPr>
                  <w:tcW w:w="618" w:type="pct"/>
                  <w:tcBorders>
                    <w:tl2br w:val="nil"/>
                    <w:tr2bl w:val="nil"/>
                  </w:tcBorders>
                  <w:noWrap w:val="0"/>
                  <w:vAlign w:val="center"/>
                </w:tcPr>
                <w:p w14:paraId="1C11DEA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5D47846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79F081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0B8891B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5</w:t>
                  </w:r>
                </w:p>
              </w:tc>
              <w:tc>
                <w:tcPr>
                  <w:tcW w:w="1642" w:type="pct"/>
                  <w:tcBorders>
                    <w:tl2br w:val="nil"/>
                    <w:tr2bl w:val="nil"/>
                  </w:tcBorders>
                  <w:noWrap w:val="0"/>
                  <w:vAlign w:val="center"/>
                </w:tcPr>
                <w:p w14:paraId="64112FC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兽用血细胞分析溶血剂</w:t>
                  </w:r>
                </w:p>
              </w:tc>
              <w:tc>
                <w:tcPr>
                  <w:tcW w:w="561" w:type="pct"/>
                  <w:tcBorders>
                    <w:tl2br w:val="nil"/>
                    <w:tr2bl w:val="nil"/>
                  </w:tcBorders>
                  <w:noWrap w:val="0"/>
                  <w:vAlign w:val="center"/>
                </w:tcPr>
                <w:p w14:paraId="0B5F9BFD">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瓶</w:t>
                  </w:r>
                </w:p>
              </w:tc>
              <w:tc>
                <w:tcPr>
                  <w:tcW w:w="548" w:type="pct"/>
                  <w:tcBorders>
                    <w:tl2br w:val="nil"/>
                    <w:tr2bl w:val="nil"/>
                  </w:tcBorders>
                  <w:noWrap w:val="0"/>
                  <w:vAlign w:val="center"/>
                </w:tcPr>
                <w:p w14:paraId="01CE3D9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w:t>
                  </w:r>
                </w:p>
              </w:tc>
              <w:tc>
                <w:tcPr>
                  <w:tcW w:w="618" w:type="pct"/>
                  <w:tcBorders>
                    <w:tl2br w:val="nil"/>
                    <w:tr2bl w:val="nil"/>
                  </w:tcBorders>
                  <w:noWrap w:val="0"/>
                  <w:vAlign w:val="center"/>
                </w:tcPr>
                <w:p w14:paraId="35E8EBB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冰箱</w:t>
                  </w:r>
                </w:p>
              </w:tc>
              <w:tc>
                <w:tcPr>
                  <w:tcW w:w="1179" w:type="pct"/>
                  <w:tcBorders>
                    <w:tl2br w:val="nil"/>
                    <w:tr2bl w:val="nil"/>
                  </w:tcBorders>
                  <w:noWrap w:val="0"/>
                  <w:vAlign w:val="center"/>
                </w:tcPr>
                <w:p w14:paraId="1D441A3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0.1L/瓶</w:t>
                  </w:r>
                </w:p>
              </w:tc>
            </w:tr>
            <w:tr w14:paraId="53F8DE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0A2F97A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6</w:t>
                  </w:r>
                </w:p>
              </w:tc>
              <w:tc>
                <w:tcPr>
                  <w:tcW w:w="1642" w:type="pct"/>
                  <w:tcBorders>
                    <w:tl2br w:val="nil"/>
                    <w:tr2bl w:val="nil"/>
                  </w:tcBorders>
                  <w:noWrap w:val="0"/>
                  <w:vAlign w:val="center"/>
                </w:tcPr>
                <w:p w14:paraId="6919405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兽用血细胞分析稀释剂</w:t>
                  </w:r>
                </w:p>
              </w:tc>
              <w:tc>
                <w:tcPr>
                  <w:tcW w:w="561" w:type="pct"/>
                  <w:tcBorders>
                    <w:tl2br w:val="nil"/>
                    <w:tr2bl w:val="nil"/>
                  </w:tcBorders>
                  <w:noWrap w:val="0"/>
                  <w:vAlign w:val="center"/>
                </w:tcPr>
                <w:p w14:paraId="31E902F3">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瓶</w:t>
                  </w:r>
                </w:p>
              </w:tc>
              <w:tc>
                <w:tcPr>
                  <w:tcW w:w="548" w:type="pct"/>
                  <w:tcBorders>
                    <w:tl2br w:val="nil"/>
                    <w:tr2bl w:val="nil"/>
                  </w:tcBorders>
                  <w:noWrap w:val="0"/>
                  <w:vAlign w:val="center"/>
                </w:tcPr>
                <w:p w14:paraId="2EC2583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kern w:val="2"/>
                      <w:sz w:val="21"/>
                      <w:szCs w:val="21"/>
                      <w:lang w:val="en-US" w:eastAsia="zh-CN" w:bidi="ar-SA"/>
                    </w:rPr>
                    <w:t>2</w:t>
                  </w:r>
                </w:p>
              </w:tc>
              <w:tc>
                <w:tcPr>
                  <w:tcW w:w="618" w:type="pct"/>
                  <w:tcBorders>
                    <w:tl2br w:val="nil"/>
                    <w:tr2bl w:val="nil"/>
                  </w:tcBorders>
                  <w:noWrap w:val="0"/>
                  <w:vAlign w:val="center"/>
                </w:tcPr>
                <w:p w14:paraId="4A5B133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冰箱</w:t>
                  </w:r>
                </w:p>
              </w:tc>
              <w:tc>
                <w:tcPr>
                  <w:tcW w:w="1179" w:type="pct"/>
                  <w:tcBorders>
                    <w:tl2br w:val="nil"/>
                    <w:tr2bl w:val="nil"/>
                  </w:tcBorders>
                  <w:noWrap w:val="0"/>
                  <w:vAlign w:val="center"/>
                </w:tcPr>
                <w:p w14:paraId="5D79774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0.5L/瓶</w:t>
                  </w:r>
                </w:p>
              </w:tc>
            </w:tr>
            <w:tr w14:paraId="152BD6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2674323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7</w:t>
                  </w:r>
                </w:p>
              </w:tc>
              <w:tc>
                <w:tcPr>
                  <w:tcW w:w="1642" w:type="pct"/>
                  <w:tcBorders>
                    <w:tl2br w:val="nil"/>
                    <w:tr2bl w:val="nil"/>
                  </w:tcBorders>
                  <w:noWrap w:val="0"/>
                  <w:vAlign w:val="center"/>
                </w:tcPr>
                <w:p w14:paraId="0B140E1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速诺（阿莫西林克拉维酸钾）</w:t>
                  </w:r>
                </w:p>
              </w:tc>
              <w:tc>
                <w:tcPr>
                  <w:tcW w:w="561" w:type="pct"/>
                  <w:tcBorders>
                    <w:tl2br w:val="nil"/>
                    <w:tr2bl w:val="nil"/>
                  </w:tcBorders>
                  <w:noWrap w:val="0"/>
                  <w:vAlign w:val="center"/>
                </w:tcPr>
                <w:p w14:paraId="79DF314F">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粒</w:t>
                  </w:r>
                </w:p>
              </w:tc>
              <w:tc>
                <w:tcPr>
                  <w:tcW w:w="548" w:type="pct"/>
                  <w:tcBorders>
                    <w:tl2br w:val="nil"/>
                    <w:tr2bl w:val="nil"/>
                  </w:tcBorders>
                  <w:noWrap w:val="0"/>
                  <w:vAlign w:val="center"/>
                </w:tcPr>
                <w:p w14:paraId="754BD60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100</w:t>
                  </w:r>
                </w:p>
              </w:tc>
              <w:tc>
                <w:tcPr>
                  <w:tcW w:w="618" w:type="pct"/>
                  <w:tcBorders>
                    <w:tl2br w:val="nil"/>
                    <w:tr2bl w:val="nil"/>
                  </w:tcBorders>
                  <w:noWrap w:val="0"/>
                  <w:vAlign w:val="center"/>
                </w:tcPr>
                <w:p w14:paraId="5C0E63B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410A00A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2E6F85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188B265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8</w:t>
                  </w:r>
                </w:p>
              </w:tc>
              <w:tc>
                <w:tcPr>
                  <w:tcW w:w="1642" w:type="pct"/>
                  <w:tcBorders>
                    <w:tl2br w:val="nil"/>
                    <w:tr2bl w:val="nil"/>
                  </w:tcBorders>
                  <w:noWrap w:val="0"/>
                  <w:vAlign w:val="center"/>
                </w:tcPr>
                <w:p w14:paraId="29FE6F7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乐利鲜（头孢氨苄）</w:t>
                  </w:r>
                </w:p>
              </w:tc>
              <w:tc>
                <w:tcPr>
                  <w:tcW w:w="561" w:type="pct"/>
                  <w:tcBorders>
                    <w:tl2br w:val="nil"/>
                    <w:tr2bl w:val="nil"/>
                  </w:tcBorders>
                  <w:noWrap w:val="0"/>
                  <w:vAlign w:val="center"/>
                </w:tcPr>
                <w:p w14:paraId="1666BDB0">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粒</w:t>
                  </w:r>
                </w:p>
              </w:tc>
              <w:tc>
                <w:tcPr>
                  <w:tcW w:w="548" w:type="pct"/>
                  <w:tcBorders>
                    <w:tl2br w:val="nil"/>
                    <w:tr2bl w:val="nil"/>
                  </w:tcBorders>
                  <w:noWrap w:val="0"/>
                  <w:vAlign w:val="center"/>
                </w:tcPr>
                <w:p w14:paraId="58D26B2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50</w:t>
                  </w:r>
                </w:p>
              </w:tc>
              <w:tc>
                <w:tcPr>
                  <w:tcW w:w="618" w:type="pct"/>
                  <w:tcBorders>
                    <w:tl2br w:val="nil"/>
                    <w:tr2bl w:val="nil"/>
                  </w:tcBorders>
                  <w:noWrap w:val="0"/>
                  <w:vAlign w:val="center"/>
                </w:tcPr>
                <w:p w14:paraId="76A3370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6AD4E7C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78780E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413469D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9</w:t>
                  </w:r>
                </w:p>
              </w:tc>
              <w:tc>
                <w:tcPr>
                  <w:tcW w:w="1642" w:type="pct"/>
                  <w:tcBorders>
                    <w:tl2br w:val="nil"/>
                    <w:tr2bl w:val="nil"/>
                  </w:tcBorders>
                  <w:noWrap w:val="0"/>
                  <w:vAlign w:val="center"/>
                </w:tcPr>
                <w:p w14:paraId="38FB905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咳喘宁片剂（多西环素）</w:t>
                  </w:r>
                </w:p>
              </w:tc>
              <w:tc>
                <w:tcPr>
                  <w:tcW w:w="561" w:type="pct"/>
                  <w:tcBorders>
                    <w:tl2br w:val="nil"/>
                    <w:tr2bl w:val="nil"/>
                  </w:tcBorders>
                  <w:noWrap w:val="0"/>
                  <w:vAlign w:val="center"/>
                </w:tcPr>
                <w:p w14:paraId="0E457408">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片</w:t>
                  </w:r>
                </w:p>
              </w:tc>
              <w:tc>
                <w:tcPr>
                  <w:tcW w:w="548" w:type="pct"/>
                  <w:tcBorders>
                    <w:tl2br w:val="nil"/>
                    <w:tr2bl w:val="nil"/>
                  </w:tcBorders>
                  <w:noWrap w:val="0"/>
                  <w:vAlign w:val="center"/>
                </w:tcPr>
                <w:p w14:paraId="60E6208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50</w:t>
                  </w:r>
                </w:p>
              </w:tc>
              <w:tc>
                <w:tcPr>
                  <w:tcW w:w="618" w:type="pct"/>
                  <w:tcBorders>
                    <w:tl2br w:val="nil"/>
                    <w:tr2bl w:val="nil"/>
                  </w:tcBorders>
                  <w:noWrap w:val="0"/>
                  <w:vAlign w:val="center"/>
                </w:tcPr>
                <w:p w14:paraId="7D3D446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09EB3EF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5E51DF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583DAE9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10</w:t>
                  </w:r>
                </w:p>
              </w:tc>
              <w:tc>
                <w:tcPr>
                  <w:tcW w:w="1642" w:type="pct"/>
                  <w:tcBorders>
                    <w:tl2br w:val="nil"/>
                    <w:tr2bl w:val="nil"/>
                  </w:tcBorders>
                  <w:noWrap w:val="0"/>
                  <w:vAlign w:val="center"/>
                </w:tcPr>
                <w:p w14:paraId="3B9FE97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硫酸新霉素</w:t>
                  </w:r>
                </w:p>
              </w:tc>
              <w:tc>
                <w:tcPr>
                  <w:tcW w:w="561" w:type="pct"/>
                  <w:tcBorders>
                    <w:tl2br w:val="nil"/>
                    <w:tr2bl w:val="nil"/>
                  </w:tcBorders>
                  <w:noWrap w:val="0"/>
                  <w:vAlign w:val="center"/>
                </w:tcPr>
                <w:p w14:paraId="7D221725">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片</w:t>
                  </w:r>
                </w:p>
              </w:tc>
              <w:tc>
                <w:tcPr>
                  <w:tcW w:w="548" w:type="pct"/>
                  <w:tcBorders>
                    <w:tl2br w:val="nil"/>
                    <w:tr2bl w:val="nil"/>
                  </w:tcBorders>
                  <w:noWrap w:val="0"/>
                  <w:vAlign w:val="center"/>
                </w:tcPr>
                <w:p w14:paraId="399814F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10</w:t>
                  </w:r>
                </w:p>
              </w:tc>
              <w:tc>
                <w:tcPr>
                  <w:tcW w:w="618" w:type="pct"/>
                  <w:tcBorders>
                    <w:tl2br w:val="nil"/>
                    <w:tr2bl w:val="nil"/>
                  </w:tcBorders>
                  <w:noWrap w:val="0"/>
                  <w:vAlign w:val="center"/>
                </w:tcPr>
                <w:p w14:paraId="1F74941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217D965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02859E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16415BD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11</w:t>
                  </w:r>
                </w:p>
              </w:tc>
              <w:tc>
                <w:tcPr>
                  <w:tcW w:w="1642" w:type="pct"/>
                  <w:tcBorders>
                    <w:tl2br w:val="nil"/>
                    <w:tr2bl w:val="nil"/>
                  </w:tcBorders>
                  <w:noWrap w:val="0"/>
                  <w:vAlign w:val="center"/>
                </w:tcPr>
                <w:p w14:paraId="1A77840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头孢噻呋</w:t>
                  </w:r>
                </w:p>
              </w:tc>
              <w:tc>
                <w:tcPr>
                  <w:tcW w:w="561" w:type="pct"/>
                  <w:tcBorders>
                    <w:tl2br w:val="nil"/>
                    <w:tr2bl w:val="nil"/>
                  </w:tcBorders>
                  <w:noWrap w:val="0"/>
                  <w:vAlign w:val="center"/>
                </w:tcPr>
                <w:p w14:paraId="18A4A922">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粒</w:t>
                  </w:r>
                </w:p>
              </w:tc>
              <w:tc>
                <w:tcPr>
                  <w:tcW w:w="548" w:type="pct"/>
                  <w:tcBorders>
                    <w:tl2br w:val="nil"/>
                    <w:tr2bl w:val="nil"/>
                  </w:tcBorders>
                  <w:noWrap w:val="0"/>
                  <w:vAlign w:val="center"/>
                </w:tcPr>
                <w:p w14:paraId="36C1068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w:t>
                  </w:r>
                </w:p>
              </w:tc>
              <w:tc>
                <w:tcPr>
                  <w:tcW w:w="618" w:type="pct"/>
                  <w:tcBorders>
                    <w:tl2br w:val="nil"/>
                    <w:tr2bl w:val="nil"/>
                  </w:tcBorders>
                  <w:noWrap w:val="0"/>
                  <w:vAlign w:val="center"/>
                </w:tcPr>
                <w:p w14:paraId="572F4BF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1873EFB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5F0DF0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07C7A6B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12</w:t>
                  </w:r>
                </w:p>
              </w:tc>
              <w:tc>
                <w:tcPr>
                  <w:tcW w:w="1642" w:type="pct"/>
                  <w:tcBorders>
                    <w:tl2br w:val="nil"/>
                    <w:tr2bl w:val="nil"/>
                  </w:tcBorders>
                  <w:noWrap w:val="0"/>
                  <w:vAlign w:val="center"/>
                </w:tcPr>
                <w:p w14:paraId="576DE19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碘伏</w:t>
                  </w:r>
                </w:p>
              </w:tc>
              <w:tc>
                <w:tcPr>
                  <w:tcW w:w="561" w:type="pct"/>
                  <w:tcBorders>
                    <w:tl2br w:val="nil"/>
                    <w:tr2bl w:val="nil"/>
                  </w:tcBorders>
                  <w:noWrap w:val="0"/>
                  <w:vAlign w:val="center"/>
                </w:tcPr>
                <w:p w14:paraId="4957C217">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瓶</w:t>
                  </w:r>
                </w:p>
              </w:tc>
              <w:tc>
                <w:tcPr>
                  <w:tcW w:w="548" w:type="pct"/>
                  <w:tcBorders>
                    <w:tl2br w:val="nil"/>
                    <w:tr2bl w:val="nil"/>
                  </w:tcBorders>
                  <w:noWrap w:val="0"/>
                  <w:vAlign w:val="center"/>
                </w:tcPr>
                <w:p w14:paraId="7AB4178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30</w:t>
                  </w:r>
                </w:p>
              </w:tc>
              <w:tc>
                <w:tcPr>
                  <w:tcW w:w="618" w:type="pct"/>
                  <w:tcBorders>
                    <w:tl2br w:val="nil"/>
                    <w:tr2bl w:val="nil"/>
                  </w:tcBorders>
                  <w:noWrap w:val="0"/>
                  <w:vAlign w:val="center"/>
                </w:tcPr>
                <w:p w14:paraId="4BCAAE8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3841E86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266E5F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6371848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13</w:t>
                  </w:r>
                </w:p>
              </w:tc>
              <w:tc>
                <w:tcPr>
                  <w:tcW w:w="1642" w:type="pct"/>
                  <w:tcBorders>
                    <w:tl2br w:val="nil"/>
                    <w:tr2bl w:val="nil"/>
                  </w:tcBorders>
                  <w:noWrap w:val="0"/>
                  <w:vAlign w:val="center"/>
                </w:tcPr>
                <w:p w14:paraId="6A78BB2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酒精</w:t>
                  </w:r>
                </w:p>
              </w:tc>
              <w:tc>
                <w:tcPr>
                  <w:tcW w:w="561" w:type="pct"/>
                  <w:tcBorders>
                    <w:tl2br w:val="nil"/>
                    <w:tr2bl w:val="nil"/>
                  </w:tcBorders>
                  <w:noWrap w:val="0"/>
                  <w:vAlign w:val="center"/>
                </w:tcPr>
                <w:p w14:paraId="3E5DA830">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瓶</w:t>
                  </w:r>
                </w:p>
              </w:tc>
              <w:tc>
                <w:tcPr>
                  <w:tcW w:w="548" w:type="pct"/>
                  <w:tcBorders>
                    <w:tl2br w:val="nil"/>
                    <w:tr2bl w:val="nil"/>
                  </w:tcBorders>
                  <w:noWrap w:val="0"/>
                  <w:vAlign w:val="center"/>
                </w:tcPr>
                <w:p w14:paraId="7481E8B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w:t>
                  </w:r>
                </w:p>
              </w:tc>
              <w:tc>
                <w:tcPr>
                  <w:tcW w:w="618" w:type="pct"/>
                  <w:tcBorders>
                    <w:tl2br w:val="nil"/>
                    <w:tr2bl w:val="nil"/>
                  </w:tcBorders>
                  <w:noWrap w:val="0"/>
                  <w:vAlign w:val="center"/>
                </w:tcPr>
                <w:p w14:paraId="0FA12C0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23AB289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500mL/瓶，最大储存量2瓶</w:t>
                  </w:r>
                </w:p>
              </w:tc>
            </w:tr>
            <w:tr w14:paraId="0FA65A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5A03890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14</w:t>
                  </w:r>
                </w:p>
              </w:tc>
              <w:tc>
                <w:tcPr>
                  <w:tcW w:w="1642" w:type="pct"/>
                  <w:tcBorders>
                    <w:tl2br w:val="nil"/>
                    <w:tr2bl w:val="nil"/>
                  </w:tcBorders>
                  <w:noWrap w:val="0"/>
                  <w:vAlign w:val="center"/>
                </w:tcPr>
                <w:p w14:paraId="6739201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安立消</w:t>
                  </w:r>
                </w:p>
              </w:tc>
              <w:tc>
                <w:tcPr>
                  <w:tcW w:w="561" w:type="pct"/>
                  <w:tcBorders>
                    <w:tl2br w:val="nil"/>
                    <w:tr2bl w:val="nil"/>
                  </w:tcBorders>
                  <w:noWrap w:val="0"/>
                  <w:vAlign w:val="center"/>
                </w:tcPr>
                <w:p w14:paraId="739BE916">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片</w:t>
                  </w:r>
                </w:p>
              </w:tc>
              <w:tc>
                <w:tcPr>
                  <w:tcW w:w="548" w:type="pct"/>
                  <w:tcBorders>
                    <w:tl2br w:val="nil"/>
                    <w:tr2bl w:val="nil"/>
                  </w:tcBorders>
                  <w:noWrap w:val="0"/>
                  <w:vAlign w:val="center"/>
                </w:tcPr>
                <w:p w14:paraId="3FA6DCE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30</w:t>
                  </w:r>
                </w:p>
              </w:tc>
              <w:tc>
                <w:tcPr>
                  <w:tcW w:w="618" w:type="pct"/>
                  <w:tcBorders>
                    <w:tl2br w:val="nil"/>
                    <w:tr2bl w:val="nil"/>
                  </w:tcBorders>
                  <w:noWrap w:val="0"/>
                  <w:vAlign w:val="center"/>
                </w:tcPr>
                <w:p w14:paraId="4A2CD96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储物柜</w:t>
                  </w:r>
                </w:p>
              </w:tc>
              <w:tc>
                <w:tcPr>
                  <w:tcW w:w="1179" w:type="pct"/>
                  <w:tcBorders>
                    <w:tl2br w:val="nil"/>
                    <w:tr2bl w:val="nil"/>
                  </w:tcBorders>
                  <w:noWrap w:val="0"/>
                  <w:vAlign w:val="center"/>
                </w:tcPr>
                <w:p w14:paraId="7E096CB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1EAF9F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6BC5173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15</w:t>
                  </w:r>
                </w:p>
              </w:tc>
              <w:tc>
                <w:tcPr>
                  <w:tcW w:w="1642" w:type="pct"/>
                  <w:tcBorders>
                    <w:tl2br w:val="nil"/>
                    <w:tr2bl w:val="nil"/>
                  </w:tcBorders>
                  <w:noWrap w:val="0"/>
                  <w:vAlign w:val="center"/>
                </w:tcPr>
                <w:p w14:paraId="02B331E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新鲜水</w:t>
                  </w:r>
                </w:p>
              </w:tc>
              <w:tc>
                <w:tcPr>
                  <w:tcW w:w="561" w:type="pct"/>
                  <w:tcBorders>
                    <w:tl2br w:val="nil"/>
                    <w:tr2bl w:val="nil"/>
                  </w:tcBorders>
                  <w:noWrap w:val="0"/>
                  <w:vAlign w:val="center"/>
                </w:tcPr>
                <w:p w14:paraId="45137ABA">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eastAsia" w:cs="Times New Roman" w:eastAsiaTheme="minorEastAsia"/>
                      <w:b w:val="0"/>
                      <w:bCs w:val="0"/>
                      <w:color w:val="auto"/>
                      <w:sz w:val="21"/>
                      <w:szCs w:val="21"/>
                      <w:highlight w:val="none"/>
                      <w:lang w:val="en-US" w:eastAsia="zh-CN"/>
                    </w:rPr>
                    <w:t>m</w:t>
                  </w:r>
                  <w:r>
                    <w:rPr>
                      <w:rFonts w:hint="eastAsia" w:cs="Times New Roman" w:eastAsiaTheme="minorEastAsia"/>
                      <w:b w:val="0"/>
                      <w:bCs w:val="0"/>
                      <w:color w:val="auto"/>
                      <w:sz w:val="21"/>
                      <w:szCs w:val="21"/>
                      <w:highlight w:val="none"/>
                      <w:vertAlign w:val="superscript"/>
                      <w:lang w:val="en-US" w:eastAsia="zh-CN"/>
                    </w:rPr>
                    <w:t>3</w:t>
                  </w:r>
                  <w:r>
                    <w:rPr>
                      <w:rFonts w:hint="default" w:ascii="Times New Roman" w:hAnsi="Times New Roman" w:cs="Times New Roman" w:eastAsiaTheme="minorEastAsia"/>
                      <w:b w:val="0"/>
                      <w:bCs w:val="0"/>
                      <w:color w:val="auto"/>
                      <w:sz w:val="21"/>
                      <w:szCs w:val="21"/>
                      <w:highlight w:val="none"/>
                      <w:lang w:val="en-US" w:eastAsia="zh-CN"/>
                    </w:rPr>
                    <w:t>/</w:t>
                  </w:r>
                  <w:r>
                    <w:rPr>
                      <w:rFonts w:hint="eastAsia" w:cs="Times New Roman" w:eastAsiaTheme="minorEastAsia"/>
                      <w:b w:val="0"/>
                      <w:bCs w:val="0"/>
                      <w:color w:val="auto"/>
                      <w:sz w:val="21"/>
                      <w:szCs w:val="21"/>
                      <w:highlight w:val="none"/>
                      <w:lang w:val="en-US" w:eastAsia="zh-CN"/>
                    </w:rPr>
                    <w:t>a</w:t>
                  </w:r>
                </w:p>
              </w:tc>
              <w:tc>
                <w:tcPr>
                  <w:tcW w:w="548" w:type="pct"/>
                  <w:tcBorders>
                    <w:tl2br w:val="nil"/>
                    <w:tr2bl w:val="nil"/>
                  </w:tcBorders>
                  <w:noWrap w:val="0"/>
                  <w:vAlign w:val="center"/>
                </w:tcPr>
                <w:p w14:paraId="73014E7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eastAsia" w:cs="Times New Roman" w:eastAsiaTheme="minorEastAsia"/>
                      <w:b w:val="0"/>
                      <w:bCs w:val="0"/>
                      <w:color w:val="auto"/>
                      <w:sz w:val="21"/>
                      <w:szCs w:val="21"/>
                      <w:lang w:val="en-US" w:eastAsia="zh-CN"/>
                    </w:rPr>
                    <w:t>267.25</w:t>
                  </w:r>
                </w:p>
              </w:tc>
              <w:tc>
                <w:tcPr>
                  <w:tcW w:w="618" w:type="pct"/>
                  <w:tcBorders>
                    <w:tl2br w:val="nil"/>
                    <w:tr2bl w:val="nil"/>
                  </w:tcBorders>
                  <w:noWrap w:val="0"/>
                  <w:vAlign w:val="center"/>
                </w:tcPr>
                <w:p w14:paraId="1401260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管道</w:t>
                  </w:r>
                </w:p>
              </w:tc>
              <w:tc>
                <w:tcPr>
                  <w:tcW w:w="1179" w:type="pct"/>
                  <w:tcBorders>
                    <w:tl2br w:val="nil"/>
                    <w:tr2bl w:val="nil"/>
                  </w:tcBorders>
                  <w:noWrap w:val="0"/>
                  <w:vAlign w:val="center"/>
                </w:tcPr>
                <w:p w14:paraId="07A81AA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r w14:paraId="668813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tl2br w:val="nil"/>
                    <w:tr2bl w:val="nil"/>
                  </w:tcBorders>
                  <w:noWrap w:val="0"/>
                  <w:vAlign w:val="center"/>
                </w:tcPr>
                <w:p w14:paraId="6A8169E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16</w:t>
                  </w:r>
                </w:p>
              </w:tc>
              <w:tc>
                <w:tcPr>
                  <w:tcW w:w="1642" w:type="pct"/>
                  <w:tcBorders>
                    <w:tl2br w:val="nil"/>
                    <w:tr2bl w:val="nil"/>
                  </w:tcBorders>
                  <w:noWrap w:val="0"/>
                  <w:vAlign w:val="center"/>
                </w:tcPr>
                <w:p w14:paraId="3E5D5DD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电</w:t>
                  </w:r>
                </w:p>
              </w:tc>
              <w:tc>
                <w:tcPr>
                  <w:tcW w:w="561" w:type="pct"/>
                  <w:tcBorders>
                    <w:tl2br w:val="nil"/>
                    <w:tr2bl w:val="nil"/>
                  </w:tcBorders>
                  <w:noWrap w:val="0"/>
                  <w:vAlign w:val="center"/>
                </w:tcPr>
                <w:p w14:paraId="3D00041F">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eastAsiaTheme="minorEastAsia"/>
                      <w:b w:val="0"/>
                      <w:bCs w:val="0"/>
                      <w:color w:val="auto"/>
                      <w:sz w:val="21"/>
                      <w:szCs w:val="21"/>
                      <w:highlight w:val="none"/>
                      <w:lang w:val="en-US" w:eastAsia="zh-CN"/>
                    </w:rPr>
                  </w:pPr>
                  <w:r>
                    <w:rPr>
                      <w:rFonts w:hint="eastAsia" w:cs="Times New Roman" w:eastAsiaTheme="minorEastAsia"/>
                      <w:b w:val="0"/>
                      <w:bCs w:val="0"/>
                      <w:color w:val="auto"/>
                      <w:sz w:val="21"/>
                      <w:szCs w:val="21"/>
                      <w:highlight w:val="none"/>
                      <w:lang w:val="en-US" w:eastAsia="zh-CN"/>
                    </w:rPr>
                    <w:t>kW·h</w:t>
                  </w:r>
                  <w:r>
                    <w:rPr>
                      <w:rFonts w:hint="default" w:ascii="Times New Roman" w:hAnsi="Times New Roman" w:cs="Times New Roman" w:eastAsiaTheme="minorEastAsia"/>
                      <w:b w:val="0"/>
                      <w:bCs w:val="0"/>
                      <w:color w:val="auto"/>
                      <w:sz w:val="21"/>
                      <w:szCs w:val="21"/>
                      <w:highlight w:val="none"/>
                      <w:lang w:val="en-US" w:eastAsia="zh-CN"/>
                    </w:rPr>
                    <w:t>/</w:t>
                  </w:r>
                  <w:r>
                    <w:rPr>
                      <w:rFonts w:hint="eastAsia" w:cs="Times New Roman" w:eastAsiaTheme="minorEastAsia"/>
                      <w:b w:val="0"/>
                      <w:bCs w:val="0"/>
                      <w:color w:val="auto"/>
                      <w:sz w:val="21"/>
                      <w:szCs w:val="21"/>
                      <w:highlight w:val="none"/>
                      <w:lang w:val="en-US" w:eastAsia="zh-CN"/>
                    </w:rPr>
                    <w:t>a</w:t>
                  </w:r>
                </w:p>
              </w:tc>
              <w:tc>
                <w:tcPr>
                  <w:tcW w:w="548" w:type="pct"/>
                  <w:tcBorders>
                    <w:tl2br w:val="nil"/>
                    <w:tr2bl w:val="nil"/>
                  </w:tcBorders>
                  <w:noWrap w:val="0"/>
                  <w:vAlign w:val="center"/>
                </w:tcPr>
                <w:p w14:paraId="0D62DC9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4650</w:t>
                  </w:r>
                </w:p>
              </w:tc>
              <w:tc>
                <w:tcPr>
                  <w:tcW w:w="618" w:type="pct"/>
                  <w:tcBorders>
                    <w:tl2br w:val="nil"/>
                    <w:tr2bl w:val="nil"/>
                  </w:tcBorders>
                  <w:noWrap w:val="0"/>
                  <w:vAlign w:val="center"/>
                </w:tcPr>
                <w:p w14:paraId="2EA3CFB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w:t>
                  </w:r>
                </w:p>
              </w:tc>
              <w:tc>
                <w:tcPr>
                  <w:tcW w:w="1179" w:type="pct"/>
                  <w:tcBorders>
                    <w:tl2br w:val="nil"/>
                    <w:tr2bl w:val="nil"/>
                  </w:tcBorders>
                  <w:noWrap w:val="0"/>
                  <w:vAlign w:val="center"/>
                </w:tcPr>
                <w:p w14:paraId="33E6D77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val="0"/>
                      <w:bCs w:val="0"/>
                      <w:color w:val="auto"/>
                      <w:sz w:val="21"/>
                      <w:szCs w:val="21"/>
                      <w:lang w:val="en-US" w:eastAsia="zh-CN"/>
                    </w:rPr>
                  </w:pPr>
                </w:p>
              </w:tc>
            </w:tr>
          </w:tbl>
          <w:p w14:paraId="2EFD7BB6">
            <w:pPr>
              <w:keepNext w:val="0"/>
              <w:keepLines w:val="0"/>
              <w:suppressLineNumbers w:val="0"/>
              <w:spacing w:before="0" w:beforeAutospacing="0" w:after="0" w:afterAutospacing="0" w:line="520" w:lineRule="exact"/>
              <w:ind w:left="0" w:right="0"/>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5.</w:t>
            </w:r>
            <w:r>
              <w:rPr>
                <w:rFonts w:hint="default" w:ascii="Times New Roman" w:hAnsi="Times New Roman" w:cs="Times New Roman" w:eastAsiaTheme="minorEastAsia"/>
                <w:b/>
                <w:bCs/>
                <w:color w:val="auto"/>
                <w:sz w:val="24"/>
              </w:rPr>
              <w:t>公用工程</w:t>
            </w:r>
          </w:p>
          <w:p w14:paraId="7D90CBB7">
            <w:pPr>
              <w:keepNext w:val="0"/>
              <w:keepLines w:val="0"/>
              <w:suppressLineNumbers w:val="0"/>
              <w:spacing w:before="0" w:beforeAutospacing="0" w:after="0" w:afterAutospacing="0" w:line="520" w:lineRule="exact"/>
              <w:ind w:left="0" w:right="0" w:firstLine="482" w:firstLineChars="200"/>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lang w:val="en-US" w:eastAsia="zh-CN"/>
              </w:rPr>
              <w:t>5.1</w:t>
            </w:r>
            <w:r>
              <w:rPr>
                <w:rFonts w:hint="default" w:ascii="Times New Roman" w:hAnsi="Times New Roman" w:cs="Times New Roman" w:eastAsiaTheme="minorEastAsia"/>
                <w:b/>
                <w:color w:val="auto"/>
                <w:sz w:val="24"/>
              </w:rPr>
              <w:t>给</w:t>
            </w:r>
            <w:r>
              <w:rPr>
                <w:rFonts w:hint="default" w:ascii="Times New Roman" w:hAnsi="Times New Roman" w:cs="Times New Roman" w:eastAsiaTheme="minorEastAsia"/>
                <w:b/>
                <w:color w:val="auto"/>
                <w:sz w:val="24"/>
                <w:lang w:val="en-US" w:eastAsia="zh-CN"/>
              </w:rPr>
              <w:t>排</w:t>
            </w:r>
            <w:r>
              <w:rPr>
                <w:rFonts w:hint="default" w:ascii="Times New Roman" w:hAnsi="Times New Roman" w:cs="Times New Roman" w:eastAsiaTheme="minorEastAsia"/>
                <w:b/>
                <w:color w:val="auto"/>
                <w:sz w:val="24"/>
              </w:rPr>
              <w:t>水</w:t>
            </w:r>
          </w:p>
          <w:p w14:paraId="339C74B2">
            <w:pPr>
              <w:pStyle w:val="67"/>
              <w:keepNext w:val="0"/>
              <w:keepLines w:val="0"/>
              <w:suppressLineNumbers w:val="0"/>
              <w:adjustRightInd/>
              <w:snapToGrid/>
              <w:spacing w:before="0" w:beforeAutospacing="0" w:after="0" w:afterAutospacing="0" w:line="520" w:lineRule="exact"/>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lang w:val="en-US" w:eastAsia="zh-CN"/>
              </w:rPr>
              <w:t>给水</w:t>
            </w:r>
          </w:p>
          <w:p w14:paraId="641B87C3">
            <w:pPr>
              <w:pStyle w:val="67"/>
              <w:keepNext w:val="0"/>
              <w:keepLines w:val="0"/>
              <w:suppressLineNumbers w:val="0"/>
              <w:adjustRightInd/>
              <w:snapToGrid/>
              <w:spacing w:before="0" w:beforeAutospacing="0" w:after="0" w:afterAutospacing="0" w:line="520" w:lineRule="exact"/>
              <w:ind w:left="0" w:right="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项目运营期用水依托市政给水，主要为诊疗用水、动物美容用水、动物笼清洗用水</w:t>
            </w:r>
            <w:r>
              <w:rPr>
                <w:rFonts w:hint="eastAsia" w:cs="Times New Roman" w:eastAsiaTheme="minorEastAsia"/>
                <w:color w:val="auto"/>
                <w:lang w:val="en-US" w:eastAsia="zh-CN"/>
              </w:rPr>
              <w:t>、</w:t>
            </w:r>
            <w:r>
              <w:rPr>
                <w:rFonts w:hint="default" w:ascii="Times New Roman" w:hAnsi="Times New Roman" w:cs="Times New Roman" w:eastAsiaTheme="minorEastAsia"/>
                <w:color w:val="auto"/>
                <w:lang w:val="en-US" w:eastAsia="zh-CN"/>
              </w:rPr>
              <w:t>生活用水。</w:t>
            </w:r>
          </w:p>
          <w:p w14:paraId="0255EBCB">
            <w:pPr>
              <w:pStyle w:val="67"/>
              <w:keepNext w:val="0"/>
              <w:keepLines w:val="0"/>
              <w:suppressLineNumbers w:val="0"/>
              <w:adjustRightInd/>
              <w:snapToGrid/>
              <w:spacing w:before="0" w:beforeAutospacing="0" w:after="0" w:afterAutospacing="0" w:line="520" w:lineRule="exact"/>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lang w:val="en-US" w:eastAsia="zh-CN"/>
              </w:rPr>
              <w:t>排水</w:t>
            </w:r>
          </w:p>
          <w:p w14:paraId="0EC438BB">
            <w:pPr>
              <w:pStyle w:val="67"/>
              <w:keepNext w:val="0"/>
              <w:keepLines w:val="0"/>
              <w:suppressLineNumbers w:val="0"/>
              <w:adjustRightInd/>
              <w:snapToGrid/>
              <w:spacing w:before="0" w:beforeAutospacing="0" w:after="0" w:afterAutospacing="0" w:line="520" w:lineRule="exact"/>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本项目运营期废水主要为诊疗废水、美容废水、宠物笼清洗污水、生活污水。</w:t>
            </w:r>
          </w:p>
          <w:p w14:paraId="0A393714">
            <w:pPr>
              <w:pStyle w:val="67"/>
              <w:keepNext w:val="0"/>
              <w:keepLines w:val="0"/>
              <w:suppressLineNumbers w:val="0"/>
              <w:adjustRightInd/>
              <w:snapToGrid/>
              <w:spacing w:before="0" w:beforeAutospacing="0" w:after="0" w:afterAutospacing="0" w:line="520" w:lineRule="exact"/>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诊疗废水</w:t>
            </w:r>
            <w:r>
              <w:rPr>
                <w:rFonts w:hint="eastAsia"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lang w:val="en-US" w:eastAsia="zh-CN"/>
              </w:rPr>
              <w:t>宠物笼清洗污水单独收集，采取密闭的一体化污水处理设施消毒处理，处理后与其他</w:t>
            </w:r>
            <w:r>
              <w:rPr>
                <w:rFonts w:hint="default" w:ascii="Times New Roman" w:hAnsi="Times New Roman" w:cs="Times New Roman" w:eastAsiaTheme="minorEastAsia"/>
                <w:color w:val="auto"/>
                <w:sz w:val="24"/>
                <w:szCs w:val="24"/>
                <w:lang w:val="en-US" w:eastAsia="zh-CN"/>
              </w:rPr>
              <w:t>废水</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kern w:val="2"/>
                <w:sz w:val="24"/>
                <w:szCs w:val="24"/>
                <w:lang w:val="en-US" w:eastAsia="zh-CN" w:bidi="ar-SA"/>
              </w:rPr>
              <w:t>美容废水、生活污水</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汇集</w:t>
            </w:r>
            <w:r>
              <w:rPr>
                <w:rFonts w:hint="default" w:ascii="Times New Roman" w:hAnsi="Times New Roman" w:cs="Times New Roman" w:eastAsiaTheme="minorEastAsia"/>
                <w:color w:val="auto"/>
                <w:lang w:val="en-US" w:eastAsia="zh-CN"/>
              </w:rPr>
              <w:t>一起排入市政管网，最终排入阜西污水处理厂处理。废水处理工艺采用一体化污水处理设施，处理能力为1.0</w:t>
            </w:r>
            <w:r>
              <w:rPr>
                <w:rFonts w:hint="eastAsia" w:cs="Times New Roman" w:eastAsiaTheme="minorEastAsia"/>
                <w:color w:val="auto"/>
                <w:lang w:val="en-US" w:eastAsia="zh-CN"/>
              </w:rPr>
              <w:t>m</w:t>
            </w:r>
            <w:r>
              <w:rPr>
                <w:rFonts w:hint="eastAsia" w:cs="Times New Roman" w:eastAsiaTheme="minorEastAsia"/>
                <w:color w:val="auto"/>
                <w:vertAlign w:val="superscript"/>
                <w:lang w:val="en-US" w:eastAsia="zh-CN"/>
              </w:rPr>
              <w:t>3</w:t>
            </w:r>
            <w:r>
              <w:rPr>
                <w:rFonts w:hint="default" w:ascii="Times New Roman" w:hAnsi="Times New Roman" w:cs="Times New Roman" w:eastAsiaTheme="minorEastAsia"/>
                <w:color w:val="auto"/>
                <w:lang w:val="en-US" w:eastAsia="zh-CN"/>
              </w:rPr>
              <w:t>/</w:t>
            </w:r>
            <w:r>
              <w:rPr>
                <w:rFonts w:hint="eastAsia" w:cs="Times New Roman" w:eastAsiaTheme="minorEastAsia"/>
                <w:color w:val="auto"/>
                <w:lang w:val="en-US" w:eastAsia="zh-CN"/>
              </w:rPr>
              <w:t>d</w:t>
            </w:r>
            <w:r>
              <w:rPr>
                <w:rFonts w:hint="default" w:ascii="Times New Roman" w:hAnsi="Times New Roman" w:cs="Times New Roman" w:eastAsiaTheme="minorEastAsia"/>
                <w:color w:val="auto"/>
                <w:lang w:val="en-US" w:eastAsia="zh-CN"/>
              </w:rPr>
              <w:t>。</w:t>
            </w:r>
          </w:p>
          <w:p w14:paraId="7BE3D139">
            <w:pPr>
              <w:pStyle w:val="67"/>
              <w:keepNext w:val="0"/>
              <w:keepLines w:val="0"/>
              <w:suppressLineNumbers w:val="0"/>
              <w:adjustRightInd/>
              <w:snapToGrid/>
              <w:spacing w:before="0" w:beforeAutospacing="0" w:after="0" w:afterAutospacing="0" w:line="520" w:lineRule="exact"/>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（3）水平衡</w:t>
            </w:r>
          </w:p>
          <w:p w14:paraId="0D1F669F">
            <w:pPr>
              <w:pStyle w:val="67"/>
              <w:keepNext w:val="0"/>
              <w:keepLines w:val="0"/>
              <w:suppressLineNumbers w:val="0"/>
              <w:adjustRightInd/>
              <w:snapToGrid/>
              <w:spacing w:before="0" w:beforeAutospacing="0" w:after="0" w:afterAutospacing="0" w:line="520" w:lineRule="exact"/>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①诊疗用水</w:t>
            </w:r>
          </w:p>
          <w:p w14:paraId="08026B0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门诊用水：本项目参考《建筑给水排水设计标准》（GB50015-2019）进行用水量计算，选取最高日用水定额取10L/只，则用水量计</w:t>
            </w:r>
            <w:r>
              <w:rPr>
                <w:rFonts w:hint="eastAsia" w:cs="Times New Roman" w:eastAsiaTheme="minorEastAsia"/>
                <w:bCs/>
                <w:color w:val="auto"/>
                <w:sz w:val="24"/>
                <w:szCs w:val="24"/>
                <w:lang w:val="en-US" w:eastAsia="zh-CN"/>
              </w:rPr>
              <w:t>6</w:t>
            </w:r>
            <w:r>
              <w:rPr>
                <w:rFonts w:hint="default" w:ascii="Times New Roman" w:hAnsi="Times New Roman" w:cs="Times New Roman" w:eastAsiaTheme="minorEastAsia"/>
                <w:bCs/>
                <w:color w:val="auto"/>
                <w:sz w:val="24"/>
                <w:szCs w:val="24"/>
                <w:lang w:val="en-US" w:eastAsia="zh-CN"/>
              </w:rPr>
              <w:t>.0t/a。</w:t>
            </w:r>
          </w:p>
          <w:p w14:paraId="19BD556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住院用水：本项目参考《建筑给水排水设计标准》（GB50015-2019）进行用水量计算，选取最高日用水定额取20L/只，则用水量计</w:t>
            </w:r>
            <w:r>
              <w:rPr>
                <w:rFonts w:hint="eastAsia" w:cs="Times New Roman" w:eastAsiaTheme="minorEastAsia"/>
                <w:bCs/>
                <w:color w:val="auto"/>
                <w:sz w:val="24"/>
                <w:szCs w:val="24"/>
                <w:lang w:val="en-US" w:eastAsia="zh-CN"/>
              </w:rPr>
              <w:t>4</w:t>
            </w:r>
            <w:r>
              <w:rPr>
                <w:rFonts w:hint="default" w:ascii="Times New Roman" w:hAnsi="Times New Roman" w:cs="Times New Roman" w:eastAsiaTheme="minorEastAsia"/>
                <w:bCs/>
                <w:color w:val="auto"/>
                <w:sz w:val="24"/>
                <w:szCs w:val="24"/>
                <w:lang w:val="en-US" w:eastAsia="zh-CN"/>
              </w:rPr>
              <w:t>.0t/a。</w:t>
            </w:r>
          </w:p>
          <w:p w14:paraId="48B2071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故本项目诊疗用水总计为</w:t>
            </w:r>
            <w:r>
              <w:rPr>
                <w:rFonts w:hint="eastAsia" w:cs="Times New Roman" w:eastAsiaTheme="minorEastAsia"/>
                <w:bCs/>
                <w:color w:val="auto"/>
                <w:sz w:val="24"/>
                <w:szCs w:val="24"/>
                <w:lang w:val="en-US" w:eastAsia="zh-CN"/>
              </w:rPr>
              <w:t>10</w:t>
            </w:r>
            <w:r>
              <w:rPr>
                <w:rFonts w:hint="default" w:ascii="Times New Roman" w:hAnsi="Times New Roman" w:cs="Times New Roman" w:eastAsiaTheme="minorEastAsia"/>
                <w:bCs/>
                <w:color w:val="auto"/>
                <w:sz w:val="24"/>
                <w:szCs w:val="24"/>
                <w:lang w:val="en-US" w:eastAsia="zh-CN"/>
              </w:rPr>
              <w:t>.0t/a，医疗废水产生系数按90%计算，则诊疗废水量为</w:t>
            </w:r>
            <w:r>
              <w:rPr>
                <w:rFonts w:hint="eastAsia" w:cs="Times New Roman" w:eastAsiaTheme="minorEastAsia"/>
                <w:bCs/>
                <w:color w:val="auto"/>
                <w:sz w:val="24"/>
                <w:szCs w:val="24"/>
                <w:lang w:val="en-US" w:eastAsia="zh-CN"/>
              </w:rPr>
              <w:t>9.0</w:t>
            </w:r>
            <w:r>
              <w:rPr>
                <w:rFonts w:hint="default" w:ascii="Times New Roman" w:hAnsi="Times New Roman" w:cs="Times New Roman" w:eastAsiaTheme="minorEastAsia"/>
                <w:bCs/>
                <w:color w:val="auto"/>
                <w:sz w:val="24"/>
                <w:szCs w:val="24"/>
                <w:lang w:val="en-US" w:eastAsia="zh-CN"/>
              </w:rPr>
              <w:t>t/a。</w:t>
            </w:r>
          </w:p>
          <w:p w14:paraId="394612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②动物美容用水</w:t>
            </w:r>
          </w:p>
          <w:p w14:paraId="2D4CE86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洗护废水主要来自宠物美容、清洗过程产生的废水，根据建设提供资料，宠物洗护用水量按每只宠物30L计。项目宠物美容年接待量为400只，则洗护用水量为12.0t/a；污水量按用水量的90%计，则洗护废水产生量为10.8t/a。</w:t>
            </w:r>
          </w:p>
          <w:p w14:paraId="5F2D6C6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③动物笼清洗用水</w:t>
            </w:r>
          </w:p>
          <w:p w14:paraId="6451A10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根据建设单位运行情况，平均动物笼每周清洗一次，每次清洗动物笼数量约</w:t>
            </w:r>
            <w:r>
              <w:rPr>
                <w:rFonts w:hint="eastAsia" w:cs="Times New Roman" w:eastAsiaTheme="minorEastAsia"/>
                <w:bCs/>
                <w:color w:val="auto"/>
                <w:sz w:val="24"/>
                <w:szCs w:val="24"/>
                <w:lang w:val="en-US" w:eastAsia="zh-CN"/>
              </w:rPr>
              <w:t>8</w:t>
            </w:r>
            <w:r>
              <w:rPr>
                <w:rFonts w:hint="default" w:ascii="Times New Roman" w:hAnsi="Times New Roman" w:cs="Times New Roman" w:eastAsiaTheme="minorEastAsia"/>
                <w:bCs/>
                <w:color w:val="auto"/>
                <w:sz w:val="24"/>
                <w:szCs w:val="24"/>
                <w:lang w:val="en-US" w:eastAsia="zh-CN"/>
              </w:rPr>
              <w:t>个，清洗用水量按50L/个·次，则宠物笼清洗用水量为1</w:t>
            </w:r>
            <w:r>
              <w:rPr>
                <w:rFonts w:hint="eastAsia" w:cs="Times New Roman" w:eastAsiaTheme="minorEastAsia"/>
                <w:bCs/>
                <w:color w:val="auto"/>
                <w:sz w:val="24"/>
                <w:szCs w:val="24"/>
                <w:lang w:val="en-US" w:eastAsia="zh-CN"/>
              </w:rPr>
              <w:t>9.2</w:t>
            </w:r>
            <w:r>
              <w:rPr>
                <w:rFonts w:hint="default" w:ascii="Times New Roman" w:hAnsi="Times New Roman" w:cs="Times New Roman" w:eastAsiaTheme="minorEastAsia"/>
                <w:bCs/>
                <w:color w:val="auto"/>
                <w:sz w:val="24"/>
                <w:szCs w:val="24"/>
                <w:lang w:val="en-US" w:eastAsia="zh-CN"/>
              </w:rPr>
              <w:t>t/a；宠物笼清洗污水产生系数按80%计算，则项目运营期产生的宠物笼清洗污水量为1</w:t>
            </w:r>
            <w:r>
              <w:rPr>
                <w:rFonts w:hint="eastAsia" w:cs="Times New Roman" w:eastAsiaTheme="minorEastAsia"/>
                <w:bCs/>
                <w:color w:val="auto"/>
                <w:sz w:val="24"/>
                <w:szCs w:val="24"/>
                <w:lang w:val="en-US" w:eastAsia="zh-CN"/>
              </w:rPr>
              <w:t>5.36</w:t>
            </w:r>
            <w:r>
              <w:rPr>
                <w:rFonts w:hint="default" w:ascii="Times New Roman" w:hAnsi="Times New Roman" w:cs="Times New Roman" w:eastAsiaTheme="minorEastAsia"/>
                <w:bCs/>
                <w:color w:val="auto"/>
                <w:sz w:val="24"/>
                <w:szCs w:val="24"/>
                <w:lang w:val="en-US" w:eastAsia="zh-CN"/>
              </w:rPr>
              <w:t>t/a。</w:t>
            </w:r>
          </w:p>
          <w:p w14:paraId="4AD0136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④生活用水</w:t>
            </w:r>
          </w:p>
          <w:p w14:paraId="1200FF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本项目劳动定员5人，均不在医院内食宿，年工作3</w:t>
            </w:r>
            <w:r>
              <w:rPr>
                <w:rFonts w:hint="eastAsia" w:cs="Times New Roman" w:eastAsiaTheme="minorEastAsia"/>
                <w:bCs/>
                <w:color w:val="auto"/>
                <w:sz w:val="24"/>
                <w:szCs w:val="24"/>
                <w:lang w:val="en-US" w:eastAsia="zh-CN"/>
              </w:rPr>
              <w:t>3</w:t>
            </w:r>
            <w:r>
              <w:rPr>
                <w:rFonts w:hint="default" w:ascii="Times New Roman" w:hAnsi="Times New Roman" w:cs="Times New Roman" w:eastAsiaTheme="minorEastAsia"/>
                <w:bCs/>
                <w:color w:val="auto"/>
                <w:sz w:val="24"/>
                <w:szCs w:val="24"/>
                <w:lang w:val="en-US" w:eastAsia="zh-CN"/>
              </w:rPr>
              <w:t>0天。参照</w:t>
            </w:r>
            <w:r>
              <w:rPr>
                <w:rFonts w:hint="eastAsia" w:ascii="宋体" w:hAnsi="宋体" w:eastAsia="宋体" w:cs="宋体"/>
                <w:kern w:val="0"/>
                <w:sz w:val="24"/>
                <w:szCs w:val="24"/>
                <w:lang w:val="en-US" w:eastAsia="zh-CN" w:bidi="ar"/>
              </w:rPr>
              <w:t>《排放源统计调查产排污核算方法和系数手册》—“生活源产排污系数手册”－“第一部分 城镇生活源水污染物产生系数”</w:t>
            </w:r>
            <w:r>
              <w:rPr>
                <w:rFonts w:hint="eastAsia" w:ascii="宋体" w:hAnsi="宋体" w:eastAsia="宋体" w:cs="宋体"/>
                <w:kern w:val="2"/>
                <w:sz w:val="24"/>
                <w:szCs w:val="24"/>
                <w:lang w:val="en-US" w:eastAsia="zh-CN" w:bidi="ar"/>
              </w:rPr>
              <w:t>中城镇居民用水定额</w:t>
            </w:r>
            <w:r>
              <w:rPr>
                <w:rFonts w:hint="default" w:ascii="Times New Roman" w:hAnsi="Times New Roman" w:eastAsia="宋体" w:cs="Times New Roman"/>
                <w:kern w:val="2"/>
                <w:sz w:val="24"/>
                <w:szCs w:val="24"/>
                <w:lang w:val="en-US" w:eastAsia="zh-CN" w:bidi="ar"/>
              </w:rPr>
              <w:t>137L/</w:t>
            </w:r>
            <w:r>
              <w:rPr>
                <w:rFonts w:hint="eastAsia" w:ascii="宋体" w:hAnsi="宋体" w:eastAsia="宋体" w:cs="宋体"/>
                <w:kern w:val="2"/>
                <w:sz w:val="24"/>
                <w:szCs w:val="24"/>
                <w:lang w:val="en-US" w:eastAsia="zh-CN" w:bidi="ar"/>
              </w:rPr>
              <w:t>人</w:t>
            </w:r>
            <w:r>
              <w:rPr>
                <w:rFonts w:hint="default" w:ascii="Times New Roman" w:hAnsi="Times New Roman" w:eastAsia="宋体" w:cs="Times New Roman"/>
                <w:kern w:val="2"/>
                <w:sz w:val="24"/>
                <w:szCs w:val="24"/>
                <w:lang w:val="en-US" w:eastAsia="zh-CN" w:bidi="ar"/>
              </w:rPr>
              <w:t>·d</w:t>
            </w:r>
            <w:r>
              <w:rPr>
                <w:rFonts w:hint="eastAsia" w:ascii="宋体" w:hAnsi="宋体" w:eastAsia="宋体" w:cs="宋体"/>
                <w:kern w:val="2"/>
                <w:sz w:val="24"/>
                <w:szCs w:val="24"/>
                <w:lang w:val="en-US" w:eastAsia="zh-CN" w:bidi="ar"/>
              </w:rPr>
              <w:t>计算，</w:t>
            </w:r>
            <w:r>
              <w:rPr>
                <w:rFonts w:hint="default" w:ascii="Times New Roman" w:hAnsi="Times New Roman" w:cs="Times New Roman" w:eastAsiaTheme="minorEastAsia"/>
                <w:bCs/>
                <w:color w:val="auto"/>
                <w:sz w:val="24"/>
                <w:szCs w:val="24"/>
                <w:lang w:val="en-US" w:eastAsia="zh-CN"/>
              </w:rPr>
              <w:t>则项目生活用水量为0.</w:t>
            </w:r>
            <w:r>
              <w:rPr>
                <w:rFonts w:hint="eastAsia" w:ascii="Times New Roman" w:hAnsi="Times New Roman" w:cs="Times New Roman" w:eastAsiaTheme="minorEastAsia"/>
                <w:bCs/>
                <w:color w:val="auto"/>
                <w:sz w:val="24"/>
                <w:szCs w:val="24"/>
                <w:lang w:val="en-US" w:eastAsia="zh-CN"/>
              </w:rPr>
              <w:t>68</w:t>
            </w:r>
            <w:r>
              <w:rPr>
                <w:rFonts w:hint="default" w:ascii="Times New Roman" w:hAnsi="Times New Roman" w:cs="Times New Roman" w:eastAsiaTheme="minorEastAsia"/>
                <w:bCs/>
                <w:color w:val="auto"/>
                <w:sz w:val="24"/>
                <w:szCs w:val="24"/>
                <w:lang w:val="en-US" w:eastAsia="zh-CN"/>
              </w:rPr>
              <w:t>5t/d（</w:t>
            </w:r>
            <w:r>
              <w:rPr>
                <w:rFonts w:hint="eastAsia" w:cs="Times New Roman" w:eastAsiaTheme="minorEastAsia"/>
                <w:bCs/>
                <w:color w:val="auto"/>
                <w:sz w:val="24"/>
                <w:szCs w:val="24"/>
                <w:lang w:val="en-US" w:eastAsia="zh-CN"/>
              </w:rPr>
              <w:t>226.05</w:t>
            </w:r>
            <w:r>
              <w:rPr>
                <w:rFonts w:hint="default" w:ascii="Times New Roman" w:hAnsi="Times New Roman" w:cs="Times New Roman" w:eastAsiaTheme="minorEastAsia"/>
                <w:bCs/>
                <w:color w:val="auto"/>
                <w:sz w:val="24"/>
                <w:szCs w:val="24"/>
                <w:lang w:val="en-US" w:eastAsia="zh-CN"/>
              </w:rPr>
              <w:t>t/a）</w:t>
            </w:r>
            <w:r>
              <w:rPr>
                <w:rFonts w:hint="eastAsia" w:ascii="Times New Roman" w:hAnsi="Times New Roman" w:cs="Times New Roman" w:eastAsiaTheme="minorEastAsia"/>
                <w:bCs/>
                <w:color w:val="auto"/>
                <w:sz w:val="24"/>
                <w:szCs w:val="24"/>
                <w:lang w:val="en-US" w:eastAsia="zh-CN"/>
              </w:rPr>
              <w:t>；</w:t>
            </w:r>
            <w:r>
              <w:rPr>
                <w:rFonts w:hint="default" w:ascii="Times New Roman" w:hAnsi="Times New Roman" w:cs="Times New Roman" w:eastAsiaTheme="minorEastAsia"/>
                <w:bCs/>
                <w:color w:val="auto"/>
                <w:sz w:val="24"/>
                <w:szCs w:val="24"/>
                <w:lang w:val="en-US" w:eastAsia="zh-CN"/>
              </w:rPr>
              <w:t>排水量按用水量的80%计，则生活污水排放量为0.</w:t>
            </w:r>
            <w:r>
              <w:rPr>
                <w:rFonts w:hint="eastAsia" w:ascii="Times New Roman" w:hAnsi="Times New Roman" w:cs="Times New Roman" w:eastAsiaTheme="minorEastAsia"/>
                <w:bCs/>
                <w:color w:val="auto"/>
                <w:sz w:val="24"/>
                <w:szCs w:val="24"/>
                <w:lang w:val="en-US" w:eastAsia="zh-CN"/>
              </w:rPr>
              <w:t>55</w:t>
            </w:r>
            <w:r>
              <w:rPr>
                <w:rFonts w:hint="default" w:ascii="Times New Roman" w:hAnsi="Times New Roman" w:cs="Times New Roman" w:eastAsiaTheme="minorEastAsia"/>
                <w:bCs/>
                <w:color w:val="auto"/>
                <w:sz w:val="24"/>
                <w:szCs w:val="24"/>
                <w:lang w:val="en-US" w:eastAsia="zh-CN"/>
              </w:rPr>
              <w:t>t/d（</w:t>
            </w:r>
            <w:r>
              <w:rPr>
                <w:rFonts w:hint="eastAsia" w:ascii="Times New Roman" w:hAnsi="Times New Roman" w:cs="Times New Roman" w:eastAsiaTheme="minorEastAsia"/>
                <w:bCs/>
                <w:color w:val="auto"/>
                <w:sz w:val="24"/>
                <w:szCs w:val="24"/>
                <w:lang w:val="en-US" w:eastAsia="zh-CN"/>
              </w:rPr>
              <w:t>180.8</w:t>
            </w:r>
            <w:r>
              <w:rPr>
                <w:rFonts w:hint="default" w:ascii="Times New Roman" w:hAnsi="Times New Roman" w:cs="Times New Roman" w:eastAsiaTheme="minorEastAsia"/>
                <w:bCs/>
                <w:color w:val="auto"/>
                <w:sz w:val="24"/>
                <w:szCs w:val="24"/>
                <w:lang w:val="en-US" w:eastAsia="zh-CN"/>
              </w:rPr>
              <w:t>t/a），排入市政管网，最终排入</w:t>
            </w:r>
            <w:r>
              <w:rPr>
                <w:rFonts w:hint="default" w:ascii="Times New Roman" w:hAnsi="Times New Roman" w:cs="Times New Roman" w:eastAsiaTheme="minorEastAsia"/>
                <w:color w:val="auto"/>
                <w:sz w:val="24"/>
                <w:szCs w:val="24"/>
                <w:lang w:val="en-US" w:eastAsia="zh-CN"/>
              </w:rPr>
              <w:t>阜西污水处理厂</w:t>
            </w:r>
            <w:r>
              <w:rPr>
                <w:rFonts w:hint="default" w:ascii="Times New Roman" w:hAnsi="Times New Roman" w:cs="Times New Roman" w:eastAsiaTheme="minorEastAsia"/>
                <w:bCs/>
                <w:color w:val="auto"/>
                <w:sz w:val="24"/>
                <w:szCs w:val="24"/>
                <w:lang w:val="en-US" w:eastAsia="zh-CN"/>
              </w:rPr>
              <w:t>处理。</w:t>
            </w:r>
          </w:p>
          <w:p w14:paraId="647F27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本项目水平衡见图</w:t>
            </w:r>
            <w:r>
              <w:rPr>
                <w:rFonts w:hint="eastAsia" w:cs="Times New Roman" w:eastAsiaTheme="minorEastAsia"/>
                <w:bCs/>
                <w:color w:val="auto"/>
                <w:sz w:val="24"/>
                <w:szCs w:val="24"/>
                <w:lang w:val="en-US" w:eastAsia="zh-CN"/>
              </w:rPr>
              <w:t>2-</w:t>
            </w:r>
            <w:r>
              <w:rPr>
                <w:rFonts w:hint="default" w:ascii="Times New Roman" w:hAnsi="Times New Roman" w:cs="Times New Roman" w:eastAsiaTheme="minorEastAsia"/>
                <w:bCs/>
                <w:color w:val="auto"/>
                <w:sz w:val="24"/>
                <w:szCs w:val="24"/>
                <w:lang w:val="en-US" w:eastAsia="zh-CN"/>
              </w:rPr>
              <w:t>1。</w:t>
            </w:r>
          </w:p>
          <w:p w14:paraId="2DE8AE30">
            <w:pPr>
              <w:pStyle w:val="18"/>
              <w:keepNext w:val="0"/>
              <w:keepLines w:val="0"/>
              <w:suppressLineNumbers w:val="0"/>
              <w:spacing w:before="0" w:beforeAutospacing="0" w:after="0" w:afterAutospacing="0"/>
              <w:ind w:left="0" w:right="0"/>
              <w:rPr>
                <w:rFonts w:hint="default" w:ascii="Times New Roman" w:hAnsi="Times New Roman" w:cs="Times New Roman" w:eastAsiaTheme="minorEastAsia"/>
                <w:bCs/>
                <w:color w:val="auto"/>
                <w:szCs w:val="21"/>
                <w:lang w:val="en-US" w:eastAsia="zh-CN"/>
              </w:rPr>
            </w:pPr>
            <w:r>
              <w:rPr>
                <w:rFonts w:hint="default" w:ascii="Times New Roman" w:hAnsi="Times New Roman" w:cs="Times New Roman"/>
                <w:color w:val="auto"/>
                <w:sz w:val="21"/>
                <w:shd w:val="clear" w:color="auto" w:fill="auto"/>
              </w:rPr>
              <mc:AlternateContent>
                <mc:Choice Requires="wpc">
                  <w:drawing>
                    <wp:inline distT="0" distB="0" distL="114300" distR="114300">
                      <wp:extent cx="5181600" cy="2640330"/>
                      <wp:effectExtent l="0" t="0" r="0" b="0"/>
                      <wp:docPr id="53" name="画布 53"/>
                      <wp:cNvGraphicFramePr/>
                      <a:graphic xmlns:a="http://schemas.openxmlformats.org/drawingml/2006/main">
                        <a:graphicData uri="http://schemas.microsoft.com/office/word/2010/wordprocessingCanvas">
                          <wpc:wpc>
                            <wpc:bg>
                              <a:noFill/>
                            </wpc:bg>
                            <wpc:whole>
                              <a:ln>
                                <a:noFill/>
                              </a:ln>
                            </wpc:whole>
                            <wps:wsp>
                              <wps:cNvPr id="18" name="矩形 18"/>
                              <wps:cNvSpPr/>
                              <wps:spPr>
                                <a:xfrm>
                                  <a:off x="901065" y="130175"/>
                                  <a:ext cx="461010" cy="199390"/>
                                </a:xfrm>
                                <a:prstGeom prst="rect">
                                  <a:avLst/>
                                </a:prstGeom>
                                <a:noFill/>
                                <a:ln>
                                  <a:noFill/>
                                </a:ln>
                              </wps:spPr>
                              <wps:txbx>
                                <w:txbxContent>
                                  <w:p w14:paraId="6E10DE68">
                                    <w:pPr>
                                      <w:rPr>
                                        <w:rFonts w:hint="default" w:eastAsia="宋体"/>
                                        <w:sz w:val="15"/>
                                        <w:szCs w:val="15"/>
                                        <w:lang w:val="en-US" w:eastAsia="zh-CN"/>
                                      </w:rPr>
                                    </w:pPr>
                                    <w:r>
                                      <w:rPr>
                                        <w:rFonts w:hint="eastAsia"/>
                                        <w:sz w:val="15"/>
                                        <w:szCs w:val="15"/>
                                        <w:lang w:val="en-US" w:eastAsia="zh-CN"/>
                                      </w:rPr>
                                      <w:t>10.0</w:t>
                                    </w:r>
                                  </w:p>
                                </w:txbxContent>
                              </wps:txbx>
                              <wps:bodyPr upright="1"/>
                            </wps:wsp>
                            <wps:wsp>
                              <wps:cNvPr id="19" name="文本框 19"/>
                              <wps:cNvSpPr txBox="1"/>
                              <wps:spPr>
                                <a:xfrm>
                                  <a:off x="180975" y="721360"/>
                                  <a:ext cx="271780" cy="1171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022028">
                                    <w:pPr>
                                      <w:rPr>
                                        <w:rFonts w:hint="eastAsia"/>
                                        <w:sz w:val="15"/>
                                        <w:szCs w:val="15"/>
                                      </w:rPr>
                                    </w:pPr>
                                  </w:p>
                                  <w:p w14:paraId="5EB818E5">
                                    <w:pPr>
                                      <w:rPr>
                                        <w:rFonts w:hint="eastAsia"/>
                                        <w:sz w:val="15"/>
                                        <w:szCs w:val="15"/>
                                      </w:rPr>
                                    </w:pPr>
                                  </w:p>
                                  <w:p w14:paraId="5A5A8461">
                                    <w:pPr>
                                      <w:pStyle w:val="18"/>
                                      <w:rPr>
                                        <w:rFonts w:hint="eastAsia"/>
                                      </w:rPr>
                                    </w:pPr>
                                  </w:p>
                                  <w:p w14:paraId="7D5A44AB">
                                    <w:pPr>
                                      <w:rPr>
                                        <w:rFonts w:hint="eastAsia"/>
                                        <w:sz w:val="15"/>
                                        <w:szCs w:val="15"/>
                                      </w:rPr>
                                    </w:pPr>
                                    <w:r>
                                      <w:rPr>
                                        <w:rFonts w:hint="eastAsia"/>
                                        <w:sz w:val="15"/>
                                        <w:szCs w:val="15"/>
                                      </w:rPr>
                                      <w:t>新</w:t>
                                    </w:r>
                                  </w:p>
                                  <w:p w14:paraId="44C133CB">
                                    <w:pPr>
                                      <w:rPr>
                                        <w:rFonts w:hint="eastAsia"/>
                                        <w:sz w:val="15"/>
                                        <w:szCs w:val="15"/>
                                      </w:rPr>
                                    </w:pPr>
                                    <w:r>
                                      <w:rPr>
                                        <w:rFonts w:hint="eastAsia"/>
                                        <w:sz w:val="15"/>
                                        <w:szCs w:val="15"/>
                                      </w:rPr>
                                      <w:t>鲜</w:t>
                                    </w:r>
                                  </w:p>
                                  <w:p w14:paraId="5C6242AC">
                                    <w:pPr>
                                      <w:rPr>
                                        <w:rFonts w:hint="eastAsia"/>
                                        <w:sz w:val="15"/>
                                        <w:szCs w:val="15"/>
                                      </w:rPr>
                                    </w:pPr>
                                    <w:r>
                                      <w:rPr>
                                        <w:rFonts w:hint="eastAsia"/>
                                        <w:sz w:val="15"/>
                                        <w:szCs w:val="15"/>
                                      </w:rPr>
                                      <w:t>水</w:t>
                                    </w:r>
                                  </w:p>
                                </w:txbxContent>
                              </wps:txbx>
                              <wps:bodyPr upright="1"/>
                            </wps:wsp>
                            <wps:wsp>
                              <wps:cNvPr id="20" name="文本框 20"/>
                              <wps:cNvSpPr txBox="1"/>
                              <wps:spPr>
                                <a:xfrm>
                                  <a:off x="4536440" y="1077595"/>
                                  <a:ext cx="660400" cy="568960"/>
                                </a:xfrm>
                                <a:prstGeom prst="rect">
                                  <a:avLst/>
                                </a:prstGeom>
                                <a:noFill/>
                                <a:ln>
                                  <a:noFill/>
                                </a:ln>
                              </wps:spPr>
                              <wps:txbx>
                                <w:txbxContent>
                                  <w:p w14:paraId="70F085CB">
                                    <w:pPr>
                                      <w:jc w:val="left"/>
                                      <w:rPr>
                                        <w:rFonts w:hint="default"/>
                                        <w:color w:val="auto"/>
                                        <w:sz w:val="15"/>
                                        <w:szCs w:val="15"/>
                                        <w:lang w:val="en-US" w:eastAsia="zh-CN"/>
                                      </w:rPr>
                                    </w:pPr>
                                    <w:r>
                                      <w:rPr>
                                        <w:rFonts w:hint="eastAsia" w:ascii="Calibri" w:hAnsi="Calibri" w:cs="Times New Roman"/>
                                        <w:color w:val="auto"/>
                                        <w:sz w:val="15"/>
                                        <w:szCs w:val="15"/>
                                        <w:lang w:val="en-US" w:eastAsia="zh-CN"/>
                                      </w:rPr>
                                      <w:t>通过市政管网排入阜西污水处理厂处理</w:t>
                                    </w:r>
                                  </w:p>
                                </w:txbxContent>
                              </wps:txbx>
                              <wps:bodyPr upright="1"/>
                            </wps:wsp>
                            <wps:wsp>
                              <wps:cNvPr id="22" name="直接连接符 22"/>
                              <wps:cNvCnPr/>
                              <wps:spPr>
                                <a:xfrm flipH="1">
                                  <a:off x="814705" y="333376"/>
                                  <a:ext cx="3810" cy="2059305"/>
                                </a:xfrm>
                                <a:prstGeom prst="line">
                                  <a:avLst/>
                                </a:prstGeom>
                                <a:ln w="9525" cap="flat" cmpd="sng">
                                  <a:solidFill>
                                    <a:srgbClr val="000000"/>
                                  </a:solidFill>
                                  <a:prstDash val="solid"/>
                                  <a:miter/>
                                  <a:headEnd type="none" w="med" len="med"/>
                                  <a:tailEnd type="none" w="med" len="med"/>
                                </a:ln>
                              </wps:spPr>
                              <wps:bodyPr upright="1"/>
                            </wps:wsp>
                            <wps:wsp>
                              <wps:cNvPr id="23" name="直接连接符 23"/>
                              <wps:cNvCnPr/>
                              <wps:spPr>
                                <a:xfrm flipH="1">
                                  <a:off x="457200" y="1304290"/>
                                  <a:ext cx="354965" cy="635"/>
                                </a:xfrm>
                                <a:prstGeom prst="line">
                                  <a:avLst/>
                                </a:prstGeom>
                                <a:ln w="9525" cap="flat" cmpd="sng">
                                  <a:solidFill>
                                    <a:srgbClr val="000000"/>
                                  </a:solidFill>
                                  <a:prstDash val="solid"/>
                                  <a:miter/>
                                  <a:headEnd type="none" w="med" len="med"/>
                                  <a:tailEnd type="none" w="med" len="med"/>
                                </a:ln>
                                <a:effectLst/>
                              </wps:spPr>
                              <wps:bodyPr upright="1"/>
                            </wps:wsp>
                            <wps:wsp>
                              <wps:cNvPr id="25" name="直接连接符 25"/>
                              <wps:cNvCnPr/>
                              <wps:spPr>
                                <a:xfrm>
                                  <a:off x="4372610" y="1363345"/>
                                  <a:ext cx="297815" cy="635"/>
                                </a:xfrm>
                                <a:prstGeom prst="line">
                                  <a:avLst/>
                                </a:prstGeom>
                                <a:ln w="9525" cap="flat" cmpd="sng">
                                  <a:solidFill>
                                    <a:srgbClr val="000000"/>
                                  </a:solidFill>
                                  <a:prstDash val="solid"/>
                                  <a:round/>
                                  <a:headEnd type="none" w="med" len="med"/>
                                  <a:tailEnd type="arrow" w="med" len="med"/>
                                </a:ln>
                              </wps:spPr>
                              <wps:bodyPr upright="1"/>
                            </wps:wsp>
                            <wps:wsp>
                              <wps:cNvPr id="26" name="直接连接符 26"/>
                              <wps:cNvCnPr/>
                              <wps:spPr>
                                <a:xfrm flipV="1">
                                  <a:off x="1952625" y="119380"/>
                                  <a:ext cx="177800" cy="88900"/>
                                </a:xfrm>
                                <a:prstGeom prst="line">
                                  <a:avLst/>
                                </a:prstGeom>
                                <a:ln w="9525" cap="rnd" cmpd="sng">
                                  <a:solidFill>
                                    <a:srgbClr val="000000"/>
                                  </a:solidFill>
                                  <a:prstDash val="sysDot"/>
                                  <a:round/>
                                  <a:headEnd type="none" w="med" len="med"/>
                                  <a:tailEnd type="triangle" w="med" len="med"/>
                                </a:ln>
                              </wps:spPr>
                              <wps:bodyPr upright="1"/>
                            </wps:wsp>
                            <wps:wsp>
                              <wps:cNvPr id="27" name="矩形 27"/>
                              <wps:cNvSpPr/>
                              <wps:spPr>
                                <a:xfrm>
                                  <a:off x="2065020" y="15875"/>
                                  <a:ext cx="623570" cy="206375"/>
                                </a:xfrm>
                                <a:prstGeom prst="rect">
                                  <a:avLst/>
                                </a:prstGeom>
                                <a:noFill/>
                                <a:ln>
                                  <a:noFill/>
                                </a:ln>
                              </wps:spPr>
                              <wps:txbx>
                                <w:txbxContent>
                                  <w:p w14:paraId="4BA355A4">
                                    <w:pPr>
                                      <w:rPr>
                                        <w:rFonts w:hint="default" w:eastAsia="宋体"/>
                                        <w:sz w:val="15"/>
                                        <w:szCs w:val="15"/>
                                        <w:lang w:val="en-US" w:eastAsia="zh-CN"/>
                                      </w:rPr>
                                    </w:pPr>
                                    <w:r>
                                      <w:rPr>
                                        <w:rFonts w:hint="eastAsia"/>
                                        <w:sz w:val="15"/>
                                        <w:szCs w:val="15"/>
                                      </w:rPr>
                                      <w:t>损耗</w:t>
                                    </w:r>
                                    <w:r>
                                      <w:rPr>
                                        <w:rFonts w:hint="eastAsia"/>
                                        <w:sz w:val="15"/>
                                        <w:szCs w:val="15"/>
                                        <w:lang w:val="en-US" w:eastAsia="zh-CN"/>
                                      </w:rPr>
                                      <w:t>1.0</w:t>
                                    </w:r>
                                  </w:p>
                                </w:txbxContent>
                              </wps:txbx>
                              <wps:bodyPr upright="1"/>
                            </wps:wsp>
                            <wpg:wgp>
                              <wpg:cNvPr id="24" name="组合 24"/>
                              <wpg:cNvGrpSpPr/>
                              <wpg:grpSpPr>
                                <a:xfrm>
                                  <a:off x="824230" y="222250"/>
                                  <a:ext cx="1393825" cy="240030"/>
                                  <a:chOff x="1298" y="350"/>
                                  <a:chExt cx="2195" cy="378"/>
                                </a:xfrm>
                              </wpg:grpSpPr>
                              <wps:wsp>
                                <wps:cNvPr id="31" name="文本框 31"/>
                                <wps:cNvSpPr txBox="1"/>
                                <wps:spPr>
                                  <a:xfrm>
                                    <a:off x="2247" y="350"/>
                                    <a:ext cx="1246" cy="379"/>
                                  </a:xfrm>
                                  <a:prstGeom prst="rect">
                                    <a:avLst/>
                                  </a:prstGeom>
                                  <a:noFill/>
                                  <a:ln w="9525" cap="flat" cmpd="sng">
                                    <a:solidFill>
                                      <a:srgbClr val="000000"/>
                                    </a:solidFill>
                                    <a:prstDash val="solid"/>
                                    <a:miter/>
                                    <a:headEnd type="none" w="med" len="med"/>
                                    <a:tailEnd type="none" w="med" len="med"/>
                                  </a:ln>
                                </wps:spPr>
                                <wps:txbx>
                                  <w:txbxContent>
                                    <w:p w14:paraId="34B16AD5">
                                      <w:pPr>
                                        <w:jc w:val="center"/>
                                        <w:rPr>
                                          <w:rFonts w:hint="eastAsia" w:eastAsia="宋体"/>
                                          <w:lang w:eastAsia="zh-CN"/>
                                        </w:rPr>
                                      </w:pPr>
                                      <w:r>
                                        <w:rPr>
                                          <w:rFonts w:hint="eastAsia"/>
                                          <w:sz w:val="15"/>
                                          <w:szCs w:val="15"/>
                                          <w:lang w:val="en-US" w:eastAsia="zh-CN"/>
                                        </w:rPr>
                                        <w:t>诊疗</w:t>
                                      </w:r>
                                      <w:r>
                                        <w:rPr>
                                          <w:rFonts w:hint="eastAsia"/>
                                          <w:sz w:val="15"/>
                                          <w:szCs w:val="15"/>
                                          <w:lang w:eastAsia="zh-CN"/>
                                        </w:rPr>
                                        <w:t>用水</w:t>
                                      </w:r>
                                    </w:p>
                                  </w:txbxContent>
                                </wps:txbx>
                                <wps:bodyPr upright="1"/>
                              </wps:wsp>
                              <wps:wsp>
                                <wps:cNvPr id="35" name="直接连接符 35"/>
                                <wps:cNvCnPr/>
                                <wps:spPr>
                                  <a:xfrm flipV="1">
                                    <a:off x="1298" y="531"/>
                                    <a:ext cx="961" cy="5"/>
                                  </a:xfrm>
                                  <a:prstGeom prst="line">
                                    <a:avLst/>
                                  </a:prstGeom>
                                  <a:ln w="9525" cap="flat" cmpd="sng">
                                    <a:solidFill>
                                      <a:srgbClr val="000000"/>
                                    </a:solidFill>
                                    <a:prstDash val="solid"/>
                                    <a:round/>
                                    <a:headEnd type="none" w="med" len="med"/>
                                    <a:tailEnd type="arrow" w="med" len="med"/>
                                  </a:ln>
                                </wps:spPr>
                                <wps:bodyPr upright="1"/>
                              </wps:wsp>
                            </wpg:wgp>
                            <wps:wsp>
                              <wps:cNvPr id="38" name="文本框 38"/>
                              <wps:cNvSpPr txBox="1"/>
                              <wps:spPr>
                                <a:xfrm>
                                  <a:off x="2840355" y="525145"/>
                                  <a:ext cx="1364615" cy="240665"/>
                                </a:xfrm>
                                <a:prstGeom prst="rect">
                                  <a:avLst/>
                                </a:prstGeom>
                                <a:noFill/>
                                <a:ln w="9525" cap="flat" cmpd="sng">
                                  <a:solidFill>
                                    <a:srgbClr val="000000"/>
                                  </a:solidFill>
                                  <a:prstDash val="solid"/>
                                  <a:miter/>
                                  <a:headEnd type="none" w="med" len="med"/>
                                  <a:tailEnd type="none" w="med" len="med"/>
                                </a:ln>
                              </wps:spPr>
                              <wps:txbx>
                                <w:txbxContent>
                                  <w:p w14:paraId="4035EC2B">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sz w:val="15"/>
                                        <w:szCs w:val="15"/>
                                        <w:lang w:val="en-US" w:eastAsia="zh-CN"/>
                                      </w:rPr>
                                      <w:t>一体化污水处理设施+消毒</w:t>
                                    </w:r>
                                  </w:p>
                                </w:txbxContent>
                              </wps:txbx>
                              <wps:bodyPr upright="1"/>
                            </wps:wsp>
                            <wpg:wgp>
                              <wpg:cNvPr id="46" name="组合 46"/>
                              <wpg:cNvGrpSpPr/>
                              <wpg:grpSpPr>
                                <a:xfrm>
                                  <a:off x="816610" y="2280920"/>
                                  <a:ext cx="1393825" cy="240030"/>
                                  <a:chOff x="1298" y="350"/>
                                  <a:chExt cx="2195" cy="378"/>
                                </a:xfrm>
                              </wpg:grpSpPr>
                              <wps:wsp>
                                <wps:cNvPr id="48" name="文本框 31"/>
                                <wps:cNvSpPr txBox="1"/>
                                <wps:spPr>
                                  <a:xfrm>
                                    <a:off x="2247" y="350"/>
                                    <a:ext cx="1246" cy="379"/>
                                  </a:xfrm>
                                  <a:prstGeom prst="rect">
                                    <a:avLst/>
                                  </a:prstGeom>
                                  <a:noFill/>
                                  <a:ln w="9525" cap="flat" cmpd="sng">
                                    <a:solidFill>
                                      <a:srgbClr val="000000"/>
                                    </a:solidFill>
                                    <a:prstDash val="solid"/>
                                    <a:miter/>
                                    <a:headEnd type="none" w="med" len="med"/>
                                    <a:tailEnd type="none" w="med" len="med"/>
                                  </a:ln>
                                </wps:spPr>
                                <wps:txbx>
                                  <w:txbxContent>
                                    <w:p w14:paraId="4F479E2A">
                                      <w:pPr>
                                        <w:jc w:val="center"/>
                                        <w:rPr>
                                          <w:rFonts w:hint="eastAsia" w:eastAsia="宋体"/>
                                          <w:lang w:eastAsia="zh-CN"/>
                                        </w:rPr>
                                      </w:pPr>
                                      <w:r>
                                        <w:rPr>
                                          <w:rFonts w:hint="eastAsia"/>
                                          <w:sz w:val="15"/>
                                          <w:szCs w:val="15"/>
                                          <w:lang w:val="en-US" w:eastAsia="zh-CN"/>
                                        </w:rPr>
                                        <w:t>生活</w:t>
                                      </w:r>
                                      <w:r>
                                        <w:rPr>
                                          <w:rFonts w:hint="eastAsia"/>
                                          <w:sz w:val="15"/>
                                          <w:szCs w:val="15"/>
                                          <w:lang w:eastAsia="zh-CN"/>
                                        </w:rPr>
                                        <w:t>用水</w:t>
                                      </w:r>
                                    </w:p>
                                  </w:txbxContent>
                                </wps:txbx>
                                <wps:bodyPr upright="1"/>
                              </wps:wsp>
                              <wps:wsp>
                                <wps:cNvPr id="51" name="直接连接符 35"/>
                                <wps:cNvCnPr/>
                                <wps:spPr>
                                  <a:xfrm flipV="1">
                                    <a:off x="1298" y="531"/>
                                    <a:ext cx="961" cy="5"/>
                                  </a:xfrm>
                                  <a:prstGeom prst="line">
                                    <a:avLst/>
                                  </a:prstGeom>
                                  <a:ln w="9525" cap="flat" cmpd="sng">
                                    <a:solidFill>
                                      <a:srgbClr val="000000"/>
                                    </a:solidFill>
                                    <a:prstDash val="solid"/>
                                    <a:round/>
                                    <a:headEnd type="none" w="med" len="med"/>
                                    <a:tailEnd type="arrow" w="med" len="med"/>
                                  </a:ln>
                                </wps:spPr>
                                <wps:bodyPr upright="1"/>
                              </wps:wsp>
                            </wpg:wgp>
                            <wps:wsp>
                              <wps:cNvPr id="57" name="直接连接符 35"/>
                              <wps:cNvCnPr/>
                              <wps:spPr>
                                <a:xfrm flipV="1">
                                  <a:off x="2511425" y="650240"/>
                                  <a:ext cx="334010" cy="5080"/>
                                </a:xfrm>
                                <a:prstGeom prst="line">
                                  <a:avLst/>
                                </a:prstGeom>
                                <a:ln w="9525" cap="flat" cmpd="sng">
                                  <a:solidFill>
                                    <a:srgbClr val="000000"/>
                                  </a:solidFill>
                                  <a:prstDash val="solid"/>
                                  <a:round/>
                                  <a:headEnd type="none" w="med" len="med"/>
                                  <a:tailEnd type="arrow" w="med" len="med"/>
                                </a:ln>
                              </wps:spPr>
                              <wps:bodyPr upright="1"/>
                            </wps:wsp>
                            <wps:wsp>
                              <wps:cNvPr id="58" name="直接连接符 58"/>
                              <wps:cNvCnPr/>
                              <wps:spPr>
                                <a:xfrm flipH="1">
                                  <a:off x="4199890" y="641350"/>
                                  <a:ext cx="171450" cy="0"/>
                                </a:xfrm>
                                <a:prstGeom prst="line">
                                  <a:avLst/>
                                </a:prstGeom>
                                <a:ln w="9525" cap="flat" cmpd="sng">
                                  <a:solidFill>
                                    <a:srgbClr val="000000"/>
                                  </a:solidFill>
                                  <a:prstDash val="solid"/>
                                  <a:miter/>
                                  <a:headEnd type="none" w="med" len="med"/>
                                  <a:tailEnd type="none" w="med" len="med"/>
                                </a:ln>
                                <a:effectLst/>
                              </wps:spPr>
                              <wps:bodyPr upright="1"/>
                            </wps:wsp>
                            <wps:wsp>
                              <wps:cNvPr id="59" name="直接连接符 59"/>
                              <wps:cNvCnPr/>
                              <wps:spPr>
                                <a:xfrm>
                                  <a:off x="4371340" y="645795"/>
                                  <a:ext cx="1905" cy="1761490"/>
                                </a:xfrm>
                                <a:prstGeom prst="line">
                                  <a:avLst/>
                                </a:prstGeom>
                                <a:ln w="9525" cap="flat" cmpd="sng">
                                  <a:solidFill>
                                    <a:srgbClr val="000000"/>
                                  </a:solidFill>
                                  <a:prstDash val="solid"/>
                                  <a:miter/>
                                  <a:headEnd type="none" w="med" len="med"/>
                                  <a:tailEnd type="none" w="med" len="med"/>
                                </a:ln>
                              </wps:spPr>
                              <wps:bodyPr upright="1"/>
                            </wps:wsp>
                            <wps:wsp>
                              <wps:cNvPr id="60" name="直接连接符 35"/>
                              <wps:cNvCnPr/>
                              <wps:spPr>
                                <a:xfrm>
                                  <a:off x="2319655" y="1029335"/>
                                  <a:ext cx="191770" cy="635"/>
                                </a:xfrm>
                                <a:prstGeom prst="line">
                                  <a:avLst/>
                                </a:prstGeom>
                                <a:ln w="12700" cap="flat" cmpd="sng">
                                  <a:solidFill>
                                    <a:schemeClr val="tx1"/>
                                  </a:solidFill>
                                  <a:prstDash val="solid"/>
                                  <a:round/>
                                  <a:headEnd type="none" w="med" len="med"/>
                                  <a:tailEnd type="none" w="med" len="med"/>
                                </a:ln>
                              </wps:spPr>
                              <wps:bodyPr upright="1"/>
                            </wps:wsp>
                            <wps:wsp>
                              <wps:cNvPr id="61" name="直接连接符 35"/>
                              <wps:cNvCnPr>
                                <a:stCxn id="190" idx="3"/>
                              </wps:cNvCnPr>
                              <wps:spPr>
                                <a:xfrm flipV="1">
                                  <a:off x="2218690" y="1658620"/>
                                  <a:ext cx="2154555" cy="10160"/>
                                </a:xfrm>
                                <a:prstGeom prst="line">
                                  <a:avLst/>
                                </a:prstGeom>
                                <a:ln w="12700" cap="flat" cmpd="sng">
                                  <a:solidFill>
                                    <a:schemeClr val="tx1"/>
                                  </a:solidFill>
                                  <a:prstDash val="solid"/>
                                  <a:round/>
                                  <a:headEnd type="none" w="med" len="med"/>
                                  <a:tailEnd type="none" w="med" len="med"/>
                                </a:ln>
                              </wps:spPr>
                              <wps:bodyPr upright="1"/>
                            </wps:wsp>
                            <wps:wsp>
                              <wps:cNvPr id="62" name="直接连接符 35"/>
                              <wps:cNvCnPr/>
                              <wps:spPr>
                                <a:xfrm flipV="1">
                                  <a:off x="2214880" y="2399665"/>
                                  <a:ext cx="2152015" cy="635"/>
                                </a:xfrm>
                                <a:prstGeom prst="line">
                                  <a:avLst/>
                                </a:prstGeom>
                                <a:ln w="12700" cap="flat" cmpd="sng">
                                  <a:solidFill>
                                    <a:schemeClr val="tx1"/>
                                  </a:solidFill>
                                  <a:prstDash val="solid"/>
                                  <a:round/>
                                  <a:headEnd type="none" w="med" len="med"/>
                                  <a:tailEnd type="none" w="med" len="med"/>
                                </a:ln>
                              </wps:spPr>
                              <wps:bodyPr upright="1"/>
                            </wps:wsp>
                            <wps:wsp>
                              <wps:cNvPr id="63" name="矩形 63"/>
                              <wps:cNvSpPr/>
                              <wps:spPr>
                                <a:xfrm>
                                  <a:off x="2501900" y="493395"/>
                                  <a:ext cx="461010" cy="199390"/>
                                </a:xfrm>
                                <a:prstGeom prst="rect">
                                  <a:avLst/>
                                </a:prstGeom>
                                <a:noFill/>
                                <a:ln>
                                  <a:noFill/>
                                </a:ln>
                              </wps:spPr>
                              <wps:txbx>
                                <w:txbxContent>
                                  <w:p w14:paraId="53CC37EB">
                                    <w:pPr>
                                      <w:rPr>
                                        <w:rFonts w:hint="default" w:eastAsia="宋体"/>
                                        <w:sz w:val="15"/>
                                        <w:szCs w:val="15"/>
                                        <w:lang w:val="en-US" w:eastAsia="zh-CN"/>
                                      </w:rPr>
                                    </w:pPr>
                                    <w:r>
                                      <w:rPr>
                                        <w:rFonts w:hint="eastAsia"/>
                                        <w:sz w:val="15"/>
                                        <w:szCs w:val="15"/>
                                        <w:lang w:val="en-US" w:eastAsia="zh-CN"/>
                                      </w:rPr>
                                      <w:t>24.36</w:t>
                                    </w:r>
                                  </w:p>
                                </w:txbxContent>
                              </wps:txbx>
                              <wps:bodyPr upright="1"/>
                            </wps:wsp>
                            <wps:wsp>
                              <wps:cNvPr id="64" name="矩形 64"/>
                              <wps:cNvSpPr/>
                              <wps:spPr>
                                <a:xfrm>
                                  <a:off x="2255520" y="192405"/>
                                  <a:ext cx="461010" cy="199390"/>
                                </a:xfrm>
                                <a:prstGeom prst="rect">
                                  <a:avLst/>
                                </a:prstGeom>
                                <a:noFill/>
                                <a:ln>
                                  <a:noFill/>
                                </a:ln>
                              </wps:spPr>
                              <wps:txbx>
                                <w:txbxContent>
                                  <w:p w14:paraId="49A8542A">
                                    <w:pPr>
                                      <w:rPr>
                                        <w:rFonts w:hint="default" w:eastAsia="宋体"/>
                                        <w:sz w:val="15"/>
                                        <w:szCs w:val="15"/>
                                        <w:lang w:val="en-US" w:eastAsia="zh-CN"/>
                                      </w:rPr>
                                    </w:pPr>
                                    <w:r>
                                      <w:rPr>
                                        <w:rFonts w:hint="eastAsia"/>
                                        <w:sz w:val="15"/>
                                        <w:szCs w:val="15"/>
                                        <w:lang w:val="en-US" w:eastAsia="zh-CN"/>
                                      </w:rPr>
                                      <w:t>9.0</w:t>
                                    </w:r>
                                  </w:p>
                                </w:txbxContent>
                              </wps:txbx>
                              <wps:bodyPr upright="1"/>
                            </wps:wsp>
                            <wps:wsp>
                              <wps:cNvPr id="66" name="矩形 66"/>
                              <wps:cNvSpPr/>
                              <wps:spPr>
                                <a:xfrm>
                                  <a:off x="940435" y="2192020"/>
                                  <a:ext cx="461010" cy="199390"/>
                                </a:xfrm>
                                <a:prstGeom prst="rect">
                                  <a:avLst/>
                                </a:prstGeom>
                                <a:noFill/>
                                <a:ln>
                                  <a:noFill/>
                                </a:ln>
                              </wps:spPr>
                              <wps:txbx>
                                <w:txbxContent>
                                  <w:p w14:paraId="4A9A2DF8">
                                    <w:pPr>
                                      <w:rPr>
                                        <w:rFonts w:hint="default" w:eastAsia="宋体"/>
                                        <w:sz w:val="15"/>
                                        <w:szCs w:val="15"/>
                                        <w:lang w:val="en-US" w:eastAsia="zh-CN"/>
                                      </w:rPr>
                                    </w:pPr>
                                    <w:r>
                                      <w:rPr>
                                        <w:rFonts w:hint="eastAsia"/>
                                        <w:sz w:val="15"/>
                                        <w:szCs w:val="15"/>
                                        <w:lang w:val="en-US" w:eastAsia="zh-CN"/>
                                      </w:rPr>
                                      <w:t>226.05</w:t>
                                    </w:r>
                                  </w:p>
                                </w:txbxContent>
                              </wps:txbx>
                              <wps:bodyPr upright="1"/>
                            </wps:wsp>
                            <wps:wsp>
                              <wps:cNvPr id="68" name="矩形 68"/>
                              <wps:cNvSpPr/>
                              <wps:spPr>
                                <a:xfrm>
                                  <a:off x="2254250" y="873760"/>
                                  <a:ext cx="461010" cy="199390"/>
                                </a:xfrm>
                                <a:prstGeom prst="rect">
                                  <a:avLst/>
                                </a:prstGeom>
                                <a:noFill/>
                                <a:ln>
                                  <a:noFill/>
                                </a:ln>
                              </wps:spPr>
                              <wps:txbx>
                                <w:txbxContent>
                                  <w:p w14:paraId="324E163F">
                                    <w:pPr>
                                      <w:rPr>
                                        <w:rFonts w:hint="default" w:eastAsia="宋体"/>
                                        <w:sz w:val="15"/>
                                        <w:szCs w:val="15"/>
                                        <w:lang w:val="en-US" w:eastAsia="zh-CN"/>
                                      </w:rPr>
                                    </w:pPr>
                                    <w:r>
                                      <w:rPr>
                                        <w:rFonts w:hint="eastAsia"/>
                                        <w:sz w:val="15"/>
                                        <w:szCs w:val="15"/>
                                        <w:lang w:val="en-US" w:eastAsia="zh-CN"/>
                                      </w:rPr>
                                      <w:t>15.36</w:t>
                                    </w:r>
                                  </w:p>
                                </w:txbxContent>
                              </wps:txbx>
                              <wps:bodyPr upright="1"/>
                            </wps:wsp>
                            <wps:wsp>
                              <wps:cNvPr id="69" name="矩形 69"/>
                              <wps:cNvSpPr/>
                              <wps:spPr>
                                <a:xfrm>
                                  <a:off x="3016250" y="2207260"/>
                                  <a:ext cx="461010" cy="199390"/>
                                </a:xfrm>
                                <a:prstGeom prst="rect">
                                  <a:avLst/>
                                </a:prstGeom>
                                <a:noFill/>
                                <a:ln>
                                  <a:noFill/>
                                </a:ln>
                              </wps:spPr>
                              <wps:txbx>
                                <w:txbxContent>
                                  <w:p w14:paraId="05556213">
                                    <w:pPr>
                                      <w:rPr>
                                        <w:rFonts w:hint="default" w:eastAsia="宋体"/>
                                        <w:sz w:val="15"/>
                                        <w:szCs w:val="15"/>
                                        <w:lang w:val="en-US" w:eastAsia="zh-CN"/>
                                      </w:rPr>
                                    </w:pPr>
                                    <w:r>
                                      <w:rPr>
                                        <w:rFonts w:hint="eastAsia"/>
                                        <w:sz w:val="15"/>
                                        <w:szCs w:val="15"/>
                                        <w:lang w:val="en-US" w:eastAsia="zh-CN"/>
                                      </w:rPr>
                                      <w:t>180.8</w:t>
                                    </w:r>
                                  </w:p>
                                </w:txbxContent>
                              </wps:txbx>
                              <wps:bodyPr upright="1"/>
                            </wps:wsp>
                            <wps:wsp>
                              <wps:cNvPr id="70" name="矩形 70"/>
                              <wps:cNvSpPr/>
                              <wps:spPr>
                                <a:xfrm>
                                  <a:off x="2903855" y="1463040"/>
                                  <a:ext cx="461010" cy="199390"/>
                                </a:xfrm>
                                <a:prstGeom prst="rect">
                                  <a:avLst/>
                                </a:prstGeom>
                                <a:noFill/>
                                <a:ln>
                                  <a:noFill/>
                                </a:ln>
                              </wps:spPr>
                              <wps:txbx>
                                <w:txbxContent>
                                  <w:p w14:paraId="55E4BB65">
                                    <w:pPr>
                                      <w:rPr>
                                        <w:rFonts w:hint="default" w:eastAsia="宋体"/>
                                        <w:sz w:val="15"/>
                                        <w:szCs w:val="15"/>
                                        <w:lang w:val="en-US" w:eastAsia="zh-CN"/>
                                      </w:rPr>
                                    </w:pPr>
                                    <w:r>
                                      <w:rPr>
                                        <w:rFonts w:hint="eastAsia"/>
                                        <w:sz w:val="15"/>
                                        <w:szCs w:val="15"/>
                                        <w:lang w:val="en-US" w:eastAsia="zh-CN"/>
                                      </w:rPr>
                                      <w:t>10.8</w:t>
                                    </w:r>
                                  </w:p>
                                </w:txbxContent>
                              </wps:txbx>
                              <wps:bodyPr upright="1"/>
                            </wps:wsp>
                            <wps:wsp>
                              <wps:cNvPr id="71" name="矩形 71"/>
                              <wps:cNvSpPr/>
                              <wps:spPr>
                                <a:xfrm>
                                  <a:off x="429895" y="1102360"/>
                                  <a:ext cx="461010" cy="199390"/>
                                </a:xfrm>
                                <a:prstGeom prst="rect">
                                  <a:avLst/>
                                </a:prstGeom>
                                <a:noFill/>
                                <a:ln>
                                  <a:noFill/>
                                </a:ln>
                              </wps:spPr>
                              <wps:txbx>
                                <w:txbxContent>
                                  <w:p w14:paraId="38FF9116">
                                    <w:pPr>
                                      <w:rPr>
                                        <w:rFonts w:hint="default" w:eastAsia="宋体"/>
                                        <w:sz w:val="15"/>
                                        <w:szCs w:val="15"/>
                                        <w:lang w:val="en-US" w:eastAsia="zh-CN"/>
                                      </w:rPr>
                                    </w:pPr>
                                    <w:r>
                                      <w:rPr>
                                        <w:rFonts w:hint="eastAsia"/>
                                        <w:sz w:val="15"/>
                                        <w:szCs w:val="15"/>
                                        <w:lang w:val="en-US" w:eastAsia="zh-CN"/>
                                      </w:rPr>
                                      <w:t>267.25</w:t>
                                    </w:r>
                                  </w:p>
                                </w:txbxContent>
                              </wps:txbx>
                              <wps:bodyPr upright="1"/>
                            </wps:wsp>
                            <wps:wsp>
                              <wps:cNvPr id="72" name="矩形 72"/>
                              <wps:cNvSpPr/>
                              <wps:spPr>
                                <a:xfrm>
                                  <a:off x="4305300" y="1162050"/>
                                  <a:ext cx="461010" cy="199390"/>
                                </a:xfrm>
                                <a:prstGeom prst="rect">
                                  <a:avLst/>
                                </a:prstGeom>
                                <a:noFill/>
                                <a:ln>
                                  <a:noFill/>
                                </a:ln>
                              </wps:spPr>
                              <wps:txbx>
                                <w:txbxContent>
                                  <w:p w14:paraId="76F489D7">
                                    <w:pPr>
                                      <w:rPr>
                                        <w:rFonts w:hint="default" w:eastAsia="宋体"/>
                                        <w:sz w:val="15"/>
                                        <w:szCs w:val="15"/>
                                        <w:lang w:val="en-US" w:eastAsia="zh-CN"/>
                                      </w:rPr>
                                    </w:pPr>
                                    <w:r>
                                      <w:rPr>
                                        <w:rFonts w:hint="eastAsia"/>
                                        <w:sz w:val="15"/>
                                        <w:szCs w:val="15"/>
                                        <w:lang w:val="en-US" w:eastAsia="zh-CN"/>
                                      </w:rPr>
                                      <w:t>215.96</w:t>
                                    </w:r>
                                  </w:p>
                                </w:txbxContent>
                              </wps:txbx>
                              <wps:bodyPr upright="1"/>
                            </wps:wsp>
                            <wps:wsp>
                              <wps:cNvPr id="33" name="直接连接符 33"/>
                              <wps:cNvCnPr/>
                              <wps:spPr>
                                <a:xfrm flipV="1">
                                  <a:off x="1919605" y="2183130"/>
                                  <a:ext cx="177800" cy="88900"/>
                                </a:xfrm>
                                <a:prstGeom prst="line">
                                  <a:avLst/>
                                </a:prstGeom>
                                <a:ln w="9525" cap="rnd" cmpd="sng">
                                  <a:solidFill>
                                    <a:srgbClr val="000000"/>
                                  </a:solidFill>
                                  <a:prstDash val="sysDot"/>
                                  <a:round/>
                                  <a:headEnd type="none" w="med" len="med"/>
                                  <a:tailEnd type="triangle" w="med" len="med"/>
                                </a:ln>
                              </wps:spPr>
                              <wps:bodyPr upright="1"/>
                            </wps:wsp>
                            <wpg:wgp>
                              <wpg:cNvPr id="177" name="组合 177"/>
                              <wpg:cNvGrpSpPr/>
                              <wpg:grpSpPr>
                                <a:xfrm>
                                  <a:off x="816610" y="712470"/>
                                  <a:ext cx="1844675" cy="447675"/>
                                  <a:chOff x="1286" y="2094"/>
                                  <a:chExt cx="2905" cy="705"/>
                                </a:xfrm>
                              </wpg:grpSpPr>
                              <wps:wsp>
                                <wps:cNvPr id="44" name="文本框 31"/>
                                <wps:cNvSpPr txBox="1"/>
                                <wps:spPr>
                                  <a:xfrm>
                                    <a:off x="2235" y="2421"/>
                                    <a:ext cx="1424" cy="379"/>
                                  </a:xfrm>
                                  <a:prstGeom prst="rect">
                                    <a:avLst/>
                                  </a:prstGeom>
                                  <a:noFill/>
                                  <a:ln w="9525" cap="flat" cmpd="sng">
                                    <a:solidFill>
                                      <a:srgbClr val="000000"/>
                                    </a:solidFill>
                                    <a:prstDash val="solid"/>
                                    <a:miter/>
                                    <a:headEnd type="none" w="med" len="med"/>
                                    <a:tailEnd type="none" w="med" len="med"/>
                                  </a:ln>
                                </wps:spPr>
                                <wps:txbx>
                                  <w:txbxContent>
                                    <w:p w14:paraId="6D4D15E2">
                                      <w:pPr>
                                        <w:jc w:val="center"/>
                                        <w:rPr>
                                          <w:rFonts w:hint="eastAsia" w:eastAsia="宋体"/>
                                          <w:lang w:eastAsia="zh-CN"/>
                                        </w:rPr>
                                      </w:pPr>
                                      <w:r>
                                        <w:rPr>
                                          <w:rFonts w:hint="eastAsia"/>
                                          <w:sz w:val="15"/>
                                          <w:szCs w:val="15"/>
                                          <w:lang w:val="en-US" w:eastAsia="zh-CN"/>
                                        </w:rPr>
                                        <w:t>动物笼清洗</w:t>
                                      </w:r>
                                      <w:r>
                                        <w:rPr>
                                          <w:rFonts w:hint="eastAsia"/>
                                          <w:sz w:val="15"/>
                                          <w:szCs w:val="15"/>
                                          <w:lang w:eastAsia="zh-CN"/>
                                        </w:rPr>
                                        <w:t>用水</w:t>
                                      </w:r>
                                    </w:p>
                                  </w:txbxContent>
                                </wps:txbx>
                                <wps:bodyPr upright="1"/>
                              </wps:wsp>
                              <wps:wsp>
                                <wps:cNvPr id="45" name="直接连接符 35"/>
                                <wps:cNvCnPr/>
                                <wps:spPr>
                                  <a:xfrm flipV="1">
                                    <a:off x="1286" y="2602"/>
                                    <a:ext cx="961" cy="5"/>
                                  </a:xfrm>
                                  <a:prstGeom prst="line">
                                    <a:avLst/>
                                  </a:prstGeom>
                                  <a:ln w="9525" cap="flat" cmpd="sng">
                                    <a:solidFill>
                                      <a:srgbClr val="000000"/>
                                    </a:solidFill>
                                    <a:prstDash val="solid"/>
                                    <a:round/>
                                    <a:headEnd type="none" w="med" len="med"/>
                                    <a:tailEnd type="arrow" w="med" len="med"/>
                                  </a:ln>
                                </wps:spPr>
                                <wps:bodyPr upright="1"/>
                              </wps:wsp>
                              <wps:wsp>
                                <wps:cNvPr id="67" name="矩形 67"/>
                                <wps:cNvSpPr/>
                                <wps:spPr>
                                  <a:xfrm>
                                    <a:off x="1452" y="2267"/>
                                    <a:ext cx="726" cy="314"/>
                                  </a:xfrm>
                                  <a:prstGeom prst="rect">
                                    <a:avLst/>
                                  </a:prstGeom>
                                  <a:noFill/>
                                  <a:ln>
                                    <a:noFill/>
                                  </a:ln>
                                </wps:spPr>
                                <wps:txbx>
                                  <w:txbxContent>
                                    <w:p w14:paraId="68C8BB1A">
                                      <w:pPr>
                                        <w:rPr>
                                          <w:rFonts w:hint="default" w:eastAsia="宋体"/>
                                          <w:sz w:val="15"/>
                                          <w:szCs w:val="15"/>
                                          <w:lang w:val="en-US" w:eastAsia="zh-CN"/>
                                        </w:rPr>
                                      </w:pPr>
                                      <w:r>
                                        <w:rPr>
                                          <w:rFonts w:hint="eastAsia"/>
                                          <w:sz w:val="15"/>
                                          <w:szCs w:val="15"/>
                                          <w:lang w:val="en-US" w:eastAsia="zh-CN"/>
                                        </w:rPr>
                                        <w:t>19.2</w:t>
                                      </w:r>
                                    </w:p>
                                  </w:txbxContent>
                                </wps:txbx>
                                <wps:bodyPr upright="1"/>
                              </wps:wsp>
                              <wps:wsp>
                                <wps:cNvPr id="4" name="直接连接符 4"/>
                                <wps:cNvCnPr/>
                                <wps:spPr>
                                  <a:xfrm flipV="1">
                                    <a:off x="3031" y="2273"/>
                                    <a:ext cx="280" cy="140"/>
                                  </a:xfrm>
                                  <a:prstGeom prst="line">
                                    <a:avLst/>
                                  </a:prstGeom>
                                  <a:ln w="9525" cap="rnd" cmpd="sng">
                                    <a:solidFill>
                                      <a:srgbClr val="000000"/>
                                    </a:solidFill>
                                    <a:prstDash val="sysDot"/>
                                    <a:round/>
                                    <a:headEnd type="none" w="med" len="med"/>
                                    <a:tailEnd type="triangle" w="med" len="med"/>
                                  </a:ln>
                                </wps:spPr>
                                <wps:bodyPr upright="1"/>
                              </wps:wsp>
                              <wps:wsp>
                                <wps:cNvPr id="39" name="矩形 39"/>
                                <wps:cNvSpPr/>
                                <wps:spPr>
                                  <a:xfrm>
                                    <a:off x="3209" y="2094"/>
                                    <a:ext cx="982" cy="325"/>
                                  </a:xfrm>
                                  <a:prstGeom prst="rect">
                                    <a:avLst/>
                                  </a:prstGeom>
                                  <a:noFill/>
                                  <a:ln>
                                    <a:noFill/>
                                  </a:ln>
                                </wps:spPr>
                                <wps:txbx>
                                  <w:txbxContent>
                                    <w:p w14:paraId="286DE802">
                                      <w:pPr>
                                        <w:rPr>
                                          <w:rFonts w:hint="default" w:eastAsia="宋体"/>
                                          <w:sz w:val="15"/>
                                          <w:szCs w:val="15"/>
                                          <w:lang w:val="en-US" w:eastAsia="zh-CN"/>
                                        </w:rPr>
                                      </w:pPr>
                                      <w:r>
                                        <w:rPr>
                                          <w:rFonts w:hint="eastAsia"/>
                                          <w:sz w:val="15"/>
                                          <w:szCs w:val="15"/>
                                        </w:rPr>
                                        <w:t>损耗</w:t>
                                      </w:r>
                                      <w:r>
                                        <w:rPr>
                                          <w:rFonts w:hint="eastAsia"/>
                                          <w:sz w:val="15"/>
                                          <w:szCs w:val="15"/>
                                          <w:lang w:val="en-US" w:eastAsia="zh-CN"/>
                                        </w:rPr>
                                        <w:t>3.84</w:t>
                                      </w:r>
                                    </w:p>
                                  </w:txbxContent>
                                </wps:txbx>
                                <wps:bodyPr upright="1"/>
                              </wps:wsp>
                            </wpg:wgp>
                            <wps:wsp>
                              <wps:cNvPr id="47" name="矩形 47"/>
                              <wps:cNvSpPr/>
                              <wps:spPr>
                                <a:xfrm>
                                  <a:off x="2030730" y="2070735"/>
                                  <a:ext cx="623570" cy="206375"/>
                                </a:xfrm>
                                <a:prstGeom prst="rect">
                                  <a:avLst/>
                                </a:prstGeom>
                                <a:noFill/>
                                <a:ln>
                                  <a:noFill/>
                                </a:ln>
                              </wps:spPr>
                              <wps:txbx>
                                <w:txbxContent>
                                  <w:p w14:paraId="63E69764">
                                    <w:pPr>
                                      <w:rPr>
                                        <w:rFonts w:hint="default" w:eastAsia="宋体"/>
                                        <w:sz w:val="15"/>
                                        <w:szCs w:val="15"/>
                                        <w:lang w:val="en-US" w:eastAsia="zh-CN"/>
                                      </w:rPr>
                                    </w:pPr>
                                    <w:r>
                                      <w:rPr>
                                        <w:rFonts w:hint="eastAsia"/>
                                        <w:sz w:val="15"/>
                                        <w:szCs w:val="15"/>
                                      </w:rPr>
                                      <w:t>损耗</w:t>
                                    </w:r>
                                    <w:r>
                                      <w:rPr>
                                        <w:rFonts w:hint="eastAsia"/>
                                        <w:sz w:val="15"/>
                                        <w:szCs w:val="15"/>
                                        <w:lang w:val="en-US" w:eastAsia="zh-CN"/>
                                      </w:rPr>
                                      <w:t>45.25</w:t>
                                    </w:r>
                                  </w:p>
                                </w:txbxContent>
                              </wps:txbx>
                              <wps:bodyPr upright="1"/>
                            </wps:wsp>
                            <wps:wsp>
                              <wps:cNvPr id="178" name="直接连接符 35"/>
                              <wps:cNvCnPr/>
                              <wps:spPr>
                                <a:xfrm>
                                  <a:off x="2213610" y="341630"/>
                                  <a:ext cx="305435" cy="2540"/>
                                </a:xfrm>
                                <a:prstGeom prst="line">
                                  <a:avLst/>
                                </a:prstGeom>
                                <a:ln w="12700" cap="flat" cmpd="sng">
                                  <a:solidFill>
                                    <a:schemeClr val="tx1"/>
                                  </a:solidFill>
                                  <a:prstDash val="solid"/>
                                  <a:round/>
                                  <a:headEnd type="none" w="med" len="med"/>
                                  <a:tailEnd type="none" w="med" len="med"/>
                                </a:ln>
                              </wps:spPr>
                              <wps:bodyPr upright="1"/>
                            </wps:wsp>
                            <wps:wsp>
                              <wps:cNvPr id="179" name="直接连接符 179"/>
                              <wps:cNvCnPr/>
                              <wps:spPr>
                                <a:xfrm flipV="1">
                                  <a:off x="2515870" y="342265"/>
                                  <a:ext cx="5080" cy="68262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g:wgp>
                              <wpg:cNvPr id="188" name="组合 188"/>
                              <wpg:cNvGrpSpPr/>
                              <wpg:grpSpPr>
                                <a:xfrm>
                                  <a:off x="824865" y="1345565"/>
                                  <a:ext cx="1841500" cy="442595"/>
                                  <a:chOff x="1286" y="1108"/>
                                  <a:chExt cx="2900" cy="697"/>
                                </a:xfrm>
                              </wpg:grpSpPr>
                              <wpg:grpSp>
                                <wpg:cNvPr id="189" name="组合 28"/>
                                <wpg:cNvGrpSpPr/>
                                <wpg:grpSpPr>
                                  <a:xfrm>
                                    <a:off x="1286" y="1427"/>
                                    <a:ext cx="2195" cy="378"/>
                                    <a:chOff x="1298" y="350"/>
                                    <a:chExt cx="2195" cy="378"/>
                                  </a:xfrm>
                                </wpg:grpSpPr>
                                <wps:wsp>
                                  <wps:cNvPr id="190" name="文本框 31"/>
                                  <wps:cNvSpPr txBox="1"/>
                                  <wps:spPr>
                                    <a:xfrm>
                                      <a:off x="2247" y="350"/>
                                      <a:ext cx="1246" cy="379"/>
                                    </a:xfrm>
                                    <a:prstGeom prst="rect">
                                      <a:avLst/>
                                    </a:prstGeom>
                                    <a:noFill/>
                                    <a:ln w="9525" cap="flat" cmpd="sng">
                                      <a:solidFill>
                                        <a:srgbClr val="000000"/>
                                      </a:solidFill>
                                      <a:prstDash val="solid"/>
                                      <a:miter/>
                                      <a:headEnd type="none" w="med" len="med"/>
                                      <a:tailEnd type="none" w="med" len="med"/>
                                    </a:ln>
                                  </wps:spPr>
                                  <wps:txbx>
                                    <w:txbxContent>
                                      <w:p w14:paraId="56867A8F">
                                        <w:pPr>
                                          <w:jc w:val="center"/>
                                          <w:rPr>
                                            <w:rFonts w:hint="eastAsia" w:eastAsia="宋体"/>
                                            <w:lang w:eastAsia="zh-CN"/>
                                          </w:rPr>
                                        </w:pPr>
                                        <w:r>
                                          <w:rPr>
                                            <w:rFonts w:hint="eastAsia"/>
                                            <w:sz w:val="15"/>
                                            <w:szCs w:val="15"/>
                                            <w:lang w:val="en-US" w:eastAsia="zh-CN"/>
                                          </w:rPr>
                                          <w:t>动物美容</w:t>
                                        </w:r>
                                        <w:r>
                                          <w:rPr>
                                            <w:rFonts w:hint="eastAsia"/>
                                            <w:sz w:val="15"/>
                                            <w:szCs w:val="15"/>
                                            <w:lang w:eastAsia="zh-CN"/>
                                          </w:rPr>
                                          <w:t>用水</w:t>
                                        </w:r>
                                      </w:p>
                                    </w:txbxContent>
                                  </wps:txbx>
                                  <wps:bodyPr upright="1"/>
                                </wps:wsp>
                                <wps:wsp>
                                  <wps:cNvPr id="191" name="直接连接符 35"/>
                                  <wps:cNvCnPr/>
                                  <wps:spPr>
                                    <a:xfrm flipV="1">
                                      <a:off x="1298" y="531"/>
                                      <a:ext cx="961" cy="5"/>
                                    </a:xfrm>
                                    <a:prstGeom prst="line">
                                      <a:avLst/>
                                    </a:prstGeom>
                                    <a:ln w="9525" cap="flat" cmpd="sng">
                                      <a:solidFill>
                                        <a:srgbClr val="000000"/>
                                      </a:solidFill>
                                      <a:prstDash val="solid"/>
                                      <a:round/>
                                      <a:headEnd type="none" w="med" len="med"/>
                                      <a:tailEnd type="arrow" w="med" len="med"/>
                                    </a:ln>
                                  </wps:spPr>
                                  <wps:bodyPr upright="1"/>
                                </wps:wsp>
                              </wpg:grpSp>
                              <wps:wsp>
                                <wps:cNvPr id="192" name="矩形 65"/>
                                <wps:cNvSpPr/>
                                <wps:spPr>
                                  <a:xfrm>
                                    <a:off x="1444" y="1296"/>
                                    <a:ext cx="726" cy="314"/>
                                  </a:xfrm>
                                  <a:prstGeom prst="rect">
                                    <a:avLst/>
                                  </a:prstGeom>
                                  <a:noFill/>
                                  <a:ln>
                                    <a:noFill/>
                                  </a:ln>
                                </wps:spPr>
                                <wps:txbx>
                                  <w:txbxContent>
                                    <w:p w14:paraId="3F3CC715">
                                      <w:pPr>
                                        <w:rPr>
                                          <w:rFonts w:hint="default" w:eastAsia="宋体"/>
                                          <w:sz w:val="15"/>
                                          <w:szCs w:val="15"/>
                                          <w:lang w:val="en-US" w:eastAsia="zh-CN"/>
                                        </w:rPr>
                                      </w:pPr>
                                      <w:r>
                                        <w:rPr>
                                          <w:rFonts w:hint="eastAsia"/>
                                          <w:sz w:val="15"/>
                                          <w:szCs w:val="15"/>
                                          <w:lang w:val="en-US" w:eastAsia="zh-CN"/>
                                        </w:rPr>
                                        <w:t>12.0</w:t>
                                      </w:r>
                                    </w:p>
                                  </w:txbxContent>
                                </wps:txbx>
                                <wps:bodyPr upright="1"/>
                              </wps:wsp>
                              <wps:wsp>
                                <wps:cNvPr id="193" name="直接连接符 3"/>
                                <wps:cNvCnPr/>
                                <wps:spPr>
                                  <a:xfrm flipV="1">
                                    <a:off x="3038" y="1283"/>
                                    <a:ext cx="280" cy="140"/>
                                  </a:xfrm>
                                  <a:prstGeom prst="line">
                                    <a:avLst/>
                                  </a:prstGeom>
                                  <a:ln w="9525" cap="rnd" cmpd="sng">
                                    <a:solidFill>
                                      <a:srgbClr val="000000"/>
                                    </a:solidFill>
                                    <a:prstDash val="sysDot"/>
                                    <a:round/>
                                    <a:headEnd type="none" w="med" len="med"/>
                                    <a:tailEnd type="triangle" w="med" len="med"/>
                                  </a:ln>
                                </wps:spPr>
                                <wps:bodyPr upright="1"/>
                              </wps:wsp>
                              <wps:wsp>
                                <wps:cNvPr id="194" name="矩形 34"/>
                                <wps:cNvSpPr/>
                                <wps:spPr>
                                  <a:xfrm>
                                    <a:off x="3204" y="1108"/>
                                    <a:ext cx="982" cy="325"/>
                                  </a:xfrm>
                                  <a:prstGeom prst="rect">
                                    <a:avLst/>
                                  </a:prstGeom>
                                  <a:noFill/>
                                  <a:ln>
                                    <a:noFill/>
                                  </a:ln>
                                </wps:spPr>
                                <wps:txbx>
                                  <w:txbxContent>
                                    <w:p w14:paraId="7237E555">
                                      <w:pPr>
                                        <w:rPr>
                                          <w:rFonts w:hint="default" w:eastAsia="宋体"/>
                                          <w:sz w:val="15"/>
                                          <w:szCs w:val="15"/>
                                          <w:lang w:val="en-US" w:eastAsia="zh-CN"/>
                                        </w:rPr>
                                      </w:pPr>
                                      <w:r>
                                        <w:rPr>
                                          <w:rFonts w:hint="eastAsia"/>
                                          <w:sz w:val="15"/>
                                          <w:szCs w:val="15"/>
                                        </w:rPr>
                                        <w:t>损耗</w:t>
                                      </w:r>
                                      <w:r>
                                        <w:rPr>
                                          <w:rFonts w:hint="eastAsia"/>
                                          <w:sz w:val="15"/>
                                          <w:szCs w:val="15"/>
                                          <w:lang w:val="en-US" w:eastAsia="zh-CN"/>
                                        </w:rPr>
                                        <w:t>1.2</w:t>
                                      </w:r>
                                    </w:p>
                                  </w:txbxContent>
                                </wps:txbx>
                                <wps:bodyPr upright="1"/>
                              </wps:wsp>
                            </wpg:wgp>
                          </wpc:wpc>
                        </a:graphicData>
                      </a:graphic>
                    </wp:inline>
                  </w:drawing>
                </mc:Choice>
                <mc:Fallback>
                  <w:pict>
                    <v:group id="_x0000_s1026" o:spid="_x0000_s1026" o:spt="203" style="height:207.9pt;width:408pt;" coordsize="5181600,2640330" editas="canvas"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">
                      <o:lock v:ext="edit" aspectratio="f"/>
                      <v:shape id="_x0000_s1026" o:spid="_x0000_s1026" style="position:absolute;left:0;top:0;height:2640330;width:518160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">
                        <v:fill on="f" focussize="0,0"/>
                        <v:stroke on="f"/>
                        <v:imagedata o:title=""/>
                        <o:lock v:ext="edit" aspectratio="f"/>
                      </v:shape>
                      <v:rect id="_x0000_s1026" o:spid="_x0000_s1026" o:spt="1" style="position:absolute;left:901065;top:130175;height:199390;width:46101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ByvSLWAAAA&#10;BQEAAA8AAAAAAAAAAQAgAAAAIgAAAGRycy9kb3ducmV2LnhtbFBLAQIUABQAAAAIAIdO4kAL1qY5&#10;rQEAAEwDAAAOAAAAAAAAAAEAIAAAACUBAABkcnMvZTJvRG9jLnhtbFBLBQYAAAAABgAGAFkBAABE&#10;BQAAAAA=&#10;">
                        <v:fill on="f" focussize="0,0"/>
                        <v:stroke on="f"/>
                        <v:imagedata o:title=""/>
                        <o:lock v:ext="edit" aspectratio="f"/>
                        <v:textbox>
                          <w:txbxContent>
                            <w:p w14:paraId="6E10DE68">
                              <w:pPr>
                                <w:rPr>
                                  <w:rFonts w:hint="default" w:eastAsia="宋体"/>
                                  <w:sz w:val="15"/>
                                  <w:szCs w:val="15"/>
                                  <w:lang w:val="en-US" w:eastAsia="zh-CN"/>
                                </w:rPr>
                              </w:pPr>
                              <w:r>
                                <w:rPr>
                                  <w:rFonts w:hint="eastAsia"/>
                                  <w:sz w:val="15"/>
                                  <w:szCs w:val="15"/>
                                  <w:lang w:val="en-US" w:eastAsia="zh-CN"/>
                                </w:rPr>
                                <w:t>10.0</w:t>
                              </w:r>
                            </w:p>
                          </w:txbxContent>
                        </v:textbox>
                      </v:rect>
                      <v:shape id="_x0000_s1026" o:spid="_x0000_s1026" o:spt="202" type="#_x0000_t202" style="position:absolute;left:180975;top:721360;height:1171575;width:271780;" fillcolor="#FFFFFF" filled="t" stroked="t" coordsize="21600,21600" o:gfxdata="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emF3VAAAABQEAAA8AAAAAAAAA&#10;AQAgAAAAIgAAAGRycy9kb3ducmV2LnhtbFBLAQIUABQAAAAIAIdO4kBJxNBAFAIAAEIEAAAOAAAA&#10;AAAAAAEAIAAAACQBAABkcnMvZTJvRG9jLnhtbFBLBQYAAAAABgAGAFkBAACqBQAAAAA=&#10;">
                        <v:fill on="t" focussize="0,0"/>
                        <v:stroke color="#000000" joinstyle="miter"/>
                        <v:imagedata o:title=""/>
                        <o:lock v:ext="edit" aspectratio="f"/>
                        <v:textbox>
                          <w:txbxContent>
                            <w:p w14:paraId="4D022028">
                              <w:pPr>
                                <w:rPr>
                                  <w:rFonts w:hint="eastAsia"/>
                                  <w:sz w:val="15"/>
                                  <w:szCs w:val="15"/>
                                </w:rPr>
                              </w:pPr>
                            </w:p>
                            <w:p w14:paraId="5EB818E5">
                              <w:pPr>
                                <w:rPr>
                                  <w:rFonts w:hint="eastAsia"/>
                                  <w:sz w:val="15"/>
                                  <w:szCs w:val="15"/>
                                </w:rPr>
                              </w:pPr>
                            </w:p>
                            <w:p w14:paraId="5A5A8461">
                              <w:pPr>
                                <w:pStyle w:val="18"/>
                                <w:rPr>
                                  <w:rFonts w:hint="eastAsia"/>
                                </w:rPr>
                              </w:pPr>
                            </w:p>
                            <w:p w14:paraId="7D5A44AB">
                              <w:pPr>
                                <w:rPr>
                                  <w:rFonts w:hint="eastAsia"/>
                                  <w:sz w:val="15"/>
                                  <w:szCs w:val="15"/>
                                </w:rPr>
                              </w:pPr>
                              <w:r>
                                <w:rPr>
                                  <w:rFonts w:hint="eastAsia"/>
                                  <w:sz w:val="15"/>
                                  <w:szCs w:val="15"/>
                                </w:rPr>
                                <w:t>新</w:t>
                              </w:r>
                            </w:p>
                            <w:p w14:paraId="44C133CB">
                              <w:pPr>
                                <w:rPr>
                                  <w:rFonts w:hint="eastAsia"/>
                                  <w:sz w:val="15"/>
                                  <w:szCs w:val="15"/>
                                </w:rPr>
                              </w:pPr>
                              <w:r>
                                <w:rPr>
                                  <w:rFonts w:hint="eastAsia"/>
                                  <w:sz w:val="15"/>
                                  <w:szCs w:val="15"/>
                                </w:rPr>
                                <w:t>鲜</w:t>
                              </w:r>
                            </w:p>
                            <w:p w14:paraId="5C6242AC">
                              <w:pPr>
                                <w:rPr>
                                  <w:rFonts w:hint="eastAsia"/>
                                  <w:sz w:val="15"/>
                                  <w:szCs w:val="15"/>
                                </w:rPr>
                              </w:pPr>
                              <w:r>
                                <w:rPr>
                                  <w:rFonts w:hint="eastAsia"/>
                                  <w:sz w:val="15"/>
                                  <w:szCs w:val="15"/>
                                </w:rPr>
                                <w:t>水</w:t>
                              </w:r>
                            </w:p>
                          </w:txbxContent>
                        </v:textbox>
                      </v:shape>
                      <v:shape id="_x0000_s1026" o:spid="_x0000_s1026" o:spt="202" type="#_x0000_t202" style="position:absolute;left:4536440;top:1077595;height:568960;width:660400;" filled="f" stroked="f" coordsize="21600,21600" o:gfxdata="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ytxODTAAAABQEAAA8AAAAAAAAAAQAgAAAAIgAAAGRycy9kb3ducmV2LnhtbFBLAQIUABQAAAAI&#10;AIdO4kCCcKRCuQEAAFsDAAAOAAAAAAAAAAEAIAAAACIBAABkcnMvZTJvRG9jLnhtbFBLBQYAAAAA&#10;BgAGAFkBAABNBQAAAAA=&#10;">
                        <v:fill on="f" focussize="0,0"/>
                        <v:stroke on="f"/>
                        <v:imagedata o:title=""/>
                        <o:lock v:ext="edit" aspectratio="f"/>
                        <v:textbox>
                          <w:txbxContent>
                            <w:p w14:paraId="70F085CB">
                              <w:pPr>
                                <w:jc w:val="left"/>
                                <w:rPr>
                                  <w:rFonts w:hint="default"/>
                                  <w:color w:val="auto"/>
                                  <w:sz w:val="15"/>
                                  <w:szCs w:val="15"/>
                                  <w:lang w:val="en-US" w:eastAsia="zh-CN"/>
                                </w:rPr>
                              </w:pPr>
                              <w:r>
                                <w:rPr>
                                  <w:rFonts w:hint="eastAsia" w:ascii="Calibri" w:hAnsi="Calibri" w:cs="Times New Roman"/>
                                  <w:color w:val="auto"/>
                                  <w:sz w:val="15"/>
                                  <w:szCs w:val="15"/>
                                  <w:lang w:val="en-US" w:eastAsia="zh-CN"/>
                                </w:rPr>
                                <w:t>通过市政管网排入阜西污水处理厂处理</w:t>
                              </w:r>
                            </w:p>
                          </w:txbxContent>
                        </v:textbox>
                      </v:shape>
                      <v:line id="_x0000_s1026" o:spid="_x0000_s1026" o:spt="20" style="position:absolute;left:814705;top:333376;flip:x;height:2059305;width:3810;" filled="f" stroked="t" coordsize="21600,21600" o:gfxdata="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zKcd1gAAAAUBAAAPAAAAAAAAAAEA&#10;IAAAACIAAABkcnMvZG93bnJldi54bWxQSwECFAAUAAAACACHTuJAmhgo6RECAAAHBAAADgAAAAAA&#10;AAABACAAAAAlAQAAZHJzL2Uyb0RvYy54bWxQSwUGAAAAAAYABgBZAQAAqAUAAAAA&#10;">
                        <v:fill on="f" focussize="0,0"/>
                        <v:stroke color="#000000" joinstyle="miter"/>
                        <v:imagedata o:title=""/>
                        <o:lock v:ext="edit" aspectratio="f"/>
                      </v:line>
                      <v:line id="_x0000_s1026" o:spid="_x0000_s1026" o:spt="20" style="position:absolute;left:457200;top:1304290;flip:x;height:635;width:354965;" filled="f" stroked="t" coordsize="21600,21600" o:gfxdata="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Mpx3WAAAABQEAAA8AAAAAAAAA&#10;AQAgAAAAIgAAAGRycy9kb3ducmV2LnhtbFBLAQIUABQAAAAIAIdO4kBwZTH3EwIAABQEAAAOAAAA&#10;AAAAAAEAIAAAACUBAABkcnMvZTJvRG9jLnhtbFBLBQYAAAAABgAGAFkBAACqBQAAAAA=&#10;">
                        <v:fill on="f" focussize="0,0"/>
                        <v:stroke color="#000000" joinstyle="miter"/>
                        <v:imagedata o:title=""/>
                        <o:lock v:ext="edit" aspectratio="f"/>
                      </v:line>
                      <v:line id="_x0000_s1026" o:spid="_x0000_s1026" o:spt="20" style="position:absolute;left:4372610;top:1363345;height:635;width:297815;" filled="f" stroked="t" coordsize="21600,21600" o:gfxdata="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u8+Y1gAAAAUBAAAPAAAAAAAAAAEA&#10;IAAAACIAAABkcnMvZG93bnJldi54bWxQSwECFAAUAAAACACHTuJABqhitBECAAD+AwAADgAAAAAA&#10;AAABACAAAAAlAQAAZHJzL2Uyb0RvYy54bWxQSwUGAAAAAAYABgBZAQAAqAUAAAAA&#10;">
                        <v:fill on="f" focussize="0,0"/>
                        <v:stroke color="#000000" joinstyle="round" endarrow="open"/>
                        <v:imagedata o:title=""/>
                        <o:lock v:ext="edit" aspectratio="f"/>
                      </v:line>
                      <v:line id="_x0000_s1026" o:spid="_x0000_s1026" o:spt="20" style="position:absolute;left:1952625;top:119380;flip:y;height:88900;width:177800;" filled="f" stroked="t" coordsize="21600,21600" o:gfxdata="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5uNwk0wAAAAUBAAAPAAAAAAAA&#10;AAEAIAAAACIAAABkcnMvZG93bnJldi54bWxQSwECFAAUAAAACACHTuJAYoyi1RcCAAAMBAAADgAA&#10;AAAAAAABACAAAAAiAQAAZHJzL2Uyb0RvYy54bWxQSwUGAAAAAAYABgBZAQAAqwUAAAAA&#10;">
                        <v:fill on="f" focussize="0,0"/>
                        <v:stroke color="#000000" joinstyle="round" dashstyle="1 1" endcap="round" endarrow="block"/>
                        <v:imagedata o:title=""/>
                        <o:lock v:ext="edit" aspectratio="f"/>
                      </v:line>
                      <v:rect id="_x0000_s1026" o:spid="_x0000_s1026" o:spt="1" style="position:absolute;left:2065020;top:15875;height:206375;width:62357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HK9ItYAAAAF&#10;AQAADwAAAAAAAAABACAAAAAiAAAAZHJzL2Rvd25yZXYueG1sUEsBAhQAFAAAAAgAh07iQAVXLems&#10;AQAATAMAAA4AAAAAAAAAAQAgAAAAJQEAAGRycy9lMm9Eb2MueG1sUEsFBgAAAAAGAAYAWQEAAEMF&#10;AAAAAA==&#10;">
                        <v:fill on="f" focussize="0,0"/>
                        <v:stroke on="f"/>
                        <v:imagedata o:title=""/>
                        <o:lock v:ext="edit" aspectratio="f"/>
                        <v:textbox>
                          <w:txbxContent>
                            <w:p w14:paraId="4BA355A4">
                              <w:pPr>
                                <w:rPr>
                                  <w:rFonts w:hint="default" w:eastAsia="宋体"/>
                                  <w:sz w:val="15"/>
                                  <w:szCs w:val="15"/>
                                  <w:lang w:val="en-US" w:eastAsia="zh-CN"/>
                                </w:rPr>
                              </w:pPr>
                              <w:r>
                                <w:rPr>
                                  <w:rFonts w:hint="eastAsia"/>
                                  <w:sz w:val="15"/>
                                  <w:szCs w:val="15"/>
                                </w:rPr>
                                <w:t>损耗</w:t>
                              </w:r>
                              <w:r>
                                <w:rPr>
                                  <w:rFonts w:hint="eastAsia"/>
                                  <w:sz w:val="15"/>
                                  <w:szCs w:val="15"/>
                                  <w:lang w:val="en-US" w:eastAsia="zh-CN"/>
                                </w:rPr>
                                <w:t>1.0</w:t>
                              </w:r>
                            </w:p>
                          </w:txbxContent>
                        </v:textbox>
                      </v:rect>
                      <v:group id="_x0000_s1026" o:spid="_x0000_s1026" o:spt="203" style="position:absolute;left:824230;top:222250;height:240030;width:1393825;" coordorigin="1298,350" coordsize="2195,378" o:gfxdata="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AXafxZ1QAAAAUBAAAPAAAAAAAAAAEAIAAAACIA&#10;AABkcnMvZG93bnJldi54bWxQSwECFAAUAAAACACHTuJAJFN9cfACAABmBwAADgAAAAAAAAABACAA&#10;AAAkAQAAZHJzL2Uyb0RvYy54bWxQSwUGAAAAAAYABgBZAQAAhgYAAAAA&#10;">
                        <o:lock v:ext="edit" aspectratio="f"/>
                        <v:shape id="_x0000_s1026" o:spid="_x0000_s1026" o:spt="202" type="#_x0000_t202" style="position:absolute;left:2247;top:350;height:379;width:1246;" filled="f" stroked="t" coordsize="21600,21600" o:gfxdata="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pUz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34B16AD5">
                                <w:pPr>
                                  <w:jc w:val="center"/>
                                  <w:rPr>
                                    <w:rFonts w:hint="eastAsia" w:eastAsia="宋体"/>
                                    <w:lang w:eastAsia="zh-CN"/>
                                  </w:rPr>
                                </w:pPr>
                                <w:r>
                                  <w:rPr>
                                    <w:rFonts w:hint="eastAsia"/>
                                    <w:sz w:val="15"/>
                                    <w:szCs w:val="15"/>
                                    <w:lang w:val="en-US" w:eastAsia="zh-CN"/>
                                  </w:rPr>
                                  <w:t>诊疗</w:t>
                                </w:r>
                                <w:r>
                                  <w:rPr>
                                    <w:rFonts w:hint="eastAsia"/>
                                    <w:sz w:val="15"/>
                                    <w:szCs w:val="15"/>
                                    <w:lang w:eastAsia="zh-CN"/>
                                  </w:rPr>
                                  <w:t>用水</w:t>
                                </w:r>
                              </w:p>
                            </w:txbxContent>
                          </v:textbox>
                        </v:shape>
                        <v:line id="_x0000_s1026" o:spid="_x0000_s1026" o:spt="20" style="position:absolute;left:1298;top:531;flip:y;height:5;width:961;" filled="f" stroked="t" coordsize="21600,21600" o:gfxdata="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itmX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shape id="_x0000_s1026" o:spid="_x0000_s1026" o:spt="202" type="#_x0000_t202" style="position:absolute;left:2840355;top:525145;height:240665;width:1364615;" filled="f" stroked="t" coordsize="21600,21600" o:gfxdata="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c9Qk9MAAAAFAQAADwAAAAAAAAABACAA&#10;AAAiAAAAZHJzL2Rvd25yZXYueG1sUEsBAhQAFAAAAAgAh07iQDtK7/USAgAAGgQAAA4AAAAAAAAA&#10;AQAgAAAAIgEAAGRycy9lMm9Eb2MueG1sUEsFBgAAAAAGAAYAWQEAAKYFAAAAAA==&#10;">
                        <v:fill on="f" focussize="0,0"/>
                        <v:stroke color="#000000" joinstyle="miter"/>
                        <v:imagedata o:title=""/>
                        <o:lock v:ext="edit" aspectratio="f"/>
                        <v:textbox>
                          <w:txbxContent>
                            <w:p w14:paraId="4035EC2B">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sz w:val="15"/>
                                  <w:szCs w:val="15"/>
                                  <w:lang w:val="en-US" w:eastAsia="zh-CN"/>
                                </w:rPr>
                                <w:t>一体化污水处理设施+消毒</w:t>
                              </w:r>
                            </w:p>
                          </w:txbxContent>
                        </v:textbox>
                      </v:shape>
                      <v:group id="_x0000_s1026" o:spid="_x0000_s1026" o:spt="203" style="position:absolute;left:816610;top:2280920;height:240030;width:1393825;" coordorigin="1298,350" coordsize="2195,378" o:gfxdata="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F2n8WdUAAAAFAQAADwAAAAAAAAABACAA&#10;AAAiAAAAZHJzL2Rvd25yZXYueG1sUEsBAhQAFAAAAAgAh07iQJ69KVX0AgAAZwcAAA4AAAAAAAAA&#10;AQAgAAAAJAEAAGRycy9lMm9Eb2MueG1sUEsFBgAAAAAGAAYAWQEAAIoGAAAAAA==&#10;">
                        <o:lock v:ext="edit" aspectratio="f"/>
                        <v:shape id="文本框 31" o:spid="_x0000_s1026" o:spt="202" type="#_x0000_t202" style="position:absolute;left:2247;top:350;height:379;width:1246;" filled="f" stroked="t" coordsize="21600,21600" o:gfxdata="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aOL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4F479E2A">
                                <w:pPr>
                                  <w:jc w:val="center"/>
                                  <w:rPr>
                                    <w:rFonts w:hint="eastAsia" w:eastAsia="宋体"/>
                                    <w:lang w:eastAsia="zh-CN"/>
                                  </w:rPr>
                                </w:pPr>
                                <w:r>
                                  <w:rPr>
                                    <w:rFonts w:hint="eastAsia"/>
                                    <w:sz w:val="15"/>
                                    <w:szCs w:val="15"/>
                                    <w:lang w:val="en-US" w:eastAsia="zh-CN"/>
                                  </w:rPr>
                                  <w:t>生活</w:t>
                                </w:r>
                                <w:r>
                                  <w:rPr>
                                    <w:rFonts w:hint="eastAsia"/>
                                    <w:sz w:val="15"/>
                                    <w:szCs w:val="15"/>
                                    <w:lang w:eastAsia="zh-CN"/>
                                  </w:rPr>
                                  <w:t>用水</w:t>
                                </w:r>
                              </w:p>
                            </w:txbxContent>
                          </v:textbox>
                        </v:shape>
                        <v:line id="直接连接符 35" o:spid="_x0000_s1026" o:spt="20" style="position:absolute;left:1298;top:531;flip:y;height:5;width:961;" filled="f" stroked="t" coordsize="21600,21600" o:gfxdata="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bjo0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line id="直接连接符 35" o:spid="_x0000_s1026" o:spt="20" style="position:absolute;left:2511425;top:650240;flip:y;height:5080;width:334010;" filled="f" stroked="t" coordsize="21600,21600" o:gfxdata="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wF5gbUAAAABQEAAA8AAAAA&#10;AAAAAQAgAAAAIgAAAGRycy9kb3ducmV2LnhtbFBLAQIUABQAAAAIAIdO4kDZOm0ZGAIAAAgEAAAO&#10;AAAAAAAAAAEAIAAAACMBAABkcnMvZTJvRG9jLnhtbFBLBQYAAAAABgAGAFkBAACtBQAAAAA=&#10;">
                        <v:fill on="f" focussize="0,0"/>
                        <v:stroke color="#000000" joinstyle="round" endarrow="open"/>
                        <v:imagedata o:title=""/>
                        <o:lock v:ext="edit" aspectratio="f"/>
                      </v:line>
                      <v:line id="_x0000_s1026" o:spid="_x0000_s1026" o:spt="20" style="position:absolute;left:4199890;top:641350;flip:x;height:0;width:171450;" filled="f" stroked="t" coordsize="21600,21600" o:gfxdata="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zKcd1gAAAAUBAAAPAAAAAAAA&#10;AAEAIAAAACIAAABkcnMvZG93bnJldi54bWxQSwECFAAUAAAACACHTuJACyvU0hQCAAASBAAADgAA&#10;AAAAAAABACAAAAAlAQAAZHJzL2Uyb0RvYy54bWxQSwUGAAAAAAYABgBZAQAAqwUAAAAA&#10;">
                        <v:fill on="f" focussize="0,0"/>
                        <v:stroke color="#000000" joinstyle="miter"/>
                        <v:imagedata o:title=""/>
                        <o:lock v:ext="edit" aspectratio="f"/>
                      </v:line>
                      <v:line id="_x0000_s1026" o:spid="_x0000_s1026" o:spt="20" style="position:absolute;left:4371340;top:645795;height:1761490;width:1905;" filled="f" stroked="t" coordsize="21600,21600" o:gfxdata="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FyNMtYAAAAFAQAADwAAAAAAAAABACAAAAAi&#10;AAAAZHJzL2Rvd25yZXYueG1sUEsBAhQAFAAAAAgAh07iQI2btzkMAgAA/gMAAA4AAAAAAAAAAQAg&#10;AAAAJQEAAGRycy9lMm9Eb2MueG1sUEsFBgAAAAAGAAYAWQEAAKMFAAAAAA==&#10;">
                        <v:fill on="f" focussize="0,0"/>
                        <v:stroke color="#000000" joinstyle="miter"/>
                        <v:imagedata o:title=""/>
                        <o:lock v:ext="edit" aspectratio="f"/>
                      </v:line>
                      <v:line id="直接连接符 35" o:spid="_x0000_s1026" o:spt="20" style="position:absolute;left:2319655;top:1029335;height:635;width:191770;" filled="f" stroked="t" coordsize="21600,21600" o:gfxdata="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4M+tdUAAAAFAQAADwAAAAAAAAABACAAAAAiAAAA&#10;ZHJzL2Rvd25yZXYueG1sUEsBAhQAFAAAAAgAh07iQAsgDL0KAgAA/gMAAA4AAAAAAAAAAQAgAAAA&#10;JAEAAGRycy9lMm9Eb2MueG1sUEsFBgAAAAAGAAYAWQEAAKAFAAAAAA==&#10;">
                        <v:fill on="f" focussize="0,0"/>
                        <v:stroke weight="1pt" color="#000000 [3213]" joinstyle="round"/>
                        <v:imagedata o:title=""/>
                        <o:lock v:ext="edit" aspectratio="f"/>
                      </v:line>
                      <v:line id="直接连接符 35" o:spid="_x0000_s1026" o:spt="20" style="position:absolute;left:2218690;top:1658620;flip:y;height:10160;width:2154555;" filled="f" stroked="t" coordsize="21600,21600" o:gfxdata="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ePUdTUAAAA&#10;BQEAAA8AAAAAAAAAAQAgAAAAIgAAAGRycy9kb3ducmV2LnhtbFBLAQIUABQAAAAIAIdO4kAZYUDc&#10;IQIAADMEAAAOAAAAAAAAAAEAIAAAACMBAABkcnMvZTJvRG9jLnhtbFBLBQYAAAAABgAGAFkBAAC2&#10;BQAAAAA=&#10;">
                        <v:fill on="f" focussize="0,0"/>
                        <v:stroke weight="1pt" color="#000000 [3213]" joinstyle="round"/>
                        <v:imagedata o:title=""/>
                        <o:lock v:ext="edit" aspectratio="f"/>
                      </v:line>
                      <v:line id="直接连接符 35" o:spid="_x0000_s1026" o:spt="20" style="position:absolute;left:2214880;top:2399665;flip:y;height:635;width:2152015;" filled="f" stroked="t" coordsize="21600,21600" o:gfxdata="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j1HU1AAAAAUBAAAPAAAAAAAAAAEA&#10;IAAAACIAAABkcnMvZG93bnJldi54bWxQSwECFAAUAAAACACHTuJAsFS1ShMCAAAJBAAADgAAAAAA&#10;AAABACAAAAAjAQAAZHJzL2Uyb0RvYy54bWxQSwUGAAAAAAYABgBZAQAAqAUAAAAA&#10;">
                        <v:fill on="f" focussize="0,0"/>
                        <v:stroke weight="1pt" color="#000000 [3213]" joinstyle="round"/>
                        <v:imagedata o:title=""/>
                        <o:lock v:ext="edit" aspectratio="f"/>
                      </v:line>
                      <v:rect id="_x0000_s1026" o:spid="_x0000_s1026" o:spt="1" style="position:absolute;left:2501900;top:493395;height:199390;width:46101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HK9ItYA&#10;AAAFAQAADwAAAAAAAAABACAAAAAiAAAAZHJzL2Rvd25yZXYueG1sUEsBAhQAFAAAAAgAh07iQPds&#10;OKSvAQAATQMAAA4AAAAAAAAAAQAgAAAAJQEAAGRycy9lMm9Eb2MueG1sUEsFBgAAAAAGAAYAWQEA&#10;AEYFAAAAAA==&#10;">
                        <v:fill on="f" focussize="0,0"/>
                        <v:stroke on="f"/>
                        <v:imagedata o:title=""/>
                        <o:lock v:ext="edit" aspectratio="f"/>
                        <v:textbox>
                          <w:txbxContent>
                            <w:p w14:paraId="53CC37EB">
                              <w:pPr>
                                <w:rPr>
                                  <w:rFonts w:hint="default" w:eastAsia="宋体"/>
                                  <w:sz w:val="15"/>
                                  <w:szCs w:val="15"/>
                                  <w:lang w:val="en-US" w:eastAsia="zh-CN"/>
                                </w:rPr>
                              </w:pPr>
                              <w:r>
                                <w:rPr>
                                  <w:rFonts w:hint="eastAsia"/>
                                  <w:sz w:val="15"/>
                                  <w:szCs w:val="15"/>
                                  <w:lang w:val="en-US" w:eastAsia="zh-CN"/>
                                </w:rPr>
                                <w:t>24.36</w:t>
                              </w:r>
                            </w:p>
                          </w:txbxContent>
                        </v:textbox>
                      </v:rect>
                      <v:rect id="_x0000_s1026" o:spid="_x0000_s1026" o:spt="1" style="position:absolute;left:2255520;top:192405;height:199390;width:46101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cr0i1gAA&#10;AAUBAAAPAAAAAAAAAAEAIAAAACIAAABkcnMvZG93bnJldi54bWxQSwECFAAUAAAACACHTuJA2ZEk&#10;2K4BAABNAwAADgAAAAAAAAABACAAAAAlAQAAZHJzL2Uyb0RvYy54bWxQSwUGAAAAAAYABgBZAQAA&#10;RQUAAAAA&#10;">
                        <v:fill on="f" focussize="0,0"/>
                        <v:stroke on="f"/>
                        <v:imagedata o:title=""/>
                        <o:lock v:ext="edit" aspectratio="f"/>
                        <v:textbox>
                          <w:txbxContent>
                            <w:p w14:paraId="49A8542A">
                              <w:pPr>
                                <w:rPr>
                                  <w:rFonts w:hint="default" w:eastAsia="宋体"/>
                                  <w:sz w:val="15"/>
                                  <w:szCs w:val="15"/>
                                  <w:lang w:val="en-US" w:eastAsia="zh-CN"/>
                                </w:rPr>
                              </w:pPr>
                              <w:r>
                                <w:rPr>
                                  <w:rFonts w:hint="eastAsia"/>
                                  <w:sz w:val="15"/>
                                  <w:szCs w:val="15"/>
                                  <w:lang w:val="en-US" w:eastAsia="zh-CN"/>
                                </w:rPr>
                                <w:t>9.0</w:t>
                              </w:r>
                            </w:p>
                          </w:txbxContent>
                        </v:textbox>
                      </v:rect>
                      <v:rect id="_x0000_s1026" o:spid="_x0000_s1026" o:spt="1" style="position:absolute;left:940435;top:2192020;height:199390;width:46101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ByvSLWAAAA&#10;BQEAAA8AAAAAAAAAAQAgAAAAIgAAAGRycy9kb3ducmV2LnhtbFBLAQIUABQAAAAIAIdO4kCYF60Z&#10;rQEAAE0DAAAOAAAAAAAAAAEAIAAAACUBAABkcnMvZTJvRG9jLnhtbFBLBQYAAAAABgAGAFkBAABE&#10;BQAAAAA=&#10;">
                        <v:fill on="f" focussize="0,0"/>
                        <v:stroke on="f"/>
                        <v:imagedata o:title=""/>
                        <o:lock v:ext="edit" aspectratio="f"/>
                        <v:textbox>
                          <w:txbxContent>
                            <w:p w14:paraId="4A9A2DF8">
                              <w:pPr>
                                <w:rPr>
                                  <w:rFonts w:hint="default" w:eastAsia="宋体"/>
                                  <w:sz w:val="15"/>
                                  <w:szCs w:val="15"/>
                                  <w:lang w:val="en-US" w:eastAsia="zh-CN"/>
                                </w:rPr>
                              </w:pPr>
                              <w:r>
                                <w:rPr>
                                  <w:rFonts w:hint="eastAsia"/>
                                  <w:sz w:val="15"/>
                                  <w:szCs w:val="15"/>
                                  <w:lang w:val="en-US" w:eastAsia="zh-CN"/>
                                </w:rPr>
                                <w:t>226.05</w:t>
                              </w:r>
                            </w:p>
                          </w:txbxContent>
                        </v:textbox>
                      </v:rect>
                      <v:rect id="_x0000_s1026" o:spid="_x0000_s1026" o:spt="1" style="position:absolute;left:2254250;top:873760;height:199390;width:46101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HK9ItYA&#10;AAAFAQAADwAAAAAAAAABACAAAAAiAAAAZHJzL2Rvd25yZXYueG1sUEsBAhQAFAAAAAgAh07iQMkf&#10;OlGvAQAATQMAAA4AAAAAAAAAAQAgAAAAJQEAAGRycy9lMm9Eb2MueG1sUEsFBgAAAAAGAAYAWQEA&#10;AEYFAAAAAA==&#10;">
                        <v:fill on="f" focussize="0,0"/>
                        <v:stroke on="f"/>
                        <v:imagedata o:title=""/>
                        <o:lock v:ext="edit" aspectratio="f"/>
                        <v:textbox>
                          <w:txbxContent>
                            <w:p w14:paraId="324E163F">
                              <w:pPr>
                                <w:rPr>
                                  <w:rFonts w:hint="default" w:eastAsia="宋体"/>
                                  <w:sz w:val="15"/>
                                  <w:szCs w:val="15"/>
                                  <w:lang w:val="en-US" w:eastAsia="zh-CN"/>
                                </w:rPr>
                              </w:pPr>
                              <w:r>
                                <w:rPr>
                                  <w:rFonts w:hint="eastAsia"/>
                                  <w:sz w:val="15"/>
                                  <w:szCs w:val="15"/>
                                  <w:lang w:val="en-US" w:eastAsia="zh-CN"/>
                                </w:rPr>
                                <w:t>15.36</w:t>
                              </w:r>
                            </w:p>
                          </w:txbxContent>
                        </v:textbox>
                      </v:rect>
                      <v:rect id="_x0000_s1026" o:spid="_x0000_s1026" o:spt="1" style="position:absolute;left:3016250;top:2207260;height:199390;width:46101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cr0i1gAA&#10;AAUBAAAPAAAAAAAAAAEAIAAAACIAAABkcnMvZG93bnJldi54bWxQSwECFAAUAAAACACHTuJA2vma&#10;Ea4BAABOAwAADgAAAAAAAAABACAAAAAlAQAAZHJzL2Uyb0RvYy54bWxQSwUGAAAAAAYABgBZAQAA&#10;RQUAAAAA&#10;">
                        <v:fill on="f" focussize="0,0"/>
                        <v:stroke on="f"/>
                        <v:imagedata o:title=""/>
                        <o:lock v:ext="edit" aspectratio="f"/>
                        <v:textbox>
                          <w:txbxContent>
                            <w:p w14:paraId="05556213">
                              <w:pPr>
                                <w:rPr>
                                  <w:rFonts w:hint="default" w:eastAsia="宋体"/>
                                  <w:sz w:val="15"/>
                                  <w:szCs w:val="15"/>
                                  <w:lang w:val="en-US" w:eastAsia="zh-CN"/>
                                </w:rPr>
                              </w:pPr>
                              <w:r>
                                <w:rPr>
                                  <w:rFonts w:hint="eastAsia"/>
                                  <w:sz w:val="15"/>
                                  <w:szCs w:val="15"/>
                                  <w:lang w:val="en-US" w:eastAsia="zh-CN"/>
                                </w:rPr>
                                <w:t>180.8</w:t>
                              </w:r>
                            </w:p>
                          </w:txbxContent>
                        </v:textbox>
                      </v:rect>
                      <v:rect id="_x0000_s1026" o:spid="_x0000_s1026" o:spt="1" style="position:absolute;left:2903855;top:1463040;height:199390;width:46101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HK9ItYA&#10;AAAFAQAADwAAAAAAAAABACAAAAAiAAAAZHJzL2Rvd25yZXYueG1sUEsBAhQAFAAAAAgAh07iQIuv&#10;SuavAQAATgMAAA4AAAAAAAAAAQAgAAAAJQEAAGRycy9lMm9Eb2MueG1sUEsFBgAAAAAGAAYAWQEA&#10;AEYFAAAAAA==&#10;">
                        <v:fill on="f" focussize="0,0"/>
                        <v:stroke on="f"/>
                        <v:imagedata o:title=""/>
                        <o:lock v:ext="edit" aspectratio="f"/>
                        <v:textbox>
                          <w:txbxContent>
                            <w:p w14:paraId="55E4BB65">
                              <w:pPr>
                                <w:rPr>
                                  <w:rFonts w:hint="default" w:eastAsia="宋体"/>
                                  <w:sz w:val="15"/>
                                  <w:szCs w:val="15"/>
                                  <w:lang w:val="en-US" w:eastAsia="zh-CN"/>
                                </w:rPr>
                              </w:pPr>
                              <w:r>
                                <w:rPr>
                                  <w:rFonts w:hint="eastAsia"/>
                                  <w:sz w:val="15"/>
                                  <w:szCs w:val="15"/>
                                  <w:lang w:val="en-US" w:eastAsia="zh-CN"/>
                                </w:rPr>
                                <w:t>10.8</w:t>
                              </w:r>
                            </w:p>
                          </w:txbxContent>
                        </v:textbox>
                      </v:rect>
                      <v:rect id="_x0000_s1026" o:spid="_x0000_s1026" o:spt="1" style="position:absolute;left:429895;top:1102360;height:199390;width:46101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ByvSLWAAAA&#10;BQEAAA8AAAAAAAAAAQAgAAAAIgAAAGRycy9kb3ducmV2LnhtbFBLAQIUABQAAAAIAIdO4kDwwyG0&#10;rQEAAE0DAAAOAAAAAAAAAAEAIAAAACUBAABkcnMvZTJvRG9jLnhtbFBLBQYAAAAABgAGAFkBAABE&#10;BQAAAAA=&#10;">
                        <v:fill on="f" focussize="0,0"/>
                        <v:stroke on="f"/>
                        <v:imagedata o:title=""/>
                        <o:lock v:ext="edit" aspectratio="f"/>
                        <v:textbox>
                          <w:txbxContent>
                            <w:p w14:paraId="38FF9116">
                              <w:pPr>
                                <w:rPr>
                                  <w:rFonts w:hint="default" w:eastAsia="宋体"/>
                                  <w:sz w:val="15"/>
                                  <w:szCs w:val="15"/>
                                  <w:lang w:val="en-US" w:eastAsia="zh-CN"/>
                                </w:rPr>
                              </w:pPr>
                              <w:r>
                                <w:rPr>
                                  <w:rFonts w:hint="eastAsia"/>
                                  <w:sz w:val="15"/>
                                  <w:szCs w:val="15"/>
                                  <w:lang w:val="en-US" w:eastAsia="zh-CN"/>
                                </w:rPr>
                                <w:t>267.25</w:t>
                              </w:r>
                            </w:p>
                          </w:txbxContent>
                        </v:textbox>
                      </v:rect>
                      <v:rect id="_x0000_s1026" o:spid="_x0000_s1026" o:spt="1" style="position:absolute;left:4305300;top:1162050;height:199390;width:46101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cr0i1gAA&#10;AAUBAAAPAAAAAAAAAAEAIAAAACIAAABkcnMvZG93bnJldi54bWxQSwECFAAUAAAACACHTuJAxKF/&#10;UK4BAABOAwAADgAAAAAAAAABACAAAAAlAQAAZHJzL2Uyb0RvYy54bWxQSwUGAAAAAAYABgBZAQAA&#10;RQUAAAAA&#10;">
                        <v:fill on="f" focussize="0,0"/>
                        <v:stroke on="f"/>
                        <v:imagedata o:title=""/>
                        <o:lock v:ext="edit" aspectratio="f"/>
                        <v:textbox>
                          <w:txbxContent>
                            <w:p w14:paraId="76F489D7">
                              <w:pPr>
                                <w:rPr>
                                  <w:rFonts w:hint="default" w:eastAsia="宋体"/>
                                  <w:sz w:val="15"/>
                                  <w:szCs w:val="15"/>
                                  <w:lang w:val="en-US" w:eastAsia="zh-CN"/>
                                </w:rPr>
                              </w:pPr>
                              <w:r>
                                <w:rPr>
                                  <w:rFonts w:hint="eastAsia"/>
                                  <w:sz w:val="15"/>
                                  <w:szCs w:val="15"/>
                                  <w:lang w:val="en-US" w:eastAsia="zh-CN"/>
                                </w:rPr>
                                <w:t>215.96</w:t>
                              </w:r>
                            </w:p>
                          </w:txbxContent>
                        </v:textbox>
                      </v:rect>
                      <v:line id="_x0000_s1026" o:spid="_x0000_s1026" o:spt="20" style="position:absolute;left:1919605;top:2183130;flip:y;height:88900;width:177800;" filled="f" stroked="t" coordsize="21600,21600" o:gfxdata="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m43CTTAAAABQEAAA8AAAAA&#10;AAAAAQAgAAAAIgAAAGRycy9kb3ducmV2LnhtbFBLAQIUABQAAAAIAIdO4kChAWDuGQIAAA0EAAAO&#10;AAAAAAAAAAEAIAAAACIBAABkcnMvZTJvRG9jLnhtbFBLBQYAAAAABgAGAFkBAACtBQAAAAA=&#10;">
                        <v:fill on="f" focussize="0,0"/>
                        <v:stroke color="#000000" joinstyle="round" dashstyle="1 1" endcap="round" endarrow="block"/>
                        <v:imagedata o:title=""/>
                        <o:lock v:ext="edit" aspectratio="f"/>
                      </v:line>
                      <v:group id="_x0000_s1026" o:spid="_x0000_s1026" o:spt="203" style="position:absolute;left:816610;top:712470;height:447675;width:1844675;" coordorigin="1286,2094" coordsize="2905,705" o:gfxdata="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Bdp/FnVAAAABQEAAA8AAAAAAAAAAQAgAAAA&#10;IgAAAGRycy9kb3ducmV2LnhtbFBLAQIUABQAAAAIAIdO4kD04csanQMAAFUMAAAOAAAAAAAAAAEA&#10;IAAAACQBAABkcnMvZTJvRG9jLnhtbFBLBQYAAAAABgAGAFkBAAAzBwAAAAA=&#10;">
                        <o:lock v:ext="edit" aspectratio="f"/>
                        <v:shape id="文本框 31" o:spid="_x0000_s1026" o:spt="202" type="#_x0000_t202" style="position:absolute;left:2235;top:2421;height:379;width:1424;" filled="f" stroked="t" coordsize="21600,21600" o:gfxdata="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uEK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6D4D15E2">
                                <w:pPr>
                                  <w:jc w:val="center"/>
                                  <w:rPr>
                                    <w:rFonts w:hint="eastAsia" w:eastAsia="宋体"/>
                                    <w:lang w:eastAsia="zh-CN"/>
                                  </w:rPr>
                                </w:pPr>
                                <w:r>
                                  <w:rPr>
                                    <w:rFonts w:hint="eastAsia"/>
                                    <w:sz w:val="15"/>
                                    <w:szCs w:val="15"/>
                                    <w:lang w:val="en-US" w:eastAsia="zh-CN"/>
                                  </w:rPr>
                                  <w:t>动物笼清洗</w:t>
                                </w:r>
                                <w:r>
                                  <w:rPr>
                                    <w:rFonts w:hint="eastAsia"/>
                                    <w:sz w:val="15"/>
                                    <w:szCs w:val="15"/>
                                    <w:lang w:eastAsia="zh-CN"/>
                                  </w:rPr>
                                  <w:t>用水</w:t>
                                </w:r>
                              </w:p>
                            </w:txbxContent>
                          </v:textbox>
                        </v:shape>
                        <v:line id="直接连接符 35" o:spid="_x0000_s1026" o:spt="20" style="position:absolute;left:1286;top:2602;flip:y;height:5;width:961;" filled="f" stroked="t" coordsize="21600,21600" o:gfxdata="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jKrq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1452;top:2267;height:314;width:726;" filled="f" stroked="f" coordsize="21600,21600" o:gfxdata="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BPG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68C8BB1A">
                                <w:pPr>
                                  <w:rPr>
                                    <w:rFonts w:hint="default" w:eastAsia="宋体"/>
                                    <w:sz w:val="15"/>
                                    <w:szCs w:val="15"/>
                                    <w:lang w:val="en-US" w:eastAsia="zh-CN"/>
                                  </w:rPr>
                                </w:pPr>
                                <w:r>
                                  <w:rPr>
                                    <w:rFonts w:hint="eastAsia"/>
                                    <w:sz w:val="15"/>
                                    <w:szCs w:val="15"/>
                                    <w:lang w:val="en-US" w:eastAsia="zh-CN"/>
                                  </w:rPr>
                                  <w:t>19.2</w:t>
                                </w:r>
                              </w:p>
                            </w:txbxContent>
                          </v:textbox>
                        </v:rect>
                        <v:line id="_x0000_s1026" o:spid="_x0000_s1026" o:spt="20" style="position:absolute;left:3031;top:2273;flip:y;height:140;width:280;" filled="f" stroked="t" coordsize="21600,21600" o:gfxdata="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2uH7u5AAAA2gAA&#10;AA8AAAAAAAAAAQAgAAAAIgAAAGRycy9kb3ducmV2LnhtbFBLAQIUABQAAAAIAIdO4kAzLwWeOwAA&#10;ADkAAAAQAAAAAAAAAAEAIAAAAAgBAABkcnMvc2hhcGV4bWwueG1sUEsFBgAAAAAGAAYAWwEAALID&#10;AAAAAA==&#10;">
                          <v:fill on="f" focussize="0,0"/>
                          <v:stroke color="#000000" joinstyle="round" dashstyle="1 1" endcap="round" endarrow="block"/>
                          <v:imagedata o:title=""/>
                          <o:lock v:ext="edit" aspectratio="f"/>
                        </v:line>
                        <v:rect id="_x0000_s1026" o:spid="_x0000_s1026" o:spt="1" style="position:absolute;left:3209;top:2094;height:325;width:982;" filled="f" stroked="f" coordsize="21600,21600" o:gfxdata="UEsDBAoAAAAAAIdO4kAAAAAAAAAAAAAAAAAEAAAAZHJzL1BLAwQUAAAACACHTuJAyrBR7b4AAADb&#10;AAAADwAAAGRycy9kb3ducmV2LnhtbEWPQWvCQBSE7wX/w/KEXopuYqH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BR7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286DE802">
                                <w:pPr>
                                  <w:rPr>
                                    <w:rFonts w:hint="default" w:eastAsia="宋体"/>
                                    <w:sz w:val="15"/>
                                    <w:szCs w:val="15"/>
                                    <w:lang w:val="en-US" w:eastAsia="zh-CN"/>
                                  </w:rPr>
                                </w:pPr>
                                <w:r>
                                  <w:rPr>
                                    <w:rFonts w:hint="eastAsia"/>
                                    <w:sz w:val="15"/>
                                    <w:szCs w:val="15"/>
                                  </w:rPr>
                                  <w:t>损耗</w:t>
                                </w:r>
                                <w:r>
                                  <w:rPr>
                                    <w:rFonts w:hint="eastAsia"/>
                                    <w:sz w:val="15"/>
                                    <w:szCs w:val="15"/>
                                    <w:lang w:val="en-US" w:eastAsia="zh-CN"/>
                                  </w:rPr>
                                  <w:t>3.84</w:t>
                                </w:r>
                              </w:p>
                            </w:txbxContent>
                          </v:textbox>
                        </v:rect>
                      </v:group>
                      <v:rect id="_x0000_s1026" o:spid="_x0000_s1026" o:spt="1" style="position:absolute;left:2030730;top:2070735;height:206375;width:623570;" filled="f" stroked="f" coordsize="21600,21600" o:gfxdata="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HK9ItYAAAAF&#10;AQAADwAAAAAAAAABACAAAAAiAAAAZHJzL2Rvd25yZXYueG1sUEsBAhQAFAAAAAgAh07iQJpuBAys&#10;AQAATgMAAA4AAAAAAAAAAQAgAAAAJQEAAGRycy9lMm9Eb2MueG1sUEsFBgAAAAAGAAYAWQEAAEMF&#10;AAAAAA==&#10;">
                        <v:fill on="f" focussize="0,0"/>
                        <v:stroke on="f"/>
                        <v:imagedata o:title=""/>
                        <o:lock v:ext="edit" aspectratio="f"/>
                        <v:textbox>
                          <w:txbxContent>
                            <w:p w14:paraId="63E69764">
                              <w:pPr>
                                <w:rPr>
                                  <w:rFonts w:hint="default" w:eastAsia="宋体"/>
                                  <w:sz w:val="15"/>
                                  <w:szCs w:val="15"/>
                                  <w:lang w:val="en-US" w:eastAsia="zh-CN"/>
                                </w:rPr>
                              </w:pPr>
                              <w:r>
                                <w:rPr>
                                  <w:rFonts w:hint="eastAsia"/>
                                  <w:sz w:val="15"/>
                                  <w:szCs w:val="15"/>
                                </w:rPr>
                                <w:t>损耗</w:t>
                              </w:r>
                              <w:r>
                                <w:rPr>
                                  <w:rFonts w:hint="eastAsia"/>
                                  <w:sz w:val="15"/>
                                  <w:szCs w:val="15"/>
                                  <w:lang w:val="en-US" w:eastAsia="zh-CN"/>
                                </w:rPr>
                                <w:t>45.25</w:t>
                              </w:r>
                            </w:p>
                          </w:txbxContent>
                        </v:textbox>
                      </v:rect>
                      <v:line id="直接连接符 35" o:spid="_x0000_s1026" o:spt="20" style="position:absolute;left:2213610;top:341630;height:2540;width:305435;" filled="f" stroked="t" coordsize="21600,21600" o:gfxdata="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DPrXVAAAABQEAAA8AAAAAAAAAAQAgAAAAIgAA&#10;AGRycy9kb3ducmV2LnhtbFBLAQIUABQAAAAIAIdO4kCk5poMCwIAAP8DAAAOAAAAAAAAAAEAIAAA&#10;ACQBAABkcnMvZTJvRG9jLnhtbFBLBQYAAAAABgAGAFkBAAChBQAAAAA=&#10;">
                        <v:fill on="f" focussize="0,0"/>
                        <v:stroke weight="1pt" color="#000000 [3213]" joinstyle="round"/>
                        <v:imagedata o:title=""/>
                        <o:lock v:ext="edit" aspectratio="f"/>
                      </v:line>
                      <v:line id="_x0000_s1026" o:spid="_x0000_s1026" o:spt="20" style="position:absolute;left:2515870;top:342265;flip:y;height:682625;width:5080;" filled="f" stroked="t" coordsize="21600,21600" o:gfxdata="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49R1NQAAAAFAQAADwAAAAAAAAABACAAAAAiAAAAZHJzL2Rvd25yZXYueG1sUEsBAhQAFAAAAAgA&#10;h07iQPvFY1zwAQAAtgMAAA4AAAAAAAAAAQAgAAAAIwEAAGRycy9lMm9Eb2MueG1sUEsFBgAAAAAG&#10;AAYAWQEAAIUFAAAAAA==&#10;">
                        <v:fill on="f" focussize="0,0"/>
                        <v:stroke weight="1pt" color="#000000 [3213]" joinstyle="round"/>
                        <v:imagedata o:title=""/>
                        <o:lock v:ext="edit" aspectratio="f"/>
                      </v:line>
                      <v:group id="_x0000_s1026" o:spid="_x0000_s1026" o:spt="203" style="position:absolute;left:824865;top:1345565;height:442595;width:1841500;" coordorigin="1286,1108" coordsize="2900,697" o:gfxdata="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F2n8WdUAAAAFAQAADwAAAAAAAAABACAAAAAi&#10;AAAAZHJzL2Rvd25yZXYueG1sUEsBAhQAFAAAAAgAh07iQEHMIQHVAwAAjw0AAA4AAAAAAAAAAQAg&#10;AAAAJAEAAGRycy9lMm9Eb2MueG1sUEsFBgAAAAAGAAYAWQEAAGsHAAAAAA==&#10;">
                        <o:lock v:ext="edit" aspectratio="f"/>
                        <v:group id="组合 28" o:spid="_x0000_s1026" o:spt="203" style="position:absolute;left:1286;top:1427;height:378;width:2195;" coordorigin="1298,350" coordsize="2195,378"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shape id="文本框 31" o:spid="_x0000_s1026" o:spt="202" type="#_x0000_t202" style="position:absolute;left:2247;top:350;height:379;width:1246;" filled="f" stroked="t" coordsize="21600,21600" o:gfxdata="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T0L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56867A8F">
                                  <w:pPr>
                                    <w:jc w:val="center"/>
                                    <w:rPr>
                                      <w:rFonts w:hint="eastAsia" w:eastAsia="宋体"/>
                                      <w:lang w:eastAsia="zh-CN"/>
                                    </w:rPr>
                                  </w:pPr>
                                  <w:r>
                                    <w:rPr>
                                      <w:rFonts w:hint="eastAsia"/>
                                      <w:sz w:val="15"/>
                                      <w:szCs w:val="15"/>
                                      <w:lang w:val="en-US" w:eastAsia="zh-CN"/>
                                    </w:rPr>
                                    <w:t>动物美容</w:t>
                                  </w:r>
                                  <w:r>
                                    <w:rPr>
                                      <w:rFonts w:hint="eastAsia"/>
                                      <w:sz w:val="15"/>
                                      <w:szCs w:val="15"/>
                                      <w:lang w:eastAsia="zh-CN"/>
                                    </w:rPr>
                                    <w:t>用水</w:t>
                                  </w:r>
                                </w:p>
                              </w:txbxContent>
                            </v:textbox>
                          </v:shape>
                          <v:line id="直接连接符 35" o:spid="_x0000_s1026" o:spt="20" style="position:absolute;left:1298;top:531;flip:y;height:5;width:961;" filled="f" stroked="t" coordsize="21600,21600" o:gfxdata="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RDd2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v:rect id="矩形 65" o:spid="_x0000_s1026" o:spt="1" style="position:absolute;left:1444;top:1296;height:314;width:726;" filled="f" stroked="f" coordsize="21600,21600" o:gfxdata="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7gy9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3F3CC715">
                                <w:pPr>
                                  <w:rPr>
                                    <w:rFonts w:hint="default" w:eastAsia="宋体"/>
                                    <w:sz w:val="15"/>
                                    <w:szCs w:val="15"/>
                                    <w:lang w:val="en-US" w:eastAsia="zh-CN"/>
                                  </w:rPr>
                                </w:pPr>
                                <w:r>
                                  <w:rPr>
                                    <w:rFonts w:hint="eastAsia"/>
                                    <w:sz w:val="15"/>
                                    <w:szCs w:val="15"/>
                                    <w:lang w:val="en-US" w:eastAsia="zh-CN"/>
                                  </w:rPr>
                                  <w:t>12.0</w:t>
                                </w:r>
                              </w:p>
                            </w:txbxContent>
                          </v:textbox>
                        </v:rect>
                        <v:line id="直接连接符 3" o:spid="_x0000_s1026" o:spt="20" style="position:absolute;left:3038;top:1283;flip:y;height:140;width:280;" filled="f" stroked="t" coordsize="21600,21600" o:gfxdata="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dERbsAAADc&#10;AAAADwAAAAAAAAABACAAAAAiAAAAZHJzL2Rvd25yZXYueG1sUEsBAhQAFAAAAAgAh07iQDMvBZ47&#10;AAAAOQAAABAAAAAAAAAAAQAgAAAACgEAAGRycy9zaGFwZXhtbC54bWxQSwUGAAAAAAYABgBbAQAA&#10;tAMAAAAA&#10;">
                          <v:fill on="f" focussize="0,0"/>
                          <v:stroke color="#000000" joinstyle="round" dashstyle="1 1" endcap="round" endarrow="block"/>
                          <v:imagedata o:title=""/>
                          <o:lock v:ext="edit" aspectratio="f"/>
                        </v:line>
                        <v:rect id="矩形 34" o:spid="_x0000_s1026" o:spt="1" style="position:absolute;left:3204;top:1108;height:325;width:982;" filled="f" stroked="f" coordsize="21600,21600" o:gfxdata="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0PG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7237E555">
                                <w:pPr>
                                  <w:rPr>
                                    <w:rFonts w:hint="default" w:eastAsia="宋体"/>
                                    <w:sz w:val="15"/>
                                    <w:szCs w:val="15"/>
                                    <w:lang w:val="en-US" w:eastAsia="zh-CN"/>
                                  </w:rPr>
                                </w:pPr>
                                <w:r>
                                  <w:rPr>
                                    <w:rFonts w:hint="eastAsia"/>
                                    <w:sz w:val="15"/>
                                    <w:szCs w:val="15"/>
                                  </w:rPr>
                                  <w:t>损耗</w:t>
                                </w:r>
                                <w:r>
                                  <w:rPr>
                                    <w:rFonts w:hint="eastAsia"/>
                                    <w:sz w:val="15"/>
                                    <w:szCs w:val="15"/>
                                    <w:lang w:val="en-US" w:eastAsia="zh-CN"/>
                                  </w:rPr>
                                  <w:t>1.2</w:t>
                                </w:r>
                              </w:p>
                            </w:txbxContent>
                          </v:textbox>
                        </v:rect>
                      </v:group>
                      <w10:wrap type="none"/>
                      <w10:anchorlock/>
                    </v:group>
                  </w:pict>
                </mc:Fallback>
              </mc:AlternateContent>
            </w:r>
          </w:p>
          <w:p w14:paraId="0302F26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zh-CN" w:eastAsia="zh-CN"/>
              </w:rPr>
            </w:pPr>
            <w:r>
              <w:rPr>
                <w:rFonts w:hint="default" w:ascii="Times New Roman" w:hAnsi="Times New Roman" w:cs="Times New Roman" w:eastAsiaTheme="minorEastAsia"/>
                <w:b/>
                <w:color w:val="auto"/>
                <w:sz w:val="21"/>
                <w:szCs w:val="21"/>
                <w:lang w:val="zh-CN" w:eastAsia="zh-CN"/>
              </w:rPr>
              <w:t>图2-</w:t>
            </w:r>
            <w:r>
              <w:rPr>
                <w:rFonts w:hint="eastAsia" w:ascii="Times New Roman" w:hAnsi="Times New Roman" w:cs="Times New Roman" w:eastAsiaTheme="minorEastAsia"/>
                <w:b/>
                <w:color w:val="auto"/>
                <w:sz w:val="21"/>
                <w:szCs w:val="21"/>
                <w:lang w:val="en-US" w:eastAsia="zh-CN"/>
              </w:rPr>
              <w:t>1</w:t>
            </w:r>
            <w:r>
              <w:rPr>
                <w:rFonts w:hint="default" w:ascii="Times New Roman" w:hAnsi="Times New Roman" w:cs="Times New Roman" w:eastAsiaTheme="minorEastAsia"/>
                <w:b/>
                <w:color w:val="auto"/>
                <w:sz w:val="21"/>
                <w:szCs w:val="21"/>
                <w:lang w:val="zh-CN" w:eastAsia="zh-CN"/>
              </w:rPr>
              <w:t xml:space="preserve">   项目水平衡一览图   单位：</w:t>
            </w:r>
            <w:r>
              <w:rPr>
                <w:rFonts w:hint="eastAsia" w:ascii="Times New Roman" w:hAnsi="Times New Roman" w:cs="Times New Roman" w:eastAsiaTheme="minorEastAsia"/>
                <w:b/>
                <w:color w:val="auto"/>
                <w:sz w:val="21"/>
                <w:szCs w:val="21"/>
                <w:lang w:val="en-US" w:eastAsia="zh-CN"/>
              </w:rPr>
              <w:t>t</w:t>
            </w:r>
            <w:r>
              <w:rPr>
                <w:rFonts w:hint="default" w:ascii="Times New Roman" w:hAnsi="Times New Roman" w:cs="Times New Roman" w:eastAsiaTheme="minorEastAsia"/>
                <w:b/>
                <w:color w:val="auto"/>
                <w:sz w:val="21"/>
                <w:szCs w:val="21"/>
                <w:lang w:val="zh-CN" w:eastAsia="zh-CN"/>
              </w:rPr>
              <w:t>/a</w:t>
            </w:r>
          </w:p>
          <w:p w14:paraId="784481FD">
            <w:pPr>
              <w:keepNext w:val="0"/>
              <w:keepLines w:val="0"/>
              <w:suppressLineNumbers w:val="0"/>
              <w:spacing w:before="0" w:beforeAutospacing="0" w:after="0" w:afterAutospacing="0" w:line="520" w:lineRule="exact"/>
              <w:ind w:left="0" w:right="0" w:firstLine="482" w:firstLineChars="200"/>
              <w:rPr>
                <w:rFonts w:hint="default" w:ascii="Times New Roman" w:hAnsi="Times New Roman" w:cs="Times New Roman" w:eastAsiaTheme="minorEastAsia"/>
                <w:b/>
                <w:color w:val="auto"/>
                <w:sz w:val="24"/>
                <w:lang w:val="en-US" w:eastAsia="zh-CN"/>
              </w:rPr>
            </w:pPr>
            <w:r>
              <w:rPr>
                <w:rFonts w:hint="default" w:ascii="Times New Roman" w:hAnsi="Times New Roman" w:cs="Times New Roman" w:eastAsiaTheme="minorEastAsia"/>
                <w:b/>
                <w:color w:val="auto"/>
                <w:sz w:val="24"/>
                <w:lang w:val="en-US" w:eastAsia="zh-CN"/>
              </w:rPr>
              <w:t>5.2供电</w:t>
            </w:r>
          </w:p>
          <w:p w14:paraId="4EED24BA">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本项目供电由市政电网供给，能满足用电需求。</w:t>
            </w:r>
          </w:p>
          <w:p w14:paraId="452B3F91">
            <w:pPr>
              <w:keepNext w:val="0"/>
              <w:keepLines w:val="0"/>
              <w:suppressLineNumbers w:val="0"/>
              <w:spacing w:before="0" w:beforeAutospacing="0" w:after="0" w:afterAutospacing="0" w:line="520" w:lineRule="exact"/>
              <w:ind w:left="0" w:right="0" w:firstLine="482" w:firstLineChars="200"/>
              <w:rPr>
                <w:rFonts w:hint="default" w:ascii="Times New Roman" w:hAnsi="Times New Roman" w:cs="Times New Roman" w:eastAsiaTheme="minorEastAsia"/>
                <w:b/>
                <w:color w:val="auto"/>
                <w:sz w:val="24"/>
                <w:lang w:val="en-US" w:eastAsia="zh-CN"/>
              </w:rPr>
            </w:pPr>
            <w:r>
              <w:rPr>
                <w:rFonts w:hint="default" w:ascii="Times New Roman" w:hAnsi="Times New Roman" w:cs="Times New Roman" w:eastAsiaTheme="minorEastAsia"/>
                <w:b/>
                <w:color w:val="auto"/>
                <w:sz w:val="24"/>
                <w:lang w:val="en-US" w:eastAsia="zh-CN"/>
              </w:rPr>
              <w:t>5.3供暖</w:t>
            </w:r>
          </w:p>
          <w:p w14:paraId="1AD68A31">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采用市政集中供热方式，可以满足项目的用暖要求。</w:t>
            </w:r>
          </w:p>
          <w:p w14:paraId="256083E4">
            <w:pPr>
              <w:keepNext w:val="0"/>
              <w:keepLines w:val="0"/>
              <w:suppressLineNumbers w:val="0"/>
              <w:spacing w:before="0" w:beforeAutospacing="0" w:after="0" w:afterAutospacing="0" w:line="520" w:lineRule="exact"/>
              <w:ind w:left="0" w:right="0"/>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6.</w:t>
            </w:r>
            <w:r>
              <w:rPr>
                <w:rFonts w:hint="default" w:ascii="Times New Roman" w:hAnsi="Times New Roman" w:cs="Times New Roman" w:eastAsiaTheme="minorEastAsia"/>
                <w:b/>
                <w:bCs/>
                <w:color w:val="auto"/>
                <w:sz w:val="24"/>
              </w:rPr>
              <w:t>劳动定员及工作制度</w:t>
            </w:r>
          </w:p>
          <w:p w14:paraId="07C60357">
            <w:pPr>
              <w:pStyle w:val="58"/>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根据建设方提供资料，本项目劳动定员共</w:t>
            </w:r>
            <w:r>
              <w:rPr>
                <w:rFonts w:hint="default" w:ascii="Times New Roman" w:hAnsi="Times New Roman" w:cs="Times New Roman" w:eastAsiaTheme="minorEastAsia"/>
                <w:color w:val="auto"/>
                <w:sz w:val="24"/>
                <w:lang w:val="en-US" w:eastAsia="zh-CN"/>
              </w:rPr>
              <w:t>5</w:t>
            </w:r>
            <w:r>
              <w:rPr>
                <w:rFonts w:hint="default" w:ascii="Times New Roman" w:hAnsi="Times New Roman" w:cs="Times New Roman" w:eastAsiaTheme="minorEastAsia"/>
                <w:color w:val="auto"/>
                <w:sz w:val="24"/>
              </w:rPr>
              <w:t>人，</w:t>
            </w:r>
            <w:r>
              <w:rPr>
                <w:rFonts w:hint="default" w:ascii="Times New Roman" w:hAnsi="Times New Roman" w:cs="Times New Roman" w:eastAsiaTheme="minorEastAsia"/>
                <w:color w:val="auto"/>
                <w:sz w:val="24"/>
                <w:lang w:val="en-US" w:eastAsia="zh-CN"/>
              </w:rPr>
              <w:t>不提供食宿，</w:t>
            </w:r>
            <w:r>
              <w:rPr>
                <w:rFonts w:hint="default" w:ascii="Times New Roman" w:hAnsi="Times New Roman" w:cs="Times New Roman" w:eastAsiaTheme="minorEastAsia"/>
                <w:color w:val="auto"/>
                <w:sz w:val="24"/>
              </w:rPr>
              <w:t>年工作天数为3</w:t>
            </w:r>
            <w:r>
              <w:rPr>
                <w:rFonts w:hint="eastAsia" w:ascii="Times New Roman" w:hAnsi="Times New Roman" w:cs="Times New Roman" w:eastAsiaTheme="minorEastAsia"/>
                <w:color w:val="auto"/>
                <w:sz w:val="24"/>
                <w:lang w:val="en-US" w:eastAsia="zh-CN"/>
              </w:rPr>
              <w:t>3</w:t>
            </w:r>
            <w:r>
              <w:rPr>
                <w:rFonts w:hint="default" w:ascii="Times New Roman" w:hAnsi="Times New Roman" w:cs="Times New Roman" w:eastAsiaTheme="minorEastAsia"/>
                <w:color w:val="auto"/>
                <w:sz w:val="24"/>
                <w:lang w:val="en-US" w:eastAsia="zh-CN"/>
              </w:rPr>
              <w:t>0</w:t>
            </w:r>
            <w:r>
              <w:rPr>
                <w:rFonts w:hint="default" w:ascii="Times New Roman" w:hAnsi="Times New Roman" w:cs="Times New Roman" w:eastAsiaTheme="minorEastAsia"/>
                <w:color w:val="auto"/>
                <w:sz w:val="24"/>
              </w:rPr>
              <w:t>d，</w:t>
            </w:r>
            <w:r>
              <w:rPr>
                <w:rFonts w:hint="default" w:ascii="Times New Roman" w:hAnsi="Times New Roman" w:cs="Times New Roman" w:eastAsiaTheme="minorEastAsia"/>
                <w:color w:val="auto"/>
                <w:sz w:val="24"/>
                <w:lang w:val="en-US" w:eastAsia="zh-CN"/>
              </w:rPr>
              <w:t>每天工作时间为10：00-21：00。</w:t>
            </w:r>
          </w:p>
          <w:p w14:paraId="770247A1">
            <w:pPr>
              <w:keepNext w:val="0"/>
              <w:keepLines w:val="0"/>
              <w:suppressLineNumbers w:val="0"/>
              <w:spacing w:before="0" w:beforeAutospacing="0" w:after="0" w:afterAutospacing="0" w:line="520" w:lineRule="exact"/>
              <w:ind w:left="0" w:right="0"/>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7.</w:t>
            </w:r>
            <w:r>
              <w:rPr>
                <w:rFonts w:hint="default" w:ascii="Times New Roman" w:hAnsi="Times New Roman" w:cs="Times New Roman" w:eastAsiaTheme="minorEastAsia"/>
                <w:b/>
                <w:bCs/>
                <w:color w:val="auto"/>
                <w:sz w:val="24"/>
              </w:rPr>
              <w:t>厂区平面布置</w:t>
            </w:r>
          </w:p>
          <w:p w14:paraId="4849A22A">
            <w:pPr>
              <w:pStyle w:val="58"/>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本项目位于</w:t>
            </w:r>
            <w:r>
              <w:rPr>
                <w:rFonts w:hint="eastAsia" w:ascii="Times New Roman" w:hAnsi="Times New Roman" w:cs="Times New Roman" w:eastAsiaTheme="minorEastAsia"/>
                <w:color w:val="auto"/>
                <w:sz w:val="24"/>
                <w:lang w:val="en-US" w:eastAsia="zh-CN"/>
              </w:rPr>
              <w:t>新疆昌吉州阜康市准噶尔路394号</w:t>
            </w:r>
            <w:r>
              <w:rPr>
                <w:rFonts w:hint="default" w:ascii="Times New Roman" w:hAnsi="Times New Roman" w:cs="Times New Roman" w:eastAsiaTheme="minorEastAsia"/>
                <w:color w:val="auto"/>
                <w:sz w:val="24"/>
                <w:lang w:val="en-US" w:eastAsia="zh-CN"/>
              </w:rPr>
              <w:t>，商铺平面布局见附图。功能分区布局：租赁店面共有</w:t>
            </w:r>
            <w:r>
              <w:rPr>
                <w:rFonts w:hint="eastAsia" w:ascii="Times New Roman" w:hAnsi="Times New Roman" w:cs="Times New Roman" w:eastAsiaTheme="minorEastAsia"/>
                <w:color w:val="auto"/>
                <w:sz w:val="24"/>
                <w:lang w:val="en-US" w:eastAsia="zh-CN"/>
              </w:rPr>
              <w:t>1</w:t>
            </w:r>
            <w:r>
              <w:rPr>
                <w:rFonts w:hint="default" w:ascii="Times New Roman" w:hAnsi="Times New Roman" w:cs="Times New Roman" w:eastAsiaTheme="minorEastAsia"/>
                <w:color w:val="auto"/>
                <w:sz w:val="24"/>
                <w:lang w:val="en-US" w:eastAsia="zh-CN"/>
              </w:rPr>
              <w:t>层，设置吧台、宠物用品区、诊室、化验室、药房、</w:t>
            </w:r>
            <w:r>
              <w:rPr>
                <w:rFonts w:hint="default" w:ascii="Times New Roman" w:hAnsi="Times New Roman" w:cs="Times New Roman" w:eastAsiaTheme="minorEastAsia"/>
                <w:color w:val="auto"/>
                <w:sz w:val="24"/>
              </w:rPr>
              <w:t>住院</w:t>
            </w:r>
            <w:r>
              <w:rPr>
                <w:rFonts w:hint="default" w:ascii="Times New Roman" w:hAnsi="Times New Roman" w:cs="Times New Roman" w:eastAsiaTheme="minorEastAsia"/>
                <w:color w:val="auto"/>
                <w:sz w:val="24"/>
                <w:lang w:eastAsia="zh-CN"/>
              </w:rPr>
              <w:t>观察</w:t>
            </w:r>
            <w:r>
              <w:rPr>
                <w:rFonts w:hint="default" w:ascii="Times New Roman" w:hAnsi="Times New Roman" w:cs="Times New Roman" w:eastAsiaTheme="minorEastAsia"/>
                <w:color w:val="auto"/>
                <w:sz w:val="24"/>
              </w:rPr>
              <w:t>室、休息室、库房</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val="en-US" w:eastAsia="zh-CN"/>
              </w:rPr>
              <w:t>卫生间、DR室、医疗废物暂存间等。项目整体布局跟操作流程的先后顺序相符合，各功能区分区布置，功能分区明确。</w:t>
            </w:r>
          </w:p>
          <w:p w14:paraId="57853DCC">
            <w:pPr>
              <w:pStyle w:val="58"/>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环保设施位置：医疗废水处理设施位于</w:t>
            </w:r>
            <w:r>
              <w:rPr>
                <w:rFonts w:hint="eastAsia" w:ascii="Times New Roman" w:hAnsi="Times New Roman" w:cs="Times New Roman" w:eastAsiaTheme="minorEastAsia"/>
                <w:color w:val="auto"/>
                <w:sz w:val="24"/>
                <w:lang w:val="en-US" w:eastAsia="zh-CN"/>
              </w:rPr>
              <w:t>美容室内</w:t>
            </w:r>
            <w:r>
              <w:rPr>
                <w:rFonts w:hint="default" w:ascii="Times New Roman" w:hAnsi="Times New Roman" w:cs="Times New Roman" w:eastAsiaTheme="minorEastAsia"/>
                <w:color w:val="auto"/>
                <w:sz w:val="24"/>
                <w:lang w:val="en-US" w:eastAsia="zh-CN"/>
              </w:rPr>
              <w:t>；一体化污水处理设施设计处理能力为1.0</w:t>
            </w:r>
            <w:r>
              <w:rPr>
                <w:rFonts w:hint="default" w:ascii="Times New Roman" w:hAnsi="Times New Roman" w:cs="Times New Roman" w:eastAsiaTheme="minorEastAsia"/>
                <w:color w:val="auto"/>
                <w:lang w:val="en-US" w:eastAsia="zh-CN"/>
              </w:rPr>
              <w:t>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color w:val="auto"/>
                <w:lang w:val="en-US" w:eastAsia="zh-CN"/>
              </w:rPr>
              <w:t>/d</w:t>
            </w:r>
            <w:r>
              <w:rPr>
                <w:rFonts w:hint="default" w:ascii="Times New Roman" w:hAnsi="Times New Roman" w:cs="Times New Roman" w:eastAsiaTheme="minorEastAsia"/>
                <w:color w:val="auto"/>
                <w:sz w:val="24"/>
                <w:lang w:val="en-US" w:eastAsia="zh-CN"/>
              </w:rPr>
              <w:t>。</w:t>
            </w:r>
          </w:p>
          <w:p w14:paraId="25AA3D19">
            <w:pPr>
              <w:pStyle w:val="58"/>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宠物本身散发或手术产生的异味经加强通风和定期消毒处理；项目接诊室、手术室等均设置在室内，噪声经采取隔声措施处理；院内设置一般固废暂存区、医疗废物收集桶及医疗废物暂存间、生活垃圾收集桶等，项目环保设施齐全且布置合理。</w:t>
            </w:r>
          </w:p>
          <w:p w14:paraId="6534C8F2">
            <w:pPr>
              <w:pStyle w:val="58"/>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lang w:val="en-US" w:eastAsia="zh-CN"/>
              </w:rPr>
              <w:t>综上分析，本项目总平面布置功能区划明确，设施设备布置合理，交通便利、顺畅，项目平面布局从环保方面分析基本合理。平面布置图见</w:t>
            </w:r>
            <w:r>
              <w:rPr>
                <w:rFonts w:hint="default" w:ascii="Times New Roman" w:hAnsi="Times New Roman" w:cs="Times New Roman" w:eastAsiaTheme="minorEastAsia"/>
                <w:b/>
                <w:bCs/>
                <w:color w:val="auto"/>
                <w:sz w:val="24"/>
                <w:lang w:val="en-US" w:eastAsia="zh-CN"/>
              </w:rPr>
              <w:t>附图4。</w:t>
            </w:r>
          </w:p>
        </w:tc>
      </w:tr>
      <w:tr w14:paraId="20C72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819" w:type="dxa"/>
            <w:vAlign w:val="center"/>
          </w:tcPr>
          <w:p w14:paraId="5B884562">
            <w:pPr>
              <w:pStyle w:val="19"/>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Cs w:val="24"/>
              </w:rPr>
              <w:t>工艺流程和产排污环节</w:t>
            </w:r>
          </w:p>
        </w:tc>
        <w:tc>
          <w:tcPr>
            <w:tcW w:w="8165" w:type="dxa"/>
          </w:tcPr>
          <w:p w14:paraId="5448D870">
            <w:pPr>
              <w:keepNext w:val="0"/>
              <w:keepLines w:val="0"/>
              <w:suppressLineNumbers w:val="0"/>
              <w:spacing w:before="120" w:beforeLines="50" w:beforeAutospacing="0" w:after="0" w:afterAutospacing="0" w:line="360" w:lineRule="auto"/>
              <w:ind w:left="0" w:right="0"/>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一、工艺流程</w:t>
            </w:r>
          </w:p>
          <w:p w14:paraId="7C0B0EE8">
            <w:pPr>
              <w:keepNext w:val="0"/>
              <w:keepLines w:val="0"/>
              <w:suppressLineNumbers w:val="0"/>
              <w:spacing w:before="0" w:beforeAutospacing="0" w:after="0" w:afterAutospacing="0" w:line="520" w:lineRule="exact"/>
              <w:ind w:left="0" w:right="0" w:firstLine="482" w:firstLineChars="200"/>
              <w:rPr>
                <w:rFonts w:hint="default" w:ascii="Times New Roman" w:hAnsi="Times New Roman" w:cs="Times New Roman" w:eastAsiaTheme="minorEastAsia"/>
                <w:b/>
                <w:bCs/>
                <w:color w:val="auto"/>
                <w:sz w:val="24"/>
                <w:szCs w:val="32"/>
              </w:rPr>
            </w:pPr>
            <w:r>
              <w:rPr>
                <w:rFonts w:hint="default" w:ascii="Times New Roman" w:hAnsi="Times New Roman" w:cs="Times New Roman" w:eastAsiaTheme="minorEastAsia"/>
                <w:b/>
                <w:bCs/>
                <w:color w:val="auto"/>
                <w:sz w:val="24"/>
                <w:szCs w:val="32"/>
              </w:rPr>
              <w:t>1、施工期</w:t>
            </w:r>
          </w:p>
          <w:p w14:paraId="6F500098">
            <w:pPr>
              <w:pStyle w:val="5"/>
              <w:keepNext w:val="0"/>
              <w:keepLines w:val="0"/>
              <w:suppressLineNumbers w:val="0"/>
              <w:spacing w:before="0" w:beforeAutospacing="0" w:after="0" w:afterAutospacing="0" w:line="520" w:lineRule="exact"/>
              <w:ind w:left="0" w:right="0" w:firstLine="48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本项目租赁</w:t>
            </w:r>
            <w:r>
              <w:rPr>
                <w:rFonts w:hint="eastAsia" w:ascii="Times New Roman" w:hAnsi="Times New Roman" w:cs="Times New Roman" w:eastAsiaTheme="minorEastAsia"/>
                <w:color w:val="auto"/>
                <w:sz w:val="24"/>
                <w:lang w:val="en-US" w:eastAsia="zh-CN"/>
              </w:rPr>
              <w:t>新疆昌吉州阜康市准噶尔路394号商铺</w:t>
            </w:r>
            <w:r>
              <w:rPr>
                <w:rFonts w:hint="default" w:ascii="Times New Roman" w:hAnsi="Times New Roman" w:cs="Times New Roman" w:eastAsiaTheme="minorEastAsia"/>
                <w:color w:val="auto"/>
                <w:sz w:val="24"/>
                <w:lang w:val="en-US" w:eastAsia="zh-CN"/>
              </w:rPr>
              <w:t>，</w:t>
            </w:r>
            <w:r>
              <w:rPr>
                <w:rFonts w:hint="eastAsia" w:cs="Times New Roman" w:eastAsiaTheme="minorEastAsia"/>
                <w:color w:val="auto"/>
                <w:sz w:val="24"/>
                <w:lang w:val="en-US" w:eastAsia="zh-CN"/>
              </w:rPr>
              <w:t>现已建设完成</w:t>
            </w:r>
            <w:r>
              <w:rPr>
                <w:rFonts w:hint="default" w:ascii="Times New Roman" w:hAnsi="Times New Roman" w:cs="Times New Roman" w:eastAsiaTheme="minorEastAsia"/>
                <w:color w:val="auto"/>
                <w:sz w:val="24"/>
                <w:lang w:val="en-US" w:eastAsia="zh-CN"/>
              </w:rPr>
              <w:t>，故不进行施工期评价。</w:t>
            </w:r>
          </w:p>
          <w:p w14:paraId="5005D73F">
            <w:pPr>
              <w:keepNext w:val="0"/>
              <w:keepLines w:val="0"/>
              <w:suppressLineNumbers w:val="0"/>
              <w:spacing w:before="0" w:beforeAutospacing="0" w:after="0" w:afterAutospacing="0" w:line="520" w:lineRule="exact"/>
              <w:ind w:left="0" w:right="0" w:firstLine="482" w:firstLineChars="200"/>
              <w:rPr>
                <w:rFonts w:hint="default" w:ascii="Times New Roman" w:hAnsi="Times New Roman" w:cs="Times New Roman" w:eastAsiaTheme="minorEastAsia"/>
                <w:b/>
                <w:bCs/>
                <w:color w:val="auto"/>
                <w:sz w:val="24"/>
                <w:szCs w:val="32"/>
              </w:rPr>
            </w:pPr>
            <w:r>
              <w:rPr>
                <w:rFonts w:hint="default" w:ascii="Times New Roman" w:hAnsi="Times New Roman" w:cs="Times New Roman" w:eastAsiaTheme="minorEastAsia"/>
                <w:b/>
                <w:bCs/>
                <w:color w:val="auto"/>
                <w:sz w:val="24"/>
                <w:szCs w:val="32"/>
              </w:rPr>
              <w:t>2、运营期</w:t>
            </w:r>
          </w:p>
          <w:p w14:paraId="701E4820">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运营期工艺流程及产污环节见下图。</w:t>
            </w:r>
          </w:p>
          <w:p w14:paraId="0F4AAEF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color w:val="auto"/>
              </w:rPr>
              <w:drawing>
                <wp:inline distT="0" distB="0" distL="114300" distR="114300">
                  <wp:extent cx="4552950" cy="3124200"/>
                  <wp:effectExtent l="0" t="0" r="0" b="0"/>
                  <wp:docPr id="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
                          <pic:cNvPicPr>
                            <a:picLocks noChangeAspect="1"/>
                          </pic:cNvPicPr>
                        </pic:nvPicPr>
                        <pic:blipFill>
                          <a:blip r:embed="rId7"/>
                          <a:stretch>
                            <a:fillRect/>
                          </a:stretch>
                        </pic:blipFill>
                        <pic:spPr>
                          <a:xfrm>
                            <a:off x="0" y="0"/>
                            <a:ext cx="4552950" cy="3124200"/>
                          </a:xfrm>
                          <a:prstGeom prst="rect">
                            <a:avLst/>
                          </a:prstGeom>
                          <a:noFill/>
                          <a:ln>
                            <a:noFill/>
                          </a:ln>
                        </pic:spPr>
                      </pic:pic>
                    </a:graphicData>
                  </a:graphic>
                </wp:inline>
              </w:drawing>
            </w:r>
          </w:p>
          <w:p w14:paraId="08970A35">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zh-CN" w:eastAsia="zh-CN"/>
              </w:rPr>
            </w:pPr>
            <w:r>
              <w:rPr>
                <w:rFonts w:hint="default" w:ascii="Times New Roman" w:hAnsi="Times New Roman" w:cs="Times New Roman" w:eastAsiaTheme="minorEastAsia"/>
                <w:b/>
                <w:color w:val="auto"/>
                <w:sz w:val="21"/>
                <w:szCs w:val="21"/>
                <w:lang w:val="zh-CN" w:eastAsia="zh-CN"/>
              </w:rPr>
              <w:t>图2-</w:t>
            </w:r>
            <w:r>
              <w:rPr>
                <w:rFonts w:hint="eastAsia" w:ascii="Times New Roman" w:hAnsi="Times New Roman" w:cs="Times New Roman" w:eastAsiaTheme="minorEastAsia"/>
                <w:b/>
                <w:color w:val="auto"/>
                <w:sz w:val="21"/>
                <w:szCs w:val="21"/>
                <w:lang w:val="en-US" w:eastAsia="zh-CN"/>
              </w:rPr>
              <w:t>2</w:t>
            </w:r>
            <w:r>
              <w:rPr>
                <w:rFonts w:hint="default" w:ascii="Times New Roman" w:hAnsi="Times New Roman" w:cs="Times New Roman" w:eastAsiaTheme="minorEastAsia"/>
                <w:b/>
                <w:color w:val="auto"/>
                <w:sz w:val="21"/>
                <w:szCs w:val="21"/>
                <w:lang w:val="zh-CN" w:eastAsia="zh-CN"/>
              </w:rPr>
              <w:t xml:space="preserve">   运营期工艺流程及产污环节图</w:t>
            </w:r>
          </w:p>
          <w:p w14:paraId="01287643">
            <w:pPr>
              <w:pStyle w:val="22"/>
              <w:keepNext w:val="0"/>
              <w:keepLines w:val="0"/>
              <w:suppressLineNumbers w:val="0"/>
              <w:spacing w:before="0" w:beforeAutospacing="0" w:after="0" w:afterAutospacing="0" w:line="520" w:lineRule="exact"/>
              <w:ind w:left="0" w:leftChars="0" w:right="0" w:firstLine="0" w:firstLineChars="0"/>
              <w:rPr>
                <w:rFonts w:hint="default" w:ascii="Times New Roman" w:hAnsi="Times New Roman" w:cs="Times New Roman" w:eastAsiaTheme="minorEastAsia"/>
                <w:color w:val="auto"/>
              </w:rPr>
            </w:pPr>
            <w:r>
              <w:rPr>
                <w:rFonts w:hint="default" w:ascii="Times New Roman" w:hAnsi="Times New Roman" w:cs="Times New Roman" w:eastAsiaTheme="minorEastAsia"/>
                <w:b/>
                <w:bCs/>
                <w:color w:val="auto"/>
              </w:rPr>
              <w:t>工艺流程简述：</w:t>
            </w:r>
          </w:p>
          <w:p w14:paraId="4560A68D">
            <w:pPr>
              <w:pStyle w:val="5"/>
              <w:keepNext w:val="0"/>
              <w:keepLines w:val="0"/>
              <w:suppressLineNumbers w:val="0"/>
              <w:spacing w:before="0" w:beforeAutospacing="0" w:after="0" w:afterAutospacing="0" w:line="520" w:lineRule="exact"/>
              <w:ind w:left="0" w:right="0" w:firstLine="48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美容、护理：根据客户需求，对宠物进行美容处理，美容过程包括洗浴、剪毛发、指甲、洗耳、造型设计等美容服务，美容后即可离开，宠物医院亦接纳部分宠物寄养：此过程产生宠物毛发、</w:t>
            </w:r>
            <w:r>
              <w:rPr>
                <w:rFonts w:hint="eastAsia" w:cs="Times New Roman" w:eastAsiaTheme="minorEastAsia"/>
                <w:color w:val="auto"/>
                <w:sz w:val="24"/>
                <w:lang w:val="en-US" w:eastAsia="zh-CN"/>
              </w:rPr>
              <w:t>宠物排泄物</w:t>
            </w:r>
            <w:r>
              <w:rPr>
                <w:rFonts w:hint="default" w:ascii="Times New Roman" w:hAnsi="Times New Roman" w:cs="Times New Roman" w:eastAsiaTheme="minorEastAsia"/>
                <w:color w:val="auto"/>
                <w:sz w:val="24"/>
                <w:lang w:val="en-US" w:eastAsia="zh-CN"/>
              </w:rPr>
              <w:t>、废水、噪声。</w:t>
            </w:r>
          </w:p>
          <w:p w14:paraId="7E00587F">
            <w:pPr>
              <w:pStyle w:val="5"/>
              <w:keepNext w:val="0"/>
              <w:keepLines w:val="0"/>
              <w:suppressLineNumbers w:val="0"/>
              <w:spacing w:before="0" w:beforeAutospacing="0" w:after="0" w:afterAutospacing="0" w:line="520" w:lineRule="exact"/>
              <w:ind w:left="0" w:right="0" w:firstLine="48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问诊检查：顾客将受伤或生病的动物带入医院后，医生对动物进行诊疗，首先对生病的宠物进行一般性的检查，包括量体温、称体重等：必要时进行化验检查。</w:t>
            </w:r>
          </w:p>
          <w:p w14:paraId="1EAD11CE">
            <w:pPr>
              <w:pStyle w:val="5"/>
              <w:keepNext w:val="0"/>
              <w:keepLines w:val="0"/>
              <w:suppressLineNumbers w:val="0"/>
              <w:spacing w:before="0" w:beforeAutospacing="0" w:after="0" w:afterAutospacing="0" w:line="520" w:lineRule="exact"/>
              <w:ind w:left="0" w:right="0" w:firstLine="48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诊断、治疗、住院、离开：化验是利用常规仪器直接对宠物的血样、尿液粪便等进行读数，不涉及化学试剂的使用。根据检查及化验结果，仅需服药治疗的，便等进行药物治疗；需要进行手术的，则制定手术方案并进行手术，手术期间对动物进行呼吸麻醉，术后进行住院观察，待达到出院条件后安排离开。</w:t>
            </w:r>
          </w:p>
          <w:p w14:paraId="46696385">
            <w:pPr>
              <w:pStyle w:val="5"/>
              <w:keepNext w:val="0"/>
              <w:keepLines w:val="0"/>
              <w:suppressLineNumbers w:val="0"/>
              <w:spacing w:before="0" w:beforeAutospacing="0" w:after="0" w:afterAutospacing="0" w:line="520" w:lineRule="exact"/>
              <w:ind w:left="0" w:right="0" w:firstLine="48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本项目运营期工艺流程及产污环节见</w:t>
            </w:r>
            <w:r>
              <w:rPr>
                <w:rFonts w:hint="default" w:ascii="Times New Roman" w:hAnsi="Times New Roman" w:cs="Times New Roman" w:eastAsiaTheme="minorEastAsia"/>
                <w:b/>
                <w:bCs/>
                <w:color w:val="auto"/>
                <w:sz w:val="24"/>
                <w:lang w:val="en-US" w:eastAsia="zh-CN"/>
              </w:rPr>
              <w:t>图2-</w:t>
            </w:r>
            <w:r>
              <w:rPr>
                <w:rFonts w:hint="eastAsia" w:cs="Times New Roman" w:eastAsiaTheme="minorEastAsia"/>
                <w:b/>
                <w:bCs/>
                <w:color w:val="auto"/>
                <w:sz w:val="24"/>
                <w:lang w:val="en-US" w:eastAsia="zh-CN"/>
              </w:rPr>
              <w:t>2</w:t>
            </w:r>
            <w:r>
              <w:rPr>
                <w:rFonts w:hint="default" w:ascii="Times New Roman" w:hAnsi="Times New Roman" w:cs="Times New Roman" w:eastAsiaTheme="minorEastAsia"/>
                <w:color w:val="auto"/>
                <w:sz w:val="24"/>
                <w:lang w:val="en-US" w:eastAsia="zh-CN"/>
              </w:rPr>
              <w:t>。</w:t>
            </w:r>
          </w:p>
          <w:p w14:paraId="179BAB4C">
            <w:pPr>
              <w:pStyle w:val="17"/>
              <w:keepNext w:val="0"/>
              <w:keepLines w:val="0"/>
              <w:suppressLineNumbers w:val="0"/>
              <w:spacing w:before="0" w:beforeAutospacing="0" w:after="0" w:afterAutospacing="0" w:line="520" w:lineRule="exact"/>
              <w:ind w:left="482" w:right="0" w:hanging="482"/>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二、产排污环节</w:t>
            </w:r>
          </w:p>
          <w:p w14:paraId="7CFB237A">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根据项目性质及工艺流程分析，项目主要污染工序及污染因子见下表。</w:t>
            </w:r>
          </w:p>
          <w:p w14:paraId="49F10CD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zh-CN"/>
              </w:rPr>
            </w:pPr>
            <w:r>
              <w:rPr>
                <w:rFonts w:hint="default" w:ascii="Times New Roman" w:hAnsi="Times New Roman" w:cs="Times New Roman" w:eastAsiaTheme="minorEastAsia"/>
                <w:b/>
                <w:color w:val="auto"/>
                <w:sz w:val="21"/>
                <w:szCs w:val="21"/>
                <w:lang w:val="zh-CN"/>
              </w:rPr>
              <w:t>表2-4   主要污染工序及污染因子一览表</w:t>
            </w:r>
          </w:p>
          <w:tbl>
            <w:tblPr>
              <w:tblStyle w:val="23"/>
              <w:tblW w:w="789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7"/>
              <w:gridCol w:w="608"/>
              <w:gridCol w:w="1434"/>
              <w:gridCol w:w="1719"/>
              <w:gridCol w:w="2101"/>
              <w:gridCol w:w="1518"/>
            </w:tblGrid>
            <w:tr w14:paraId="6478FF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17" w:type="dxa"/>
                  <w:tcBorders>
                    <w:bottom w:val="single" w:color="auto" w:sz="12" w:space="0"/>
                  </w:tcBorders>
                  <w:shd w:val="clear" w:color="auto" w:fill="auto"/>
                  <w:vAlign w:val="center"/>
                </w:tcPr>
                <w:p w14:paraId="15BD8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时期</w:t>
                  </w:r>
                </w:p>
              </w:tc>
              <w:tc>
                <w:tcPr>
                  <w:tcW w:w="608" w:type="dxa"/>
                  <w:tcBorders>
                    <w:bottom w:val="single" w:color="auto" w:sz="12" w:space="0"/>
                  </w:tcBorders>
                  <w:shd w:val="clear" w:color="auto" w:fill="auto"/>
                  <w:vAlign w:val="center"/>
                </w:tcPr>
                <w:p w14:paraId="48524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类型</w:t>
                  </w:r>
                </w:p>
              </w:tc>
              <w:tc>
                <w:tcPr>
                  <w:tcW w:w="1434" w:type="dxa"/>
                  <w:tcBorders>
                    <w:bottom w:val="single" w:color="auto" w:sz="12" w:space="0"/>
                  </w:tcBorders>
                  <w:shd w:val="clear" w:color="auto" w:fill="auto"/>
                  <w:vAlign w:val="center"/>
                </w:tcPr>
                <w:p w14:paraId="3BF69B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主要污染源</w:t>
                  </w:r>
                </w:p>
              </w:tc>
              <w:tc>
                <w:tcPr>
                  <w:tcW w:w="1719" w:type="dxa"/>
                  <w:tcBorders>
                    <w:bottom w:val="single" w:color="auto" w:sz="12" w:space="0"/>
                  </w:tcBorders>
                  <w:shd w:val="clear" w:color="auto" w:fill="auto"/>
                  <w:vAlign w:val="center"/>
                </w:tcPr>
                <w:p w14:paraId="2EEA2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污染物</w:t>
                  </w:r>
                </w:p>
              </w:tc>
              <w:tc>
                <w:tcPr>
                  <w:tcW w:w="2101" w:type="dxa"/>
                  <w:tcBorders>
                    <w:bottom w:val="single" w:color="auto" w:sz="12" w:space="0"/>
                  </w:tcBorders>
                  <w:shd w:val="clear" w:color="auto" w:fill="auto"/>
                  <w:vAlign w:val="center"/>
                </w:tcPr>
                <w:p w14:paraId="4BCD3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治理措施</w:t>
                  </w:r>
                </w:p>
              </w:tc>
              <w:tc>
                <w:tcPr>
                  <w:tcW w:w="1518" w:type="dxa"/>
                  <w:tcBorders>
                    <w:bottom w:val="single" w:color="auto" w:sz="12" w:space="0"/>
                  </w:tcBorders>
                  <w:shd w:val="clear" w:color="auto" w:fill="auto"/>
                  <w:vAlign w:val="center"/>
                </w:tcPr>
                <w:p w14:paraId="6E3753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排放去向</w:t>
                  </w:r>
                </w:p>
              </w:tc>
            </w:tr>
            <w:tr w14:paraId="5E02D3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17" w:type="dxa"/>
                  <w:vMerge w:val="restart"/>
                  <w:tcBorders>
                    <w:top w:val="single" w:color="auto" w:sz="12" w:space="0"/>
                    <w:tl2br w:val="nil"/>
                    <w:tr2bl w:val="nil"/>
                  </w:tcBorders>
                  <w:shd w:val="clear" w:color="auto" w:fill="auto"/>
                  <w:vAlign w:val="center"/>
                </w:tcPr>
                <w:p w14:paraId="61BEA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运营期</w:t>
                  </w:r>
                </w:p>
              </w:tc>
              <w:tc>
                <w:tcPr>
                  <w:tcW w:w="608" w:type="dxa"/>
                  <w:vMerge w:val="restart"/>
                  <w:tcBorders>
                    <w:top w:val="single" w:color="auto" w:sz="12" w:space="0"/>
                    <w:tl2br w:val="nil"/>
                    <w:tr2bl w:val="nil"/>
                  </w:tcBorders>
                  <w:shd w:val="clear" w:color="auto" w:fill="auto"/>
                  <w:vAlign w:val="center"/>
                </w:tcPr>
                <w:p w14:paraId="0F251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废气</w:t>
                  </w:r>
                </w:p>
              </w:tc>
              <w:tc>
                <w:tcPr>
                  <w:tcW w:w="1434" w:type="dxa"/>
                  <w:tcBorders>
                    <w:top w:val="single" w:color="auto" w:sz="12" w:space="0"/>
                    <w:tl2br w:val="nil"/>
                    <w:tr2bl w:val="nil"/>
                  </w:tcBorders>
                  <w:shd w:val="clear" w:color="auto" w:fill="auto"/>
                  <w:vAlign w:val="center"/>
                </w:tcPr>
                <w:p w14:paraId="4A0EB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宠物本身散发或手术产生的异味</w:t>
                  </w:r>
                </w:p>
              </w:tc>
              <w:tc>
                <w:tcPr>
                  <w:tcW w:w="1719" w:type="dxa"/>
                  <w:vMerge w:val="restart"/>
                  <w:tcBorders>
                    <w:top w:val="single" w:color="auto" w:sz="12" w:space="0"/>
                    <w:tl2br w:val="nil"/>
                    <w:tr2bl w:val="nil"/>
                  </w:tcBorders>
                  <w:shd w:val="clear" w:color="auto" w:fill="auto"/>
                  <w:vAlign w:val="center"/>
                </w:tcPr>
                <w:p w14:paraId="21338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臭气浓度</w:t>
                  </w:r>
                </w:p>
              </w:tc>
              <w:tc>
                <w:tcPr>
                  <w:tcW w:w="2101" w:type="dxa"/>
                  <w:tcBorders>
                    <w:top w:val="single" w:color="auto" w:sz="12" w:space="0"/>
                    <w:tl2br w:val="nil"/>
                    <w:tr2bl w:val="nil"/>
                  </w:tcBorders>
                  <w:shd w:val="clear" w:color="auto" w:fill="auto"/>
                  <w:vAlign w:val="center"/>
                </w:tcPr>
                <w:p w14:paraId="14956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加强通风和定期消毒</w:t>
                  </w:r>
                </w:p>
              </w:tc>
              <w:tc>
                <w:tcPr>
                  <w:tcW w:w="1518" w:type="dxa"/>
                  <w:tcBorders>
                    <w:top w:val="single" w:color="auto" w:sz="12" w:space="0"/>
                    <w:tl2br w:val="nil"/>
                    <w:tr2bl w:val="nil"/>
                  </w:tcBorders>
                  <w:shd w:val="clear" w:color="auto" w:fill="auto"/>
                  <w:vAlign w:val="center"/>
                </w:tcPr>
                <w:p w14:paraId="2A92B7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外环境</w:t>
                  </w:r>
                </w:p>
              </w:tc>
            </w:tr>
            <w:tr w14:paraId="2337B4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17" w:type="dxa"/>
                  <w:vMerge w:val="continue"/>
                  <w:tcBorders>
                    <w:tl2br w:val="nil"/>
                    <w:tr2bl w:val="nil"/>
                  </w:tcBorders>
                  <w:shd w:val="clear" w:color="auto" w:fill="auto"/>
                  <w:vAlign w:val="center"/>
                </w:tcPr>
                <w:p w14:paraId="1D121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continue"/>
                  <w:tcBorders>
                    <w:tl2br w:val="nil"/>
                    <w:tr2bl w:val="nil"/>
                  </w:tcBorders>
                  <w:shd w:val="clear" w:color="auto" w:fill="auto"/>
                  <w:vAlign w:val="center"/>
                </w:tcPr>
                <w:p w14:paraId="72F8E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34" w:type="dxa"/>
                  <w:tcBorders>
                    <w:tl2br w:val="nil"/>
                    <w:tr2bl w:val="nil"/>
                  </w:tcBorders>
                  <w:shd w:val="clear" w:color="auto" w:fill="auto"/>
                  <w:vAlign w:val="center"/>
                </w:tcPr>
                <w:p w14:paraId="12D7B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污水处理设施异味</w:t>
                  </w:r>
                </w:p>
              </w:tc>
              <w:tc>
                <w:tcPr>
                  <w:tcW w:w="1719" w:type="dxa"/>
                  <w:vMerge w:val="continue"/>
                  <w:tcBorders>
                    <w:tl2br w:val="nil"/>
                    <w:tr2bl w:val="nil"/>
                  </w:tcBorders>
                  <w:shd w:val="clear" w:color="auto" w:fill="auto"/>
                  <w:vAlign w:val="center"/>
                </w:tcPr>
                <w:p w14:paraId="0972B7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lang w:val="en-US" w:eastAsia="zh-CN"/>
                    </w:rPr>
                  </w:pPr>
                </w:p>
              </w:tc>
              <w:tc>
                <w:tcPr>
                  <w:tcW w:w="2101" w:type="dxa"/>
                  <w:tcBorders>
                    <w:tl2br w:val="nil"/>
                    <w:tr2bl w:val="nil"/>
                  </w:tcBorders>
                  <w:shd w:val="clear" w:color="auto" w:fill="auto"/>
                  <w:vAlign w:val="center"/>
                </w:tcPr>
                <w:p w14:paraId="512EE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宋体" w:hAnsi="宋体" w:eastAsia="宋体" w:cs="宋体"/>
                      <w:sz w:val="21"/>
                      <w:szCs w:val="21"/>
                    </w:rPr>
                    <w:t>污水处理设施采用密闭加盖处理</w:t>
                  </w:r>
                </w:p>
              </w:tc>
              <w:tc>
                <w:tcPr>
                  <w:tcW w:w="1518" w:type="dxa"/>
                  <w:tcBorders>
                    <w:tl2br w:val="nil"/>
                    <w:tr2bl w:val="nil"/>
                  </w:tcBorders>
                  <w:shd w:val="clear" w:color="auto" w:fill="auto"/>
                  <w:vAlign w:val="center"/>
                </w:tcPr>
                <w:p w14:paraId="5E578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外环境</w:t>
                  </w:r>
                </w:p>
              </w:tc>
            </w:tr>
            <w:tr w14:paraId="1BA0F2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17" w:type="dxa"/>
                  <w:vMerge w:val="continue"/>
                  <w:tcBorders>
                    <w:tl2br w:val="nil"/>
                    <w:tr2bl w:val="nil"/>
                  </w:tcBorders>
                  <w:shd w:val="clear" w:color="auto" w:fill="auto"/>
                  <w:vAlign w:val="center"/>
                </w:tcPr>
                <w:p w14:paraId="40AF8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restart"/>
                  <w:tcBorders>
                    <w:tl2br w:val="nil"/>
                    <w:tr2bl w:val="nil"/>
                  </w:tcBorders>
                  <w:shd w:val="clear" w:color="auto" w:fill="auto"/>
                  <w:vAlign w:val="center"/>
                </w:tcPr>
                <w:p w14:paraId="380C8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废水</w:t>
                  </w:r>
                </w:p>
              </w:tc>
              <w:tc>
                <w:tcPr>
                  <w:tcW w:w="1434" w:type="dxa"/>
                  <w:tcBorders>
                    <w:tl2br w:val="nil"/>
                    <w:tr2bl w:val="nil"/>
                  </w:tcBorders>
                  <w:shd w:val="clear" w:color="auto" w:fill="auto"/>
                  <w:vAlign w:val="center"/>
                </w:tcPr>
                <w:p w14:paraId="59D5D3BD">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生活污水</w:t>
                  </w:r>
                </w:p>
              </w:tc>
              <w:tc>
                <w:tcPr>
                  <w:tcW w:w="1719" w:type="dxa"/>
                  <w:tcBorders>
                    <w:tl2br w:val="nil"/>
                    <w:tr2bl w:val="nil"/>
                  </w:tcBorders>
                  <w:shd w:val="clear" w:color="auto" w:fill="auto"/>
                  <w:vAlign w:val="center"/>
                </w:tcPr>
                <w:p w14:paraId="481B382D">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COD</w:t>
                  </w:r>
                  <w:r>
                    <w:rPr>
                      <w:rFonts w:hint="eastAsia" w:cs="Times New Roman" w:eastAsiaTheme="minorEastAsia"/>
                      <w:color w:val="auto"/>
                      <w:sz w:val="21"/>
                      <w:szCs w:val="21"/>
                      <w:lang w:val="en-US" w:eastAsia="zh-CN"/>
                    </w:rPr>
                    <w:t>cr</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b w:val="0"/>
                      <w:bCs/>
                      <w:color w:val="auto"/>
                      <w:sz w:val="21"/>
                      <w:szCs w:val="21"/>
                      <w:lang w:val="en-US" w:eastAsia="zh-CN"/>
                    </w:rPr>
                    <w:t>NH</w:t>
                  </w:r>
                  <w:r>
                    <w:rPr>
                      <w:rFonts w:hint="default" w:ascii="Times New Roman" w:hAnsi="Times New Roman" w:cs="Times New Roman" w:eastAsiaTheme="minorEastAsia"/>
                      <w:b w:val="0"/>
                      <w:bCs/>
                      <w:color w:val="auto"/>
                      <w:sz w:val="21"/>
                      <w:szCs w:val="21"/>
                      <w:vertAlign w:val="subscript"/>
                      <w:lang w:val="en-US" w:eastAsia="zh-CN"/>
                    </w:rPr>
                    <w:t>3</w:t>
                  </w:r>
                  <w:r>
                    <w:rPr>
                      <w:rFonts w:hint="default" w:ascii="Times New Roman" w:hAnsi="Times New Roman" w:cs="Times New Roman" w:eastAsiaTheme="minorEastAsia"/>
                      <w:b w:val="0"/>
                      <w:bCs/>
                      <w:color w:val="auto"/>
                      <w:sz w:val="21"/>
                      <w:szCs w:val="21"/>
                      <w:lang w:val="en-US" w:eastAsia="zh-CN"/>
                    </w:rPr>
                    <w:t>-N</w:t>
                  </w:r>
                  <w:r>
                    <w:rPr>
                      <w:rFonts w:hint="eastAsia" w:cs="Times New Roman" w:eastAsiaTheme="minorEastAsia"/>
                      <w:color w:val="auto"/>
                      <w:sz w:val="21"/>
                      <w:szCs w:val="21"/>
                      <w:lang w:val="en-US" w:eastAsia="zh-CN"/>
                    </w:rPr>
                    <w:t>、T-P、T-N</w:t>
                  </w:r>
                </w:p>
              </w:tc>
              <w:tc>
                <w:tcPr>
                  <w:tcW w:w="2101" w:type="dxa"/>
                  <w:tcBorders>
                    <w:tl2br w:val="nil"/>
                    <w:tr2bl w:val="nil"/>
                  </w:tcBorders>
                  <w:shd w:val="clear" w:color="auto" w:fill="auto"/>
                  <w:vAlign w:val="center"/>
                </w:tcPr>
                <w:p w14:paraId="61BC2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w:t>
                  </w:r>
                </w:p>
              </w:tc>
              <w:tc>
                <w:tcPr>
                  <w:tcW w:w="1518" w:type="dxa"/>
                  <w:vMerge w:val="restart"/>
                  <w:tcBorders>
                    <w:tl2br w:val="nil"/>
                    <w:tr2bl w:val="nil"/>
                  </w:tcBorders>
                  <w:shd w:val="clear" w:color="auto" w:fill="auto"/>
                  <w:vAlign w:val="center"/>
                </w:tcPr>
                <w:p w14:paraId="1D18C9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市政管网</w:t>
                  </w:r>
                </w:p>
              </w:tc>
            </w:tr>
            <w:tr w14:paraId="2ED6B8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17" w:type="dxa"/>
                  <w:vMerge w:val="continue"/>
                  <w:tcBorders>
                    <w:tl2br w:val="nil"/>
                    <w:tr2bl w:val="nil"/>
                  </w:tcBorders>
                  <w:shd w:val="clear" w:color="auto" w:fill="auto"/>
                  <w:vAlign w:val="center"/>
                </w:tcPr>
                <w:p w14:paraId="11284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continue"/>
                  <w:tcBorders>
                    <w:tl2br w:val="nil"/>
                    <w:tr2bl w:val="nil"/>
                  </w:tcBorders>
                  <w:shd w:val="clear" w:color="auto" w:fill="auto"/>
                  <w:vAlign w:val="center"/>
                </w:tcPr>
                <w:p w14:paraId="54988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34" w:type="dxa"/>
                  <w:tcBorders>
                    <w:tl2br w:val="nil"/>
                    <w:tr2bl w:val="nil"/>
                  </w:tcBorders>
                  <w:shd w:val="clear" w:color="auto" w:fill="auto"/>
                  <w:vAlign w:val="center"/>
                </w:tcPr>
                <w:p w14:paraId="318D45D6">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美容废水</w:t>
                  </w:r>
                </w:p>
              </w:tc>
              <w:tc>
                <w:tcPr>
                  <w:tcW w:w="1719" w:type="dxa"/>
                  <w:tcBorders>
                    <w:tl2br w:val="nil"/>
                    <w:tr2bl w:val="nil"/>
                  </w:tcBorders>
                  <w:shd w:val="clear" w:color="auto" w:fill="auto"/>
                  <w:vAlign w:val="center"/>
                </w:tcPr>
                <w:p w14:paraId="33E6AA46">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SS、COD</w:t>
                  </w:r>
                  <w:r>
                    <w:rPr>
                      <w:rFonts w:hint="eastAsia" w:cs="Times New Roman" w:eastAsiaTheme="minorEastAsia"/>
                      <w:color w:val="auto"/>
                      <w:sz w:val="21"/>
                      <w:szCs w:val="21"/>
                      <w:lang w:val="en-US" w:eastAsia="zh-CN"/>
                    </w:rPr>
                    <w:t>cr</w:t>
                  </w:r>
                  <w:r>
                    <w:rPr>
                      <w:rFonts w:hint="default" w:ascii="Times New Roman" w:hAnsi="Times New Roman" w:cs="Times New Roman" w:eastAsiaTheme="minorEastAsia"/>
                      <w:color w:val="auto"/>
                      <w:sz w:val="21"/>
                      <w:szCs w:val="21"/>
                      <w:lang w:val="en-US" w:eastAsia="zh-CN"/>
                    </w:rPr>
                    <w:t>、BOD</w:t>
                  </w:r>
                  <w:r>
                    <w:rPr>
                      <w:rFonts w:hint="default" w:ascii="Times New Roman" w:hAnsi="Times New Roman" w:cs="Times New Roman" w:eastAsiaTheme="minorEastAsia"/>
                      <w:color w:val="auto"/>
                      <w:sz w:val="21"/>
                      <w:szCs w:val="21"/>
                      <w:vertAlign w:val="subscript"/>
                      <w:lang w:val="en-US" w:eastAsia="zh-CN"/>
                    </w:rPr>
                    <w:t>5</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b w:val="0"/>
                      <w:bCs/>
                      <w:color w:val="auto"/>
                      <w:sz w:val="21"/>
                      <w:szCs w:val="21"/>
                      <w:lang w:val="en-US" w:eastAsia="zh-CN"/>
                    </w:rPr>
                    <w:t>NH</w:t>
                  </w:r>
                  <w:r>
                    <w:rPr>
                      <w:rFonts w:hint="default" w:ascii="Times New Roman" w:hAnsi="Times New Roman" w:cs="Times New Roman" w:eastAsiaTheme="minorEastAsia"/>
                      <w:b w:val="0"/>
                      <w:bCs/>
                      <w:color w:val="auto"/>
                      <w:sz w:val="21"/>
                      <w:szCs w:val="21"/>
                      <w:vertAlign w:val="subscript"/>
                      <w:lang w:val="en-US" w:eastAsia="zh-CN"/>
                    </w:rPr>
                    <w:t>3</w:t>
                  </w:r>
                  <w:r>
                    <w:rPr>
                      <w:rFonts w:hint="default" w:ascii="Times New Roman" w:hAnsi="Times New Roman" w:cs="Times New Roman" w:eastAsiaTheme="minorEastAsia"/>
                      <w:b w:val="0"/>
                      <w:bCs/>
                      <w:color w:val="auto"/>
                      <w:sz w:val="21"/>
                      <w:szCs w:val="21"/>
                      <w:lang w:val="en-US" w:eastAsia="zh-CN"/>
                    </w:rPr>
                    <w:t>-N</w:t>
                  </w:r>
                </w:p>
              </w:tc>
              <w:tc>
                <w:tcPr>
                  <w:tcW w:w="2101" w:type="dxa"/>
                  <w:tcBorders>
                    <w:tl2br w:val="nil"/>
                    <w:tr2bl w:val="nil"/>
                  </w:tcBorders>
                  <w:shd w:val="clear" w:color="auto" w:fill="auto"/>
                  <w:vAlign w:val="center"/>
                </w:tcPr>
                <w:p w14:paraId="646F16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518" w:type="dxa"/>
                  <w:vMerge w:val="continue"/>
                  <w:tcBorders>
                    <w:tl2br w:val="nil"/>
                    <w:tr2bl w:val="nil"/>
                  </w:tcBorders>
                  <w:shd w:val="clear" w:color="auto" w:fill="auto"/>
                  <w:vAlign w:val="center"/>
                </w:tcPr>
                <w:p w14:paraId="287E7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r>
            <w:tr w14:paraId="48445F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17" w:type="dxa"/>
                  <w:vMerge w:val="continue"/>
                  <w:tcBorders>
                    <w:tl2br w:val="nil"/>
                    <w:tr2bl w:val="nil"/>
                  </w:tcBorders>
                  <w:shd w:val="clear" w:color="auto" w:fill="auto"/>
                  <w:vAlign w:val="center"/>
                </w:tcPr>
                <w:p w14:paraId="1E1B40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continue"/>
                  <w:tcBorders>
                    <w:tl2br w:val="nil"/>
                    <w:tr2bl w:val="nil"/>
                  </w:tcBorders>
                  <w:shd w:val="clear" w:color="auto" w:fill="auto"/>
                  <w:vAlign w:val="center"/>
                </w:tcPr>
                <w:p w14:paraId="78E539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34" w:type="dxa"/>
                  <w:tcBorders>
                    <w:tl2br w:val="nil"/>
                    <w:tr2bl w:val="nil"/>
                  </w:tcBorders>
                  <w:shd w:val="clear" w:color="auto" w:fill="auto"/>
                  <w:vAlign w:val="center"/>
                </w:tcPr>
                <w:p w14:paraId="5B52B49E">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诊疗废水</w:t>
                  </w:r>
                  <w:r>
                    <w:rPr>
                      <w:rFonts w:hint="eastAsia"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宠物笼清洗污水</w:t>
                  </w:r>
                </w:p>
              </w:tc>
              <w:tc>
                <w:tcPr>
                  <w:tcW w:w="1719" w:type="dxa"/>
                  <w:tcBorders>
                    <w:tl2br w:val="nil"/>
                    <w:tr2bl w:val="nil"/>
                  </w:tcBorders>
                  <w:shd w:val="clear" w:color="auto" w:fill="auto"/>
                  <w:vAlign w:val="center"/>
                </w:tcPr>
                <w:p w14:paraId="40E40CAE">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SS、COD</w:t>
                  </w:r>
                  <w:r>
                    <w:rPr>
                      <w:rFonts w:hint="eastAsia" w:cs="Times New Roman" w:eastAsiaTheme="minorEastAsia"/>
                      <w:color w:val="auto"/>
                      <w:sz w:val="21"/>
                      <w:szCs w:val="21"/>
                      <w:lang w:val="en-US" w:eastAsia="zh-CN"/>
                    </w:rPr>
                    <w:t>cr</w:t>
                  </w:r>
                  <w:r>
                    <w:rPr>
                      <w:rFonts w:hint="default" w:ascii="Times New Roman" w:hAnsi="Times New Roman" w:cs="Times New Roman" w:eastAsiaTheme="minorEastAsia"/>
                      <w:color w:val="auto"/>
                      <w:sz w:val="21"/>
                      <w:szCs w:val="21"/>
                      <w:lang w:val="en-US" w:eastAsia="zh-CN"/>
                    </w:rPr>
                    <w:t>、BOD</w:t>
                  </w:r>
                  <w:r>
                    <w:rPr>
                      <w:rFonts w:hint="default" w:ascii="Times New Roman" w:hAnsi="Times New Roman" w:cs="Times New Roman" w:eastAsiaTheme="minorEastAsia"/>
                      <w:color w:val="auto"/>
                      <w:sz w:val="21"/>
                      <w:szCs w:val="21"/>
                      <w:vertAlign w:val="subscript"/>
                      <w:lang w:val="en-US" w:eastAsia="zh-CN"/>
                    </w:rPr>
                    <w:t>5</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b w:val="0"/>
                      <w:bCs/>
                      <w:color w:val="auto"/>
                      <w:sz w:val="21"/>
                      <w:szCs w:val="21"/>
                      <w:lang w:val="en-US" w:eastAsia="zh-CN"/>
                    </w:rPr>
                    <w:t>NH</w:t>
                  </w:r>
                  <w:r>
                    <w:rPr>
                      <w:rFonts w:hint="default" w:ascii="Times New Roman" w:hAnsi="Times New Roman" w:cs="Times New Roman" w:eastAsiaTheme="minorEastAsia"/>
                      <w:b w:val="0"/>
                      <w:bCs/>
                      <w:color w:val="auto"/>
                      <w:sz w:val="21"/>
                      <w:szCs w:val="21"/>
                      <w:vertAlign w:val="subscript"/>
                      <w:lang w:val="en-US" w:eastAsia="zh-CN"/>
                    </w:rPr>
                    <w:t>3</w:t>
                  </w:r>
                  <w:r>
                    <w:rPr>
                      <w:rFonts w:hint="default" w:ascii="Times New Roman" w:hAnsi="Times New Roman" w:cs="Times New Roman" w:eastAsiaTheme="minorEastAsia"/>
                      <w:b w:val="0"/>
                      <w:bCs/>
                      <w:color w:val="auto"/>
                      <w:sz w:val="21"/>
                      <w:szCs w:val="21"/>
                      <w:lang w:val="en-US" w:eastAsia="zh-CN"/>
                    </w:rPr>
                    <w:t>-N</w:t>
                  </w:r>
                  <w:r>
                    <w:rPr>
                      <w:rFonts w:hint="default" w:ascii="Times New Roman" w:hAnsi="Times New Roman" w:cs="Times New Roman" w:eastAsiaTheme="minorEastAsia"/>
                      <w:color w:val="auto"/>
                      <w:sz w:val="21"/>
                      <w:szCs w:val="21"/>
                      <w:lang w:val="en-US" w:eastAsia="zh-CN"/>
                    </w:rPr>
                    <w:t>、粪大肠菌群</w:t>
                  </w:r>
                </w:p>
              </w:tc>
              <w:tc>
                <w:tcPr>
                  <w:tcW w:w="2101" w:type="dxa"/>
                  <w:tcBorders>
                    <w:tl2br w:val="nil"/>
                    <w:tr2bl w:val="nil"/>
                  </w:tcBorders>
                  <w:shd w:val="clear" w:color="auto" w:fill="auto"/>
                  <w:vAlign w:val="center"/>
                </w:tcPr>
                <w:p w14:paraId="07544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b w:val="0"/>
                      <w:bCs/>
                      <w:color w:val="auto"/>
                      <w:sz w:val="21"/>
                      <w:szCs w:val="21"/>
                      <w:lang w:val="en-US" w:eastAsia="zh-CN"/>
                    </w:rPr>
                    <w:t>一体化污水处理设施</w:t>
                  </w:r>
                  <w:r>
                    <w:rPr>
                      <w:rFonts w:hint="eastAsia" w:cs="Times New Roman" w:eastAsiaTheme="minorEastAsia"/>
                      <w:b w:val="0"/>
                      <w:bCs/>
                      <w:color w:val="auto"/>
                      <w:sz w:val="21"/>
                      <w:szCs w:val="21"/>
                      <w:lang w:val="en-US" w:eastAsia="zh-CN"/>
                    </w:rPr>
                    <w:t>+消毒</w:t>
                  </w:r>
                </w:p>
              </w:tc>
              <w:tc>
                <w:tcPr>
                  <w:tcW w:w="1518" w:type="dxa"/>
                  <w:vMerge w:val="continue"/>
                  <w:tcBorders>
                    <w:tl2br w:val="nil"/>
                    <w:tr2bl w:val="nil"/>
                  </w:tcBorders>
                  <w:shd w:val="clear" w:color="auto" w:fill="auto"/>
                  <w:vAlign w:val="center"/>
                </w:tcPr>
                <w:p w14:paraId="4E443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r>
            <w:tr w14:paraId="5A2F1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17" w:type="dxa"/>
                  <w:vMerge w:val="continue"/>
                  <w:tcBorders>
                    <w:tl2br w:val="nil"/>
                    <w:tr2bl w:val="nil"/>
                  </w:tcBorders>
                  <w:shd w:val="clear" w:color="auto" w:fill="auto"/>
                  <w:vAlign w:val="center"/>
                </w:tcPr>
                <w:p w14:paraId="358D80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restart"/>
                  <w:tcBorders>
                    <w:tl2br w:val="nil"/>
                    <w:tr2bl w:val="nil"/>
                  </w:tcBorders>
                  <w:shd w:val="clear" w:color="auto" w:fill="auto"/>
                  <w:vAlign w:val="center"/>
                </w:tcPr>
                <w:p w14:paraId="47583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噪声</w:t>
                  </w:r>
                </w:p>
              </w:tc>
              <w:tc>
                <w:tcPr>
                  <w:tcW w:w="1434" w:type="dxa"/>
                  <w:tcBorders>
                    <w:tl2br w:val="nil"/>
                    <w:tr2bl w:val="nil"/>
                  </w:tcBorders>
                  <w:shd w:val="clear" w:color="auto" w:fill="auto"/>
                  <w:vAlign w:val="center"/>
                </w:tcPr>
                <w:p w14:paraId="11A65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宠物叫声</w:t>
                  </w:r>
                </w:p>
              </w:tc>
              <w:tc>
                <w:tcPr>
                  <w:tcW w:w="1719" w:type="dxa"/>
                  <w:tcBorders>
                    <w:tl2br w:val="nil"/>
                    <w:tr2bl w:val="nil"/>
                  </w:tcBorders>
                  <w:shd w:val="clear" w:color="auto" w:fill="auto"/>
                  <w:vAlign w:val="center"/>
                </w:tcPr>
                <w:p w14:paraId="33BB3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噪声</w:t>
                  </w:r>
                </w:p>
              </w:tc>
              <w:tc>
                <w:tcPr>
                  <w:tcW w:w="2101" w:type="dxa"/>
                  <w:tcBorders>
                    <w:tl2br w:val="nil"/>
                    <w:tr2bl w:val="nil"/>
                  </w:tcBorders>
                  <w:shd w:val="clear" w:color="auto" w:fill="auto"/>
                  <w:vAlign w:val="center"/>
                </w:tcPr>
                <w:p w14:paraId="133BAFDD">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sz w:val="21"/>
                      <w:szCs w:val="21"/>
                      <w:lang w:val="en-US"/>
                    </w:rPr>
                  </w:pPr>
                  <w:r>
                    <w:rPr>
                      <w:rFonts w:hint="eastAsia" w:cs="Times New Roman" w:eastAsiaTheme="minorEastAsia"/>
                      <w:color w:val="auto"/>
                      <w:sz w:val="21"/>
                      <w:szCs w:val="21"/>
                      <w:lang w:val="en-US" w:eastAsia="zh-CN"/>
                    </w:rPr>
                    <w:t>隔声、合理喂食、加强管理、宠物嘴套等</w:t>
                  </w:r>
                </w:p>
              </w:tc>
              <w:tc>
                <w:tcPr>
                  <w:tcW w:w="1518" w:type="dxa"/>
                  <w:vMerge w:val="restart"/>
                  <w:tcBorders>
                    <w:tl2br w:val="nil"/>
                    <w:tr2bl w:val="nil"/>
                  </w:tcBorders>
                  <w:shd w:val="clear" w:color="auto" w:fill="auto"/>
                  <w:vAlign w:val="center"/>
                </w:tcPr>
                <w:p w14:paraId="4A67E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外环境</w:t>
                  </w:r>
                </w:p>
              </w:tc>
            </w:tr>
            <w:tr w14:paraId="6BDC69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17" w:type="dxa"/>
                  <w:vMerge w:val="continue"/>
                  <w:tcBorders>
                    <w:tl2br w:val="nil"/>
                    <w:tr2bl w:val="nil"/>
                  </w:tcBorders>
                  <w:shd w:val="clear" w:color="auto" w:fill="auto"/>
                  <w:vAlign w:val="center"/>
                </w:tcPr>
                <w:p w14:paraId="64E81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continue"/>
                  <w:tcBorders>
                    <w:tl2br w:val="nil"/>
                    <w:tr2bl w:val="nil"/>
                  </w:tcBorders>
                  <w:shd w:val="clear" w:color="auto" w:fill="auto"/>
                  <w:vAlign w:val="center"/>
                </w:tcPr>
                <w:p w14:paraId="380C2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34" w:type="dxa"/>
                  <w:tcBorders>
                    <w:tl2br w:val="nil"/>
                    <w:tr2bl w:val="nil"/>
                  </w:tcBorders>
                  <w:shd w:val="clear" w:color="auto" w:fill="auto"/>
                  <w:vAlign w:val="center"/>
                </w:tcPr>
                <w:p w14:paraId="1EF0CE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医疗设备</w:t>
                  </w:r>
                </w:p>
              </w:tc>
              <w:tc>
                <w:tcPr>
                  <w:tcW w:w="1719" w:type="dxa"/>
                  <w:tcBorders>
                    <w:tl2br w:val="nil"/>
                    <w:tr2bl w:val="nil"/>
                  </w:tcBorders>
                  <w:shd w:val="clear" w:color="auto" w:fill="auto"/>
                  <w:vAlign w:val="center"/>
                </w:tcPr>
                <w:p w14:paraId="73AA7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噪声</w:t>
                  </w:r>
                </w:p>
              </w:tc>
              <w:tc>
                <w:tcPr>
                  <w:tcW w:w="2101" w:type="dxa"/>
                  <w:tcBorders>
                    <w:tl2br w:val="nil"/>
                    <w:tr2bl w:val="nil"/>
                  </w:tcBorders>
                  <w:shd w:val="clear" w:color="auto" w:fill="auto"/>
                  <w:vAlign w:val="center"/>
                </w:tcPr>
                <w:p w14:paraId="691F725A">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b w:val="0"/>
                      <w:bCs/>
                      <w:color w:val="auto"/>
                      <w:sz w:val="21"/>
                      <w:szCs w:val="21"/>
                      <w:lang w:val="en-US" w:eastAsia="zh-CN"/>
                    </w:rPr>
                  </w:pPr>
                  <w:r>
                    <w:rPr>
                      <w:rFonts w:hint="eastAsia" w:cs="Times New Roman" w:eastAsiaTheme="minorEastAsia"/>
                      <w:color w:val="auto"/>
                      <w:sz w:val="21"/>
                      <w:szCs w:val="21"/>
                      <w:lang w:val="en-US" w:eastAsia="zh-CN"/>
                    </w:rPr>
                    <w:t>墙体隔声、吸声等</w:t>
                  </w:r>
                </w:p>
              </w:tc>
              <w:tc>
                <w:tcPr>
                  <w:tcW w:w="1518" w:type="dxa"/>
                  <w:vMerge w:val="continue"/>
                  <w:tcBorders>
                    <w:tl2br w:val="nil"/>
                    <w:tr2bl w:val="nil"/>
                  </w:tcBorders>
                  <w:shd w:val="clear" w:color="auto" w:fill="auto"/>
                  <w:vAlign w:val="center"/>
                </w:tcPr>
                <w:p w14:paraId="03456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r>
            <w:tr w14:paraId="12C53D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17" w:type="dxa"/>
                  <w:vMerge w:val="continue"/>
                  <w:tcBorders>
                    <w:tl2br w:val="nil"/>
                    <w:tr2bl w:val="nil"/>
                  </w:tcBorders>
                  <w:shd w:val="clear" w:color="auto" w:fill="auto"/>
                  <w:vAlign w:val="center"/>
                </w:tcPr>
                <w:p w14:paraId="5DC165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restart"/>
                  <w:tcBorders>
                    <w:tl2br w:val="nil"/>
                    <w:tr2bl w:val="nil"/>
                  </w:tcBorders>
                  <w:shd w:val="clear" w:color="auto" w:fill="auto"/>
                  <w:vAlign w:val="center"/>
                </w:tcPr>
                <w:p w14:paraId="6FC12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固废</w:t>
                  </w:r>
                </w:p>
              </w:tc>
              <w:tc>
                <w:tcPr>
                  <w:tcW w:w="1434" w:type="dxa"/>
                  <w:tcBorders>
                    <w:tl2br w:val="nil"/>
                    <w:tr2bl w:val="nil"/>
                  </w:tcBorders>
                  <w:shd w:val="clear" w:color="auto" w:fill="auto"/>
                  <w:vAlign w:val="center"/>
                </w:tcPr>
                <w:p w14:paraId="598371DE">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医务人员办公生活</w:t>
                  </w:r>
                </w:p>
              </w:tc>
              <w:tc>
                <w:tcPr>
                  <w:tcW w:w="1719" w:type="dxa"/>
                  <w:tcBorders>
                    <w:tl2br w:val="nil"/>
                    <w:tr2bl w:val="nil"/>
                  </w:tcBorders>
                  <w:shd w:val="clear" w:color="auto" w:fill="auto"/>
                  <w:vAlign w:val="center"/>
                </w:tcPr>
                <w:p w14:paraId="7198480E">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生活垃圾</w:t>
                  </w:r>
                </w:p>
              </w:tc>
              <w:tc>
                <w:tcPr>
                  <w:tcW w:w="2101" w:type="dxa"/>
                  <w:tcBorders>
                    <w:tl2br w:val="nil"/>
                    <w:tr2bl w:val="nil"/>
                  </w:tcBorders>
                  <w:shd w:val="clear" w:color="auto" w:fill="auto"/>
                  <w:vAlign w:val="center"/>
                </w:tcPr>
                <w:p w14:paraId="58CAD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生活垃圾收集桶</w:t>
                  </w:r>
                </w:p>
              </w:tc>
              <w:tc>
                <w:tcPr>
                  <w:tcW w:w="1518" w:type="dxa"/>
                  <w:vMerge w:val="restart"/>
                  <w:tcBorders>
                    <w:tl2br w:val="nil"/>
                    <w:tr2bl w:val="nil"/>
                  </w:tcBorders>
                  <w:shd w:val="clear" w:color="auto" w:fill="auto"/>
                  <w:vAlign w:val="center"/>
                </w:tcPr>
                <w:p w14:paraId="6346A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kern w:val="0"/>
                      <w:sz w:val="21"/>
                      <w:szCs w:val="21"/>
                      <w:lang w:bidi="ar"/>
                    </w:rPr>
                    <w:t>统一收集</w:t>
                  </w:r>
                  <w:r>
                    <w:rPr>
                      <w:rFonts w:hint="default" w:ascii="Times New Roman" w:hAnsi="Times New Roman" w:cs="Times New Roman" w:eastAsiaTheme="minorEastAsia"/>
                      <w:b w:val="0"/>
                      <w:bCs/>
                      <w:color w:val="auto"/>
                      <w:kern w:val="0"/>
                      <w:sz w:val="21"/>
                      <w:szCs w:val="21"/>
                      <w:lang w:val="en-US" w:eastAsia="zh-CN" w:bidi="ar"/>
                    </w:rPr>
                    <w:t>交由环卫部门清运处置</w:t>
                  </w:r>
                </w:p>
              </w:tc>
            </w:tr>
            <w:tr w14:paraId="4B233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17" w:type="dxa"/>
                  <w:vMerge w:val="continue"/>
                  <w:tcBorders>
                    <w:tl2br w:val="nil"/>
                    <w:tr2bl w:val="nil"/>
                  </w:tcBorders>
                  <w:shd w:val="clear" w:color="auto" w:fill="auto"/>
                  <w:vAlign w:val="center"/>
                </w:tcPr>
                <w:p w14:paraId="44557A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continue"/>
                  <w:tcBorders>
                    <w:tl2br w:val="nil"/>
                    <w:tr2bl w:val="nil"/>
                  </w:tcBorders>
                  <w:shd w:val="clear" w:color="auto" w:fill="auto"/>
                  <w:vAlign w:val="center"/>
                </w:tcPr>
                <w:p w14:paraId="4A368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34" w:type="dxa"/>
                  <w:vMerge w:val="restart"/>
                  <w:tcBorders>
                    <w:tl2br w:val="nil"/>
                    <w:tr2bl w:val="nil"/>
                  </w:tcBorders>
                  <w:shd w:val="clear" w:color="auto" w:fill="auto"/>
                  <w:vAlign w:val="center"/>
                </w:tcPr>
                <w:p w14:paraId="65BD4ABB">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宠物日常生活垃圾</w:t>
                  </w:r>
                </w:p>
              </w:tc>
              <w:tc>
                <w:tcPr>
                  <w:tcW w:w="1719" w:type="dxa"/>
                  <w:tcBorders>
                    <w:tl2br w:val="nil"/>
                    <w:tr2bl w:val="nil"/>
                  </w:tcBorders>
                  <w:shd w:val="clear" w:color="auto" w:fill="auto"/>
                  <w:vAlign w:val="center"/>
                </w:tcPr>
                <w:p w14:paraId="0EF61762">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宠物排泄物</w:t>
                  </w:r>
                </w:p>
              </w:tc>
              <w:tc>
                <w:tcPr>
                  <w:tcW w:w="2101" w:type="dxa"/>
                  <w:tcBorders>
                    <w:tl2br w:val="nil"/>
                    <w:tr2bl w:val="nil"/>
                  </w:tcBorders>
                  <w:shd w:val="clear" w:color="auto" w:fill="auto"/>
                  <w:vAlign w:val="center"/>
                </w:tcPr>
                <w:p w14:paraId="7A1F9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rPr>
                    <w:t>清理消毒后袋装收集</w:t>
                  </w:r>
                </w:p>
              </w:tc>
              <w:tc>
                <w:tcPr>
                  <w:tcW w:w="1518" w:type="dxa"/>
                  <w:vMerge w:val="continue"/>
                  <w:tcBorders>
                    <w:tl2br w:val="nil"/>
                    <w:tr2bl w:val="nil"/>
                  </w:tcBorders>
                  <w:shd w:val="clear" w:color="auto" w:fill="auto"/>
                  <w:vAlign w:val="center"/>
                </w:tcPr>
                <w:p w14:paraId="64149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r>
            <w:tr w14:paraId="32AD14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17" w:type="dxa"/>
                  <w:vMerge w:val="continue"/>
                  <w:tcBorders>
                    <w:tl2br w:val="nil"/>
                    <w:tr2bl w:val="nil"/>
                  </w:tcBorders>
                  <w:shd w:val="clear" w:color="auto" w:fill="auto"/>
                  <w:vAlign w:val="center"/>
                </w:tcPr>
                <w:p w14:paraId="119EF2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continue"/>
                  <w:tcBorders>
                    <w:tl2br w:val="nil"/>
                    <w:tr2bl w:val="nil"/>
                  </w:tcBorders>
                  <w:shd w:val="clear" w:color="auto" w:fill="auto"/>
                  <w:vAlign w:val="center"/>
                </w:tcPr>
                <w:p w14:paraId="593509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34" w:type="dxa"/>
                  <w:vMerge w:val="continue"/>
                  <w:tcBorders>
                    <w:tl2br w:val="nil"/>
                    <w:tr2bl w:val="nil"/>
                  </w:tcBorders>
                  <w:shd w:val="clear" w:color="auto" w:fill="auto"/>
                  <w:vAlign w:val="center"/>
                </w:tcPr>
                <w:p w14:paraId="2ABC7F58">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b w:val="0"/>
                      <w:bCs/>
                      <w:color w:val="auto"/>
                      <w:sz w:val="21"/>
                      <w:szCs w:val="21"/>
                      <w:lang w:val="en-US" w:eastAsia="zh-CN"/>
                    </w:rPr>
                  </w:pPr>
                </w:p>
              </w:tc>
              <w:tc>
                <w:tcPr>
                  <w:tcW w:w="1719" w:type="dxa"/>
                  <w:tcBorders>
                    <w:tl2br w:val="nil"/>
                    <w:tr2bl w:val="nil"/>
                  </w:tcBorders>
                  <w:shd w:val="clear" w:color="auto" w:fill="auto"/>
                  <w:vAlign w:val="center"/>
                </w:tcPr>
                <w:p w14:paraId="02D33E25">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val="0"/>
                      <w:color w:val="auto"/>
                      <w:kern w:val="0"/>
                      <w:sz w:val="21"/>
                      <w:szCs w:val="21"/>
                      <w:lang w:val="en-US" w:eastAsia="zh-CN" w:bidi="ar-SA"/>
                    </w:rPr>
                    <w:t>宠物废毛</w:t>
                  </w:r>
                </w:p>
              </w:tc>
              <w:tc>
                <w:tcPr>
                  <w:tcW w:w="2101" w:type="dxa"/>
                  <w:tcBorders>
                    <w:tl2br w:val="nil"/>
                    <w:tr2bl w:val="nil"/>
                  </w:tcBorders>
                  <w:shd w:val="clear" w:color="auto" w:fill="auto"/>
                  <w:vAlign w:val="center"/>
                </w:tcPr>
                <w:p w14:paraId="72007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val="en-US" w:eastAsia="zh-CN"/>
                    </w:rPr>
                    <w:t>集中收集</w:t>
                  </w:r>
                </w:p>
              </w:tc>
              <w:tc>
                <w:tcPr>
                  <w:tcW w:w="1518" w:type="dxa"/>
                  <w:vMerge w:val="continue"/>
                  <w:tcBorders>
                    <w:tl2br w:val="nil"/>
                    <w:tr2bl w:val="nil"/>
                  </w:tcBorders>
                  <w:shd w:val="clear" w:color="auto" w:fill="auto"/>
                  <w:vAlign w:val="center"/>
                </w:tcPr>
                <w:p w14:paraId="1D6B1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r>
            <w:tr w14:paraId="154A33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17" w:type="dxa"/>
                  <w:vMerge w:val="continue"/>
                  <w:tcBorders>
                    <w:tl2br w:val="nil"/>
                    <w:tr2bl w:val="nil"/>
                  </w:tcBorders>
                  <w:shd w:val="clear" w:color="auto" w:fill="auto"/>
                  <w:vAlign w:val="center"/>
                </w:tcPr>
                <w:p w14:paraId="59CCD8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continue"/>
                  <w:tcBorders>
                    <w:tl2br w:val="nil"/>
                    <w:tr2bl w:val="nil"/>
                  </w:tcBorders>
                  <w:shd w:val="clear" w:color="auto" w:fill="auto"/>
                  <w:vAlign w:val="center"/>
                </w:tcPr>
                <w:p w14:paraId="359357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34" w:type="dxa"/>
                  <w:tcBorders>
                    <w:tl2br w:val="nil"/>
                    <w:tr2bl w:val="nil"/>
                  </w:tcBorders>
                  <w:shd w:val="clear" w:color="auto" w:fill="auto"/>
                  <w:vAlign w:val="center"/>
                </w:tcPr>
                <w:p w14:paraId="06197115">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诊疗过程</w:t>
                  </w:r>
                </w:p>
              </w:tc>
              <w:tc>
                <w:tcPr>
                  <w:tcW w:w="1719" w:type="dxa"/>
                  <w:tcBorders>
                    <w:tl2br w:val="nil"/>
                    <w:tr2bl w:val="nil"/>
                  </w:tcBorders>
                  <w:shd w:val="clear" w:color="auto" w:fill="auto"/>
                  <w:vAlign w:val="center"/>
                </w:tcPr>
                <w:p w14:paraId="1723BDB9">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医疗废物</w:t>
                  </w:r>
                </w:p>
              </w:tc>
              <w:tc>
                <w:tcPr>
                  <w:tcW w:w="2101" w:type="dxa"/>
                  <w:vMerge w:val="restart"/>
                  <w:tcBorders>
                    <w:tl2br w:val="nil"/>
                    <w:tr2bl w:val="nil"/>
                  </w:tcBorders>
                  <w:shd w:val="clear" w:color="auto" w:fill="auto"/>
                  <w:vAlign w:val="center"/>
                </w:tcPr>
                <w:p w14:paraId="487345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统一收集暂存于</w:t>
                  </w:r>
                  <w:r>
                    <w:rPr>
                      <w:rFonts w:hint="default" w:ascii="Times New Roman" w:hAnsi="Times New Roman" w:cs="Times New Roman" w:eastAsiaTheme="minorEastAsia"/>
                      <w:color w:val="auto"/>
                      <w:sz w:val="21"/>
                      <w:szCs w:val="21"/>
                      <w:lang w:val="en-US" w:eastAsia="zh-CN"/>
                    </w:rPr>
                    <w:t>医疗废物暂存间</w:t>
                  </w:r>
                  <w:r>
                    <w:rPr>
                      <w:rFonts w:hint="default" w:ascii="Times New Roman" w:hAnsi="Times New Roman" w:cs="Times New Roman" w:eastAsiaTheme="minorEastAsia"/>
                      <w:color w:val="auto"/>
                      <w:sz w:val="21"/>
                      <w:szCs w:val="21"/>
                    </w:rPr>
                    <w:t>内</w:t>
                  </w:r>
                </w:p>
              </w:tc>
              <w:tc>
                <w:tcPr>
                  <w:tcW w:w="1518" w:type="dxa"/>
                  <w:vMerge w:val="restart"/>
                  <w:tcBorders>
                    <w:tl2br w:val="nil"/>
                    <w:tr2bl w:val="nil"/>
                  </w:tcBorders>
                  <w:shd w:val="clear" w:color="auto" w:fill="auto"/>
                  <w:vAlign w:val="center"/>
                </w:tcPr>
                <w:p w14:paraId="34B274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定期委托有危险废物处理资质的单位处理</w:t>
                  </w:r>
                </w:p>
              </w:tc>
            </w:tr>
            <w:tr w14:paraId="0E3B55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17" w:type="dxa"/>
                  <w:vMerge w:val="continue"/>
                  <w:tcBorders>
                    <w:tl2br w:val="nil"/>
                    <w:tr2bl w:val="nil"/>
                  </w:tcBorders>
                  <w:shd w:val="clear" w:color="auto" w:fill="auto"/>
                  <w:vAlign w:val="center"/>
                </w:tcPr>
                <w:p w14:paraId="038EB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continue"/>
                  <w:tcBorders>
                    <w:tl2br w:val="nil"/>
                    <w:tr2bl w:val="nil"/>
                  </w:tcBorders>
                  <w:shd w:val="clear" w:color="auto" w:fill="auto"/>
                  <w:vAlign w:val="center"/>
                </w:tcPr>
                <w:p w14:paraId="678AC4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34" w:type="dxa"/>
                  <w:tcBorders>
                    <w:tl2br w:val="nil"/>
                    <w:tr2bl w:val="nil"/>
                  </w:tcBorders>
                  <w:shd w:val="clear" w:color="auto" w:fill="auto"/>
                  <w:vAlign w:val="center"/>
                </w:tcPr>
                <w:p w14:paraId="57EAF95E">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污水处理过程</w:t>
                  </w:r>
                </w:p>
              </w:tc>
              <w:tc>
                <w:tcPr>
                  <w:tcW w:w="1719" w:type="dxa"/>
                  <w:tcBorders>
                    <w:tl2br w:val="nil"/>
                    <w:tr2bl w:val="nil"/>
                  </w:tcBorders>
                  <w:shd w:val="clear" w:color="auto" w:fill="auto"/>
                  <w:vAlign w:val="center"/>
                </w:tcPr>
                <w:p w14:paraId="6039B90D">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污泥</w:t>
                  </w:r>
                </w:p>
              </w:tc>
              <w:tc>
                <w:tcPr>
                  <w:tcW w:w="2101" w:type="dxa"/>
                  <w:vMerge w:val="continue"/>
                  <w:tcBorders>
                    <w:tl2br w:val="nil"/>
                    <w:tr2bl w:val="nil"/>
                  </w:tcBorders>
                  <w:shd w:val="clear" w:color="auto" w:fill="auto"/>
                  <w:vAlign w:val="center"/>
                </w:tcPr>
                <w:p w14:paraId="16F7A7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518" w:type="dxa"/>
                  <w:vMerge w:val="continue"/>
                  <w:tcBorders>
                    <w:tl2br w:val="nil"/>
                    <w:tr2bl w:val="nil"/>
                  </w:tcBorders>
                  <w:shd w:val="clear" w:color="auto" w:fill="auto"/>
                  <w:vAlign w:val="center"/>
                </w:tcPr>
                <w:p w14:paraId="20F0E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cs="Times New Roman" w:eastAsiaTheme="minorEastAsia"/>
                      <w:color w:val="auto"/>
                      <w:sz w:val="21"/>
                      <w:szCs w:val="21"/>
                    </w:rPr>
                  </w:pPr>
                </w:p>
              </w:tc>
            </w:tr>
            <w:tr w14:paraId="61DC96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17" w:type="dxa"/>
                  <w:vMerge w:val="continue"/>
                  <w:tcBorders>
                    <w:tl2br w:val="nil"/>
                    <w:tr2bl w:val="nil"/>
                  </w:tcBorders>
                  <w:shd w:val="clear" w:color="auto" w:fill="auto"/>
                  <w:vAlign w:val="center"/>
                </w:tcPr>
                <w:p w14:paraId="599FD0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608" w:type="dxa"/>
                  <w:vMerge w:val="continue"/>
                  <w:tcBorders>
                    <w:tl2br w:val="nil"/>
                    <w:tr2bl w:val="nil"/>
                  </w:tcBorders>
                  <w:shd w:val="clear" w:color="auto" w:fill="auto"/>
                  <w:vAlign w:val="center"/>
                </w:tcPr>
                <w:p w14:paraId="31B49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34" w:type="dxa"/>
                  <w:tcBorders>
                    <w:tl2br w:val="nil"/>
                    <w:tr2bl w:val="nil"/>
                  </w:tcBorders>
                  <w:shd w:val="clear" w:color="auto" w:fill="auto"/>
                  <w:vAlign w:val="center"/>
                </w:tcPr>
                <w:p w14:paraId="2C837D8C">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消毒过程</w:t>
                  </w:r>
                </w:p>
              </w:tc>
              <w:tc>
                <w:tcPr>
                  <w:tcW w:w="1719" w:type="dxa"/>
                  <w:tcBorders>
                    <w:tl2br w:val="nil"/>
                    <w:tr2bl w:val="nil"/>
                  </w:tcBorders>
                  <w:shd w:val="clear" w:color="auto" w:fill="auto"/>
                  <w:vAlign w:val="center"/>
                </w:tcPr>
                <w:p w14:paraId="599E90A6">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废紫外灯管</w:t>
                  </w:r>
                </w:p>
              </w:tc>
              <w:tc>
                <w:tcPr>
                  <w:tcW w:w="2101" w:type="dxa"/>
                  <w:vMerge w:val="continue"/>
                  <w:tcBorders>
                    <w:tl2br w:val="nil"/>
                    <w:tr2bl w:val="nil"/>
                  </w:tcBorders>
                  <w:shd w:val="clear" w:color="auto" w:fill="auto"/>
                  <w:vAlign w:val="center"/>
                </w:tcPr>
                <w:p w14:paraId="6CFF0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518" w:type="dxa"/>
                  <w:vMerge w:val="continue"/>
                  <w:tcBorders>
                    <w:tl2br w:val="nil"/>
                    <w:tr2bl w:val="nil"/>
                  </w:tcBorders>
                  <w:shd w:val="clear" w:color="auto" w:fill="auto"/>
                  <w:vAlign w:val="center"/>
                </w:tcPr>
                <w:p w14:paraId="7875B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r>
          </w:tbl>
          <w:p w14:paraId="150483B6">
            <w:pPr>
              <w:keepNext w:val="0"/>
              <w:keepLines w:val="0"/>
              <w:suppressLineNumbers w:val="0"/>
              <w:spacing w:before="0" w:beforeAutospacing="0" w:after="0" w:afterAutospacing="0" w:line="360" w:lineRule="auto"/>
              <w:ind w:left="0" w:right="0"/>
              <w:jc w:val="left"/>
              <w:rPr>
                <w:rFonts w:hint="default" w:ascii="Times New Roman" w:hAnsi="Times New Roman" w:cs="Times New Roman" w:eastAsiaTheme="minorEastAsia"/>
                <w:color w:val="auto"/>
              </w:rPr>
            </w:pPr>
          </w:p>
        </w:tc>
      </w:tr>
      <w:tr w14:paraId="3EFDF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819" w:type="dxa"/>
            <w:vAlign w:val="center"/>
          </w:tcPr>
          <w:p w14:paraId="3D4433F4">
            <w:pPr>
              <w:pStyle w:val="19"/>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Cs w:val="24"/>
              </w:rPr>
            </w:pPr>
            <w:r>
              <w:rPr>
                <w:rFonts w:hint="default" w:ascii="Times New Roman" w:hAnsi="Times New Roman" w:cs="Times New Roman" w:eastAsiaTheme="minorEastAsia"/>
                <w:bCs/>
                <w:color w:val="auto"/>
                <w:kern w:val="2"/>
                <w:szCs w:val="24"/>
              </w:rPr>
              <w:t>与项目有关的原有环境污染问题</w:t>
            </w:r>
          </w:p>
        </w:tc>
        <w:tc>
          <w:tcPr>
            <w:tcW w:w="8165" w:type="dxa"/>
          </w:tcPr>
          <w:p w14:paraId="6EE6AC51">
            <w:pPr>
              <w:keepNext w:val="0"/>
              <w:keepLines w:val="0"/>
              <w:suppressLineNumbers w:val="0"/>
              <w:spacing w:before="0" w:beforeAutospacing="0" w:after="0" w:afterAutospacing="0" w:line="520" w:lineRule="exact"/>
              <w:ind w:left="0" w:right="0"/>
              <w:rPr>
                <w:rFonts w:hint="eastAsia" w:ascii="Times New Roman" w:hAnsi="Times New Roman" w:cs="Times New Roman" w:eastAsiaTheme="minorEastAsia"/>
                <w:b/>
                <w:bCs/>
                <w:color w:val="auto"/>
                <w:sz w:val="24"/>
                <w:lang w:val="en-US" w:eastAsia="zh-CN"/>
              </w:rPr>
            </w:pPr>
            <w:r>
              <w:rPr>
                <w:rFonts w:hint="eastAsia" w:cs="Times New Roman" w:eastAsiaTheme="minorEastAsia"/>
                <w:b/>
                <w:bCs/>
                <w:color w:val="auto"/>
                <w:sz w:val="24"/>
                <w:lang w:val="en-US" w:eastAsia="zh-CN"/>
              </w:rPr>
              <w:t>1.</w:t>
            </w:r>
            <w:r>
              <w:rPr>
                <w:rFonts w:hint="eastAsia" w:ascii="Times New Roman" w:hAnsi="Times New Roman" w:cs="Times New Roman" w:eastAsiaTheme="minorEastAsia"/>
                <w:b/>
                <w:bCs/>
                <w:color w:val="auto"/>
                <w:sz w:val="24"/>
                <w:lang w:val="en-US" w:eastAsia="zh-CN"/>
              </w:rPr>
              <w:t>现有工程环保手续履行情况</w:t>
            </w:r>
          </w:p>
          <w:p w14:paraId="29190D8D">
            <w:pPr>
              <w:keepNext w:val="0"/>
              <w:keepLines w:val="0"/>
              <w:suppressLineNumbers w:val="0"/>
              <w:spacing w:before="0" w:beforeAutospacing="0" w:after="0" w:afterAutospacing="0" w:line="520" w:lineRule="exact"/>
              <w:ind w:left="0" w:right="0" w:firstLine="480" w:firstLineChars="200"/>
              <w:rPr>
                <w:rFonts w:hint="eastAsia" w:ascii="宋体" w:hAnsi="宋体" w:eastAsia="宋体"/>
                <w:sz w:val="24"/>
                <w:szCs w:val="24"/>
              </w:rPr>
            </w:pPr>
            <w:r>
              <w:rPr>
                <w:rFonts w:hint="default" w:ascii="Times New Roman" w:hAnsi="Times New Roman" w:cs="Times New Roman" w:eastAsiaTheme="minorEastAsia"/>
                <w:color w:val="auto"/>
                <w:kern w:val="2"/>
                <w:sz w:val="24"/>
                <w:szCs w:val="24"/>
                <w:lang w:val="en-US" w:eastAsia="zh-CN" w:bidi="ar-SA"/>
              </w:rPr>
              <w:t>根据现场调查及周边店铺的走访，本项目</w:t>
            </w:r>
            <w:r>
              <w:rPr>
                <w:rFonts w:hint="eastAsia" w:cs="Times New Roman" w:eastAsiaTheme="minorEastAsia"/>
                <w:color w:val="auto"/>
                <w:kern w:val="2"/>
                <w:sz w:val="24"/>
                <w:szCs w:val="24"/>
                <w:lang w:val="en-US" w:eastAsia="zh-CN" w:bidi="ar-SA"/>
              </w:rPr>
              <w:t>于2023年12月签署租赁店面协议，</w:t>
            </w:r>
            <w:r>
              <w:rPr>
                <w:rFonts w:hint="default" w:ascii="Times New Roman" w:hAnsi="Times New Roman" w:cs="Times New Roman" w:eastAsiaTheme="minorEastAsia"/>
                <w:color w:val="auto"/>
                <w:kern w:val="2"/>
                <w:sz w:val="24"/>
                <w:szCs w:val="24"/>
                <w:lang w:val="en-US" w:eastAsia="zh-CN" w:bidi="ar-SA"/>
              </w:rPr>
              <w:t>202</w:t>
            </w:r>
            <w:r>
              <w:rPr>
                <w:rFonts w:hint="eastAsia" w:cs="Times New Roman" w:eastAsiaTheme="minorEastAsia"/>
                <w:color w:val="auto"/>
                <w:kern w:val="2"/>
                <w:sz w:val="24"/>
                <w:szCs w:val="24"/>
                <w:lang w:val="en-US" w:eastAsia="zh-CN" w:bidi="ar-SA"/>
              </w:rPr>
              <w:t>4</w:t>
            </w:r>
            <w:r>
              <w:rPr>
                <w:rFonts w:hint="default" w:ascii="Times New Roman" w:hAnsi="Times New Roman" w:cs="Times New Roman" w:eastAsiaTheme="minorEastAsia"/>
                <w:color w:val="auto"/>
                <w:kern w:val="2"/>
                <w:sz w:val="24"/>
                <w:szCs w:val="24"/>
                <w:lang w:val="en-US" w:eastAsia="zh-CN" w:bidi="ar-SA"/>
              </w:rPr>
              <w:t>年</w:t>
            </w:r>
            <w:r>
              <w:rPr>
                <w:rFonts w:hint="eastAsia" w:cs="Times New Roman" w:eastAsiaTheme="minorEastAsia"/>
                <w:color w:val="auto"/>
                <w:kern w:val="2"/>
                <w:sz w:val="24"/>
                <w:szCs w:val="24"/>
                <w:lang w:val="en-US" w:eastAsia="zh-CN" w:bidi="ar-SA"/>
              </w:rPr>
              <w:t>4</w:t>
            </w:r>
            <w:r>
              <w:rPr>
                <w:rFonts w:hint="default" w:ascii="Times New Roman" w:hAnsi="Times New Roman" w:cs="Times New Roman" w:eastAsiaTheme="minorEastAsia"/>
                <w:color w:val="auto"/>
                <w:kern w:val="2"/>
                <w:sz w:val="24"/>
                <w:szCs w:val="24"/>
                <w:lang w:val="en-US" w:eastAsia="zh-CN" w:bidi="ar-SA"/>
              </w:rPr>
              <w:t>月</w:t>
            </w:r>
            <w:r>
              <w:rPr>
                <w:rFonts w:hint="eastAsia" w:cs="Times New Roman" w:eastAsiaTheme="minorEastAsia"/>
                <w:color w:val="auto"/>
                <w:kern w:val="2"/>
                <w:sz w:val="24"/>
                <w:szCs w:val="24"/>
                <w:lang w:val="en-US" w:eastAsia="zh-CN" w:bidi="ar-SA"/>
              </w:rPr>
              <w:t>建设完成并</w:t>
            </w:r>
            <w:r>
              <w:rPr>
                <w:rFonts w:hint="default" w:ascii="Times New Roman" w:hAnsi="Times New Roman" w:cs="Times New Roman" w:eastAsiaTheme="minorEastAsia"/>
                <w:color w:val="auto"/>
                <w:kern w:val="2"/>
                <w:sz w:val="24"/>
                <w:szCs w:val="24"/>
                <w:lang w:val="en-US" w:eastAsia="zh-CN" w:bidi="ar-SA"/>
              </w:rPr>
              <w:t>取得动物诊疗许可证</w:t>
            </w:r>
            <w:r>
              <w:rPr>
                <w:rFonts w:hint="eastAsia" w:cs="Times New Roman" w:eastAsiaTheme="minorEastAsia"/>
                <w:color w:val="auto"/>
                <w:kern w:val="2"/>
                <w:sz w:val="24"/>
                <w:szCs w:val="24"/>
                <w:lang w:val="en-US" w:eastAsia="zh-CN" w:bidi="ar-SA"/>
              </w:rPr>
              <w:t>，目前未投入使用。建设过程中</w:t>
            </w:r>
            <w:r>
              <w:rPr>
                <w:rFonts w:hint="eastAsia" w:ascii="宋体" w:hAnsi="宋体" w:eastAsia="宋体"/>
                <w:sz w:val="24"/>
                <w:szCs w:val="24"/>
              </w:rPr>
              <w:t>未发生过环保投诉。</w:t>
            </w:r>
          </w:p>
          <w:p w14:paraId="77E717CC">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kern w:val="2"/>
                <w:sz w:val="24"/>
                <w:szCs w:val="24"/>
                <w:lang w:val="en-US" w:eastAsia="zh-CN" w:bidi="ar-SA"/>
              </w:rPr>
            </w:pPr>
            <w:r>
              <w:rPr>
                <w:rFonts w:hint="eastAsia" w:ascii="宋体" w:hAnsi="宋体" w:eastAsia="宋体"/>
                <w:sz w:val="24"/>
                <w:szCs w:val="24"/>
                <w:lang w:val="en-US" w:eastAsia="zh-CN"/>
              </w:rPr>
              <w:t>本项目属于《建设项目环境影响评价分类管理名录》（2021年版）中</w:t>
            </w:r>
            <w:r>
              <w:rPr>
                <w:rFonts w:hint="default" w:ascii="Times New Roman" w:hAnsi="Times New Roman" w:cs="Times New Roman" w:eastAsiaTheme="minorEastAsia"/>
                <w:snapToGrid w:val="0"/>
                <w:color w:val="auto"/>
                <w:kern w:val="0"/>
                <w:sz w:val="24"/>
                <w:szCs w:val="22"/>
              </w:rPr>
              <w:t>“</w:t>
            </w:r>
            <w:r>
              <w:rPr>
                <w:rFonts w:hint="default" w:ascii="Times New Roman" w:hAnsi="Times New Roman" w:cs="Times New Roman" w:eastAsiaTheme="minorEastAsia"/>
                <w:snapToGrid w:val="0"/>
                <w:color w:val="auto"/>
                <w:kern w:val="0"/>
                <w:sz w:val="24"/>
                <w:szCs w:val="22"/>
                <w:lang w:eastAsia="zh-CN"/>
              </w:rPr>
              <w:t>五十、社会事业与服务业</w:t>
            </w:r>
            <w:r>
              <w:rPr>
                <w:rFonts w:hint="default" w:ascii="Times New Roman" w:hAnsi="Times New Roman" w:cs="Times New Roman" w:eastAsiaTheme="minorEastAsia"/>
                <w:snapToGrid w:val="0"/>
                <w:color w:val="auto"/>
                <w:kern w:val="0"/>
                <w:sz w:val="24"/>
                <w:szCs w:val="22"/>
              </w:rPr>
              <w:t>”中的“</w:t>
            </w:r>
            <w:r>
              <w:rPr>
                <w:rFonts w:hint="default" w:ascii="Times New Roman" w:hAnsi="Times New Roman" w:cs="Times New Roman" w:eastAsiaTheme="minorEastAsia"/>
                <w:snapToGrid w:val="0"/>
                <w:color w:val="auto"/>
                <w:kern w:val="0"/>
                <w:sz w:val="24"/>
                <w:szCs w:val="22"/>
                <w:lang w:eastAsia="zh-CN"/>
              </w:rPr>
              <w:t>123动物医院</w:t>
            </w:r>
            <w:r>
              <w:rPr>
                <w:rFonts w:hint="default" w:ascii="Times New Roman" w:hAnsi="Times New Roman" w:cs="Times New Roman" w:eastAsiaTheme="minorEastAsia"/>
                <w:snapToGrid w:val="0"/>
                <w:color w:val="auto"/>
                <w:kern w:val="0"/>
                <w:sz w:val="24"/>
                <w:szCs w:val="22"/>
              </w:rPr>
              <w:t>”</w:t>
            </w:r>
            <w:r>
              <w:rPr>
                <w:rFonts w:hint="eastAsia" w:ascii="Times New Roman" w:hAnsi="Times New Roman" w:cs="Times New Roman" w:eastAsiaTheme="minorEastAsia"/>
                <w:snapToGrid w:val="0"/>
                <w:color w:val="auto"/>
                <w:kern w:val="0"/>
                <w:sz w:val="24"/>
                <w:szCs w:val="22"/>
                <w:lang w:eastAsia="zh-CN"/>
              </w:rPr>
              <w:t>，</w:t>
            </w:r>
            <w:r>
              <w:rPr>
                <w:rFonts w:hint="eastAsia" w:ascii="Times New Roman" w:hAnsi="Times New Roman" w:cs="Times New Roman" w:eastAsiaTheme="minorEastAsia"/>
                <w:snapToGrid w:val="0"/>
                <w:color w:val="auto"/>
                <w:kern w:val="0"/>
                <w:sz w:val="24"/>
                <w:szCs w:val="22"/>
                <w:lang w:val="en-US" w:eastAsia="zh-CN"/>
              </w:rPr>
              <w:t>应编制环境影响报告表。</w:t>
            </w:r>
            <w:r>
              <w:rPr>
                <w:rFonts w:hint="eastAsia" w:cs="Times New Roman" w:eastAsiaTheme="minorEastAsia"/>
                <w:color w:val="auto"/>
                <w:kern w:val="2"/>
                <w:sz w:val="24"/>
                <w:szCs w:val="24"/>
                <w:lang w:val="en-US" w:eastAsia="zh-CN" w:bidi="ar-SA"/>
              </w:rPr>
              <w:t>本项目存在“未批先建”违法行为。</w:t>
            </w:r>
            <w:r>
              <w:rPr>
                <w:rFonts w:hint="eastAsia" w:ascii="Times New Roman" w:hAnsi="Times New Roman" w:cs="Times New Roman" w:eastAsiaTheme="minorEastAsia"/>
                <w:color w:val="auto"/>
                <w:kern w:val="2"/>
                <w:sz w:val="24"/>
                <w:szCs w:val="24"/>
                <w:lang w:val="en-US" w:eastAsia="zh-CN" w:bidi="ar-SA"/>
              </w:rPr>
              <w:t>同时</w:t>
            </w:r>
            <w:r>
              <w:rPr>
                <w:rFonts w:hint="default" w:ascii="Times New Roman" w:hAnsi="Times New Roman" w:cs="Times New Roman" w:eastAsiaTheme="minorEastAsia"/>
                <w:color w:val="auto"/>
                <w:kern w:val="2"/>
                <w:sz w:val="24"/>
                <w:szCs w:val="24"/>
                <w:lang w:val="en-US" w:eastAsia="zh-CN" w:bidi="ar-SA"/>
              </w:rPr>
              <w:t>依据《关于阜康市两家宠物医院颅腔、胸腔、腹腔手术诊疗项目未批先建处理意见的报告》，要求</w:t>
            </w:r>
            <w:r>
              <w:rPr>
                <w:rFonts w:hint="eastAsia" w:ascii="Times New Roman" w:hAnsi="Times New Roman" w:cs="Times New Roman" w:eastAsiaTheme="minorEastAsia"/>
                <w:color w:val="auto"/>
                <w:kern w:val="2"/>
                <w:sz w:val="24"/>
                <w:szCs w:val="24"/>
                <w:lang w:val="en-US" w:eastAsia="zh-CN" w:bidi="ar-SA"/>
              </w:rPr>
              <w:t>建设单位</w:t>
            </w:r>
            <w:r>
              <w:rPr>
                <w:rFonts w:hint="default" w:ascii="Times New Roman" w:hAnsi="Times New Roman" w:cs="Times New Roman" w:eastAsiaTheme="minorEastAsia"/>
                <w:color w:val="auto"/>
                <w:kern w:val="2"/>
                <w:sz w:val="24"/>
                <w:szCs w:val="24"/>
                <w:lang w:val="en-US" w:eastAsia="zh-CN" w:bidi="ar-SA"/>
              </w:rPr>
              <w:t>在规定的时限内完成整改，在整改期内停止宠物医院的动物颅腔、胸腔或腹腔手术经营活动，并按照相关法律法规要求，完成环境影响评价手续的补办工作。</w:t>
            </w:r>
          </w:p>
          <w:p w14:paraId="36A61EE5">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目前，本项目处于</w:t>
            </w:r>
            <w:r>
              <w:rPr>
                <w:rFonts w:hint="default" w:ascii="Times New Roman" w:hAnsi="Times New Roman" w:cs="Times New Roman" w:eastAsiaTheme="minorEastAsia"/>
                <w:color w:val="auto"/>
                <w:kern w:val="2"/>
                <w:sz w:val="24"/>
                <w:szCs w:val="24"/>
                <w:lang w:val="en-US" w:eastAsia="zh-CN" w:bidi="ar-SA"/>
              </w:rPr>
              <w:t>环境影响评价手续补办</w:t>
            </w:r>
            <w:r>
              <w:rPr>
                <w:rFonts w:hint="eastAsia" w:ascii="Times New Roman" w:hAnsi="Times New Roman" w:cs="Times New Roman" w:eastAsiaTheme="minorEastAsia"/>
                <w:color w:val="auto"/>
                <w:kern w:val="2"/>
                <w:sz w:val="24"/>
                <w:szCs w:val="24"/>
                <w:lang w:val="en-US" w:eastAsia="zh-CN" w:bidi="ar-SA"/>
              </w:rPr>
              <w:t>阶段。</w:t>
            </w:r>
          </w:p>
          <w:p w14:paraId="66BE3E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rPr>
                <w:rFonts w:hint="eastAsia" w:ascii="Times New Roman" w:hAnsi="Times New Roman" w:cs="Times New Roman" w:eastAsiaTheme="minorEastAsia"/>
                <w:b/>
                <w:bCs/>
                <w:color w:val="auto"/>
                <w:sz w:val="24"/>
                <w:lang w:val="en-US" w:eastAsia="zh-CN"/>
              </w:rPr>
            </w:pPr>
            <w:r>
              <w:rPr>
                <w:rFonts w:hint="eastAsia" w:ascii="Times New Roman" w:hAnsi="Times New Roman" w:cs="Times New Roman" w:eastAsiaTheme="minorEastAsia"/>
                <w:b/>
                <w:bCs/>
                <w:color w:val="auto"/>
                <w:sz w:val="24"/>
                <w:lang w:val="en-US" w:eastAsia="zh-CN"/>
              </w:rPr>
              <w:t>2.现有工程污染物排放情况</w:t>
            </w:r>
          </w:p>
          <w:p w14:paraId="050DE907">
            <w:pPr>
              <w:keepNext w:val="0"/>
              <w:keepLines w:val="0"/>
              <w:suppressLineNumbers w:val="0"/>
              <w:spacing w:before="0" w:beforeAutospacing="0" w:after="0" w:afterAutospacing="0" w:line="520" w:lineRule="exact"/>
              <w:ind w:left="0" w:right="0" w:firstLine="480" w:firstLineChars="200"/>
              <w:rPr>
                <w:rFonts w:hint="default" w:ascii="宋体" w:hAnsi="宋体" w:eastAsia="宋体" w:cs="Times New Roman"/>
                <w:sz w:val="24"/>
                <w:szCs w:val="24"/>
                <w:lang w:val="en-US" w:eastAsia="zh-CN"/>
              </w:rPr>
            </w:pPr>
            <w:r>
              <w:rPr>
                <w:rFonts w:hint="eastAsia" w:cs="Times New Roman" w:eastAsiaTheme="minorEastAsia"/>
                <w:color w:val="auto"/>
                <w:kern w:val="2"/>
                <w:sz w:val="24"/>
                <w:szCs w:val="24"/>
                <w:lang w:val="en-US" w:eastAsia="zh-CN" w:bidi="ar-SA"/>
              </w:rPr>
              <w:t>因本项目尚未投入使用，暂无废气、废水、噪声、固废产生。</w:t>
            </w:r>
          </w:p>
          <w:p w14:paraId="10FE9A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rPr>
                <w:rFonts w:hint="default" w:ascii="Times New Roman" w:hAnsi="Times New Roman" w:cs="Times New Roman" w:eastAsiaTheme="minorEastAsia"/>
                <w:b/>
                <w:bCs/>
                <w:color w:val="auto"/>
                <w:sz w:val="24"/>
                <w:lang w:val="en-US" w:eastAsia="zh-CN"/>
              </w:rPr>
            </w:pPr>
            <w:r>
              <w:rPr>
                <w:rFonts w:hint="eastAsia" w:ascii="Times New Roman" w:hAnsi="Times New Roman" w:cs="Times New Roman" w:eastAsiaTheme="minorEastAsia"/>
                <w:b/>
                <w:bCs/>
                <w:color w:val="auto"/>
                <w:sz w:val="24"/>
                <w:lang w:val="en-US" w:eastAsia="zh-CN"/>
              </w:rPr>
              <w:t>3.存在的问题及整改措施</w:t>
            </w:r>
          </w:p>
          <w:p w14:paraId="73B6AB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rPr>
                <w:rFonts w:hint="eastAsia" w:ascii="Times New Roman" w:hAnsi="Times New Roman" w:cs="Times New Roman" w:eastAsiaTheme="minorEastAsia"/>
                <w:b/>
                <w:bCs/>
                <w:color w:val="auto"/>
                <w:sz w:val="24"/>
                <w:lang w:val="en-US" w:eastAsia="zh-CN"/>
              </w:rPr>
            </w:pPr>
            <w:r>
              <w:rPr>
                <w:rFonts w:hint="eastAsia" w:ascii="Times New Roman" w:hAnsi="Times New Roman" w:cs="Times New Roman" w:eastAsiaTheme="minorEastAsia"/>
                <w:b/>
                <w:bCs/>
                <w:color w:val="auto"/>
                <w:sz w:val="24"/>
                <w:lang w:val="en-US" w:eastAsia="zh-CN"/>
              </w:rPr>
              <w:t>3.1存在的主要环境问题</w:t>
            </w:r>
          </w:p>
          <w:p w14:paraId="5CDA14B7">
            <w:pPr>
              <w:keepNext w:val="0"/>
              <w:keepLines w:val="0"/>
              <w:suppressLineNumbers w:val="0"/>
              <w:spacing w:before="0" w:beforeAutospacing="0" w:after="0" w:afterAutospacing="0" w:line="520" w:lineRule="exact"/>
              <w:ind w:left="0" w:right="0" w:firstLine="480" w:firstLineChars="200"/>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经现场查验和收集相关资料，现有</w:t>
            </w:r>
            <w:r>
              <w:rPr>
                <w:rFonts w:hint="eastAsia" w:ascii="宋体" w:hAnsi="宋体" w:eastAsia="宋体" w:cs="Times New Roman"/>
                <w:sz w:val="24"/>
                <w:szCs w:val="24"/>
                <w:lang w:val="en-US" w:eastAsia="zh-CN"/>
              </w:rPr>
              <w:t>工程</w:t>
            </w:r>
            <w:r>
              <w:rPr>
                <w:rFonts w:hint="default" w:ascii="宋体" w:hAnsi="宋体" w:eastAsia="宋体" w:cs="Times New Roman"/>
                <w:sz w:val="24"/>
                <w:szCs w:val="24"/>
                <w:lang w:val="en-US" w:eastAsia="zh-CN"/>
              </w:rPr>
              <w:t>建成</w:t>
            </w:r>
            <w:r>
              <w:rPr>
                <w:rFonts w:hint="eastAsia" w:ascii="宋体" w:hAnsi="宋体" w:eastAsia="宋体" w:cs="Times New Roman"/>
                <w:sz w:val="24"/>
                <w:szCs w:val="24"/>
                <w:lang w:val="en-US" w:eastAsia="zh-CN"/>
              </w:rPr>
              <w:t>后</w:t>
            </w:r>
            <w:r>
              <w:rPr>
                <w:rFonts w:hint="eastAsia" w:cs="Times New Roman" w:eastAsiaTheme="minorEastAsia"/>
                <w:color w:val="auto"/>
                <w:kern w:val="2"/>
                <w:sz w:val="24"/>
                <w:szCs w:val="24"/>
                <w:lang w:val="en-US" w:eastAsia="zh-CN" w:bidi="ar-SA"/>
              </w:rPr>
              <w:t>尚未投入使用</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未受到生态环境管理部门的处罚，主要存在环境问题有：</w:t>
            </w:r>
          </w:p>
          <w:p w14:paraId="520D8C26">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（1）未制定</w:t>
            </w:r>
            <w:r>
              <w:rPr>
                <w:rFonts w:hint="default" w:ascii="Times New Roman" w:hAnsi="Times New Roman" w:cs="Times New Roman" w:eastAsiaTheme="minorEastAsia"/>
                <w:color w:val="auto"/>
                <w:kern w:val="2"/>
                <w:sz w:val="24"/>
                <w:szCs w:val="24"/>
                <w:lang w:val="en-US" w:eastAsia="zh-CN" w:bidi="ar-SA"/>
              </w:rPr>
              <w:t>突发环境事件应急预案</w:t>
            </w:r>
          </w:p>
          <w:p w14:paraId="0831B718">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经现场查验和收集相关资料，企业未按照</w:t>
            </w:r>
            <w:r>
              <w:rPr>
                <w:rFonts w:hint="default" w:ascii="Times New Roman" w:hAnsi="Times New Roman" w:cs="Times New Roman" w:eastAsiaTheme="minorEastAsia"/>
                <w:color w:val="auto"/>
                <w:kern w:val="2"/>
                <w:sz w:val="24"/>
                <w:szCs w:val="24"/>
                <w:lang w:val="en-US" w:eastAsia="zh-CN" w:bidi="ar-SA"/>
              </w:rPr>
              <w:t>《企业事业单位突发环境事件应急预案备案管理办法（试行）》（环发</w:t>
            </w: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2015</w:t>
            </w: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4号）的要求编制突发环境事件应急预案</w:t>
            </w:r>
            <w:r>
              <w:rPr>
                <w:rFonts w:hint="eastAsia" w:ascii="Times New Roman" w:hAnsi="Times New Roman" w:cs="Times New Roman" w:eastAsiaTheme="minorEastAsia"/>
                <w:color w:val="auto"/>
                <w:kern w:val="2"/>
                <w:sz w:val="24"/>
                <w:szCs w:val="24"/>
                <w:lang w:val="en-US" w:eastAsia="zh-CN" w:bidi="ar-SA"/>
              </w:rPr>
              <w:t>。</w:t>
            </w:r>
          </w:p>
          <w:p w14:paraId="7CAD2378">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kern w:val="2"/>
                <w:sz w:val="24"/>
                <w:szCs w:val="24"/>
                <w:lang w:val="en-US" w:eastAsia="zh-CN" w:bidi="ar-SA"/>
              </w:rPr>
            </w:pPr>
            <w:r>
              <w:rPr>
                <w:rFonts w:hint="eastAsia" w:ascii="宋体" w:hAnsi="宋体" w:eastAsia="宋体" w:cs="Times New Roman"/>
                <w:sz w:val="24"/>
                <w:szCs w:val="24"/>
                <w:lang w:val="en-US" w:eastAsia="zh-CN"/>
              </w:rPr>
              <w:t>（</w:t>
            </w:r>
            <w:r>
              <w:rPr>
                <w:rFonts w:hint="eastAsia" w:ascii="Times New Roman" w:hAnsi="Times New Roman" w:cs="Times New Roman" w:eastAsiaTheme="minorEastAsia"/>
                <w:color w:val="auto"/>
                <w:kern w:val="2"/>
                <w:sz w:val="24"/>
                <w:szCs w:val="24"/>
                <w:lang w:val="en-US" w:eastAsia="zh-CN" w:bidi="ar-SA"/>
              </w:rPr>
              <w:t>2）未规范建设</w:t>
            </w:r>
            <w:r>
              <w:rPr>
                <w:rFonts w:hint="default" w:ascii="Times New Roman" w:hAnsi="Times New Roman" w:cs="Times New Roman" w:eastAsiaTheme="minorEastAsia"/>
                <w:color w:val="auto"/>
                <w:kern w:val="2"/>
                <w:sz w:val="24"/>
                <w:szCs w:val="24"/>
                <w:lang w:val="en-US" w:eastAsia="zh-CN" w:bidi="ar-SA"/>
              </w:rPr>
              <w:t>医疗废物暂存间</w:t>
            </w:r>
          </w:p>
          <w:p w14:paraId="1B9AA651">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项目现有一个3</w:t>
            </w:r>
            <w:r>
              <w:rPr>
                <w:rFonts w:hint="default" w:ascii="Times New Roman" w:hAnsi="Times New Roman" w:cs="Times New Roman" w:eastAsiaTheme="minorEastAsia"/>
                <w:color w:val="auto"/>
                <w:kern w:val="2"/>
                <w:sz w:val="24"/>
                <w:szCs w:val="24"/>
                <w:lang w:val="en-US" w:eastAsia="zh-CN" w:bidi="ar-SA"/>
              </w:rPr>
              <w:t>m</w:t>
            </w:r>
            <w:r>
              <w:rPr>
                <w:rFonts w:hint="default" w:ascii="Times New Roman" w:hAnsi="Times New Roman" w:cs="Times New Roman" w:eastAsiaTheme="minorEastAsia"/>
                <w:color w:val="auto"/>
                <w:kern w:val="2"/>
                <w:sz w:val="24"/>
                <w:szCs w:val="24"/>
                <w:vertAlign w:val="superscript"/>
                <w:lang w:val="en-US" w:eastAsia="zh-CN" w:bidi="ar-SA"/>
              </w:rPr>
              <w:t>2</w:t>
            </w:r>
            <w:r>
              <w:rPr>
                <w:rFonts w:hint="default" w:ascii="Times New Roman" w:hAnsi="Times New Roman" w:cs="Times New Roman" w:eastAsiaTheme="minorEastAsia"/>
                <w:color w:val="auto"/>
                <w:kern w:val="2"/>
                <w:sz w:val="24"/>
                <w:szCs w:val="24"/>
                <w:lang w:val="en-US" w:eastAsia="zh-CN" w:bidi="ar-SA"/>
              </w:rPr>
              <w:t>医疗废物暂存间</w:t>
            </w:r>
            <w:r>
              <w:rPr>
                <w:rFonts w:hint="eastAsia" w:ascii="Times New Roman" w:hAnsi="Times New Roman" w:cs="Times New Roman" w:eastAsiaTheme="minorEastAsia"/>
                <w:color w:val="auto"/>
                <w:kern w:val="2"/>
                <w:sz w:val="24"/>
                <w:szCs w:val="24"/>
                <w:lang w:val="en-US" w:eastAsia="zh-CN" w:bidi="ar-SA"/>
              </w:rPr>
              <w:t>，位于储物间内。存在的主要问题如下：</w:t>
            </w:r>
            <w:r>
              <w:rPr>
                <w:rFonts w:hint="default" w:ascii="Times New Roman" w:hAnsi="Times New Roman" w:cs="Times New Roman" w:eastAsiaTheme="minorEastAsia"/>
                <w:color w:val="auto"/>
                <w:kern w:val="2"/>
                <w:sz w:val="24"/>
                <w:szCs w:val="24"/>
                <w:lang w:val="en-US" w:eastAsia="zh-CN" w:bidi="ar-SA"/>
              </w:rPr>
              <w:t>1</w:t>
            </w:r>
            <w:r>
              <w:rPr>
                <w:rFonts w:hint="eastAsia" w:ascii="Times New Roman" w:hAnsi="Times New Roman" w:cs="Times New Roman" w:eastAsiaTheme="minorEastAsia"/>
                <w:color w:val="auto"/>
                <w:kern w:val="2"/>
                <w:sz w:val="24"/>
                <w:szCs w:val="24"/>
                <w:lang w:val="en-US" w:eastAsia="zh-CN" w:bidi="ar-SA"/>
              </w:rPr>
              <w:t>、未按要求张贴</w:t>
            </w:r>
            <w:r>
              <w:rPr>
                <w:rFonts w:hint="eastAsia" w:cs="Times New Roman" w:eastAsiaTheme="minorEastAsia"/>
                <w:color w:val="auto"/>
                <w:kern w:val="2"/>
                <w:sz w:val="24"/>
                <w:szCs w:val="24"/>
                <w:lang w:val="en-US" w:eastAsia="zh-CN" w:bidi="ar-SA"/>
              </w:rPr>
              <w:t>医疗</w:t>
            </w:r>
            <w:r>
              <w:rPr>
                <w:rFonts w:hint="eastAsia" w:ascii="Times New Roman" w:hAnsi="Times New Roman" w:cs="Times New Roman" w:eastAsiaTheme="minorEastAsia"/>
                <w:color w:val="auto"/>
                <w:kern w:val="2"/>
                <w:sz w:val="24"/>
                <w:szCs w:val="24"/>
                <w:lang w:val="en-US" w:eastAsia="zh-CN" w:bidi="ar-SA"/>
              </w:rPr>
              <w:t>废物污染防治责任信息。</w:t>
            </w:r>
          </w:p>
          <w:p w14:paraId="3E06A0FC">
            <w:pPr>
              <w:keepNext w:val="0"/>
              <w:keepLines w:val="0"/>
              <w:suppressLineNumbers w:val="0"/>
              <w:spacing w:before="0" w:beforeAutospacing="0" w:after="0" w:afterAutospacing="0" w:line="520" w:lineRule="exact"/>
              <w:ind w:left="0" w:right="0" w:firstLine="480" w:firstLineChars="200"/>
              <w:rPr>
                <w:rFonts w:hint="eastAsia"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2</w:t>
            </w:r>
            <w:r>
              <w:rPr>
                <w:rFonts w:hint="eastAsia" w:ascii="Times New Roman" w:hAnsi="Times New Roman" w:cs="Times New Roman" w:eastAsiaTheme="minorEastAsia"/>
                <w:color w:val="auto"/>
                <w:kern w:val="2"/>
                <w:sz w:val="24"/>
                <w:szCs w:val="24"/>
                <w:lang w:val="en-US" w:eastAsia="zh-CN" w:bidi="ar-SA"/>
              </w:rPr>
              <w:t>、未按标准设置</w:t>
            </w:r>
            <w:r>
              <w:rPr>
                <w:rFonts w:hint="eastAsia" w:cs="Times New Roman" w:eastAsiaTheme="minorEastAsia"/>
                <w:color w:val="auto"/>
                <w:kern w:val="2"/>
                <w:sz w:val="24"/>
                <w:szCs w:val="24"/>
                <w:lang w:val="en-US" w:eastAsia="zh-CN" w:bidi="ar-SA"/>
              </w:rPr>
              <w:t>医疗</w:t>
            </w:r>
            <w:r>
              <w:rPr>
                <w:rFonts w:hint="eastAsia" w:ascii="Times New Roman" w:hAnsi="Times New Roman" w:cs="Times New Roman" w:eastAsiaTheme="minorEastAsia"/>
                <w:color w:val="auto"/>
                <w:kern w:val="2"/>
                <w:sz w:val="24"/>
                <w:szCs w:val="24"/>
                <w:lang w:val="en-US" w:eastAsia="zh-CN" w:bidi="ar-SA"/>
              </w:rPr>
              <w:t>废物标识标牌。</w:t>
            </w:r>
          </w:p>
          <w:p w14:paraId="25260B72">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3</w:t>
            </w:r>
            <w:r>
              <w:rPr>
                <w:rFonts w:hint="eastAsia" w:ascii="Times New Roman" w:hAnsi="Times New Roman" w:cs="Times New Roman" w:eastAsiaTheme="minorEastAsia"/>
                <w:color w:val="auto"/>
                <w:kern w:val="2"/>
                <w:sz w:val="24"/>
                <w:szCs w:val="24"/>
                <w:lang w:val="en-US" w:eastAsia="zh-CN" w:bidi="ar-SA"/>
              </w:rPr>
              <w:t>、没有按标准要求分类贮存。</w:t>
            </w:r>
          </w:p>
          <w:p w14:paraId="0E36B6C1">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4</w:t>
            </w:r>
            <w:r>
              <w:rPr>
                <w:rFonts w:hint="eastAsia" w:ascii="Times New Roman" w:hAnsi="Times New Roman" w:cs="Times New Roman" w:eastAsiaTheme="minorEastAsia"/>
                <w:color w:val="auto"/>
                <w:kern w:val="2"/>
                <w:sz w:val="24"/>
                <w:szCs w:val="24"/>
                <w:lang w:val="en-US" w:eastAsia="zh-CN" w:bidi="ar-SA"/>
              </w:rPr>
              <w:t>、未设置防雷及报警装置。</w:t>
            </w:r>
          </w:p>
          <w:p w14:paraId="52E92C45">
            <w:pPr>
              <w:keepNext w:val="0"/>
              <w:keepLines w:val="0"/>
              <w:suppressLineNumbers w:val="0"/>
              <w:spacing w:before="0" w:beforeAutospacing="0" w:after="0" w:afterAutospacing="0" w:line="520" w:lineRule="exact"/>
              <w:ind w:left="0" w:right="0" w:firstLine="480" w:firstLineChars="200"/>
              <w:rPr>
                <w:rFonts w:hint="eastAsia"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5</w:t>
            </w: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医疗废物暂存间</w:t>
            </w:r>
            <w:r>
              <w:rPr>
                <w:rFonts w:hint="eastAsia" w:ascii="Times New Roman" w:hAnsi="Times New Roman" w:cs="Times New Roman" w:eastAsiaTheme="minorEastAsia"/>
                <w:color w:val="auto"/>
                <w:kern w:val="2"/>
                <w:sz w:val="24"/>
                <w:szCs w:val="24"/>
                <w:lang w:val="en-US" w:eastAsia="zh-CN" w:bidi="ar-SA"/>
              </w:rPr>
              <w:t>未按照《医疗废物集中处置技术规范》（环发〔2003〕206号）的相关要求进行管理。</w:t>
            </w:r>
          </w:p>
          <w:p w14:paraId="4AB2A378">
            <w:pPr>
              <w:keepNext w:val="0"/>
              <w:keepLines w:val="0"/>
              <w:suppressLineNumbers w:val="0"/>
              <w:spacing w:before="0" w:beforeAutospacing="0" w:after="0" w:afterAutospacing="0" w:line="520" w:lineRule="exact"/>
              <w:ind w:left="0" w:right="0"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（3）未设置污水处理设施事故状态下医疗废水临时收集设施</w:t>
            </w:r>
          </w:p>
          <w:p w14:paraId="677C96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rPr>
                <w:rFonts w:hint="default" w:ascii="Times New Roman" w:hAnsi="Times New Roman" w:cs="Times New Roman" w:eastAsiaTheme="minorEastAsia"/>
                <w:b/>
                <w:bCs/>
                <w:color w:val="auto"/>
                <w:sz w:val="24"/>
                <w:lang w:val="en-US" w:eastAsia="zh-CN"/>
              </w:rPr>
            </w:pPr>
            <w:r>
              <w:rPr>
                <w:rFonts w:hint="eastAsia" w:ascii="Times New Roman" w:hAnsi="Times New Roman" w:cs="Times New Roman" w:eastAsiaTheme="minorEastAsia"/>
                <w:b/>
                <w:bCs/>
                <w:color w:val="auto"/>
                <w:sz w:val="24"/>
                <w:lang w:val="en-US" w:eastAsia="zh-CN"/>
              </w:rPr>
              <w:t>3.2整改措施</w:t>
            </w:r>
          </w:p>
          <w:p w14:paraId="49955502">
            <w:pPr>
              <w:keepNext w:val="0"/>
              <w:keepLines w:val="0"/>
              <w:suppressLineNumbers w:val="0"/>
              <w:spacing w:before="0" w:beforeAutospacing="0" w:after="0" w:afterAutospacing="0" w:line="520" w:lineRule="exact"/>
              <w:ind w:left="0" w:right="0" w:firstLine="480" w:firstLineChars="200"/>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val="en-US" w:eastAsia="zh-CN"/>
              </w:rPr>
              <w:t>）及时编制突发环境事件应急预案</w:t>
            </w:r>
          </w:p>
          <w:p w14:paraId="3E19B56D">
            <w:pPr>
              <w:keepNext w:val="0"/>
              <w:keepLines w:val="0"/>
              <w:suppressLineNumbers w:val="0"/>
              <w:spacing w:before="0" w:beforeAutospacing="0" w:after="0" w:afterAutospacing="0" w:line="520" w:lineRule="exact"/>
              <w:ind w:left="0" w:right="0"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宠物医院应</w:t>
            </w:r>
            <w:r>
              <w:rPr>
                <w:rFonts w:hint="default" w:ascii="宋体" w:hAnsi="宋体" w:eastAsia="宋体" w:cs="Times New Roman"/>
                <w:sz w:val="24"/>
                <w:szCs w:val="24"/>
                <w:lang w:val="en-US" w:eastAsia="zh-CN"/>
              </w:rPr>
              <w:t>尽快按照《企业事业单位突发环境事件应急预案备案管理办法（试行）》（环发〔2015〕4号）的相关要求，编制突发环境事件应急预案，并向昌吉州生态环境局</w:t>
            </w:r>
            <w:r>
              <w:rPr>
                <w:rFonts w:hint="eastAsia" w:ascii="宋体" w:hAnsi="宋体" w:eastAsia="宋体" w:cs="Times New Roman"/>
                <w:sz w:val="24"/>
                <w:szCs w:val="24"/>
                <w:lang w:val="en-US" w:eastAsia="zh-CN"/>
              </w:rPr>
              <w:t>阜康市</w:t>
            </w:r>
            <w:r>
              <w:rPr>
                <w:rFonts w:hint="default" w:ascii="宋体" w:hAnsi="宋体" w:eastAsia="宋体" w:cs="Times New Roman"/>
                <w:sz w:val="24"/>
                <w:szCs w:val="24"/>
                <w:lang w:val="en-US" w:eastAsia="zh-CN"/>
              </w:rPr>
              <w:t>分局备案。</w:t>
            </w:r>
          </w:p>
          <w:p w14:paraId="4E5B48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（2）医疗废物暂存间设置要求：</w:t>
            </w:r>
          </w:p>
          <w:p w14:paraId="04BA0A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eastAsia" w:cs="Times New Roman" w:eastAsiaTheme="minorEastAsia"/>
                <w:b w:val="0"/>
                <w:color w:val="auto"/>
                <w:kern w:val="2"/>
                <w:sz w:val="24"/>
                <w:szCs w:val="24"/>
                <w:lang w:val="en-US" w:eastAsia="zh-CN" w:bidi="ar-SA"/>
              </w:rPr>
              <w:t>1</w:t>
            </w:r>
            <w:r>
              <w:rPr>
                <w:rFonts w:hint="default" w:ascii="Times New Roman" w:hAnsi="Times New Roman" w:cs="Times New Roman" w:eastAsiaTheme="minorEastAsia"/>
                <w:b w:val="0"/>
                <w:color w:val="auto"/>
                <w:kern w:val="2"/>
                <w:sz w:val="24"/>
                <w:szCs w:val="24"/>
                <w:lang w:val="en-US" w:eastAsia="zh-CN" w:bidi="ar-SA"/>
              </w:rPr>
              <w:t>）医疗废物收集、转运、处置过程中的环境管理要求</w:t>
            </w:r>
          </w:p>
          <w:p w14:paraId="2404B8C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项目产生的医疗废物</w:t>
            </w:r>
            <w:r>
              <w:rPr>
                <w:rFonts w:hint="eastAsia" w:ascii="Times New Roman" w:hAnsi="Times New Roman" w:cs="Times New Roman" w:eastAsiaTheme="minorEastAsia"/>
                <w:b w:val="0"/>
                <w:color w:val="auto"/>
                <w:kern w:val="2"/>
                <w:sz w:val="24"/>
                <w:szCs w:val="24"/>
                <w:lang w:val="en-US" w:eastAsia="zh-CN" w:bidi="ar-SA"/>
              </w:rPr>
              <w:t>分类收集消毒后暂存在医疗废物暂存间</w:t>
            </w:r>
            <w:r>
              <w:rPr>
                <w:rFonts w:hint="default" w:ascii="Times New Roman" w:hAnsi="Times New Roman" w:cs="Times New Roman" w:eastAsiaTheme="minorEastAsia"/>
                <w:b w:val="0"/>
                <w:color w:val="auto"/>
                <w:kern w:val="2"/>
                <w:sz w:val="24"/>
                <w:szCs w:val="24"/>
                <w:lang w:val="en-US" w:eastAsia="zh-CN" w:bidi="ar-SA"/>
              </w:rPr>
              <w:t>（</w:t>
            </w:r>
            <w:r>
              <w:rPr>
                <w:rFonts w:hint="eastAsia" w:cs="Times New Roman" w:eastAsiaTheme="minorEastAsia"/>
                <w:b w:val="0"/>
                <w:color w:val="auto"/>
                <w:kern w:val="2"/>
                <w:sz w:val="24"/>
                <w:szCs w:val="24"/>
                <w:lang w:val="en-US" w:eastAsia="zh-CN" w:bidi="ar-SA"/>
              </w:rPr>
              <w:t>3</w:t>
            </w:r>
            <w:r>
              <w:rPr>
                <w:rFonts w:hint="default" w:ascii="Times New Roman" w:hAnsi="Times New Roman" w:cs="Times New Roman" w:eastAsiaTheme="minorEastAsia"/>
                <w:b w:val="0"/>
                <w:color w:val="auto"/>
                <w:kern w:val="2"/>
                <w:sz w:val="24"/>
                <w:szCs w:val="24"/>
                <w:lang w:val="en-US" w:eastAsia="zh-CN" w:bidi="ar-SA"/>
              </w:rPr>
              <w:t>m</w:t>
            </w:r>
            <w:r>
              <w:rPr>
                <w:rFonts w:hint="default" w:ascii="Times New Roman" w:hAnsi="Times New Roman" w:cs="Times New Roman" w:eastAsiaTheme="minorEastAsia"/>
                <w:b w:val="0"/>
                <w:color w:val="auto"/>
                <w:kern w:val="2"/>
                <w:sz w:val="24"/>
                <w:szCs w:val="24"/>
                <w:vertAlign w:val="superscript"/>
                <w:lang w:val="en-US" w:eastAsia="zh-CN" w:bidi="ar-SA"/>
              </w:rPr>
              <w:t>2</w:t>
            </w:r>
            <w:r>
              <w:rPr>
                <w:rFonts w:hint="default" w:ascii="Times New Roman" w:hAnsi="Times New Roman" w:cs="Times New Roman" w:eastAsiaTheme="minorEastAsia"/>
                <w:b w:val="0"/>
                <w:color w:val="auto"/>
                <w:kern w:val="2"/>
                <w:sz w:val="24"/>
                <w:szCs w:val="24"/>
                <w:lang w:val="en-US" w:eastAsia="zh-CN" w:bidi="ar-SA"/>
              </w:rPr>
              <w:t>），委托有资质单位收运处置。</w:t>
            </w:r>
          </w:p>
          <w:p w14:paraId="42411EF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医疗废物的收集、转运、处置必须严格执行《医疗废物管理条例》及《医疗卫生机构医疗废物管理办法》的相关规定，具体措施如下：</w:t>
            </w:r>
          </w:p>
          <w:p w14:paraId="5FA31D4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a.企业应将医疗废物收集桶放置于手术室等旁，产生的医疗废物统一放置于医疗废物收集桶中。</w:t>
            </w:r>
          </w:p>
          <w:p w14:paraId="61FD6CE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b.企业应用带卡箍盖钢圆桶或塑料桶盛装医疗废物，医疗废物的容器和包装清楚标明内盛物的类别及危害说明，以及数量和装进日期，设置医疗废物识别标志。</w:t>
            </w:r>
          </w:p>
          <w:p w14:paraId="2220DC8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c.对医疗废物进行登记，登记内容包括医疗废物的来源、种类、重量或者数量、交接时间、最终去向以及经办人签名等项目。资料至少保存3年。</w:t>
            </w:r>
          </w:p>
          <w:p w14:paraId="3D784F3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d.运送医疗废物时，应检查包装物或容器的标识、标签及封口是否符合要求，不得将不符合要求的医疗废物运送至暂时贮存地点。</w:t>
            </w:r>
          </w:p>
          <w:p w14:paraId="540E208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e.医疗废物应使用防渗漏、防遗撒、无锐利边角、易于装卸和清洁的专用运送工具。每天运送结束后，应及时清洁和消毒运送工具，产生的废水排入医疗废水消毒、处理系统，禁止将产生的废水直接排入外环境。</w:t>
            </w:r>
          </w:p>
          <w:p w14:paraId="3FA9659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f.定期对医疗废物暂存场所进行消毒、杀菌。必须定期对所贮存的包装容器及贮存设施进行检查，发现破损，应及时采取措施清理更换。</w:t>
            </w:r>
          </w:p>
          <w:p w14:paraId="5AF8E95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eastAsia" w:cs="Times New Roman" w:eastAsiaTheme="minorEastAsia"/>
                <w:b w:val="0"/>
                <w:color w:val="auto"/>
                <w:kern w:val="2"/>
                <w:sz w:val="24"/>
                <w:szCs w:val="24"/>
                <w:lang w:val="en-US" w:eastAsia="zh-CN" w:bidi="ar-SA"/>
              </w:rPr>
              <w:t>2</w:t>
            </w:r>
            <w:r>
              <w:rPr>
                <w:rFonts w:hint="default" w:ascii="Times New Roman" w:hAnsi="Times New Roman" w:cs="Times New Roman" w:eastAsiaTheme="minorEastAsia"/>
                <w:b w:val="0"/>
                <w:color w:val="auto"/>
                <w:kern w:val="2"/>
                <w:sz w:val="24"/>
                <w:szCs w:val="24"/>
                <w:lang w:val="en-US" w:eastAsia="zh-CN" w:bidi="ar-SA"/>
              </w:rPr>
              <w:t>）医疗废物暂存要求</w:t>
            </w:r>
          </w:p>
          <w:p w14:paraId="071F43B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本项目医疗废物暂存间拟建设于</w:t>
            </w:r>
            <w:r>
              <w:rPr>
                <w:rFonts w:hint="eastAsia" w:cs="Times New Roman" w:eastAsiaTheme="minorEastAsia"/>
                <w:b w:val="0"/>
                <w:color w:val="auto"/>
                <w:kern w:val="2"/>
                <w:sz w:val="24"/>
                <w:szCs w:val="24"/>
                <w:lang w:val="en-US" w:eastAsia="zh-CN" w:bidi="ar-SA"/>
              </w:rPr>
              <w:t>储物间内</w:t>
            </w:r>
            <w:r>
              <w:rPr>
                <w:rFonts w:hint="default" w:ascii="Times New Roman" w:hAnsi="Times New Roman" w:cs="Times New Roman" w:eastAsiaTheme="minorEastAsia"/>
                <w:b w:val="0"/>
                <w:color w:val="auto"/>
                <w:kern w:val="2"/>
                <w:sz w:val="24"/>
                <w:szCs w:val="24"/>
                <w:lang w:val="en-US" w:eastAsia="zh-CN" w:bidi="ar-SA"/>
              </w:rPr>
              <w:t>，方便医疗废物集中收集至医疗废物暂存间，医疗废物应进行分类贮存，尤其是对于不能长期贮存的动物尸体、病理组织、检验废液等，应确保日产日清。</w:t>
            </w:r>
          </w:p>
          <w:p w14:paraId="153E88B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根据《医疗废物集中处置技术规范》（环发</w:t>
            </w:r>
            <w:r>
              <w:rPr>
                <w:rFonts w:hint="eastAsia" w:cs="Times New Roman" w:eastAsiaTheme="minorEastAsia"/>
                <w:b w:val="0"/>
                <w:color w:val="auto"/>
                <w:kern w:val="2"/>
                <w:sz w:val="24"/>
                <w:szCs w:val="24"/>
                <w:lang w:val="en-US" w:eastAsia="zh-CN" w:bidi="ar-SA"/>
              </w:rPr>
              <w:t>〔2003〕206号</w:t>
            </w:r>
            <w:r>
              <w:rPr>
                <w:rFonts w:hint="default" w:ascii="Times New Roman" w:hAnsi="Times New Roman" w:cs="Times New Roman" w:eastAsiaTheme="minorEastAsia"/>
                <w:b w:val="0"/>
                <w:color w:val="auto"/>
                <w:kern w:val="2"/>
                <w:sz w:val="24"/>
                <w:szCs w:val="24"/>
                <w:lang w:val="en-US" w:eastAsia="zh-CN" w:bidi="ar-SA"/>
              </w:rPr>
              <w:t>），医疗废物的暂时贮存点应满足以下条件：①应有严密的封闭措施，设专人管理，避免非工作人员进出，以及防鼠、防蚊蝇、防蟑螂、防盗以及预防儿童接触等安全措施；②应按GB15562.2和卫生、环保部门制定的专用医疗废物警示标识要求，在库房外的明显处同时设置危险废物和医疗废物的警示标识；③贮存间上方设置通风系统，使贮存间内产生的废气通往建筑顶层排放；④医疗废物在医疗废物暂存间暂存，尽量做到日产日清。确实不能做到日产日清，且当地最高气温高于25摄氏度时，应将医疗废物低温暂时贮存温度应低于20摄氏度，时间最长不超过48小时。</w:t>
            </w:r>
          </w:p>
          <w:p w14:paraId="1FD361F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eastAsia" w:ascii="Times New Roman" w:hAnsi="Times New Roman" w:cs="Times New Roman" w:eastAsiaTheme="minorEastAsia"/>
                <w:b w:val="0"/>
                <w:color w:val="auto"/>
                <w:kern w:val="2"/>
                <w:sz w:val="24"/>
                <w:szCs w:val="24"/>
                <w:lang w:val="en-US" w:eastAsia="zh-CN" w:bidi="ar-SA"/>
              </w:rPr>
              <w:t>3</w:t>
            </w:r>
            <w:r>
              <w:rPr>
                <w:rFonts w:hint="default" w:ascii="Times New Roman" w:hAnsi="Times New Roman" w:cs="Times New Roman" w:eastAsiaTheme="minorEastAsia"/>
                <w:b w:val="0"/>
                <w:color w:val="auto"/>
                <w:kern w:val="2"/>
                <w:sz w:val="24"/>
                <w:szCs w:val="24"/>
                <w:lang w:val="en-US" w:eastAsia="zh-CN" w:bidi="ar-SA"/>
              </w:rPr>
              <w:t>）医疗废物暂存间建设要求</w:t>
            </w:r>
          </w:p>
          <w:p w14:paraId="6952113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医疗废物暂存间地面及墙脚进行防腐防渗处理，采用刚性防渗结构并对地面进行硬化，具体结构型式为水泥基渗透结晶型抗渗混凝土（厚度不小于150mm），水泥基渗透结晶型防渗涂层的结构型式（厚度不小于0.8mm）。防渗结构层渗透系数不大于1.0x10</w:t>
            </w:r>
            <w:r>
              <w:rPr>
                <w:rFonts w:hint="default" w:ascii="Times New Roman" w:hAnsi="Times New Roman" w:cs="Times New Roman" w:eastAsiaTheme="minorEastAsia"/>
                <w:b w:val="0"/>
                <w:color w:val="auto"/>
                <w:kern w:val="2"/>
                <w:sz w:val="24"/>
                <w:szCs w:val="24"/>
                <w:vertAlign w:val="superscript"/>
                <w:lang w:val="en-US" w:eastAsia="zh-CN" w:bidi="ar-SA"/>
              </w:rPr>
              <w:t>-10</w:t>
            </w:r>
            <w:r>
              <w:rPr>
                <w:rFonts w:hint="default" w:ascii="Times New Roman" w:hAnsi="Times New Roman" w:cs="Times New Roman" w:eastAsiaTheme="minorEastAsia"/>
                <w:b w:val="0"/>
                <w:color w:val="auto"/>
                <w:kern w:val="2"/>
                <w:sz w:val="24"/>
                <w:szCs w:val="24"/>
                <w:lang w:val="en-US" w:eastAsia="zh-CN" w:bidi="ar-SA"/>
              </w:rPr>
              <w:t>cm/s，采取分区防渗措施</w:t>
            </w:r>
            <w:r>
              <w:rPr>
                <w:rFonts w:hint="eastAsia" w:cs="Times New Roman" w:eastAsiaTheme="minorEastAsia"/>
                <w:b w:val="0"/>
                <w:color w:val="auto"/>
                <w:kern w:val="2"/>
                <w:sz w:val="24"/>
                <w:szCs w:val="24"/>
                <w:lang w:val="en-US" w:eastAsia="zh-CN" w:bidi="ar-SA"/>
              </w:rPr>
              <w:t>。</w:t>
            </w:r>
          </w:p>
          <w:p w14:paraId="6345DD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auto"/>
              <w:rPr>
                <w:rFonts w:hint="eastAsia" w:ascii="Times New Roman" w:hAnsi="Times New Roman" w:cs="Times New Roman" w:eastAsiaTheme="minorEastAsia"/>
                <w:b w:val="0"/>
                <w:color w:val="auto"/>
                <w:kern w:val="2"/>
                <w:sz w:val="24"/>
                <w:szCs w:val="24"/>
                <w:lang w:val="en-US" w:eastAsia="zh-CN" w:bidi="ar-SA"/>
              </w:rPr>
            </w:pPr>
            <w:r>
              <w:rPr>
                <w:rFonts w:hint="eastAsia" w:ascii="Times New Roman" w:hAnsi="Times New Roman" w:cs="Times New Roman" w:eastAsiaTheme="minorEastAsia"/>
                <w:b w:val="0"/>
                <w:color w:val="auto"/>
                <w:kern w:val="2"/>
                <w:sz w:val="24"/>
                <w:szCs w:val="24"/>
                <w:lang w:val="en-US" w:eastAsia="zh-CN" w:bidi="ar-SA"/>
              </w:rPr>
              <w:t>（3）建议在宠物医院院区内设置1处容积</w:t>
            </w:r>
            <w:r>
              <w:rPr>
                <w:rFonts w:hint="eastAsia" w:cs="Times New Roman" w:eastAsiaTheme="minorEastAsia"/>
                <w:b w:val="0"/>
                <w:color w:val="auto"/>
                <w:kern w:val="2"/>
                <w:sz w:val="24"/>
                <w:szCs w:val="24"/>
                <w:lang w:val="en-US" w:eastAsia="zh-CN" w:bidi="ar-SA"/>
              </w:rPr>
              <w:t>5L的医疗废水临时收集设施</w:t>
            </w:r>
            <w:r>
              <w:rPr>
                <w:rFonts w:hint="eastAsia" w:ascii="Times New Roman" w:hAnsi="Times New Roman" w:cs="Times New Roman" w:eastAsiaTheme="minorEastAsia"/>
                <w:b w:val="0"/>
                <w:color w:val="auto"/>
                <w:kern w:val="2"/>
                <w:sz w:val="24"/>
                <w:szCs w:val="24"/>
                <w:lang w:val="en-US" w:eastAsia="zh-CN" w:bidi="ar-SA"/>
              </w:rPr>
              <w:t>。一旦发生事故，应立即在院区内采取限电限水措施。在进行应急救援之前，必须先关闭污水排放口的应急阀门，确保事故废水不会进入外环境。</w:t>
            </w:r>
          </w:p>
          <w:p w14:paraId="625890F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eastAsiaTheme="minorEastAsia"/>
                <w:b w:val="0"/>
                <w:color w:val="auto"/>
                <w:kern w:val="2"/>
                <w:sz w:val="24"/>
                <w:szCs w:val="24"/>
                <w:lang w:val="en-US" w:eastAsia="zh-CN" w:bidi="ar-SA"/>
              </w:rPr>
            </w:pPr>
          </w:p>
          <w:p w14:paraId="054B5F44">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627F37CC">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0907CE12">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6F508C05">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47EF8A02">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64DABCFF">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66B36C84">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73D3011A">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077E2310">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71CE0067">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64DE835F">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5582CB86">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42AE672D">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52906E7D">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54CB2AB9">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175E0E31">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40378199">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117CD733">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6B8FE1C7">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6359DB6F">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445D9915">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55ADF7DF">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6B7305CF">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2211F33C">
            <w:pPr>
              <w:keepNext w:val="0"/>
              <w:keepLines w:val="0"/>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387D6D2C">
            <w:pPr>
              <w:pStyle w:val="4"/>
              <w:suppressLineNumbers w:val="0"/>
              <w:spacing w:before="0" w:beforeAutospacing="0" w:after="0" w:afterAutospacing="0"/>
              <w:ind w:left="0" w:right="0"/>
              <w:rPr>
                <w:rFonts w:hint="eastAsia" w:ascii="Times New Roman" w:hAnsi="Times New Roman" w:cs="Times New Roman" w:eastAsiaTheme="minorEastAsia"/>
                <w:b w:val="0"/>
                <w:color w:val="auto"/>
                <w:kern w:val="2"/>
                <w:sz w:val="24"/>
                <w:szCs w:val="24"/>
                <w:lang w:val="en-US" w:eastAsia="zh-CN" w:bidi="ar-SA"/>
              </w:rPr>
            </w:pPr>
          </w:p>
          <w:p w14:paraId="1C7A059E">
            <w:pPr>
              <w:keepNext w:val="0"/>
              <w:keepLines w:val="0"/>
              <w:suppressLineNumbers w:val="0"/>
              <w:spacing w:before="0" w:beforeAutospacing="0" w:after="0" w:afterAutospacing="0"/>
              <w:ind w:left="0" w:right="0"/>
              <w:rPr>
                <w:rFonts w:hint="eastAsia"/>
                <w:lang w:val="en-US" w:eastAsia="zh-CN"/>
              </w:rPr>
            </w:pPr>
          </w:p>
          <w:p w14:paraId="2BAAA39F">
            <w:pPr>
              <w:keepNext w:val="0"/>
              <w:keepLines w:val="0"/>
              <w:suppressLineNumbers w:val="0"/>
              <w:spacing w:before="0" w:beforeAutospacing="0" w:after="0" w:afterAutospacing="0" w:line="520" w:lineRule="exact"/>
              <w:ind w:left="0" w:right="0"/>
              <w:rPr>
                <w:rFonts w:hint="eastAsia" w:cs="Times New Roman" w:eastAsiaTheme="minorEastAsia"/>
                <w:color w:val="auto"/>
                <w:lang w:val="en-US" w:eastAsia="zh-CN"/>
              </w:rPr>
            </w:pPr>
          </w:p>
          <w:p w14:paraId="469C4AA1">
            <w:pPr>
              <w:keepNext w:val="0"/>
              <w:keepLines w:val="0"/>
              <w:suppressLineNumbers w:val="0"/>
              <w:spacing w:before="0" w:beforeAutospacing="0" w:after="0" w:afterAutospacing="0" w:line="520" w:lineRule="exact"/>
              <w:ind w:left="0" w:right="0"/>
              <w:rPr>
                <w:rFonts w:hint="eastAsia" w:ascii="Times New Roman" w:hAnsi="Times New Roman" w:cs="Times New Roman" w:eastAsiaTheme="minorEastAsia"/>
                <w:color w:val="auto"/>
                <w:lang w:val="en-US" w:eastAsia="zh-CN"/>
              </w:rPr>
            </w:pPr>
          </w:p>
        </w:tc>
      </w:tr>
    </w:tbl>
    <w:p w14:paraId="098F3C8B">
      <w:pPr>
        <w:pStyle w:val="19"/>
        <w:jc w:val="both"/>
        <w:rPr>
          <w:rFonts w:hint="default" w:ascii="Times New Roman" w:hAnsi="Times New Roman" w:cs="Times New Roman" w:eastAsiaTheme="minorEastAsia"/>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1B0A4976">
      <w:pPr>
        <w:pStyle w:val="19"/>
        <w:jc w:val="center"/>
        <w:outlineLvl w:val="0"/>
        <w:rPr>
          <w:rFonts w:hint="default" w:ascii="Times New Roman" w:hAnsi="Times New Roman" w:cs="Times New Roman" w:eastAsiaTheme="minorEastAsia"/>
          <w:b/>
          <w:bCs/>
          <w:snapToGrid w:val="0"/>
          <w:color w:val="auto"/>
          <w:sz w:val="30"/>
          <w:szCs w:val="30"/>
        </w:rPr>
      </w:pPr>
      <w:r>
        <w:rPr>
          <w:rFonts w:hint="default" w:ascii="Times New Roman" w:hAnsi="Times New Roman" w:cs="Times New Roman" w:eastAsiaTheme="minorEastAsia"/>
          <w:b/>
          <w:bCs/>
          <w:snapToGrid w:val="0"/>
          <w:color w:val="auto"/>
          <w:sz w:val="30"/>
          <w:szCs w:val="30"/>
        </w:rPr>
        <w:t>三、区域环境质量现状、环境保护目标及评价标准</w:t>
      </w:r>
    </w:p>
    <w:tbl>
      <w:tblPr>
        <w:tblStyle w:val="23"/>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213"/>
      </w:tblGrid>
      <w:tr w14:paraId="4A269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99" w:type="dxa"/>
            <w:vAlign w:val="center"/>
          </w:tcPr>
          <w:p w14:paraId="4246B18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区域</w:t>
            </w:r>
          </w:p>
          <w:p w14:paraId="756FF5E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环境</w:t>
            </w:r>
          </w:p>
          <w:p w14:paraId="49B1106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质量</w:t>
            </w:r>
          </w:p>
          <w:p w14:paraId="6E123F4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 w:val="24"/>
              </w:rPr>
              <w:t>现状</w:t>
            </w:r>
          </w:p>
        </w:tc>
        <w:tc>
          <w:tcPr>
            <w:tcW w:w="8533" w:type="dxa"/>
            <w:vAlign w:val="center"/>
          </w:tcPr>
          <w:p w14:paraId="08C14BA7">
            <w:pPr>
              <w:keepNext w:val="0"/>
              <w:keepLines w:val="0"/>
              <w:suppressLineNumbers w:val="0"/>
              <w:spacing w:before="0" w:beforeAutospacing="0" w:after="0" w:afterAutospacing="0" w:line="520" w:lineRule="exact"/>
              <w:ind w:left="0" w:right="0"/>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1.</w:t>
            </w:r>
            <w:r>
              <w:rPr>
                <w:rFonts w:hint="default" w:ascii="Times New Roman" w:hAnsi="Times New Roman" w:cs="Times New Roman" w:eastAsiaTheme="minorEastAsia"/>
                <w:b/>
                <w:bCs/>
                <w:color w:val="auto"/>
                <w:sz w:val="24"/>
              </w:rPr>
              <w:t>环境空气质量现状调查与评价</w:t>
            </w:r>
          </w:p>
          <w:p w14:paraId="139AE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color w:val="auto"/>
                <w:sz w:val="24"/>
              </w:rPr>
            </w:pPr>
            <w:r>
              <w:rPr>
                <w:rFonts w:hint="eastAsia" w:ascii="Times New Roman" w:hAnsi="Times New Roman" w:cs="Times New Roman" w:eastAsiaTheme="minorEastAsia"/>
                <w:color w:val="auto"/>
                <w:sz w:val="24"/>
              </w:rPr>
              <w:t>（1）项目所在区域达标判定</w:t>
            </w:r>
          </w:p>
          <w:p w14:paraId="1B750D9C">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《环境影响评价技术导则大气环境》（HJ2.2-2018）规定：“城市环境空气质量达标情况评价指标为SO</w:t>
            </w:r>
            <w:r>
              <w:rPr>
                <w:rFonts w:hint="eastAsia" w:ascii="Times New Roman" w:hAnsi="Times New Roman" w:cs="Times New Roman" w:eastAsiaTheme="minorEastAsia"/>
                <w:color w:val="auto"/>
                <w:sz w:val="24"/>
                <w:vertAlign w:val="subscript"/>
                <w:lang w:val="en-US" w:eastAsia="zh-CN"/>
              </w:rPr>
              <w:t>2</w:t>
            </w:r>
            <w:r>
              <w:rPr>
                <w:rFonts w:hint="eastAsia" w:ascii="Times New Roman" w:hAnsi="Times New Roman" w:cs="Times New Roman" w:eastAsiaTheme="minorEastAsia"/>
                <w:color w:val="auto"/>
                <w:sz w:val="24"/>
                <w:lang w:val="en-US" w:eastAsia="zh-CN"/>
              </w:rPr>
              <w:t>、NO</w:t>
            </w:r>
            <w:r>
              <w:rPr>
                <w:rFonts w:hint="eastAsia" w:ascii="Times New Roman" w:hAnsi="Times New Roman" w:cs="Times New Roman" w:eastAsiaTheme="minorEastAsia"/>
                <w:color w:val="auto"/>
                <w:sz w:val="24"/>
                <w:vertAlign w:val="subscript"/>
                <w:lang w:val="en-US" w:eastAsia="zh-CN"/>
              </w:rPr>
              <w:t>2</w:t>
            </w:r>
            <w:r>
              <w:rPr>
                <w:rFonts w:hint="eastAsia" w:ascii="Times New Roman" w:hAnsi="Times New Roman" w:cs="Times New Roman" w:eastAsiaTheme="minorEastAsia"/>
                <w:color w:val="auto"/>
                <w:sz w:val="24"/>
                <w:lang w:val="en-US" w:eastAsia="zh-CN"/>
              </w:rPr>
              <w:t>、PM</w:t>
            </w:r>
            <w:r>
              <w:rPr>
                <w:rFonts w:hint="eastAsia" w:ascii="Times New Roman" w:hAnsi="Times New Roman" w:cs="Times New Roman" w:eastAsiaTheme="minorEastAsia"/>
                <w:color w:val="auto"/>
                <w:sz w:val="24"/>
                <w:vertAlign w:val="subscript"/>
                <w:lang w:val="en-US" w:eastAsia="zh-CN"/>
              </w:rPr>
              <w:t>10</w:t>
            </w:r>
            <w:r>
              <w:rPr>
                <w:rFonts w:hint="eastAsia" w:ascii="Times New Roman" w:hAnsi="Times New Roman" w:cs="Times New Roman" w:eastAsiaTheme="minorEastAsia"/>
                <w:color w:val="auto"/>
                <w:sz w:val="24"/>
                <w:lang w:val="en-US" w:eastAsia="zh-CN"/>
              </w:rPr>
              <w:t>、PM</w:t>
            </w:r>
            <w:r>
              <w:rPr>
                <w:rFonts w:hint="eastAsia" w:ascii="Times New Roman" w:hAnsi="Times New Roman" w:cs="Times New Roman" w:eastAsiaTheme="minorEastAsia"/>
                <w:color w:val="auto"/>
                <w:sz w:val="24"/>
                <w:vertAlign w:val="subscript"/>
                <w:lang w:val="en-US" w:eastAsia="zh-CN"/>
              </w:rPr>
              <w:t>2.5</w:t>
            </w:r>
            <w:r>
              <w:rPr>
                <w:rFonts w:hint="eastAsia" w:ascii="Times New Roman" w:hAnsi="Times New Roman" w:cs="Times New Roman" w:eastAsiaTheme="minorEastAsia"/>
                <w:color w:val="auto"/>
                <w:sz w:val="24"/>
                <w:lang w:val="en-US" w:eastAsia="zh-CN"/>
              </w:rPr>
              <w:t>、CO和O</w:t>
            </w:r>
            <w:r>
              <w:rPr>
                <w:rFonts w:hint="eastAsia" w:ascii="Times New Roman" w:hAnsi="Times New Roman" w:cs="Times New Roman" w:eastAsiaTheme="minorEastAsia"/>
                <w:color w:val="auto"/>
                <w:sz w:val="24"/>
                <w:vertAlign w:val="subscript"/>
                <w:lang w:val="en-US" w:eastAsia="zh-CN"/>
              </w:rPr>
              <w:t>3</w:t>
            </w:r>
            <w:r>
              <w:rPr>
                <w:rFonts w:hint="eastAsia" w:ascii="Times New Roman" w:hAnsi="Times New Roman" w:cs="Times New Roman" w:eastAsiaTheme="minorEastAsia"/>
                <w:color w:val="auto"/>
                <w:sz w:val="24"/>
                <w:lang w:val="en-US" w:eastAsia="zh-CN"/>
              </w:rPr>
              <w:t>，六项污染物全部达标即为城市环境空气质量达标”。</w:t>
            </w:r>
          </w:p>
          <w:p w14:paraId="25A29D37">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（2）数据来源</w:t>
            </w:r>
          </w:p>
          <w:p w14:paraId="68732E00">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根据《环境影响评价技术导则 大气环境》（HJ2.2-2018），本项目可直接采用国家或地方生态环保主管部门公开发布的评价基准年环境质量公告或环境质量报告中的数据或结论。</w:t>
            </w:r>
            <w:r>
              <w:rPr>
                <w:rFonts w:hint="eastAsia" w:ascii="Times New Roman" w:hAnsi="Times New Roman" w:cs="Times New Roman" w:eastAsiaTheme="minorEastAsia"/>
                <w:color w:val="auto"/>
                <w:sz w:val="24"/>
                <w:lang w:val="en-US" w:eastAsia="zh-CN"/>
              </w:rPr>
              <w:t>本次评价采用国控点阜康市环境监测站提供</w:t>
            </w:r>
            <w:r>
              <w:rPr>
                <w:rFonts w:hint="default" w:ascii="Times New Roman" w:hAnsi="Times New Roman" w:cs="Times New Roman" w:eastAsiaTheme="minorEastAsia"/>
                <w:color w:val="auto"/>
                <w:sz w:val="24"/>
                <w:lang w:val="en-US" w:eastAsia="zh-CN"/>
              </w:rPr>
              <w:t>2023</w:t>
            </w:r>
            <w:r>
              <w:rPr>
                <w:rFonts w:hint="eastAsia" w:ascii="Times New Roman" w:hAnsi="Times New Roman" w:cs="Times New Roman" w:eastAsiaTheme="minorEastAsia"/>
                <w:color w:val="auto"/>
                <w:sz w:val="24"/>
                <w:lang w:val="en-US" w:eastAsia="zh-CN"/>
              </w:rPr>
              <w:t>全年环境空气质量统计数据作为环境空气现状评价基本污染物SO</w:t>
            </w:r>
            <w:r>
              <w:rPr>
                <w:rFonts w:hint="eastAsia" w:ascii="Times New Roman" w:hAnsi="Times New Roman" w:cs="Times New Roman" w:eastAsiaTheme="minorEastAsia"/>
                <w:color w:val="auto"/>
                <w:sz w:val="24"/>
                <w:vertAlign w:val="subscript"/>
                <w:lang w:val="en-US" w:eastAsia="zh-CN"/>
              </w:rPr>
              <w:t>2</w:t>
            </w:r>
            <w:r>
              <w:rPr>
                <w:rFonts w:hint="eastAsia" w:ascii="Times New Roman" w:hAnsi="Times New Roman" w:cs="Times New Roman" w:eastAsiaTheme="minorEastAsia"/>
                <w:color w:val="auto"/>
                <w:sz w:val="24"/>
                <w:lang w:val="en-US" w:eastAsia="zh-CN"/>
              </w:rPr>
              <w:t>、NO</w:t>
            </w:r>
            <w:r>
              <w:rPr>
                <w:rFonts w:hint="eastAsia" w:ascii="Times New Roman" w:hAnsi="Times New Roman" w:cs="Times New Roman" w:eastAsiaTheme="minorEastAsia"/>
                <w:color w:val="auto"/>
                <w:sz w:val="24"/>
                <w:vertAlign w:val="subscript"/>
                <w:lang w:val="en-US" w:eastAsia="zh-CN"/>
              </w:rPr>
              <w:t>2</w:t>
            </w:r>
            <w:r>
              <w:rPr>
                <w:rFonts w:hint="eastAsia" w:ascii="Times New Roman" w:hAnsi="Times New Roman" w:cs="Times New Roman" w:eastAsiaTheme="minorEastAsia"/>
                <w:color w:val="auto"/>
                <w:sz w:val="24"/>
                <w:lang w:val="en-US" w:eastAsia="zh-CN"/>
              </w:rPr>
              <w:t>、PM</w:t>
            </w:r>
            <w:r>
              <w:rPr>
                <w:rFonts w:hint="eastAsia" w:ascii="Times New Roman" w:hAnsi="Times New Roman" w:cs="Times New Roman" w:eastAsiaTheme="minorEastAsia"/>
                <w:color w:val="auto"/>
                <w:sz w:val="24"/>
                <w:vertAlign w:val="subscript"/>
                <w:lang w:val="en-US" w:eastAsia="zh-CN"/>
              </w:rPr>
              <w:t>10</w:t>
            </w:r>
            <w:r>
              <w:rPr>
                <w:rFonts w:hint="eastAsia" w:ascii="Times New Roman" w:hAnsi="Times New Roman" w:cs="Times New Roman" w:eastAsiaTheme="minorEastAsia"/>
                <w:color w:val="auto"/>
                <w:sz w:val="24"/>
                <w:lang w:val="en-US" w:eastAsia="zh-CN"/>
              </w:rPr>
              <w:t>、PM</w:t>
            </w:r>
            <w:r>
              <w:rPr>
                <w:rFonts w:hint="eastAsia" w:ascii="Times New Roman" w:hAnsi="Times New Roman" w:cs="Times New Roman" w:eastAsiaTheme="minorEastAsia"/>
                <w:color w:val="auto"/>
                <w:sz w:val="24"/>
                <w:vertAlign w:val="subscript"/>
                <w:lang w:val="en-US" w:eastAsia="zh-CN"/>
              </w:rPr>
              <w:t>2.5</w:t>
            </w:r>
            <w:r>
              <w:rPr>
                <w:rFonts w:hint="eastAsia" w:ascii="Times New Roman" w:hAnsi="Times New Roman" w:cs="Times New Roman" w:eastAsiaTheme="minorEastAsia"/>
                <w:color w:val="auto"/>
                <w:sz w:val="24"/>
                <w:lang w:val="en-US" w:eastAsia="zh-CN"/>
              </w:rPr>
              <w:t>、CO和O</w:t>
            </w:r>
            <w:r>
              <w:rPr>
                <w:rFonts w:hint="eastAsia" w:ascii="Times New Roman" w:hAnsi="Times New Roman" w:cs="Times New Roman" w:eastAsiaTheme="minorEastAsia"/>
                <w:color w:val="auto"/>
                <w:sz w:val="24"/>
                <w:vertAlign w:val="subscript"/>
                <w:lang w:val="en-US" w:eastAsia="zh-CN"/>
              </w:rPr>
              <w:t>3</w:t>
            </w:r>
            <w:r>
              <w:rPr>
                <w:rFonts w:hint="eastAsia" w:ascii="Times New Roman" w:hAnsi="Times New Roman" w:cs="Times New Roman" w:eastAsiaTheme="minorEastAsia"/>
                <w:color w:val="auto"/>
                <w:sz w:val="24"/>
                <w:lang w:val="en-US" w:eastAsia="zh-CN"/>
              </w:rPr>
              <w:t>的数据来源。</w:t>
            </w:r>
          </w:p>
          <w:p w14:paraId="4ED1CE69">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（3）评价标准</w:t>
            </w:r>
          </w:p>
          <w:p w14:paraId="0B6A91FC">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根据本项目所在区域的环境功能区划，常规污染物执行《环境空气质量标准》（GB3095－2012）中的二级标准。</w:t>
            </w:r>
          </w:p>
          <w:p w14:paraId="4824554E">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（4）评价方法</w:t>
            </w:r>
          </w:p>
          <w:p w14:paraId="3B179BFE">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基本污染物按照《环境空气质量评价技术规范（试行）》（HJ 663-2013）中各评价项目的年评价指标进行判定。年评价指标中的年均浓度和相应百分位数24h平均或8h平均质量浓度满足GB3095中浓度限值要求的即为达标。对于超标的污染物，计算其超标倍数和超标率。</w:t>
            </w:r>
          </w:p>
          <w:p w14:paraId="552D4FAE">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（5）</w:t>
            </w:r>
            <w:r>
              <w:rPr>
                <w:rFonts w:hint="default" w:ascii="Times New Roman" w:hAnsi="Times New Roman" w:cs="Times New Roman" w:eastAsiaTheme="minorEastAsia"/>
                <w:color w:val="auto"/>
                <w:sz w:val="24"/>
                <w:lang w:val="en-US" w:eastAsia="zh-CN"/>
              </w:rPr>
              <w:t>基本污染物监测及评价</w:t>
            </w:r>
          </w:p>
          <w:p w14:paraId="229896C1">
            <w:pPr>
              <w:keepNext w:val="0"/>
              <w:keepLines w:val="0"/>
              <w:suppressLineNumbers w:val="0"/>
              <w:adjustRightInd w:val="0"/>
              <w:snapToGrid w:val="0"/>
              <w:spacing w:before="0" w:beforeAutospacing="0" w:after="0" w:afterAutospacing="0" w:line="520" w:lineRule="exact"/>
              <w:ind w:left="0" w:right="0" w:firstLine="480" w:firstLineChars="200"/>
              <w:rPr>
                <w:rFonts w:hint="eastAsia"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项目区大气环境质量现状监测结果见表</w:t>
            </w:r>
            <w:r>
              <w:rPr>
                <w:rFonts w:hint="eastAsia" w:ascii="Times New Roman" w:hAnsi="Times New Roman" w:cs="Times New Roman" w:eastAsiaTheme="minorEastAsia"/>
                <w:color w:val="auto"/>
                <w:sz w:val="24"/>
                <w:lang w:val="en-US" w:eastAsia="zh-CN"/>
              </w:rPr>
              <w:t>3-1。</w:t>
            </w:r>
          </w:p>
          <w:p w14:paraId="2B71AF88">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eastAsiaTheme="minorEastAsia"/>
                <w:b/>
                <w:color w:val="auto"/>
                <w:sz w:val="21"/>
                <w:szCs w:val="21"/>
                <w:lang w:val="en-US" w:eastAsia="zh-CN"/>
              </w:rPr>
            </w:pPr>
          </w:p>
          <w:p w14:paraId="1CD6331F">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eastAsiaTheme="minorEastAsia"/>
                <w:b/>
                <w:color w:val="auto"/>
                <w:sz w:val="21"/>
                <w:szCs w:val="21"/>
                <w:lang w:val="en-US" w:eastAsia="zh-CN"/>
              </w:rPr>
            </w:pPr>
          </w:p>
          <w:p w14:paraId="0447EA49">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eastAsiaTheme="minorEastAsia"/>
                <w:b/>
                <w:color w:val="auto"/>
                <w:sz w:val="21"/>
                <w:szCs w:val="21"/>
                <w:lang w:val="en-US" w:eastAsia="zh-CN"/>
              </w:rPr>
            </w:pPr>
          </w:p>
          <w:p w14:paraId="272FA002">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eastAsiaTheme="minorEastAsia"/>
                <w:b/>
                <w:color w:val="auto"/>
                <w:sz w:val="21"/>
                <w:szCs w:val="21"/>
                <w:lang w:val="en-US" w:eastAsia="zh-CN"/>
              </w:rPr>
            </w:pPr>
          </w:p>
          <w:p w14:paraId="7B121256">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eastAsiaTheme="minorEastAsia"/>
                <w:b/>
                <w:color w:val="auto"/>
                <w:sz w:val="21"/>
                <w:szCs w:val="21"/>
                <w:lang w:val="en-US" w:eastAsia="zh-CN"/>
              </w:rPr>
            </w:pPr>
          </w:p>
          <w:p w14:paraId="329B1E7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zh-CN"/>
              </w:rPr>
            </w:pPr>
            <w:r>
              <w:rPr>
                <w:rFonts w:hint="eastAsia" w:ascii="Times New Roman" w:hAnsi="Times New Roman" w:cs="Times New Roman" w:eastAsiaTheme="minorEastAsia"/>
                <w:b/>
                <w:color w:val="auto"/>
                <w:sz w:val="21"/>
                <w:szCs w:val="21"/>
                <w:lang w:val="en-US" w:eastAsia="zh-CN"/>
              </w:rPr>
              <w:t>表</w:t>
            </w:r>
            <w:r>
              <w:rPr>
                <w:rFonts w:hint="default" w:ascii="Times New Roman" w:hAnsi="Times New Roman" w:cs="Times New Roman" w:eastAsiaTheme="minorEastAsia"/>
                <w:b/>
                <w:color w:val="auto"/>
                <w:sz w:val="21"/>
                <w:szCs w:val="21"/>
                <w:lang w:val="en-US" w:eastAsia="zh-CN"/>
              </w:rPr>
              <w:t>3-</w:t>
            </w:r>
            <w:r>
              <w:rPr>
                <w:rFonts w:hint="eastAsia" w:ascii="Times New Roman" w:hAnsi="Times New Roman" w:cs="Times New Roman" w:eastAsiaTheme="minorEastAsia"/>
                <w:b/>
                <w:color w:val="auto"/>
                <w:sz w:val="21"/>
                <w:szCs w:val="21"/>
                <w:lang w:val="en-US" w:eastAsia="zh-CN"/>
              </w:rPr>
              <w:t>1</w:t>
            </w:r>
            <w:r>
              <w:rPr>
                <w:rFonts w:hint="default" w:ascii="Times New Roman" w:hAnsi="Times New Roman" w:cs="Times New Roman" w:eastAsiaTheme="minorEastAsia"/>
                <w:b/>
                <w:color w:val="auto"/>
                <w:sz w:val="21"/>
                <w:szCs w:val="21"/>
                <w:lang w:val="en-US" w:eastAsia="zh-CN"/>
              </w:rPr>
              <w:t xml:space="preserve">   </w:t>
            </w:r>
            <w:r>
              <w:rPr>
                <w:rFonts w:hint="default" w:ascii="Times New Roman" w:hAnsi="Times New Roman" w:cs="Times New Roman" w:eastAsiaTheme="minorEastAsia"/>
                <w:b/>
                <w:color w:val="auto"/>
                <w:sz w:val="21"/>
                <w:szCs w:val="21"/>
                <w:lang w:val="zh-CN"/>
              </w:rPr>
              <w:t>空气质量监测及评价结果</w:t>
            </w:r>
          </w:p>
          <w:tbl>
            <w:tblPr>
              <w:tblStyle w:val="94"/>
              <w:tblW w:w="7856" w:type="dxa"/>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095"/>
              <w:gridCol w:w="1918"/>
              <w:gridCol w:w="1274"/>
              <w:gridCol w:w="1274"/>
              <w:gridCol w:w="1131"/>
              <w:gridCol w:w="1164"/>
            </w:tblGrid>
            <w:tr w14:paraId="45C1849C">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6" w:hRule="atLeast"/>
                <w:jc w:val="center"/>
              </w:trPr>
              <w:tc>
                <w:tcPr>
                  <w:tcW w:w="1095" w:type="dxa"/>
                  <w:tcBorders>
                    <w:top w:val="single" w:color="000000" w:sz="12" w:space="0"/>
                    <w:left w:val="nil"/>
                    <w:bottom w:val="single" w:color="000000" w:sz="12" w:space="0"/>
                    <w:right w:val="single" w:color="000000" w:sz="4" w:space="0"/>
                  </w:tcBorders>
                  <w:shd w:val="clear" w:color="auto" w:fill="auto"/>
                  <w:vAlign w:val="center"/>
                </w:tcPr>
                <w:p w14:paraId="7FD7583E">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kern w:val="0"/>
                      <w:sz w:val="21"/>
                      <w:szCs w:val="21"/>
                      <w:lang w:val="en-US" w:eastAsia="en-US"/>
                    </w:rPr>
                  </w:pPr>
                  <w:r>
                    <w:rPr>
                      <w:rFonts w:hint="eastAsia" w:ascii="宋体" w:hAnsi="宋体" w:eastAsia="宋体" w:cs="宋体"/>
                      <w:b/>
                      <w:bCs/>
                      <w:kern w:val="0"/>
                      <w:sz w:val="21"/>
                      <w:szCs w:val="21"/>
                      <w:lang w:val="en-US" w:eastAsia="en-US" w:bidi="ar"/>
                    </w:rPr>
                    <w:t>监测因子</w:t>
                  </w:r>
                </w:p>
              </w:tc>
              <w:tc>
                <w:tcPr>
                  <w:tcW w:w="1918"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6E77C498">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kern w:val="0"/>
                      <w:sz w:val="21"/>
                      <w:szCs w:val="21"/>
                      <w:lang w:val="en-US" w:eastAsia="en-US"/>
                    </w:rPr>
                  </w:pPr>
                  <w:r>
                    <w:rPr>
                      <w:rFonts w:hint="eastAsia" w:ascii="宋体" w:hAnsi="宋体" w:eastAsia="宋体" w:cs="宋体"/>
                      <w:b/>
                      <w:bCs/>
                      <w:kern w:val="0"/>
                      <w:sz w:val="21"/>
                      <w:szCs w:val="21"/>
                      <w:lang w:val="en-US" w:eastAsia="en-US" w:bidi="ar"/>
                    </w:rPr>
                    <w:t>年评价指标</w:t>
                  </w:r>
                </w:p>
              </w:tc>
              <w:tc>
                <w:tcPr>
                  <w:tcW w:w="1274"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4FFD2B59">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kern w:val="0"/>
                      <w:sz w:val="21"/>
                      <w:szCs w:val="21"/>
                      <w:lang w:val="en-US" w:eastAsia="en-US"/>
                    </w:rPr>
                  </w:pPr>
                  <w:r>
                    <w:rPr>
                      <w:rFonts w:hint="eastAsia" w:ascii="宋体" w:hAnsi="宋体" w:eastAsia="宋体" w:cs="宋体"/>
                      <w:b/>
                      <w:bCs/>
                      <w:kern w:val="0"/>
                      <w:sz w:val="21"/>
                      <w:szCs w:val="21"/>
                      <w:lang w:val="en-US" w:eastAsia="en-US" w:bidi="ar"/>
                    </w:rPr>
                    <w:t>现状浓度（</w:t>
                  </w:r>
                  <w:r>
                    <w:rPr>
                      <w:rFonts w:hint="default" w:ascii="Times New Roman" w:hAnsi="Times New Roman" w:eastAsia="宋体" w:cs="Times New Roman"/>
                      <w:b/>
                      <w:bCs/>
                      <w:kern w:val="0"/>
                      <w:sz w:val="21"/>
                      <w:szCs w:val="21"/>
                      <w:lang w:val="en-US" w:eastAsia="en-US" w:bidi="ar"/>
                    </w:rPr>
                    <w:t>μg/m</w:t>
                  </w:r>
                  <w:r>
                    <w:rPr>
                      <w:rFonts w:hint="default" w:ascii="Times New Roman" w:hAnsi="Times New Roman" w:eastAsia="宋体" w:cs="Times New Roman"/>
                      <w:b/>
                      <w:bCs/>
                      <w:kern w:val="0"/>
                      <w:sz w:val="21"/>
                      <w:szCs w:val="21"/>
                      <w:vertAlign w:val="superscript"/>
                      <w:lang w:val="en-US" w:eastAsia="en-US" w:bidi="ar"/>
                    </w:rPr>
                    <w:t>3</w:t>
                  </w:r>
                  <w:r>
                    <w:rPr>
                      <w:rFonts w:hint="eastAsia" w:ascii="宋体" w:hAnsi="宋体" w:eastAsia="宋体" w:cs="宋体"/>
                      <w:b/>
                      <w:bCs/>
                      <w:kern w:val="0"/>
                      <w:sz w:val="21"/>
                      <w:szCs w:val="21"/>
                      <w:lang w:val="en-US" w:eastAsia="en-US" w:bidi="ar"/>
                    </w:rPr>
                    <w:t>）</w:t>
                  </w:r>
                </w:p>
              </w:tc>
              <w:tc>
                <w:tcPr>
                  <w:tcW w:w="1274"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1463E29D">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kern w:val="0"/>
                      <w:sz w:val="21"/>
                      <w:szCs w:val="21"/>
                      <w:lang w:val="en-US" w:eastAsia="en-US"/>
                    </w:rPr>
                  </w:pPr>
                  <w:r>
                    <w:rPr>
                      <w:rFonts w:hint="eastAsia" w:ascii="宋体" w:hAnsi="宋体" w:eastAsia="宋体" w:cs="宋体"/>
                      <w:b/>
                      <w:bCs/>
                      <w:kern w:val="0"/>
                      <w:sz w:val="21"/>
                      <w:szCs w:val="21"/>
                      <w:lang w:val="en-US" w:eastAsia="en-US" w:bidi="ar"/>
                    </w:rPr>
                    <w:t>标准值（</w:t>
                  </w:r>
                  <w:r>
                    <w:rPr>
                      <w:rFonts w:hint="default" w:ascii="Times New Roman" w:hAnsi="Times New Roman" w:eastAsia="宋体" w:cs="Times New Roman"/>
                      <w:b/>
                      <w:bCs/>
                      <w:kern w:val="0"/>
                      <w:sz w:val="21"/>
                      <w:szCs w:val="21"/>
                      <w:lang w:val="en-US" w:eastAsia="en-US" w:bidi="ar"/>
                    </w:rPr>
                    <w:t>μg/m</w:t>
                  </w:r>
                  <w:r>
                    <w:rPr>
                      <w:rFonts w:hint="default" w:ascii="Times New Roman" w:hAnsi="Times New Roman" w:eastAsia="宋体" w:cs="Times New Roman"/>
                      <w:b/>
                      <w:bCs/>
                      <w:kern w:val="0"/>
                      <w:sz w:val="21"/>
                      <w:szCs w:val="21"/>
                      <w:vertAlign w:val="superscript"/>
                      <w:lang w:val="en-US" w:eastAsia="en-US" w:bidi="ar"/>
                    </w:rPr>
                    <w:t>3</w:t>
                  </w:r>
                  <w:r>
                    <w:rPr>
                      <w:rFonts w:hint="eastAsia" w:ascii="宋体" w:hAnsi="宋体" w:eastAsia="宋体" w:cs="宋体"/>
                      <w:b/>
                      <w:bCs/>
                      <w:kern w:val="0"/>
                      <w:sz w:val="21"/>
                      <w:szCs w:val="21"/>
                      <w:lang w:val="en-US" w:eastAsia="en-US" w:bidi="ar"/>
                    </w:rPr>
                    <w:t>）</w:t>
                  </w:r>
                </w:p>
              </w:tc>
              <w:tc>
                <w:tcPr>
                  <w:tcW w:w="1131"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19A4EDC8">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kern w:val="0"/>
                      <w:sz w:val="21"/>
                      <w:szCs w:val="21"/>
                      <w:lang w:val="en-US" w:eastAsia="en-US"/>
                    </w:rPr>
                  </w:pPr>
                  <w:r>
                    <w:rPr>
                      <w:rFonts w:hint="eastAsia" w:ascii="宋体" w:hAnsi="宋体" w:eastAsia="宋体" w:cs="宋体"/>
                      <w:b/>
                      <w:bCs/>
                      <w:kern w:val="0"/>
                      <w:sz w:val="21"/>
                      <w:szCs w:val="21"/>
                      <w:lang w:val="en-US" w:eastAsia="en-US" w:bidi="ar"/>
                    </w:rPr>
                    <w:t>占标率</w:t>
                  </w:r>
                </w:p>
                <w:p w14:paraId="14A1BFFD">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kern w:val="0"/>
                      <w:sz w:val="21"/>
                      <w:szCs w:val="21"/>
                      <w:lang w:val="en-US" w:eastAsia="en-US"/>
                    </w:rPr>
                  </w:pPr>
                  <w:r>
                    <w:rPr>
                      <w:rFonts w:hint="eastAsia" w:ascii="宋体" w:hAnsi="宋体" w:eastAsia="宋体" w:cs="宋体"/>
                      <w:b/>
                      <w:bCs/>
                      <w:kern w:val="0"/>
                      <w:sz w:val="21"/>
                      <w:szCs w:val="21"/>
                      <w:lang w:val="en-US" w:eastAsia="en-US" w:bidi="ar"/>
                    </w:rPr>
                    <w:t>（</w:t>
                  </w:r>
                  <w:r>
                    <w:rPr>
                      <w:rFonts w:hint="default" w:ascii="Times New Roman" w:hAnsi="Times New Roman" w:eastAsia="宋体" w:cs="Times New Roman"/>
                      <w:b/>
                      <w:bCs/>
                      <w:kern w:val="0"/>
                      <w:sz w:val="21"/>
                      <w:szCs w:val="21"/>
                      <w:lang w:val="en-US" w:eastAsia="en-US" w:bidi="ar"/>
                    </w:rPr>
                    <w:t>%</w:t>
                  </w:r>
                  <w:r>
                    <w:rPr>
                      <w:rFonts w:hint="eastAsia" w:ascii="宋体" w:hAnsi="宋体" w:eastAsia="宋体" w:cs="宋体"/>
                      <w:b/>
                      <w:bCs/>
                      <w:kern w:val="0"/>
                      <w:sz w:val="21"/>
                      <w:szCs w:val="21"/>
                      <w:lang w:val="en-US" w:eastAsia="en-US" w:bidi="ar"/>
                    </w:rPr>
                    <w:t>）</w:t>
                  </w:r>
                </w:p>
              </w:tc>
              <w:tc>
                <w:tcPr>
                  <w:tcW w:w="1164" w:type="dxa"/>
                  <w:tcBorders>
                    <w:top w:val="single" w:color="000000" w:sz="12" w:space="0"/>
                    <w:left w:val="single" w:color="000000" w:sz="4" w:space="0"/>
                    <w:bottom w:val="single" w:color="000000" w:sz="12" w:space="0"/>
                    <w:right w:val="nil"/>
                  </w:tcBorders>
                  <w:shd w:val="clear" w:color="auto" w:fill="auto"/>
                  <w:vAlign w:val="center"/>
                </w:tcPr>
                <w:p w14:paraId="1FF753DF">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kern w:val="0"/>
                      <w:sz w:val="21"/>
                      <w:szCs w:val="21"/>
                      <w:lang w:val="en-US" w:eastAsia="en-US"/>
                    </w:rPr>
                  </w:pPr>
                  <w:r>
                    <w:rPr>
                      <w:rFonts w:hint="eastAsia" w:ascii="宋体" w:hAnsi="宋体" w:eastAsia="宋体" w:cs="宋体"/>
                      <w:b/>
                      <w:bCs/>
                      <w:kern w:val="0"/>
                      <w:sz w:val="21"/>
                      <w:szCs w:val="21"/>
                      <w:lang w:val="en-US" w:eastAsia="en-US" w:bidi="ar"/>
                    </w:rPr>
                    <w:t>达标情况</w:t>
                  </w:r>
                </w:p>
              </w:tc>
            </w:tr>
            <w:tr w14:paraId="57DD8453">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095" w:type="dxa"/>
                  <w:tcBorders>
                    <w:top w:val="single" w:color="000000" w:sz="12" w:space="0"/>
                    <w:left w:val="nil"/>
                    <w:bottom w:val="single" w:color="000000" w:sz="4" w:space="0"/>
                    <w:right w:val="single" w:color="000000" w:sz="4" w:space="0"/>
                  </w:tcBorders>
                  <w:shd w:val="clear" w:color="auto" w:fill="auto"/>
                  <w:vAlign w:val="center"/>
                </w:tcPr>
                <w:p w14:paraId="68F498D4">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SO</w:t>
                  </w:r>
                  <w:r>
                    <w:rPr>
                      <w:rFonts w:hint="default" w:ascii="Times New Roman" w:hAnsi="Times New Roman" w:eastAsia="宋体" w:cs="Times New Roman"/>
                      <w:kern w:val="0"/>
                      <w:sz w:val="21"/>
                      <w:szCs w:val="21"/>
                      <w:vertAlign w:val="subscript"/>
                      <w:lang w:val="en-US" w:eastAsia="en-US" w:bidi="ar"/>
                    </w:rPr>
                    <w:t>2</w:t>
                  </w:r>
                </w:p>
              </w:tc>
              <w:tc>
                <w:tcPr>
                  <w:tcW w:w="19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0386689">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年平均值</w:t>
                  </w:r>
                </w:p>
              </w:tc>
              <w:tc>
                <w:tcPr>
                  <w:tcW w:w="1274"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B99DFB0">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9</w:t>
                  </w:r>
                </w:p>
              </w:tc>
              <w:tc>
                <w:tcPr>
                  <w:tcW w:w="1274"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CCB884A">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60</w:t>
                  </w:r>
                </w:p>
              </w:tc>
              <w:tc>
                <w:tcPr>
                  <w:tcW w:w="1131"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64B846AB">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15</w:t>
                  </w:r>
                </w:p>
              </w:tc>
              <w:tc>
                <w:tcPr>
                  <w:tcW w:w="1164" w:type="dxa"/>
                  <w:tcBorders>
                    <w:top w:val="single" w:color="000000" w:sz="12" w:space="0"/>
                    <w:left w:val="single" w:color="000000" w:sz="4" w:space="0"/>
                    <w:bottom w:val="single" w:color="000000" w:sz="4" w:space="0"/>
                    <w:right w:val="nil"/>
                  </w:tcBorders>
                  <w:shd w:val="clear" w:color="auto" w:fill="auto"/>
                  <w:vAlign w:val="center"/>
                </w:tcPr>
                <w:p w14:paraId="59723BFC">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达标</w:t>
                  </w:r>
                </w:p>
              </w:tc>
            </w:tr>
            <w:tr w14:paraId="2CBA9F17">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095" w:type="dxa"/>
                  <w:tcBorders>
                    <w:top w:val="single" w:color="000000" w:sz="4" w:space="0"/>
                    <w:left w:val="nil"/>
                    <w:bottom w:val="single" w:color="000000" w:sz="4" w:space="0"/>
                    <w:right w:val="single" w:color="000000" w:sz="4" w:space="0"/>
                  </w:tcBorders>
                  <w:shd w:val="clear" w:color="auto" w:fill="auto"/>
                  <w:vAlign w:val="center"/>
                </w:tcPr>
                <w:p w14:paraId="6B4FD2E7">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NO</w:t>
                  </w:r>
                  <w:r>
                    <w:rPr>
                      <w:rFonts w:hint="default" w:ascii="Times New Roman" w:hAnsi="Times New Roman" w:eastAsia="宋体" w:cs="Times New Roman"/>
                      <w:kern w:val="0"/>
                      <w:sz w:val="21"/>
                      <w:szCs w:val="21"/>
                      <w:vertAlign w:val="subscript"/>
                      <w:lang w:val="en-US" w:eastAsia="en-US" w:bidi="ar"/>
                    </w:rPr>
                    <w:t>2</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8729">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年平均值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3466">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28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83D9">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40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EB97">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70</w:t>
                  </w:r>
                </w:p>
              </w:tc>
              <w:tc>
                <w:tcPr>
                  <w:tcW w:w="1164" w:type="dxa"/>
                  <w:tcBorders>
                    <w:top w:val="single" w:color="000000" w:sz="4" w:space="0"/>
                    <w:left w:val="single" w:color="000000" w:sz="4" w:space="0"/>
                    <w:bottom w:val="single" w:color="000000" w:sz="4" w:space="0"/>
                    <w:right w:val="nil"/>
                  </w:tcBorders>
                  <w:shd w:val="clear" w:color="auto" w:fill="auto"/>
                  <w:vAlign w:val="center"/>
                </w:tcPr>
                <w:p w14:paraId="7280C2ED">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达标</w:t>
                  </w:r>
                </w:p>
              </w:tc>
            </w:tr>
            <w:tr w14:paraId="4FC3723A">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095" w:type="dxa"/>
                  <w:tcBorders>
                    <w:top w:val="single" w:color="000000" w:sz="4" w:space="0"/>
                    <w:left w:val="nil"/>
                    <w:bottom w:val="single" w:color="000000" w:sz="4" w:space="0"/>
                    <w:right w:val="single" w:color="000000" w:sz="4" w:space="0"/>
                  </w:tcBorders>
                  <w:shd w:val="clear" w:color="auto" w:fill="auto"/>
                  <w:vAlign w:val="center"/>
                </w:tcPr>
                <w:p w14:paraId="7A0A9810">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PM</w:t>
                  </w:r>
                  <w:r>
                    <w:rPr>
                      <w:rFonts w:hint="default" w:ascii="Times New Roman" w:hAnsi="Times New Roman" w:eastAsia="宋体" w:cs="Times New Roman"/>
                      <w:kern w:val="0"/>
                      <w:sz w:val="21"/>
                      <w:szCs w:val="21"/>
                      <w:vertAlign w:val="subscript"/>
                      <w:lang w:val="en-US" w:eastAsia="en-US" w:bidi="ar"/>
                    </w:rPr>
                    <w:t>10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2490">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年平均值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6028">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BEAD">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70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86A7">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100</w:t>
                  </w:r>
                </w:p>
              </w:tc>
              <w:tc>
                <w:tcPr>
                  <w:tcW w:w="1164" w:type="dxa"/>
                  <w:tcBorders>
                    <w:top w:val="single" w:color="000000" w:sz="4" w:space="0"/>
                    <w:left w:val="single" w:color="000000" w:sz="4" w:space="0"/>
                    <w:bottom w:val="single" w:color="000000" w:sz="4" w:space="0"/>
                    <w:right w:val="nil"/>
                  </w:tcBorders>
                  <w:shd w:val="clear" w:color="auto" w:fill="auto"/>
                  <w:vAlign w:val="center"/>
                </w:tcPr>
                <w:p w14:paraId="5BF17D2D">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达标</w:t>
                  </w:r>
                </w:p>
              </w:tc>
            </w:tr>
            <w:tr w14:paraId="28E6B4E3">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095" w:type="dxa"/>
                  <w:tcBorders>
                    <w:top w:val="single" w:color="000000" w:sz="4" w:space="0"/>
                    <w:left w:val="nil"/>
                    <w:bottom w:val="single" w:color="000000" w:sz="4" w:space="0"/>
                    <w:right w:val="single" w:color="000000" w:sz="4" w:space="0"/>
                  </w:tcBorders>
                  <w:shd w:val="clear" w:color="auto" w:fill="auto"/>
                  <w:vAlign w:val="center"/>
                </w:tcPr>
                <w:p w14:paraId="21E9D38C">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PM</w:t>
                  </w:r>
                  <w:r>
                    <w:rPr>
                      <w:rFonts w:hint="default" w:ascii="Times New Roman" w:hAnsi="Times New Roman" w:eastAsia="宋体" w:cs="Times New Roman"/>
                      <w:kern w:val="0"/>
                      <w:sz w:val="21"/>
                      <w:szCs w:val="21"/>
                      <w:vertAlign w:val="subscript"/>
                      <w:lang w:val="en-US" w:eastAsia="en-US" w:bidi="ar"/>
                    </w:rPr>
                    <w:t>2.5</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A5F">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年平均值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1654">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44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918B">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35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9F07">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125.71</w:t>
                  </w:r>
                </w:p>
              </w:tc>
              <w:tc>
                <w:tcPr>
                  <w:tcW w:w="1164" w:type="dxa"/>
                  <w:tcBorders>
                    <w:top w:val="single" w:color="000000" w:sz="4" w:space="0"/>
                    <w:left w:val="single" w:color="000000" w:sz="4" w:space="0"/>
                    <w:bottom w:val="single" w:color="000000" w:sz="4" w:space="0"/>
                    <w:right w:val="nil"/>
                  </w:tcBorders>
                  <w:shd w:val="clear" w:color="auto" w:fill="auto"/>
                  <w:vAlign w:val="center"/>
                </w:tcPr>
                <w:p w14:paraId="089FD81C">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超标</w:t>
                  </w:r>
                </w:p>
              </w:tc>
            </w:tr>
            <w:tr w14:paraId="399C76D0">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95" w:type="dxa"/>
                  <w:tcBorders>
                    <w:top w:val="single" w:color="000000" w:sz="4" w:space="0"/>
                    <w:left w:val="nil"/>
                    <w:bottom w:val="single" w:color="000000" w:sz="4" w:space="0"/>
                    <w:right w:val="single" w:color="000000" w:sz="4" w:space="0"/>
                  </w:tcBorders>
                  <w:shd w:val="clear" w:color="auto" w:fill="auto"/>
                  <w:vAlign w:val="center"/>
                </w:tcPr>
                <w:p w14:paraId="4C608944">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CO</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0DA3">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24</w:t>
                  </w:r>
                  <w:r>
                    <w:rPr>
                      <w:rFonts w:hint="eastAsia" w:ascii="宋体" w:hAnsi="宋体" w:eastAsia="宋体" w:cs="宋体"/>
                      <w:kern w:val="0"/>
                      <w:sz w:val="21"/>
                      <w:szCs w:val="21"/>
                      <w:lang w:val="en-US" w:eastAsia="en-US" w:bidi="ar"/>
                    </w:rPr>
                    <w:t>小时平均第</w:t>
                  </w:r>
                  <w:r>
                    <w:rPr>
                      <w:rFonts w:hint="default" w:ascii="Times New Roman" w:hAnsi="Times New Roman" w:eastAsia="宋体" w:cs="Times New Roman"/>
                      <w:kern w:val="0"/>
                      <w:sz w:val="21"/>
                      <w:szCs w:val="21"/>
                      <w:lang w:val="en-US" w:eastAsia="en-US" w:bidi="ar"/>
                    </w:rPr>
                    <w:t>95</w:t>
                  </w:r>
                  <w:r>
                    <w:rPr>
                      <w:rFonts w:hint="eastAsia" w:ascii="宋体" w:hAnsi="宋体" w:eastAsia="宋体" w:cs="宋体"/>
                      <w:kern w:val="0"/>
                      <w:sz w:val="21"/>
                      <w:szCs w:val="21"/>
                      <w:lang w:val="en-US" w:eastAsia="en-US" w:bidi="ar"/>
                    </w:rPr>
                    <w:t>百分位 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20C1">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0.7</w:t>
                  </w:r>
                  <w:r>
                    <w:rPr>
                      <w:rFonts w:hint="eastAsia" w:ascii="Times New Roman" w:hAnsi="Times New Roman" w:cs="Times New Roman"/>
                      <w:kern w:val="0"/>
                      <w:sz w:val="21"/>
                      <w:szCs w:val="21"/>
                      <w:lang w:val="en-US" w:eastAsia="zh-CN" w:bidi="ar"/>
                    </w:rPr>
                    <w:t>(</w:t>
                  </w:r>
                  <w:r>
                    <w:rPr>
                      <w:rFonts w:hint="default" w:ascii="Times New Roman" w:hAnsi="Times New Roman" w:eastAsia="宋体" w:cs="Times New Roman"/>
                      <w:kern w:val="0"/>
                      <w:sz w:val="21"/>
                      <w:szCs w:val="21"/>
                      <w:lang w:val="en-US" w:eastAsia="en-US" w:bidi="ar"/>
                    </w:rPr>
                    <w:t>mg/m</w:t>
                  </w:r>
                  <w:r>
                    <w:rPr>
                      <w:rFonts w:hint="default" w:ascii="Times New Roman" w:hAnsi="Times New Roman" w:eastAsia="宋体" w:cs="Times New Roman"/>
                      <w:kern w:val="0"/>
                      <w:sz w:val="21"/>
                      <w:szCs w:val="21"/>
                      <w:vertAlign w:val="superscript"/>
                      <w:lang w:val="en-US" w:eastAsia="en-US" w:bidi="ar"/>
                    </w:rPr>
                    <w:t>3</w:t>
                  </w:r>
                  <w:r>
                    <w:rPr>
                      <w:rFonts w:hint="eastAsia" w:ascii="Times New Roman" w:hAnsi="Times New Roman" w:cs="Times New Roman"/>
                      <w:kern w:val="0"/>
                      <w:sz w:val="21"/>
                      <w:szCs w:val="21"/>
                      <w:vertAlign w:val="baseli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A2E9">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4</w:t>
                  </w:r>
                  <w:r>
                    <w:rPr>
                      <w:rFonts w:hint="eastAsia" w:ascii="Times New Roman" w:hAnsi="Times New Roman" w:cs="Times New Roman"/>
                      <w:kern w:val="0"/>
                      <w:sz w:val="21"/>
                      <w:szCs w:val="21"/>
                      <w:lang w:val="en-US" w:eastAsia="zh-CN" w:bidi="ar"/>
                    </w:rPr>
                    <w:t>(</w:t>
                  </w:r>
                  <w:r>
                    <w:rPr>
                      <w:rFonts w:hint="default" w:ascii="Times New Roman" w:hAnsi="Times New Roman" w:eastAsia="宋体" w:cs="Times New Roman"/>
                      <w:kern w:val="0"/>
                      <w:sz w:val="21"/>
                      <w:szCs w:val="21"/>
                      <w:lang w:val="en-US" w:eastAsia="en-US" w:bidi="ar"/>
                    </w:rPr>
                    <w:t>mg/m</w:t>
                  </w:r>
                  <w:r>
                    <w:rPr>
                      <w:rFonts w:hint="default" w:ascii="Times New Roman" w:hAnsi="Times New Roman" w:eastAsia="宋体" w:cs="Times New Roman"/>
                      <w:kern w:val="0"/>
                      <w:sz w:val="21"/>
                      <w:szCs w:val="21"/>
                      <w:vertAlign w:val="superscript"/>
                      <w:lang w:val="en-US" w:eastAsia="en-US" w:bidi="ar"/>
                    </w:rPr>
                    <w:t>3</w:t>
                  </w:r>
                  <w:r>
                    <w:rPr>
                      <w:rFonts w:hint="eastAsia" w:ascii="Times New Roman" w:hAnsi="Times New Roman" w:cs="Times New Roman"/>
                      <w:kern w:val="0"/>
                      <w:sz w:val="21"/>
                      <w:szCs w:val="21"/>
                      <w:vertAlign w:val="baseli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AED8">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17.5</w:t>
                  </w:r>
                </w:p>
              </w:tc>
              <w:tc>
                <w:tcPr>
                  <w:tcW w:w="1164" w:type="dxa"/>
                  <w:tcBorders>
                    <w:top w:val="single" w:color="000000" w:sz="4" w:space="0"/>
                    <w:left w:val="single" w:color="000000" w:sz="4" w:space="0"/>
                    <w:bottom w:val="single" w:color="000000" w:sz="4" w:space="0"/>
                    <w:right w:val="nil"/>
                  </w:tcBorders>
                  <w:shd w:val="clear" w:color="auto" w:fill="auto"/>
                  <w:vAlign w:val="center"/>
                </w:tcPr>
                <w:p w14:paraId="341560FF">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达标</w:t>
                  </w:r>
                </w:p>
              </w:tc>
            </w:tr>
            <w:tr w14:paraId="26D4F194">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095" w:type="dxa"/>
                  <w:tcBorders>
                    <w:top w:val="single" w:color="000000" w:sz="4" w:space="0"/>
                    <w:left w:val="nil"/>
                    <w:bottom w:val="single" w:color="000000" w:sz="12" w:space="0"/>
                    <w:right w:val="single" w:color="000000" w:sz="4" w:space="0"/>
                  </w:tcBorders>
                  <w:shd w:val="clear" w:color="auto" w:fill="auto"/>
                  <w:vAlign w:val="center"/>
                </w:tcPr>
                <w:p w14:paraId="062554D7">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O</w:t>
                  </w:r>
                  <w:r>
                    <w:rPr>
                      <w:rFonts w:hint="default" w:ascii="Times New Roman" w:hAnsi="Times New Roman" w:eastAsia="宋体" w:cs="Times New Roman"/>
                      <w:kern w:val="0"/>
                      <w:sz w:val="21"/>
                      <w:szCs w:val="21"/>
                      <w:vertAlign w:val="subscript"/>
                      <w:lang w:val="en-US" w:eastAsia="en-US" w:bidi="ar"/>
                    </w:rPr>
                    <w:t>3</w:t>
                  </w:r>
                </w:p>
              </w:tc>
              <w:tc>
                <w:tcPr>
                  <w:tcW w:w="19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EB517BA">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最大</w:t>
                  </w:r>
                  <w:r>
                    <w:rPr>
                      <w:rFonts w:hint="default" w:ascii="Times New Roman" w:hAnsi="Times New Roman" w:eastAsia="宋体" w:cs="Times New Roman"/>
                      <w:kern w:val="0"/>
                      <w:sz w:val="21"/>
                      <w:szCs w:val="21"/>
                      <w:lang w:val="en-US" w:eastAsia="en-US" w:bidi="ar"/>
                    </w:rPr>
                    <w:t>8</w:t>
                  </w:r>
                  <w:r>
                    <w:rPr>
                      <w:rFonts w:hint="eastAsia" w:ascii="宋体" w:hAnsi="宋体" w:eastAsia="宋体" w:cs="宋体"/>
                      <w:kern w:val="0"/>
                      <w:sz w:val="21"/>
                      <w:szCs w:val="21"/>
                      <w:lang w:val="en-US" w:eastAsia="en-US" w:bidi="ar"/>
                    </w:rPr>
                    <w:t>小时平均第</w:t>
                  </w:r>
                  <w:r>
                    <w:rPr>
                      <w:rFonts w:hint="default" w:ascii="Times New Roman" w:hAnsi="Times New Roman" w:eastAsia="宋体" w:cs="Times New Roman"/>
                      <w:kern w:val="0"/>
                      <w:sz w:val="21"/>
                      <w:szCs w:val="21"/>
                      <w:lang w:val="en-US" w:eastAsia="en-US" w:bidi="ar"/>
                    </w:rPr>
                    <w:t>90</w:t>
                  </w:r>
                  <w:r>
                    <w:rPr>
                      <w:rFonts w:hint="eastAsia" w:ascii="宋体" w:hAnsi="宋体" w:eastAsia="宋体" w:cs="宋体"/>
                      <w:kern w:val="0"/>
                      <w:sz w:val="21"/>
                      <w:szCs w:val="21"/>
                      <w:lang w:val="en-US" w:eastAsia="en-US" w:bidi="ar"/>
                    </w:rPr>
                    <w:t>百分 位数</w:t>
                  </w:r>
                </w:p>
              </w:tc>
              <w:tc>
                <w:tcPr>
                  <w:tcW w:w="127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DB33278">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92</w:t>
                  </w:r>
                </w:p>
              </w:tc>
              <w:tc>
                <w:tcPr>
                  <w:tcW w:w="127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AB088A2">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160</w:t>
                  </w:r>
                </w:p>
              </w:tc>
              <w:tc>
                <w:tcPr>
                  <w:tcW w:w="1131"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EDB1ED3">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default" w:ascii="Times New Roman" w:hAnsi="Times New Roman" w:eastAsia="宋体" w:cs="Times New Roman"/>
                      <w:kern w:val="0"/>
                      <w:sz w:val="21"/>
                      <w:szCs w:val="21"/>
                      <w:lang w:val="en-US" w:eastAsia="en-US" w:bidi="ar"/>
                    </w:rPr>
                    <w:t>57.5</w:t>
                  </w:r>
                </w:p>
              </w:tc>
              <w:tc>
                <w:tcPr>
                  <w:tcW w:w="1164" w:type="dxa"/>
                  <w:tcBorders>
                    <w:top w:val="single" w:color="000000" w:sz="4" w:space="0"/>
                    <w:left w:val="single" w:color="000000" w:sz="4" w:space="0"/>
                    <w:bottom w:val="single" w:color="000000" w:sz="12" w:space="0"/>
                    <w:right w:val="nil"/>
                  </w:tcBorders>
                  <w:shd w:val="clear" w:color="auto" w:fill="auto"/>
                  <w:vAlign w:val="center"/>
                </w:tcPr>
                <w:p w14:paraId="70B44B56">
                  <w:pPr>
                    <w:pStyle w:val="19"/>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0"/>
                      <w:sz w:val="21"/>
                      <w:szCs w:val="21"/>
                      <w:lang w:val="en-US" w:eastAsia="en-US"/>
                    </w:rPr>
                  </w:pPr>
                  <w:r>
                    <w:rPr>
                      <w:rFonts w:hint="eastAsia" w:ascii="宋体" w:hAnsi="宋体" w:eastAsia="宋体" w:cs="宋体"/>
                      <w:kern w:val="0"/>
                      <w:sz w:val="21"/>
                      <w:szCs w:val="21"/>
                      <w:lang w:val="en-US" w:eastAsia="en-US" w:bidi="ar"/>
                    </w:rPr>
                    <w:t>达标</w:t>
                  </w:r>
                </w:p>
              </w:tc>
            </w:tr>
          </w:tbl>
          <w:p w14:paraId="1B6F4FD0">
            <w:pPr>
              <w:keepNext w:val="0"/>
              <w:keepLines w:val="0"/>
              <w:suppressLineNumbers w:val="0"/>
              <w:adjustRightInd w:val="0"/>
              <w:snapToGrid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根据基本污染物环境空气质量现状评价统计结果，项目所在地阜康市环境空气质量基本污染物中除了</w:t>
            </w:r>
            <w:r>
              <w:rPr>
                <w:rFonts w:hint="default" w:ascii="Times New Roman" w:hAnsi="Times New Roman" w:cs="Times New Roman" w:eastAsiaTheme="minorEastAsia"/>
                <w:color w:val="auto"/>
                <w:sz w:val="24"/>
                <w:lang w:val="en-US" w:eastAsia="zh-CN"/>
              </w:rPr>
              <w:t>PM</w:t>
            </w:r>
            <w:r>
              <w:rPr>
                <w:rFonts w:hint="default" w:ascii="Times New Roman" w:hAnsi="Times New Roman" w:cs="Times New Roman" w:eastAsiaTheme="minorEastAsia"/>
                <w:color w:val="auto"/>
                <w:sz w:val="24"/>
                <w:vertAlign w:val="subscript"/>
                <w:lang w:val="en-US" w:eastAsia="zh-CN"/>
              </w:rPr>
              <w:t>2.5</w:t>
            </w:r>
            <w:r>
              <w:rPr>
                <w:rFonts w:hint="eastAsia" w:ascii="Times New Roman" w:hAnsi="Times New Roman" w:cs="Times New Roman" w:eastAsiaTheme="minorEastAsia"/>
                <w:color w:val="auto"/>
                <w:sz w:val="24"/>
                <w:lang w:val="en-US" w:eastAsia="zh-CN"/>
              </w:rPr>
              <w:t>超标外，其余监测因子均满足《环境空气质量标准》（</w:t>
            </w:r>
            <w:r>
              <w:rPr>
                <w:rFonts w:hint="default" w:ascii="Times New Roman" w:hAnsi="Times New Roman" w:cs="Times New Roman" w:eastAsiaTheme="minorEastAsia"/>
                <w:color w:val="auto"/>
                <w:sz w:val="24"/>
                <w:lang w:val="en-US" w:eastAsia="zh-CN"/>
              </w:rPr>
              <w:t>GB3095-2012</w:t>
            </w:r>
            <w:r>
              <w:rPr>
                <w:rFonts w:hint="eastAsia" w:ascii="Times New Roman" w:hAnsi="Times New Roman" w:cs="Times New Roman" w:eastAsiaTheme="minorEastAsia"/>
                <w:color w:val="auto"/>
                <w:sz w:val="24"/>
                <w:lang w:val="en-US" w:eastAsia="zh-CN"/>
              </w:rPr>
              <w:t>）及修改清单的限值要求，本项目所在区域为不达标区域。</w:t>
            </w:r>
            <w:r>
              <w:rPr>
                <w:rFonts w:hint="default" w:ascii="Times New Roman" w:hAnsi="Times New Roman" w:cs="Times New Roman" w:eastAsiaTheme="minorEastAsia"/>
                <w:color w:val="auto"/>
                <w:sz w:val="24"/>
                <w:lang w:val="en-US" w:eastAsia="zh-CN"/>
              </w:rPr>
              <w:t>超标原因主要是</w:t>
            </w:r>
            <w:r>
              <w:rPr>
                <w:rFonts w:hint="eastAsia" w:ascii="Times New Roman" w:hAnsi="Times New Roman" w:cs="Times New Roman" w:eastAsiaTheme="minorEastAsia"/>
                <w:color w:val="auto"/>
                <w:sz w:val="24"/>
                <w:lang w:val="en-US" w:eastAsia="zh-CN"/>
              </w:rPr>
              <w:t>当地</w:t>
            </w:r>
            <w:r>
              <w:rPr>
                <w:rFonts w:hint="default" w:ascii="Times New Roman" w:hAnsi="Times New Roman" w:cs="Times New Roman" w:eastAsiaTheme="minorEastAsia"/>
                <w:color w:val="auto"/>
                <w:sz w:val="24"/>
                <w:lang w:val="en-US" w:eastAsia="zh-CN"/>
              </w:rPr>
              <w:t>气候干燥，浮尘天气等因素影响。</w:t>
            </w:r>
          </w:p>
          <w:p w14:paraId="60804D71">
            <w:pPr>
              <w:keepNext w:val="0"/>
              <w:keepLines w:val="0"/>
              <w:suppressLineNumbers w:val="0"/>
              <w:tabs>
                <w:tab w:val="left" w:pos="1100"/>
                <w:tab w:val="left" w:pos="4855"/>
              </w:tabs>
              <w:spacing w:before="0" w:beforeAutospacing="0" w:after="0" w:afterAutospacing="0" w:line="520" w:lineRule="exact"/>
              <w:ind w:left="0" w:right="0"/>
              <w:rPr>
                <w:rFonts w:hint="default" w:ascii="Times New Roman" w:hAnsi="Times New Roman" w:cs="Times New Roman" w:eastAsiaTheme="minorEastAsia"/>
                <w:color w:val="auto"/>
                <w:sz w:val="24"/>
                <w:szCs w:val="22"/>
                <w:lang w:val="en-US" w:eastAsia="zh-CN"/>
              </w:rPr>
            </w:pPr>
            <w:r>
              <w:rPr>
                <w:rFonts w:hint="eastAsia" w:cs="Times New Roman" w:eastAsiaTheme="minorEastAsia"/>
                <w:b/>
                <w:bCs/>
                <w:color w:val="auto"/>
                <w:sz w:val="24"/>
                <w:szCs w:val="32"/>
                <w:lang w:val="en-US" w:eastAsia="zh-CN"/>
              </w:rPr>
              <w:t>2.</w:t>
            </w:r>
            <w:r>
              <w:rPr>
                <w:rFonts w:hint="default" w:ascii="Times New Roman" w:hAnsi="Times New Roman" w:cs="Times New Roman" w:eastAsiaTheme="minorEastAsia"/>
                <w:b/>
                <w:bCs/>
                <w:color w:val="auto"/>
                <w:sz w:val="24"/>
                <w:szCs w:val="32"/>
                <w:lang w:val="en-US" w:eastAsia="zh-CN"/>
              </w:rPr>
              <w:t>地表</w:t>
            </w:r>
            <w:r>
              <w:rPr>
                <w:rFonts w:hint="default" w:ascii="Times New Roman" w:hAnsi="Times New Roman" w:cs="Times New Roman" w:eastAsiaTheme="minorEastAsia"/>
                <w:b/>
                <w:bCs/>
                <w:color w:val="auto"/>
                <w:sz w:val="24"/>
                <w:szCs w:val="32"/>
              </w:rPr>
              <w:t>水环境质量现状</w:t>
            </w:r>
            <w:r>
              <w:rPr>
                <w:rFonts w:hint="default" w:ascii="Times New Roman" w:hAnsi="Times New Roman" w:cs="Times New Roman" w:eastAsiaTheme="minorEastAsia"/>
                <w:b/>
                <w:bCs/>
                <w:color w:val="auto"/>
                <w:sz w:val="24"/>
                <w:szCs w:val="32"/>
                <w:lang w:val="en-US" w:eastAsia="zh-CN"/>
              </w:rPr>
              <w:t>调查与评价</w:t>
            </w:r>
          </w:p>
          <w:p w14:paraId="6849292E">
            <w:pPr>
              <w:keepNext w:val="0"/>
              <w:keepLines w:val="0"/>
              <w:suppressLineNumbers w:val="0"/>
              <w:spacing w:before="0" w:beforeAutospacing="0" w:after="0" w:afterAutospacing="0" w:line="520" w:lineRule="exact"/>
              <w:ind w:left="0" w:right="0" w:firstLine="480" w:firstLineChars="200"/>
              <w:rPr>
                <w:rFonts w:hint="eastAsia"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本项目诊疗废水+</w:t>
            </w:r>
            <w:r>
              <w:rPr>
                <w:rFonts w:hint="default" w:ascii="Times New Roman" w:hAnsi="Times New Roman" w:cs="Times New Roman" w:eastAsiaTheme="minorEastAsia"/>
                <w:color w:val="auto"/>
                <w:sz w:val="24"/>
                <w:lang w:val="en-US" w:eastAsia="zh-CN"/>
              </w:rPr>
              <w:t>宠物笼清洗污水</w:t>
            </w:r>
            <w:r>
              <w:rPr>
                <w:rFonts w:hint="eastAsia" w:ascii="Times New Roman" w:hAnsi="Times New Roman" w:cs="Times New Roman" w:eastAsiaTheme="minorEastAsia"/>
                <w:color w:val="auto"/>
                <w:sz w:val="24"/>
                <w:lang w:val="en-US" w:eastAsia="zh-CN"/>
              </w:rPr>
              <w:t>经一体化污水处理达标后与</w:t>
            </w:r>
            <w:r>
              <w:rPr>
                <w:rFonts w:hint="default" w:ascii="Times New Roman" w:hAnsi="Times New Roman" w:cs="Times New Roman" w:eastAsiaTheme="minorEastAsia"/>
                <w:color w:val="auto"/>
                <w:sz w:val="24"/>
                <w:lang w:val="en-US" w:eastAsia="zh-CN"/>
              </w:rPr>
              <w:t>美容废水</w:t>
            </w:r>
            <w:r>
              <w:rPr>
                <w:rFonts w:hint="eastAsia" w:ascii="Times New Roman" w:hAnsi="Times New Roman" w:cs="Times New Roman" w:eastAsiaTheme="minorEastAsia"/>
                <w:color w:val="auto"/>
                <w:sz w:val="24"/>
                <w:lang w:val="en-US" w:eastAsia="zh-CN"/>
              </w:rPr>
              <w:t>、生活污水一起排入市政污水管网进入污水处理厂，项目周边无地表水体。因此，本项目不进行地表水现状调查与评价。</w:t>
            </w:r>
          </w:p>
          <w:p w14:paraId="68C978DF">
            <w:pPr>
              <w:keepNext w:val="0"/>
              <w:keepLines w:val="0"/>
              <w:suppressLineNumbers w:val="0"/>
              <w:tabs>
                <w:tab w:val="left" w:pos="1100"/>
                <w:tab w:val="left" w:pos="4855"/>
              </w:tabs>
              <w:spacing w:before="0" w:beforeAutospacing="0" w:after="0" w:afterAutospacing="0" w:line="520" w:lineRule="exact"/>
              <w:ind w:left="0" w:right="0"/>
              <w:rPr>
                <w:rFonts w:hint="default" w:ascii="Times New Roman" w:hAnsi="Times New Roman" w:cs="Times New Roman" w:eastAsiaTheme="minorEastAsia"/>
                <w:b/>
                <w:bCs/>
                <w:color w:val="auto"/>
                <w:sz w:val="24"/>
                <w:szCs w:val="32"/>
                <w:lang w:val="en-US" w:eastAsia="zh-CN"/>
              </w:rPr>
            </w:pPr>
            <w:r>
              <w:rPr>
                <w:rFonts w:hint="eastAsia" w:ascii="Times New Roman" w:hAnsi="Times New Roman" w:cs="Times New Roman" w:eastAsiaTheme="minorEastAsia"/>
                <w:b/>
                <w:bCs/>
                <w:color w:val="auto"/>
                <w:sz w:val="24"/>
                <w:szCs w:val="32"/>
                <w:lang w:val="en-US" w:eastAsia="zh-CN"/>
              </w:rPr>
              <w:t>3.</w:t>
            </w:r>
            <w:r>
              <w:rPr>
                <w:rFonts w:hint="default" w:ascii="Times New Roman" w:hAnsi="Times New Roman" w:cs="Times New Roman" w:eastAsiaTheme="minorEastAsia"/>
                <w:b/>
                <w:bCs/>
                <w:color w:val="auto"/>
                <w:sz w:val="24"/>
                <w:szCs w:val="32"/>
                <w:lang w:val="en-US" w:eastAsia="zh-CN"/>
              </w:rPr>
              <w:t>声环境质量现状调查与评价</w:t>
            </w:r>
          </w:p>
          <w:p w14:paraId="15C51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本项目厂界周边50</w:t>
            </w:r>
            <w:r>
              <w:rPr>
                <w:rFonts w:hint="eastAsia" w:cs="Times New Roman" w:eastAsiaTheme="minorEastAsia"/>
                <w:color w:val="auto"/>
                <w:sz w:val="24"/>
                <w:lang w:val="en-US" w:eastAsia="zh-CN"/>
              </w:rPr>
              <w:t>m</w:t>
            </w:r>
            <w:r>
              <w:rPr>
                <w:rFonts w:hint="default" w:ascii="Times New Roman" w:hAnsi="Times New Roman" w:cs="Times New Roman" w:eastAsiaTheme="minorEastAsia"/>
                <w:color w:val="auto"/>
                <w:sz w:val="24"/>
                <w:lang w:val="en-US" w:eastAsia="zh-CN"/>
              </w:rPr>
              <w:t>范围内</w:t>
            </w:r>
            <w:r>
              <w:rPr>
                <w:rFonts w:hint="eastAsia" w:ascii="Times New Roman" w:hAnsi="Times New Roman" w:cs="Times New Roman" w:eastAsiaTheme="minorEastAsia"/>
                <w:color w:val="auto"/>
                <w:sz w:val="24"/>
                <w:lang w:val="en-US" w:eastAsia="zh-CN"/>
              </w:rPr>
              <w:t>存在居民点</w:t>
            </w:r>
            <w:r>
              <w:rPr>
                <w:rFonts w:hint="default" w:ascii="Times New Roman" w:hAnsi="Times New Roman" w:cs="Times New Roman" w:eastAsiaTheme="minorEastAsia"/>
                <w:color w:val="auto"/>
                <w:sz w:val="24"/>
                <w:lang w:val="en-US" w:eastAsia="zh-CN"/>
              </w:rPr>
              <w:t>声环境保护目标</w:t>
            </w:r>
            <w:r>
              <w:rPr>
                <w:rFonts w:hint="eastAsia" w:ascii="Times New Roman" w:hAnsi="Times New Roman" w:cs="Times New Roman" w:eastAsiaTheme="minorEastAsia"/>
                <w:color w:val="auto"/>
                <w:sz w:val="24"/>
                <w:lang w:val="en-US" w:eastAsia="zh-CN"/>
              </w:rPr>
              <w:t>且项目已建设</w:t>
            </w:r>
            <w:r>
              <w:rPr>
                <w:rFonts w:hint="default" w:ascii="Times New Roman" w:hAnsi="Times New Roman" w:cs="Times New Roman" w:eastAsiaTheme="minorEastAsia"/>
                <w:color w:val="auto"/>
                <w:sz w:val="24"/>
                <w:lang w:val="en-US" w:eastAsia="zh-CN"/>
              </w:rPr>
              <w:t>，</w:t>
            </w:r>
            <w:r>
              <w:rPr>
                <w:rFonts w:hint="eastAsia" w:ascii="Times New Roman" w:hAnsi="Times New Roman" w:cs="Times New Roman" w:eastAsiaTheme="minorEastAsia"/>
                <w:color w:val="auto"/>
                <w:sz w:val="24"/>
                <w:lang w:val="en-US" w:eastAsia="zh-CN"/>
              </w:rPr>
              <w:t>根据《建设项目环境影响报告表编制技术指南（污染影响类）（试行）》本次评价对项目区厂界50m范围内敏感目标及项目区四周进行声环境质量现状监测。</w:t>
            </w:r>
          </w:p>
          <w:p w14:paraId="6C8D33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hint="default"/>
                <w:b/>
                <w:bCs/>
                <w:color w:val="auto"/>
                <w:sz w:val="24"/>
              </w:rPr>
            </w:pPr>
            <w:r>
              <w:rPr>
                <w:rFonts w:hint="eastAsia"/>
                <w:b/>
                <w:bCs/>
                <w:color w:val="auto"/>
                <w:sz w:val="24"/>
                <w:lang w:val="en-US" w:eastAsia="zh-CN"/>
              </w:rPr>
              <w:t>3.1</w:t>
            </w:r>
            <w:r>
              <w:rPr>
                <w:rFonts w:hint="eastAsia"/>
                <w:b/>
                <w:bCs/>
                <w:color w:val="auto"/>
                <w:sz w:val="24"/>
              </w:rPr>
              <w:t>监测方法及监测点位</w:t>
            </w:r>
          </w:p>
          <w:p w14:paraId="6D9CB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监测方法：按照《声环境质量标准》（GB3096-2008）的规定执行。监测仪器为AWA6218B型噪声统计分析仪，测量前后均用声级标准器进行校准。</w:t>
            </w:r>
          </w:p>
          <w:p w14:paraId="1F1A4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监测时间：</w:t>
            </w:r>
            <w:r>
              <w:rPr>
                <w:rFonts w:hint="eastAsia" w:ascii="Times New Roman" w:hAnsi="Times New Roman" w:cs="Times New Roman" w:eastAsiaTheme="minorEastAsia"/>
                <w:color w:val="auto"/>
                <w:sz w:val="24"/>
                <w:lang w:val="en-US" w:eastAsia="zh-CN"/>
              </w:rPr>
              <w:t>2024年9月27日由</w:t>
            </w:r>
            <w:r>
              <w:rPr>
                <w:rFonts w:hint="default" w:ascii="Times New Roman" w:hAnsi="Times New Roman" w:cs="Times New Roman" w:eastAsiaTheme="minorEastAsia"/>
                <w:color w:val="auto"/>
                <w:sz w:val="24"/>
                <w:lang w:val="en-US" w:eastAsia="zh-CN"/>
              </w:rPr>
              <w:t>新疆国泰民康职业环境检测评价有限责任公司</w:t>
            </w:r>
            <w:r>
              <w:rPr>
                <w:rFonts w:hint="eastAsia" w:ascii="Times New Roman" w:hAnsi="Times New Roman" w:cs="Times New Roman" w:eastAsiaTheme="minorEastAsia"/>
                <w:color w:val="auto"/>
                <w:sz w:val="24"/>
                <w:lang w:val="en-US" w:eastAsia="zh-CN"/>
              </w:rPr>
              <w:t>对项目区厂界50m范围内敏感目标及项目区厂界进行声环境质量现状监测</w:t>
            </w:r>
            <w:r>
              <w:rPr>
                <w:rFonts w:hint="default" w:ascii="Times New Roman" w:hAnsi="Times New Roman" w:cs="Times New Roman" w:eastAsiaTheme="minorEastAsia"/>
                <w:color w:val="auto"/>
                <w:sz w:val="24"/>
                <w:lang w:val="en-US" w:eastAsia="zh-CN"/>
              </w:rPr>
              <w:t>。</w:t>
            </w:r>
          </w:p>
          <w:p w14:paraId="0376F2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3.2评价标准与评价方法</w:t>
            </w:r>
          </w:p>
          <w:p w14:paraId="30D36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项目</w:t>
            </w:r>
            <w:r>
              <w:rPr>
                <w:rFonts w:hint="eastAsia" w:ascii="Times New Roman" w:hAnsi="Times New Roman" w:cs="Times New Roman" w:eastAsiaTheme="minorEastAsia"/>
                <w:color w:val="auto"/>
                <w:sz w:val="24"/>
                <w:lang w:val="en-US" w:eastAsia="zh-CN"/>
              </w:rPr>
              <w:t>声环境</w:t>
            </w:r>
            <w:r>
              <w:rPr>
                <w:rFonts w:hint="default" w:ascii="Times New Roman" w:hAnsi="Times New Roman" w:cs="Times New Roman" w:eastAsiaTheme="minorEastAsia"/>
                <w:color w:val="auto"/>
                <w:sz w:val="24"/>
                <w:lang w:val="en-US" w:eastAsia="zh-CN"/>
              </w:rPr>
              <w:t>执行《声环境质量标准》（GB3096-2008）标准中</w:t>
            </w:r>
            <w:r>
              <w:rPr>
                <w:rFonts w:hint="eastAsia" w:ascii="Times New Roman" w:hAnsi="Times New Roman" w:cs="Times New Roman" w:eastAsiaTheme="minorEastAsia"/>
                <w:color w:val="auto"/>
                <w:sz w:val="24"/>
                <w:lang w:val="en-US" w:eastAsia="zh-CN"/>
              </w:rPr>
              <w:t>2</w:t>
            </w:r>
            <w:r>
              <w:rPr>
                <w:rFonts w:hint="default" w:ascii="Times New Roman" w:hAnsi="Times New Roman" w:cs="Times New Roman" w:eastAsiaTheme="minorEastAsia"/>
                <w:color w:val="auto"/>
                <w:sz w:val="24"/>
                <w:lang w:val="en-US" w:eastAsia="zh-CN"/>
              </w:rPr>
              <w:t>类限值；</w:t>
            </w:r>
            <w:r>
              <w:rPr>
                <w:rFonts w:hint="eastAsia" w:cs="Times New Roman" w:eastAsiaTheme="minorEastAsia"/>
                <w:color w:val="auto"/>
                <w:sz w:val="24"/>
                <w:lang w:val="en-US" w:eastAsia="zh-CN"/>
              </w:rPr>
              <w:t>即</w:t>
            </w:r>
            <w:r>
              <w:rPr>
                <w:rFonts w:hint="eastAsia" w:ascii="Times New Roman" w:hAnsi="Times New Roman" w:cs="Times New Roman" w:eastAsiaTheme="minorEastAsia"/>
                <w:color w:val="auto"/>
                <w:sz w:val="24"/>
                <w:lang w:val="en-US" w:eastAsia="zh-CN"/>
              </w:rPr>
              <w:t>昼间：60</w:t>
            </w:r>
            <w:r>
              <w:rPr>
                <w:rFonts w:hint="default" w:ascii="Times New Roman" w:hAnsi="Times New Roman" w:cs="Times New Roman" w:eastAsiaTheme="minorEastAsia"/>
                <w:color w:val="auto"/>
                <w:sz w:val="24"/>
                <w:lang w:val="en-US" w:eastAsia="zh-CN"/>
              </w:rPr>
              <w:t>dB(A)</w:t>
            </w:r>
            <w:r>
              <w:rPr>
                <w:rFonts w:hint="eastAsia" w:ascii="Times New Roman" w:hAnsi="Times New Roman" w:cs="Times New Roman" w:eastAsiaTheme="minorEastAsia"/>
                <w:color w:val="auto"/>
                <w:sz w:val="24"/>
                <w:lang w:val="en-US" w:eastAsia="zh-CN"/>
              </w:rPr>
              <w:t>，夜间50</w:t>
            </w:r>
            <w:r>
              <w:rPr>
                <w:rFonts w:hint="default" w:ascii="Times New Roman" w:hAnsi="Times New Roman" w:cs="Times New Roman" w:eastAsiaTheme="minorEastAsia"/>
                <w:color w:val="auto"/>
                <w:sz w:val="24"/>
                <w:lang w:val="en-US" w:eastAsia="zh-CN"/>
              </w:rPr>
              <w:t>dB(A)</w:t>
            </w:r>
            <w:r>
              <w:rPr>
                <w:rFonts w:hint="eastAsia" w:ascii="Times New Roman" w:hAnsi="Times New Roman" w:cs="Times New Roman" w:eastAsiaTheme="minorEastAsia"/>
                <w:color w:val="auto"/>
                <w:sz w:val="24"/>
                <w:lang w:val="en-US" w:eastAsia="zh-CN"/>
              </w:rPr>
              <w:t>。</w:t>
            </w:r>
          </w:p>
          <w:p w14:paraId="0BD289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3.3监测及评价结果</w:t>
            </w:r>
          </w:p>
          <w:p w14:paraId="2AB141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评价区噪声现状监测结果见表3-</w:t>
            </w:r>
            <w:r>
              <w:rPr>
                <w:rFonts w:hint="eastAsia" w:cs="Times New Roman" w:eastAsiaTheme="minorEastAsia"/>
                <w:color w:val="auto"/>
                <w:sz w:val="24"/>
                <w:lang w:val="en-US" w:eastAsia="zh-CN"/>
              </w:rPr>
              <w:t>2</w:t>
            </w:r>
            <w:r>
              <w:rPr>
                <w:rFonts w:hint="default" w:ascii="Times New Roman" w:hAnsi="Times New Roman" w:cs="Times New Roman" w:eastAsiaTheme="minorEastAsia"/>
                <w:color w:val="auto"/>
                <w:sz w:val="24"/>
                <w:lang w:val="en-US" w:eastAsia="zh-CN"/>
              </w:rPr>
              <w:t>。</w:t>
            </w:r>
          </w:p>
          <w:p w14:paraId="30A8614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表3-</w:t>
            </w:r>
            <w:r>
              <w:rPr>
                <w:rFonts w:hint="eastAsia" w:ascii="Times New Roman" w:hAnsi="Times New Roman" w:cs="Times New Roman" w:eastAsiaTheme="minorEastAsia"/>
                <w:b/>
                <w:color w:val="auto"/>
                <w:sz w:val="21"/>
                <w:szCs w:val="21"/>
                <w:lang w:val="en-US" w:eastAsia="zh-CN"/>
              </w:rPr>
              <w:t>2</w:t>
            </w:r>
            <w:r>
              <w:rPr>
                <w:rFonts w:hint="default" w:ascii="Times New Roman" w:hAnsi="Times New Roman" w:cs="Times New Roman" w:eastAsiaTheme="minorEastAsia"/>
                <w:b/>
                <w:color w:val="auto"/>
                <w:sz w:val="21"/>
                <w:szCs w:val="21"/>
                <w:lang w:val="en-US" w:eastAsia="zh-CN"/>
              </w:rPr>
              <w:t xml:space="preserve">   评价区噪声现状监测结果</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188"/>
              <w:gridCol w:w="1132"/>
              <w:gridCol w:w="3513"/>
            </w:tblGrid>
            <w:tr w14:paraId="054A04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bottom w:val="single" w:color="auto" w:sz="12" w:space="0"/>
                  </w:tcBorders>
                  <w:vAlign w:val="center"/>
                </w:tcPr>
                <w:p w14:paraId="3A28C196">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监测点位</w:t>
                  </w:r>
                </w:p>
              </w:tc>
              <w:tc>
                <w:tcPr>
                  <w:tcW w:w="743" w:type="pct"/>
                  <w:tcBorders>
                    <w:bottom w:val="single" w:color="auto" w:sz="12" w:space="0"/>
                  </w:tcBorders>
                  <w:vAlign w:val="center"/>
                </w:tcPr>
                <w:p w14:paraId="6909BDC8">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昼间</w:t>
                  </w:r>
                </w:p>
              </w:tc>
              <w:tc>
                <w:tcPr>
                  <w:tcW w:w="708" w:type="pct"/>
                  <w:tcBorders>
                    <w:bottom w:val="single" w:color="auto" w:sz="12" w:space="0"/>
                  </w:tcBorders>
                  <w:vAlign w:val="center"/>
                </w:tcPr>
                <w:p w14:paraId="6FEBDA11">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夜间</w:t>
                  </w:r>
                </w:p>
              </w:tc>
              <w:tc>
                <w:tcPr>
                  <w:tcW w:w="2196" w:type="pct"/>
                  <w:tcBorders>
                    <w:bottom w:val="single" w:color="auto" w:sz="12" w:space="0"/>
                  </w:tcBorders>
                  <w:vAlign w:val="center"/>
                </w:tcPr>
                <w:p w14:paraId="06FA85C4">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执行标准</w:t>
                  </w:r>
                </w:p>
              </w:tc>
            </w:tr>
            <w:tr w14:paraId="3E3C61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top w:val="single" w:color="auto" w:sz="12" w:space="0"/>
                    <w:tl2br w:val="nil"/>
                    <w:tr2bl w:val="nil"/>
                  </w:tcBorders>
                  <w:vAlign w:val="center"/>
                </w:tcPr>
                <w:p w14:paraId="2518EFEF">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医院东南侧1</w:t>
                  </w:r>
                  <w:r>
                    <w:rPr>
                      <w:rFonts w:hint="eastAsia" w:cs="Times New Roman" w:eastAsiaTheme="minorEastAsia"/>
                      <w:color w:val="auto"/>
                      <w:lang w:val="en-US" w:eastAsia="zh-CN"/>
                    </w:rPr>
                    <w:t>m</w:t>
                  </w:r>
                  <w:r>
                    <w:rPr>
                      <w:rFonts w:hint="eastAsia" w:ascii="Times New Roman" w:hAnsi="Times New Roman" w:cs="Times New Roman" w:eastAsiaTheme="minorEastAsia"/>
                      <w:color w:val="auto"/>
                      <w:lang w:val="en-US" w:eastAsia="zh-CN"/>
                    </w:rPr>
                    <w:t>处</w:t>
                  </w:r>
                </w:p>
              </w:tc>
              <w:tc>
                <w:tcPr>
                  <w:tcW w:w="743" w:type="pct"/>
                  <w:tcBorders>
                    <w:top w:val="single" w:color="auto" w:sz="12" w:space="0"/>
                    <w:tl2br w:val="nil"/>
                    <w:tr2bl w:val="nil"/>
                  </w:tcBorders>
                  <w:vAlign w:val="center"/>
                </w:tcPr>
                <w:p w14:paraId="5BEB08C1">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58</w:t>
                  </w:r>
                </w:p>
              </w:tc>
              <w:tc>
                <w:tcPr>
                  <w:tcW w:w="708" w:type="pct"/>
                  <w:tcBorders>
                    <w:top w:val="single" w:color="auto" w:sz="12" w:space="0"/>
                    <w:tl2br w:val="nil"/>
                    <w:tr2bl w:val="nil"/>
                  </w:tcBorders>
                  <w:vAlign w:val="center"/>
                </w:tcPr>
                <w:p w14:paraId="6BDD87BC">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48</w:t>
                  </w:r>
                </w:p>
              </w:tc>
              <w:tc>
                <w:tcPr>
                  <w:tcW w:w="2196" w:type="pct"/>
                  <w:vMerge w:val="restart"/>
                  <w:tcBorders>
                    <w:top w:val="single" w:color="auto" w:sz="12" w:space="0"/>
                    <w:tl2br w:val="nil"/>
                    <w:tr2bl w:val="nil"/>
                  </w:tcBorders>
                  <w:vAlign w:val="center"/>
                </w:tcPr>
                <w:p w14:paraId="27833FF3">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《声环境质量标准》（GB3096-2008）2类标准：昼间60dB（A） 夜间50dB（A）</w:t>
                  </w:r>
                </w:p>
              </w:tc>
            </w:tr>
            <w:tr w14:paraId="7A4959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tl2br w:val="nil"/>
                    <w:tr2bl w:val="nil"/>
                  </w:tcBorders>
                  <w:vAlign w:val="center"/>
                </w:tcPr>
                <w:p w14:paraId="22EBF6BF">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医院西南侧1</w:t>
                  </w:r>
                  <w:r>
                    <w:rPr>
                      <w:rFonts w:hint="eastAsia" w:cs="Times New Roman" w:eastAsiaTheme="minorEastAsia"/>
                      <w:color w:val="auto"/>
                      <w:lang w:val="en-US" w:eastAsia="zh-CN"/>
                    </w:rPr>
                    <w:t>m</w:t>
                  </w:r>
                  <w:r>
                    <w:rPr>
                      <w:rFonts w:hint="eastAsia" w:ascii="Times New Roman" w:hAnsi="Times New Roman" w:cs="Times New Roman" w:eastAsiaTheme="minorEastAsia"/>
                      <w:color w:val="auto"/>
                      <w:lang w:val="en-US" w:eastAsia="zh-CN"/>
                    </w:rPr>
                    <w:t>处</w:t>
                  </w:r>
                </w:p>
              </w:tc>
              <w:tc>
                <w:tcPr>
                  <w:tcW w:w="743" w:type="pct"/>
                  <w:tcBorders>
                    <w:tl2br w:val="nil"/>
                    <w:tr2bl w:val="nil"/>
                  </w:tcBorders>
                  <w:vAlign w:val="center"/>
                </w:tcPr>
                <w:p w14:paraId="1981B5F0">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57</w:t>
                  </w:r>
                </w:p>
              </w:tc>
              <w:tc>
                <w:tcPr>
                  <w:tcW w:w="708" w:type="pct"/>
                  <w:tcBorders>
                    <w:tl2br w:val="nil"/>
                    <w:tr2bl w:val="nil"/>
                  </w:tcBorders>
                  <w:vAlign w:val="center"/>
                </w:tcPr>
                <w:p w14:paraId="5ABD9596">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47</w:t>
                  </w:r>
                </w:p>
              </w:tc>
              <w:tc>
                <w:tcPr>
                  <w:tcW w:w="2196" w:type="pct"/>
                  <w:vMerge w:val="continue"/>
                  <w:tcBorders>
                    <w:tl2br w:val="nil"/>
                    <w:tr2bl w:val="nil"/>
                  </w:tcBorders>
                  <w:vAlign w:val="center"/>
                </w:tcPr>
                <w:p w14:paraId="0F1651ED">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p>
              </w:tc>
            </w:tr>
            <w:tr w14:paraId="34E1A2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tl2br w:val="nil"/>
                    <w:tr2bl w:val="nil"/>
                  </w:tcBorders>
                  <w:vAlign w:val="center"/>
                </w:tcPr>
                <w:p w14:paraId="14FD1E5B">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医院西北侧1</w:t>
                  </w:r>
                  <w:r>
                    <w:rPr>
                      <w:rFonts w:hint="eastAsia" w:cs="Times New Roman" w:eastAsiaTheme="minorEastAsia"/>
                      <w:color w:val="auto"/>
                      <w:lang w:val="en-US" w:eastAsia="zh-CN"/>
                    </w:rPr>
                    <w:t>m</w:t>
                  </w:r>
                  <w:r>
                    <w:rPr>
                      <w:rFonts w:hint="eastAsia" w:ascii="Times New Roman" w:hAnsi="Times New Roman" w:cs="Times New Roman" w:eastAsiaTheme="minorEastAsia"/>
                      <w:color w:val="auto"/>
                      <w:lang w:val="en-US" w:eastAsia="zh-CN"/>
                    </w:rPr>
                    <w:t>处</w:t>
                  </w:r>
                </w:p>
              </w:tc>
              <w:tc>
                <w:tcPr>
                  <w:tcW w:w="743" w:type="pct"/>
                  <w:tcBorders>
                    <w:tl2br w:val="nil"/>
                    <w:tr2bl w:val="nil"/>
                  </w:tcBorders>
                  <w:vAlign w:val="center"/>
                </w:tcPr>
                <w:p w14:paraId="658A4CA3">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56</w:t>
                  </w:r>
                </w:p>
              </w:tc>
              <w:tc>
                <w:tcPr>
                  <w:tcW w:w="708" w:type="pct"/>
                  <w:tcBorders>
                    <w:tl2br w:val="nil"/>
                    <w:tr2bl w:val="nil"/>
                  </w:tcBorders>
                  <w:vAlign w:val="center"/>
                </w:tcPr>
                <w:p w14:paraId="1DD905A5">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46</w:t>
                  </w:r>
                </w:p>
              </w:tc>
              <w:tc>
                <w:tcPr>
                  <w:tcW w:w="2196" w:type="pct"/>
                  <w:vMerge w:val="continue"/>
                  <w:tcBorders>
                    <w:tl2br w:val="nil"/>
                    <w:tr2bl w:val="nil"/>
                  </w:tcBorders>
                  <w:vAlign w:val="center"/>
                </w:tcPr>
                <w:p w14:paraId="7CF59C43">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p>
              </w:tc>
            </w:tr>
            <w:tr w14:paraId="171439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tl2br w:val="nil"/>
                    <w:tr2bl w:val="nil"/>
                  </w:tcBorders>
                  <w:vAlign w:val="center"/>
                </w:tcPr>
                <w:p w14:paraId="06898D34">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医院东北侧1</w:t>
                  </w:r>
                  <w:r>
                    <w:rPr>
                      <w:rFonts w:hint="eastAsia" w:cs="Times New Roman" w:eastAsiaTheme="minorEastAsia"/>
                      <w:color w:val="auto"/>
                      <w:lang w:val="en-US" w:eastAsia="zh-CN"/>
                    </w:rPr>
                    <w:t>m</w:t>
                  </w:r>
                  <w:r>
                    <w:rPr>
                      <w:rFonts w:hint="eastAsia" w:ascii="Times New Roman" w:hAnsi="Times New Roman" w:cs="Times New Roman" w:eastAsiaTheme="minorEastAsia"/>
                      <w:color w:val="auto"/>
                      <w:lang w:val="en-US" w:eastAsia="zh-CN"/>
                    </w:rPr>
                    <w:t>处</w:t>
                  </w:r>
                </w:p>
              </w:tc>
              <w:tc>
                <w:tcPr>
                  <w:tcW w:w="743" w:type="pct"/>
                  <w:tcBorders>
                    <w:tl2br w:val="nil"/>
                    <w:tr2bl w:val="nil"/>
                  </w:tcBorders>
                  <w:vAlign w:val="center"/>
                </w:tcPr>
                <w:p w14:paraId="01D0BACA">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56</w:t>
                  </w:r>
                </w:p>
              </w:tc>
              <w:tc>
                <w:tcPr>
                  <w:tcW w:w="708" w:type="pct"/>
                  <w:tcBorders>
                    <w:tl2br w:val="nil"/>
                    <w:tr2bl w:val="nil"/>
                  </w:tcBorders>
                  <w:vAlign w:val="center"/>
                </w:tcPr>
                <w:p w14:paraId="50E75E9F">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45</w:t>
                  </w:r>
                </w:p>
              </w:tc>
              <w:tc>
                <w:tcPr>
                  <w:tcW w:w="2196" w:type="pct"/>
                  <w:vMerge w:val="continue"/>
                  <w:tcBorders>
                    <w:tl2br w:val="nil"/>
                    <w:tr2bl w:val="nil"/>
                  </w:tcBorders>
                  <w:vAlign w:val="center"/>
                </w:tcPr>
                <w:p w14:paraId="34BB8605">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p>
              </w:tc>
            </w:tr>
            <w:tr w14:paraId="198595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tl2br w:val="nil"/>
                    <w:tr2bl w:val="nil"/>
                  </w:tcBorders>
                  <w:vAlign w:val="center"/>
                </w:tcPr>
                <w:p w14:paraId="74C441A6">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项目区</w:t>
                  </w:r>
                  <w:r>
                    <w:rPr>
                      <w:rFonts w:hint="eastAsia" w:cs="Times New Roman" w:eastAsiaTheme="minorEastAsia"/>
                      <w:color w:val="auto"/>
                      <w:lang w:val="en-US" w:eastAsia="zh-CN"/>
                    </w:rPr>
                    <w:t>北侧</w:t>
                  </w:r>
                  <w:r>
                    <w:rPr>
                      <w:rFonts w:hint="eastAsia" w:ascii="Times New Roman" w:hAnsi="Times New Roman" w:cs="Times New Roman" w:eastAsiaTheme="minorEastAsia"/>
                      <w:color w:val="auto"/>
                      <w:lang w:val="en-US" w:eastAsia="zh-CN"/>
                    </w:rPr>
                    <w:t>世纪花园40m处</w:t>
                  </w:r>
                </w:p>
              </w:tc>
              <w:tc>
                <w:tcPr>
                  <w:tcW w:w="743" w:type="pct"/>
                  <w:tcBorders>
                    <w:tl2br w:val="nil"/>
                    <w:tr2bl w:val="nil"/>
                  </w:tcBorders>
                  <w:vAlign w:val="center"/>
                </w:tcPr>
                <w:p w14:paraId="7A455FB1">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5</w:t>
                  </w:r>
                  <w:r>
                    <w:rPr>
                      <w:rFonts w:hint="eastAsia" w:ascii="Times New Roman" w:hAnsi="Times New Roman" w:cs="Times New Roman" w:eastAsiaTheme="minorEastAsia"/>
                      <w:color w:val="auto"/>
                      <w:lang w:val="en-US" w:eastAsia="zh-CN"/>
                    </w:rPr>
                    <w:t>7</w:t>
                  </w:r>
                </w:p>
              </w:tc>
              <w:tc>
                <w:tcPr>
                  <w:tcW w:w="708" w:type="pct"/>
                  <w:tcBorders>
                    <w:tl2br w:val="nil"/>
                    <w:tr2bl w:val="nil"/>
                  </w:tcBorders>
                  <w:vAlign w:val="center"/>
                </w:tcPr>
                <w:p w14:paraId="459BD65B">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4</w:t>
                  </w:r>
                  <w:r>
                    <w:rPr>
                      <w:rFonts w:hint="eastAsia" w:ascii="Times New Roman" w:hAnsi="Times New Roman" w:cs="Times New Roman" w:eastAsiaTheme="minorEastAsia"/>
                      <w:color w:val="auto"/>
                      <w:lang w:val="en-US" w:eastAsia="zh-CN"/>
                    </w:rPr>
                    <w:t>4</w:t>
                  </w:r>
                </w:p>
              </w:tc>
              <w:tc>
                <w:tcPr>
                  <w:tcW w:w="2196" w:type="pct"/>
                  <w:vMerge w:val="continue"/>
                  <w:tcBorders>
                    <w:tl2br w:val="nil"/>
                    <w:tr2bl w:val="nil"/>
                  </w:tcBorders>
                  <w:vAlign w:val="center"/>
                </w:tcPr>
                <w:p w14:paraId="7D36468A">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p>
              </w:tc>
            </w:tr>
          </w:tbl>
          <w:p w14:paraId="1604A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由监测数据可以看出，项目区</w:t>
            </w:r>
            <w:r>
              <w:rPr>
                <w:rFonts w:hint="eastAsia" w:ascii="Times New Roman" w:hAnsi="Times New Roman" w:cs="Times New Roman" w:eastAsiaTheme="minorEastAsia"/>
                <w:color w:val="auto"/>
                <w:sz w:val="24"/>
                <w:lang w:val="en-US" w:eastAsia="zh-CN"/>
              </w:rPr>
              <w:t>厂界及</w:t>
            </w:r>
            <w:r>
              <w:rPr>
                <w:rFonts w:hint="default" w:ascii="Times New Roman" w:hAnsi="Times New Roman" w:cs="Times New Roman" w:eastAsiaTheme="minorEastAsia"/>
                <w:color w:val="auto"/>
                <w:sz w:val="24"/>
                <w:lang w:val="en-US" w:eastAsia="zh-CN"/>
              </w:rPr>
              <w:t>项目区</w:t>
            </w:r>
            <w:r>
              <w:rPr>
                <w:rFonts w:hint="eastAsia" w:ascii="Times New Roman" w:hAnsi="Times New Roman" w:cs="Times New Roman" w:eastAsiaTheme="minorEastAsia"/>
                <w:color w:val="auto"/>
                <w:sz w:val="24"/>
                <w:lang w:val="en-US" w:eastAsia="zh-CN"/>
              </w:rPr>
              <w:t>北侧世纪花园40m处</w:t>
            </w:r>
            <w:r>
              <w:rPr>
                <w:rFonts w:hint="default" w:ascii="Times New Roman" w:hAnsi="Times New Roman" w:cs="Times New Roman" w:eastAsiaTheme="minorEastAsia"/>
                <w:color w:val="auto"/>
                <w:sz w:val="24"/>
                <w:lang w:val="en-US" w:eastAsia="zh-CN"/>
              </w:rPr>
              <w:t>监测点昼</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夜间噪声均能满足《声环境质量标准》（GB3096-2008）中的2类标准</w:t>
            </w:r>
            <w:r>
              <w:rPr>
                <w:rFonts w:hint="eastAsia" w:ascii="Times New Roman" w:hAnsi="Times New Roman" w:cs="Times New Roman" w:eastAsiaTheme="minorEastAsia"/>
                <w:color w:val="auto"/>
                <w:sz w:val="24"/>
                <w:lang w:val="en-US" w:eastAsia="zh-CN"/>
              </w:rPr>
              <w:t>限值</w:t>
            </w:r>
            <w:r>
              <w:rPr>
                <w:rFonts w:hint="default" w:ascii="Times New Roman" w:hAnsi="Times New Roman" w:cs="Times New Roman" w:eastAsiaTheme="minorEastAsia"/>
                <w:color w:val="auto"/>
                <w:sz w:val="24"/>
                <w:lang w:val="en-US" w:eastAsia="zh-CN"/>
              </w:rPr>
              <w:t>要求</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声环境质量良好。</w:t>
            </w:r>
          </w:p>
          <w:p w14:paraId="0AAEB5D2">
            <w:pPr>
              <w:keepNext w:val="0"/>
              <w:keepLines w:val="0"/>
              <w:suppressLineNumbers w:val="0"/>
              <w:tabs>
                <w:tab w:val="left" w:pos="1100"/>
              </w:tabs>
              <w:spacing w:before="0" w:beforeAutospacing="0" w:after="0" w:afterAutospacing="0" w:line="520" w:lineRule="exact"/>
              <w:ind w:left="0" w:right="0"/>
              <w:rPr>
                <w:rFonts w:hint="default" w:ascii="Times New Roman" w:hAnsi="Times New Roman" w:cs="Times New Roman" w:eastAsiaTheme="minorEastAsia"/>
                <w:b/>
                <w:bCs/>
                <w:color w:val="auto"/>
                <w:sz w:val="24"/>
                <w:szCs w:val="32"/>
              </w:rPr>
            </w:pPr>
            <w:r>
              <w:rPr>
                <w:rFonts w:hint="eastAsia" w:cs="Times New Roman" w:eastAsiaTheme="minorEastAsia"/>
                <w:b/>
                <w:bCs/>
                <w:color w:val="auto"/>
                <w:sz w:val="24"/>
                <w:szCs w:val="32"/>
                <w:lang w:val="en-US" w:eastAsia="zh-CN"/>
              </w:rPr>
              <w:t>4.</w:t>
            </w:r>
            <w:r>
              <w:rPr>
                <w:rFonts w:hint="default" w:ascii="Times New Roman" w:hAnsi="Times New Roman" w:cs="Times New Roman" w:eastAsiaTheme="minorEastAsia"/>
                <w:b/>
                <w:bCs/>
                <w:color w:val="auto"/>
                <w:sz w:val="24"/>
                <w:szCs w:val="32"/>
              </w:rPr>
              <w:t>生态环境现状与评价</w:t>
            </w:r>
          </w:p>
          <w:p w14:paraId="2A1BF1E4">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根据《建设项目环境影响报告表编制技术指南（污染影响类）》，本项目租赁现有商铺，位于城市建成区内，用地周边主要为商铺、社区居民点和道路，无珍稀濒危物种、自然保护区、风景名胜区等生态环境保护目标，不属于生态敏感区，本次评价不开展生态环境现状调查</w:t>
            </w:r>
            <w:r>
              <w:rPr>
                <w:rFonts w:hint="default" w:ascii="Times New Roman" w:hAnsi="Times New Roman" w:cs="Times New Roman" w:eastAsiaTheme="minorEastAsia"/>
                <w:color w:val="auto"/>
                <w:sz w:val="24"/>
                <w:lang w:eastAsia="zh-CN"/>
              </w:rPr>
              <w:t>。</w:t>
            </w:r>
          </w:p>
          <w:p w14:paraId="26E35A71">
            <w:pPr>
              <w:keepNext w:val="0"/>
              <w:keepLines w:val="0"/>
              <w:suppressLineNumbers w:val="0"/>
              <w:tabs>
                <w:tab w:val="left" w:pos="1100"/>
              </w:tabs>
              <w:spacing w:before="0" w:beforeAutospacing="0" w:after="0" w:afterAutospacing="0" w:line="520" w:lineRule="exact"/>
              <w:ind w:left="0" w:right="0"/>
              <w:rPr>
                <w:rFonts w:hint="default" w:ascii="Times New Roman" w:hAnsi="Times New Roman" w:cs="Times New Roman" w:eastAsiaTheme="minorEastAsia"/>
                <w:b/>
                <w:bCs/>
                <w:color w:val="auto"/>
                <w:sz w:val="24"/>
                <w:szCs w:val="32"/>
              </w:rPr>
            </w:pPr>
            <w:r>
              <w:rPr>
                <w:rFonts w:hint="eastAsia" w:ascii="Times New Roman" w:hAnsi="Times New Roman" w:cs="Times New Roman" w:eastAsiaTheme="minorEastAsia"/>
                <w:b/>
                <w:bCs/>
                <w:color w:val="auto"/>
                <w:sz w:val="24"/>
                <w:szCs w:val="32"/>
                <w:lang w:val="en-US" w:eastAsia="zh-CN"/>
              </w:rPr>
              <w:t>5.</w:t>
            </w:r>
            <w:r>
              <w:rPr>
                <w:rFonts w:hint="default" w:ascii="Times New Roman" w:hAnsi="Times New Roman" w:cs="Times New Roman" w:eastAsiaTheme="minorEastAsia"/>
                <w:b/>
                <w:bCs/>
                <w:color w:val="auto"/>
                <w:sz w:val="24"/>
                <w:szCs w:val="32"/>
              </w:rPr>
              <w:t>电磁辐射</w:t>
            </w:r>
          </w:p>
          <w:p w14:paraId="2C0BC199">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本项目辐射源为一台DR装置（动物用X射线诊断装置），由建设单位另行委托专业单位承担辐射环评，不在本次评价范围内。</w:t>
            </w:r>
          </w:p>
          <w:p w14:paraId="2EE7ED6B">
            <w:pPr>
              <w:keepNext w:val="0"/>
              <w:keepLines w:val="0"/>
              <w:suppressLineNumbers w:val="0"/>
              <w:tabs>
                <w:tab w:val="left" w:pos="1100"/>
              </w:tabs>
              <w:spacing w:before="0" w:beforeAutospacing="0" w:after="0" w:afterAutospacing="0" w:line="520" w:lineRule="exact"/>
              <w:ind w:left="0" w:right="0"/>
              <w:rPr>
                <w:rFonts w:hint="default" w:ascii="Times New Roman" w:hAnsi="Times New Roman" w:cs="Times New Roman" w:eastAsiaTheme="minorEastAsia"/>
                <w:b/>
                <w:bCs/>
                <w:color w:val="auto"/>
                <w:sz w:val="24"/>
                <w:szCs w:val="32"/>
                <w:lang w:val="en-US" w:eastAsia="zh-CN"/>
              </w:rPr>
            </w:pPr>
            <w:r>
              <w:rPr>
                <w:rFonts w:hint="eastAsia" w:ascii="Times New Roman" w:hAnsi="Times New Roman" w:cs="Times New Roman" w:eastAsiaTheme="minorEastAsia"/>
                <w:b/>
                <w:bCs/>
                <w:color w:val="auto"/>
                <w:sz w:val="24"/>
                <w:szCs w:val="32"/>
                <w:lang w:val="en-US" w:eastAsia="zh-CN"/>
              </w:rPr>
              <w:t>6.</w:t>
            </w:r>
            <w:r>
              <w:rPr>
                <w:rFonts w:hint="default" w:ascii="Times New Roman" w:hAnsi="Times New Roman" w:cs="Times New Roman" w:eastAsiaTheme="minorEastAsia"/>
                <w:b/>
                <w:bCs/>
                <w:color w:val="auto"/>
                <w:sz w:val="24"/>
                <w:szCs w:val="32"/>
                <w:lang w:val="en-US" w:eastAsia="zh-CN"/>
              </w:rPr>
              <w:t>地下水、土壤环境</w:t>
            </w:r>
          </w:p>
          <w:p w14:paraId="7D526710">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sz w:val="24"/>
                <w:szCs w:val="24"/>
              </w:rPr>
            </w:pPr>
            <w:r>
              <w:rPr>
                <w:rFonts w:hint="eastAsia" w:ascii="Times New Roman" w:hAnsi="Times New Roman" w:cs="Times New Roman" w:eastAsiaTheme="minorEastAsia"/>
                <w:color w:val="auto"/>
                <w:sz w:val="24"/>
                <w:lang w:val="en-US" w:eastAsia="zh-CN"/>
              </w:rPr>
              <w:t>依据</w:t>
            </w:r>
            <w:r>
              <w:rPr>
                <w:rFonts w:hint="default" w:ascii="Times New Roman" w:hAnsi="Times New Roman" w:cs="Times New Roman" w:eastAsiaTheme="minorEastAsia"/>
                <w:color w:val="auto"/>
                <w:sz w:val="24"/>
                <w:lang w:val="en-US" w:eastAsia="zh-CN"/>
              </w:rPr>
              <w:t>《建设项目环境影响报告表编制技术指南（污染影响类）</w:t>
            </w:r>
            <w:r>
              <w:rPr>
                <w:rFonts w:hint="eastAsia" w:ascii="Times New Roman" w:hAnsi="Times New Roman" w:cs="Times New Roman" w:eastAsiaTheme="minorEastAsia"/>
                <w:color w:val="auto"/>
                <w:sz w:val="24"/>
                <w:lang w:val="en-US" w:eastAsia="zh-CN"/>
              </w:rPr>
              <w:t>（试行）</w:t>
            </w:r>
            <w:r>
              <w:rPr>
                <w:rFonts w:hint="default" w:ascii="Times New Roman" w:hAnsi="Times New Roman" w:cs="Times New Roman" w:eastAsiaTheme="minorEastAsia"/>
                <w:color w:val="auto"/>
                <w:sz w:val="24"/>
                <w:lang w:val="en-US" w:eastAsia="zh-CN"/>
              </w:rPr>
              <w:t>》</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地下水、土壤环境原则上不开展环境质量现状调查，建设项目存在地下水环境、土壤环境污染途径的，应结合污染源、保护目标分布情况开展现状调查以留作背景值。</w:t>
            </w:r>
            <w:r>
              <w:rPr>
                <w:rFonts w:hint="eastAsia" w:ascii="Times New Roman" w:hAnsi="Times New Roman" w:cs="Times New Roman" w:eastAsiaTheme="minorEastAsia"/>
                <w:color w:val="auto"/>
                <w:sz w:val="24"/>
                <w:lang w:val="en-US" w:eastAsia="zh-CN"/>
              </w:rPr>
              <w:t>本项目运营期不涉及地下水和土壤污染源，故不再开展地下水、土壤环境质量现状评价。</w:t>
            </w:r>
          </w:p>
        </w:tc>
      </w:tr>
      <w:tr w14:paraId="193A1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57" w:type="dxa"/>
            <w:vAlign w:val="center"/>
          </w:tcPr>
          <w:p w14:paraId="6275F0F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环境</w:t>
            </w:r>
          </w:p>
          <w:p w14:paraId="04F39BE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保护</w:t>
            </w:r>
          </w:p>
          <w:p w14:paraId="1CF7EFF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 w:val="24"/>
              </w:rPr>
              <w:t>目标</w:t>
            </w:r>
          </w:p>
        </w:tc>
        <w:tc>
          <w:tcPr>
            <w:tcW w:w="8533" w:type="dxa"/>
            <w:vAlign w:val="center"/>
          </w:tcPr>
          <w:p w14:paraId="2DE23727">
            <w:pPr>
              <w:keepNext w:val="0"/>
              <w:keepLines w:val="0"/>
              <w:suppressLineNumbers w:val="0"/>
              <w:spacing w:before="0" w:beforeAutospacing="0" w:after="0" w:afterAutospacing="0" w:line="520" w:lineRule="exact"/>
              <w:ind w:left="0" w:right="0" w:firstLine="482" w:firstLineChars="200"/>
              <w:jc w:val="left"/>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1</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大气环境</w:t>
            </w:r>
          </w:p>
          <w:p w14:paraId="0702135F">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根据对项目所在区域环境的现场调查，项目周边500</w:t>
            </w:r>
            <w:r>
              <w:rPr>
                <w:rFonts w:hint="eastAsia" w:cs="Times New Roman" w:eastAsiaTheme="minorEastAsia"/>
                <w:color w:val="auto"/>
                <w:sz w:val="24"/>
                <w:lang w:val="en-US" w:eastAsia="zh-CN"/>
              </w:rPr>
              <w:t>m</w:t>
            </w:r>
            <w:r>
              <w:rPr>
                <w:rFonts w:hint="default" w:ascii="Times New Roman" w:hAnsi="Times New Roman" w:cs="Times New Roman" w:eastAsiaTheme="minorEastAsia"/>
                <w:color w:val="auto"/>
                <w:sz w:val="24"/>
                <w:lang w:val="en-US" w:eastAsia="zh-CN"/>
              </w:rPr>
              <w:t>范围内主要为商业店铺和居住区。本项目主要环境空气环境保护目标与级别详见下表。</w:t>
            </w:r>
          </w:p>
          <w:p w14:paraId="0D1093A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表3-</w:t>
            </w:r>
            <w:r>
              <w:rPr>
                <w:rFonts w:hint="eastAsia" w:ascii="Times New Roman" w:hAnsi="Times New Roman" w:cs="Times New Roman" w:eastAsiaTheme="minorEastAsia"/>
                <w:b/>
                <w:color w:val="auto"/>
                <w:sz w:val="21"/>
                <w:szCs w:val="21"/>
                <w:lang w:val="en-US" w:eastAsia="zh-CN"/>
              </w:rPr>
              <w:t>3</w:t>
            </w:r>
            <w:r>
              <w:rPr>
                <w:rFonts w:hint="default" w:ascii="Times New Roman" w:hAnsi="Times New Roman" w:cs="Times New Roman" w:eastAsiaTheme="minorEastAsia"/>
                <w:b/>
                <w:color w:val="auto"/>
                <w:sz w:val="21"/>
                <w:szCs w:val="21"/>
                <w:lang w:val="en-US" w:eastAsia="zh-CN"/>
              </w:rPr>
              <w:t xml:space="preserve">   本项目大气环境保护目标及保护级别一览表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24"/>
              <w:gridCol w:w="853"/>
              <w:gridCol w:w="797"/>
              <w:gridCol w:w="1069"/>
              <w:gridCol w:w="1127"/>
              <w:gridCol w:w="1694"/>
            </w:tblGrid>
            <w:tr w14:paraId="09EB16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bottom w:val="single" w:color="auto" w:sz="12" w:space="0"/>
                  </w:tcBorders>
                  <w:vAlign w:val="center"/>
                </w:tcPr>
                <w:p w14:paraId="789A10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环境要素</w:t>
                  </w:r>
                </w:p>
              </w:tc>
              <w:tc>
                <w:tcPr>
                  <w:tcW w:w="1078" w:type="pct"/>
                  <w:tcBorders>
                    <w:bottom w:val="single" w:color="auto" w:sz="12" w:space="0"/>
                  </w:tcBorders>
                  <w:vAlign w:val="center"/>
                </w:tcPr>
                <w:p w14:paraId="4A63453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保护目标</w:t>
                  </w:r>
                </w:p>
              </w:tc>
              <w:tc>
                <w:tcPr>
                  <w:tcW w:w="533" w:type="pct"/>
                  <w:tcBorders>
                    <w:bottom w:val="single" w:color="auto" w:sz="12" w:space="0"/>
                  </w:tcBorders>
                  <w:vAlign w:val="center"/>
                </w:tcPr>
                <w:p w14:paraId="326C28E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环境功能</w:t>
                  </w:r>
                </w:p>
              </w:tc>
              <w:tc>
                <w:tcPr>
                  <w:tcW w:w="498" w:type="pct"/>
                  <w:tcBorders>
                    <w:bottom w:val="single" w:color="auto" w:sz="12" w:space="0"/>
                  </w:tcBorders>
                  <w:vAlign w:val="center"/>
                </w:tcPr>
                <w:p w14:paraId="6E715F3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保护内容</w:t>
                  </w:r>
                </w:p>
              </w:tc>
              <w:tc>
                <w:tcPr>
                  <w:tcW w:w="668" w:type="pct"/>
                  <w:tcBorders>
                    <w:bottom w:val="single" w:color="auto" w:sz="12" w:space="0"/>
                  </w:tcBorders>
                  <w:vAlign w:val="center"/>
                </w:tcPr>
                <w:p w14:paraId="370341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相对厂址位置</w:t>
                  </w:r>
                </w:p>
              </w:tc>
              <w:tc>
                <w:tcPr>
                  <w:tcW w:w="704" w:type="pct"/>
                  <w:tcBorders>
                    <w:bottom w:val="single" w:color="auto" w:sz="12" w:space="0"/>
                  </w:tcBorders>
                  <w:vAlign w:val="center"/>
                </w:tcPr>
                <w:p w14:paraId="5086FD4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相对</w:t>
                  </w:r>
                  <w:r>
                    <w:rPr>
                      <w:rFonts w:hint="eastAsia" w:cs="Times New Roman" w:eastAsiaTheme="minorEastAsia"/>
                      <w:b/>
                      <w:bCs/>
                      <w:color w:val="auto"/>
                      <w:sz w:val="21"/>
                      <w:szCs w:val="21"/>
                      <w:vertAlign w:val="baseline"/>
                      <w:lang w:val="en-US" w:eastAsia="zh-CN"/>
                    </w:rPr>
                    <w:t>医院</w:t>
                  </w:r>
                  <w:r>
                    <w:rPr>
                      <w:rFonts w:hint="default" w:ascii="Times New Roman" w:hAnsi="Times New Roman" w:cs="Times New Roman" w:eastAsiaTheme="minorEastAsia"/>
                      <w:b/>
                      <w:bCs/>
                      <w:color w:val="auto"/>
                      <w:sz w:val="21"/>
                      <w:szCs w:val="21"/>
                      <w:vertAlign w:val="baseline"/>
                      <w:lang w:val="en-US" w:eastAsia="zh-CN"/>
                    </w:rPr>
                    <w:t>距离/</w:t>
                  </w:r>
                  <w:r>
                    <w:rPr>
                      <w:rFonts w:hint="eastAsia" w:cs="Times New Roman" w:eastAsiaTheme="minorEastAsia"/>
                      <w:b/>
                      <w:bCs/>
                      <w:color w:val="auto"/>
                      <w:sz w:val="21"/>
                      <w:szCs w:val="21"/>
                      <w:vertAlign w:val="baseline"/>
                      <w:lang w:val="en-US" w:eastAsia="zh-CN"/>
                    </w:rPr>
                    <w:t>m</w:t>
                  </w:r>
                </w:p>
              </w:tc>
              <w:tc>
                <w:tcPr>
                  <w:tcW w:w="1059" w:type="pct"/>
                  <w:tcBorders>
                    <w:bottom w:val="single" w:color="auto" w:sz="12" w:space="0"/>
                  </w:tcBorders>
                  <w:vAlign w:val="center"/>
                </w:tcPr>
                <w:p w14:paraId="13B97CB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保护级别</w:t>
                  </w:r>
                </w:p>
              </w:tc>
            </w:tr>
            <w:tr w14:paraId="721BD2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restart"/>
                  <w:tcBorders>
                    <w:top w:val="single" w:color="auto" w:sz="12" w:space="0"/>
                    <w:tl2br w:val="nil"/>
                    <w:tr2bl w:val="nil"/>
                  </w:tcBorders>
                  <w:vAlign w:val="center"/>
                </w:tcPr>
                <w:p w14:paraId="1ADA3FA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大气环境</w:t>
                  </w:r>
                </w:p>
              </w:tc>
              <w:tc>
                <w:tcPr>
                  <w:tcW w:w="1078" w:type="pct"/>
                  <w:tcBorders>
                    <w:top w:val="single" w:color="auto" w:sz="12" w:space="0"/>
                    <w:tl2br w:val="nil"/>
                    <w:tr2bl w:val="nil"/>
                  </w:tcBorders>
                  <w:vAlign w:val="center"/>
                </w:tcPr>
                <w:p w14:paraId="628455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世纪花园</w:t>
                  </w:r>
                  <w:r>
                    <w:rPr>
                      <w:rFonts w:hint="default" w:ascii="Times New Roman" w:hAnsi="Times New Roman" w:cs="Times New Roman" w:eastAsiaTheme="minorEastAsia"/>
                      <w:color w:val="auto"/>
                      <w:sz w:val="21"/>
                      <w:szCs w:val="21"/>
                      <w:vertAlign w:val="baseline"/>
                      <w:lang w:val="en-US" w:eastAsia="zh-CN"/>
                    </w:rPr>
                    <w:t>小区</w:t>
                  </w:r>
                </w:p>
              </w:tc>
              <w:tc>
                <w:tcPr>
                  <w:tcW w:w="533" w:type="pct"/>
                  <w:tcBorders>
                    <w:top w:val="single" w:color="auto" w:sz="12" w:space="0"/>
                    <w:tl2br w:val="nil"/>
                    <w:tr2bl w:val="nil"/>
                  </w:tcBorders>
                  <w:vAlign w:val="center"/>
                </w:tcPr>
                <w:p w14:paraId="5CACF72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居</w:t>
                  </w:r>
                  <w:r>
                    <w:rPr>
                      <w:rFonts w:hint="eastAsia" w:cs="Times New Roman" w:eastAsiaTheme="minorEastAsia"/>
                      <w:b w:val="0"/>
                      <w:bCs w:val="0"/>
                      <w:color w:val="auto"/>
                      <w:sz w:val="21"/>
                      <w:szCs w:val="21"/>
                      <w:vertAlign w:val="baseline"/>
                      <w:lang w:val="en-US" w:eastAsia="zh-CN"/>
                    </w:rPr>
                    <w:t>住区</w:t>
                  </w:r>
                </w:p>
              </w:tc>
              <w:tc>
                <w:tcPr>
                  <w:tcW w:w="498" w:type="pct"/>
                  <w:tcBorders>
                    <w:top w:val="single" w:color="auto" w:sz="12" w:space="0"/>
                    <w:tl2br w:val="nil"/>
                    <w:tr2bl w:val="nil"/>
                  </w:tcBorders>
                  <w:vAlign w:val="center"/>
                </w:tcPr>
                <w:p w14:paraId="4CE4E90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居民</w:t>
                  </w:r>
                </w:p>
              </w:tc>
              <w:tc>
                <w:tcPr>
                  <w:tcW w:w="668" w:type="pct"/>
                  <w:tcBorders>
                    <w:top w:val="single" w:color="auto" w:sz="12" w:space="0"/>
                    <w:tl2br w:val="nil"/>
                    <w:tr2bl w:val="nil"/>
                  </w:tcBorders>
                  <w:vAlign w:val="center"/>
                </w:tcPr>
                <w:p w14:paraId="199D5FD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北侧</w:t>
                  </w:r>
                </w:p>
              </w:tc>
              <w:tc>
                <w:tcPr>
                  <w:tcW w:w="704" w:type="pct"/>
                  <w:tcBorders>
                    <w:top w:val="single" w:color="auto" w:sz="12" w:space="0"/>
                    <w:tl2br w:val="nil"/>
                    <w:tr2bl w:val="nil"/>
                  </w:tcBorders>
                  <w:vAlign w:val="center"/>
                </w:tcPr>
                <w:p w14:paraId="79BA25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40</w:t>
                  </w:r>
                </w:p>
              </w:tc>
              <w:tc>
                <w:tcPr>
                  <w:tcW w:w="1059" w:type="pct"/>
                  <w:vMerge w:val="restart"/>
                  <w:tcBorders>
                    <w:top w:val="single" w:color="auto" w:sz="12" w:space="0"/>
                    <w:tl2br w:val="nil"/>
                    <w:tr2bl w:val="nil"/>
                  </w:tcBorders>
                  <w:vAlign w:val="center"/>
                </w:tcPr>
                <w:p w14:paraId="5A7D5D1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《环境空气质量标准》（GB3095-2012）及修改单的二级标准</w:t>
                  </w:r>
                </w:p>
              </w:tc>
            </w:tr>
            <w:tr w14:paraId="636409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tcBorders>
                    <w:tl2br w:val="nil"/>
                    <w:tr2bl w:val="nil"/>
                  </w:tcBorders>
                  <w:vAlign w:val="center"/>
                </w:tcPr>
                <w:p w14:paraId="74AAB7A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1078" w:type="pct"/>
                  <w:tcBorders>
                    <w:tl2br w:val="nil"/>
                    <w:tr2bl w:val="nil"/>
                  </w:tcBorders>
                  <w:vAlign w:val="center"/>
                </w:tcPr>
                <w:p w14:paraId="79AA0DB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阜康</w:t>
                  </w:r>
                  <w:r>
                    <w:rPr>
                      <w:rFonts w:hint="eastAsia" w:ascii="Times New Roman" w:hAnsi="Times New Roman" w:cs="Times New Roman" w:eastAsiaTheme="minorEastAsia"/>
                      <w:color w:val="auto"/>
                      <w:sz w:val="21"/>
                      <w:szCs w:val="21"/>
                      <w:vertAlign w:val="baseline"/>
                      <w:lang w:val="en-US" w:eastAsia="zh-CN"/>
                    </w:rPr>
                    <w:t>市新民医院</w:t>
                  </w:r>
                </w:p>
              </w:tc>
              <w:tc>
                <w:tcPr>
                  <w:tcW w:w="533" w:type="pct"/>
                  <w:tcBorders>
                    <w:tl2br w:val="nil"/>
                    <w:tr2bl w:val="nil"/>
                  </w:tcBorders>
                  <w:vAlign w:val="center"/>
                </w:tcPr>
                <w:p w14:paraId="5E5EE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医院</w:t>
                  </w:r>
                </w:p>
              </w:tc>
              <w:tc>
                <w:tcPr>
                  <w:tcW w:w="498" w:type="pct"/>
                  <w:tcBorders>
                    <w:tl2br w:val="nil"/>
                    <w:tr2bl w:val="nil"/>
                  </w:tcBorders>
                  <w:vAlign w:val="center"/>
                </w:tcPr>
                <w:p w14:paraId="14E2AC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vertAlign w:val="baseline"/>
                      <w:lang w:val="en-US" w:eastAsia="zh-CN"/>
                    </w:rPr>
                    <w:t>医生、病人</w:t>
                  </w:r>
                </w:p>
              </w:tc>
              <w:tc>
                <w:tcPr>
                  <w:tcW w:w="668" w:type="pct"/>
                  <w:tcBorders>
                    <w:tl2br w:val="nil"/>
                    <w:tr2bl w:val="nil"/>
                  </w:tcBorders>
                  <w:vAlign w:val="center"/>
                </w:tcPr>
                <w:p w14:paraId="7070247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西侧</w:t>
                  </w:r>
                </w:p>
              </w:tc>
              <w:tc>
                <w:tcPr>
                  <w:tcW w:w="704" w:type="pct"/>
                  <w:tcBorders>
                    <w:tl2br w:val="nil"/>
                    <w:tr2bl w:val="nil"/>
                  </w:tcBorders>
                  <w:vAlign w:val="center"/>
                </w:tcPr>
                <w:p w14:paraId="445E7A6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100</w:t>
                  </w:r>
                </w:p>
              </w:tc>
              <w:tc>
                <w:tcPr>
                  <w:tcW w:w="1059" w:type="pct"/>
                  <w:vMerge w:val="continue"/>
                  <w:tcBorders>
                    <w:tl2br w:val="nil"/>
                    <w:tr2bl w:val="nil"/>
                  </w:tcBorders>
                  <w:vAlign w:val="center"/>
                </w:tcPr>
                <w:p w14:paraId="5F270F4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sz w:val="21"/>
                      <w:szCs w:val="21"/>
                      <w:vertAlign w:val="baseline"/>
                      <w:lang w:val="en-US" w:eastAsia="zh-CN"/>
                    </w:rPr>
                  </w:pPr>
                </w:p>
              </w:tc>
            </w:tr>
            <w:tr w14:paraId="5FCD82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tcBorders>
                    <w:tl2br w:val="nil"/>
                    <w:tr2bl w:val="nil"/>
                  </w:tcBorders>
                  <w:vAlign w:val="center"/>
                </w:tcPr>
                <w:p w14:paraId="1FFBF22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vertAlign w:val="baseline"/>
                      <w:lang w:val="en-US" w:eastAsia="zh-CN"/>
                    </w:rPr>
                  </w:pPr>
                </w:p>
              </w:tc>
              <w:tc>
                <w:tcPr>
                  <w:tcW w:w="1078" w:type="pct"/>
                  <w:tcBorders>
                    <w:tl2br w:val="nil"/>
                    <w:tr2bl w:val="nil"/>
                  </w:tcBorders>
                  <w:vAlign w:val="center"/>
                </w:tcPr>
                <w:p w14:paraId="4D29BD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阜兴花园小区</w:t>
                  </w:r>
                </w:p>
              </w:tc>
              <w:tc>
                <w:tcPr>
                  <w:tcW w:w="533" w:type="pct"/>
                  <w:tcBorders>
                    <w:tl2br w:val="nil"/>
                    <w:tr2bl w:val="nil"/>
                  </w:tcBorders>
                  <w:vAlign w:val="center"/>
                </w:tcPr>
                <w:p w14:paraId="7AA23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居</w:t>
                  </w:r>
                  <w:r>
                    <w:rPr>
                      <w:rFonts w:hint="eastAsia" w:cs="Times New Roman" w:eastAsiaTheme="minorEastAsia"/>
                      <w:b w:val="0"/>
                      <w:bCs w:val="0"/>
                      <w:color w:val="auto"/>
                      <w:sz w:val="21"/>
                      <w:szCs w:val="21"/>
                      <w:vertAlign w:val="baseline"/>
                      <w:lang w:val="en-US" w:eastAsia="zh-CN"/>
                    </w:rPr>
                    <w:t>住区</w:t>
                  </w:r>
                </w:p>
              </w:tc>
              <w:tc>
                <w:tcPr>
                  <w:tcW w:w="498" w:type="pct"/>
                  <w:tcBorders>
                    <w:tl2br w:val="nil"/>
                    <w:tr2bl w:val="nil"/>
                  </w:tcBorders>
                  <w:vAlign w:val="center"/>
                </w:tcPr>
                <w:p w14:paraId="7076F6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vertAlign w:val="baseline"/>
                      <w:lang w:val="en-US" w:eastAsia="zh-CN"/>
                    </w:rPr>
                    <w:t>居民</w:t>
                  </w:r>
                </w:p>
              </w:tc>
              <w:tc>
                <w:tcPr>
                  <w:tcW w:w="668" w:type="pct"/>
                  <w:tcBorders>
                    <w:tl2br w:val="nil"/>
                    <w:tr2bl w:val="nil"/>
                  </w:tcBorders>
                  <w:vAlign w:val="center"/>
                </w:tcPr>
                <w:p w14:paraId="03A8107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南侧</w:t>
                  </w:r>
                </w:p>
              </w:tc>
              <w:tc>
                <w:tcPr>
                  <w:tcW w:w="704" w:type="pct"/>
                  <w:tcBorders>
                    <w:tl2br w:val="nil"/>
                    <w:tr2bl w:val="nil"/>
                  </w:tcBorders>
                  <w:vAlign w:val="center"/>
                </w:tcPr>
                <w:p w14:paraId="496122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70</w:t>
                  </w:r>
                </w:p>
              </w:tc>
              <w:tc>
                <w:tcPr>
                  <w:tcW w:w="1059" w:type="pct"/>
                  <w:vMerge w:val="continue"/>
                  <w:tcBorders>
                    <w:tl2br w:val="nil"/>
                    <w:tr2bl w:val="nil"/>
                  </w:tcBorders>
                  <w:vAlign w:val="center"/>
                </w:tcPr>
                <w:p w14:paraId="2D8712A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sz w:val="21"/>
                      <w:szCs w:val="21"/>
                      <w:vertAlign w:val="baseline"/>
                      <w:lang w:val="en-US" w:eastAsia="zh-CN"/>
                    </w:rPr>
                  </w:pPr>
                </w:p>
              </w:tc>
            </w:tr>
            <w:tr w14:paraId="6E7013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tcBorders>
                    <w:tl2br w:val="nil"/>
                    <w:tr2bl w:val="nil"/>
                  </w:tcBorders>
                  <w:vAlign w:val="center"/>
                </w:tcPr>
                <w:p w14:paraId="5CEDF62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vertAlign w:val="baseline"/>
                      <w:lang w:val="en-US" w:eastAsia="zh-CN"/>
                    </w:rPr>
                  </w:pPr>
                </w:p>
              </w:tc>
              <w:tc>
                <w:tcPr>
                  <w:tcW w:w="1078" w:type="pct"/>
                  <w:tcBorders>
                    <w:tl2br w:val="nil"/>
                    <w:tr2bl w:val="nil"/>
                  </w:tcBorders>
                  <w:vAlign w:val="center"/>
                </w:tcPr>
                <w:p w14:paraId="08DC8AB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惠丰小区</w:t>
                  </w:r>
                </w:p>
              </w:tc>
              <w:tc>
                <w:tcPr>
                  <w:tcW w:w="533" w:type="pct"/>
                  <w:tcBorders>
                    <w:tl2br w:val="nil"/>
                    <w:tr2bl w:val="nil"/>
                  </w:tcBorders>
                  <w:vAlign w:val="center"/>
                </w:tcPr>
                <w:p w14:paraId="34440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居</w:t>
                  </w:r>
                  <w:r>
                    <w:rPr>
                      <w:rFonts w:hint="eastAsia" w:cs="Times New Roman" w:eastAsiaTheme="minorEastAsia"/>
                      <w:b w:val="0"/>
                      <w:bCs w:val="0"/>
                      <w:color w:val="auto"/>
                      <w:sz w:val="21"/>
                      <w:szCs w:val="21"/>
                      <w:vertAlign w:val="baseline"/>
                      <w:lang w:val="en-US" w:eastAsia="zh-CN"/>
                    </w:rPr>
                    <w:t>住区</w:t>
                  </w:r>
                </w:p>
              </w:tc>
              <w:tc>
                <w:tcPr>
                  <w:tcW w:w="498" w:type="pct"/>
                  <w:tcBorders>
                    <w:tl2br w:val="nil"/>
                    <w:tr2bl w:val="nil"/>
                  </w:tcBorders>
                  <w:vAlign w:val="center"/>
                </w:tcPr>
                <w:p w14:paraId="4470CD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居民</w:t>
                  </w:r>
                </w:p>
              </w:tc>
              <w:tc>
                <w:tcPr>
                  <w:tcW w:w="668" w:type="pct"/>
                  <w:tcBorders>
                    <w:tl2br w:val="nil"/>
                    <w:tr2bl w:val="nil"/>
                  </w:tcBorders>
                  <w:vAlign w:val="center"/>
                </w:tcPr>
                <w:p w14:paraId="6ED8C68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东北侧</w:t>
                  </w:r>
                </w:p>
              </w:tc>
              <w:tc>
                <w:tcPr>
                  <w:tcW w:w="704" w:type="pct"/>
                  <w:tcBorders>
                    <w:tl2br w:val="nil"/>
                    <w:tr2bl w:val="nil"/>
                  </w:tcBorders>
                  <w:vAlign w:val="center"/>
                </w:tcPr>
                <w:p w14:paraId="1ECAF56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130</w:t>
                  </w:r>
                </w:p>
              </w:tc>
              <w:tc>
                <w:tcPr>
                  <w:tcW w:w="1059" w:type="pct"/>
                  <w:vMerge w:val="continue"/>
                  <w:tcBorders>
                    <w:tl2br w:val="nil"/>
                    <w:tr2bl w:val="nil"/>
                  </w:tcBorders>
                  <w:vAlign w:val="center"/>
                </w:tcPr>
                <w:p w14:paraId="7DD5610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sz w:val="21"/>
                      <w:szCs w:val="21"/>
                      <w:vertAlign w:val="baseline"/>
                      <w:lang w:val="en-US" w:eastAsia="zh-CN"/>
                    </w:rPr>
                  </w:pPr>
                </w:p>
              </w:tc>
            </w:tr>
            <w:tr w14:paraId="516564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tcBorders>
                    <w:tl2br w:val="nil"/>
                    <w:tr2bl w:val="nil"/>
                  </w:tcBorders>
                  <w:vAlign w:val="center"/>
                </w:tcPr>
                <w:p w14:paraId="176F2D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vertAlign w:val="baseline"/>
                      <w:lang w:val="en-US" w:eastAsia="zh-CN"/>
                    </w:rPr>
                  </w:pPr>
                </w:p>
              </w:tc>
              <w:tc>
                <w:tcPr>
                  <w:tcW w:w="1078" w:type="pct"/>
                  <w:tcBorders>
                    <w:tl2br w:val="nil"/>
                    <w:tr2bl w:val="nil"/>
                  </w:tcBorders>
                  <w:vAlign w:val="center"/>
                </w:tcPr>
                <w:p w14:paraId="37DFA12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鹄赛餐饮</w:t>
                  </w:r>
                </w:p>
              </w:tc>
              <w:tc>
                <w:tcPr>
                  <w:tcW w:w="533" w:type="pct"/>
                  <w:tcBorders>
                    <w:tl2br w:val="nil"/>
                    <w:tr2bl w:val="nil"/>
                  </w:tcBorders>
                  <w:vAlign w:val="center"/>
                </w:tcPr>
                <w:p w14:paraId="1FFE1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商铺</w:t>
                  </w:r>
                </w:p>
              </w:tc>
              <w:tc>
                <w:tcPr>
                  <w:tcW w:w="498" w:type="pct"/>
                  <w:tcBorders>
                    <w:tl2br w:val="nil"/>
                    <w:tr2bl w:val="nil"/>
                  </w:tcBorders>
                  <w:vAlign w:val="center"/>
                </w:tcPr>
                <w:p w14:paraId="1929F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商家、顾客</w:t>
                  </w:r>
                </w:p>
              </w:tc>
              <w:tc>
                <w:tcPr>
                  <w:tcW w:w="668" w:type="pct"/>
                  <w:tcBorders>
                    <w:tl2br w:val="nil"/>
                    <w:tr2bl w:val="nil"/>
                  </w:tcBorders>
                  <w:vAlign w:val="center"/>
                </w:tcPr>
                <w:p w14:paraId="195CD8F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左侧紧邻</w:t>
                  </w:r>
                </w:p>
              </w:tc>
              <w:tc>
                <w:tcPr>
                  <w:tcW w:w="704" w:type="pct"/>
                  <w:tcBorders>
                    <w:tl2br w:val="nil"/>
                    <w:tr2bl w:val="nil"/>
                  </w:tcBorders>
                  <w:vAlign w:val="center"/>
                </w:tcPr>
                <w:p w14:paraId="477BBC2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0</w:t>
                  </w:r>
                </w:p>
              </w:tc>
              <w:tc>
                <w:tcPr>
                  <w:tcW w:w="1059" w:type="pct"/>
                  <w:vMerge w:val="continue"/>
                  <w:tcBorders>
                    <w:tl2br w:val="nil"/>
                    <w:tr2bl w:val="nil"/>
                  </w:tcBorders>
                  <w:vAlign w:val="center"/>
                </w:tcPr>
                <w:p w14:paraId="52D28A5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sz w:val="21"/>
                      <w:szCs w:val="21"/>
                      <w:vertAlign w:val="baseline"/>
                      <w:lang w:val="en-US" w:eastAsia="zh-CN"/>
                    </w:rPr>
                  </w:pPr>
                </w:p>
              </w:tc>
            </w:tr>
            <w:tr w14:paraId="6F8946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tcBorders>
                    <w:tl2br w:val="nil"/>
                    <w:tr2bl w:val="nil"/>
                  </w:tcBorders>
                  <w:vAlign w:val="center"/>
                </w:tcPr>
                <w:p w14:paraId="37C2C6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vertAlign w:val="baseline"/>
                      <w:lang w:val="en-US" w:eastAsia="zh-CN"/>
                    </w:rPr>
                  </w:pPr>
                </w:p>
              </w:tc>
              <w:tc>
                <w:tcPr>
                  <w:tcW w:w="1078" w:type="pct"/>
                  <w:tcBorders>
                    <w:tl2br w:val="nil"/>
                    <w:tr2bl w:val="nil"/>
                  </w:tcBorders>
                  <w:vAlign w:val="center"/>
                </w:tcPr>
                <w:p w14:paraId="7B7D37B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佳乐多商行</w:t>
                  </w:r>
                </w:p>
              </w:tc>
              <w:tc>
                <w:tcPr>
                  <w:tcW w:w="533" w:type="pct"/>
                  <w:tcBorders>
                    <w:tl2br w:val="nil"/>
                    <w:tr2bl w:val="nil"/>
                  </w:tcBorders>
                  <w:vAlign w:val="center"/>
                </w:tcPr>
                <w:p w14:paraId="4DBE6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商铺</w:t>
                  </w:r>
                </w:p>
              </w:tc>
              <w:tc>
                <w:tcPr>
                  <w:tcW w:w="498" w:type="pct"/>
                  <w:tcBorders>
                    <w:tl2br w:val="nil"/>
                    <w:tr2bl w:val="nil"/>
                  </w:tcBorders>
                  <w:vAlign w:val="center"/>
                </w:tcPr>
                <w:p w14:paraId="3FD4DB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商家、顾客</w:t>
                  </w:r>
                </w:p>
              </w:tc>
              <w:tc>
                <w:tcPr>
                  <w:tcW w:w="668" w:type="pct"/>
                  <w:tcBorders>
                    <w:tl2br w:val="nil"/>
                    <w:tr2bl w:val="nil"/>
                  </w:tcBorders>
                  <w:vAlign w:val="center"/>
                </w:tcPr>
                <w:p w14:paraId="5E71948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右侧紧邻</w:t>
                  </w:r>
                </w:p>
              </w:tc>
              <w:tc>
                <w:tcPr>
                  <w:tcW w:w="704" w:type="pct"/>
                  <w:tcBorders>
                    <w:tl2br w:val="nil"/>
                    <w:tr2bl w:val="nil"/>
                  </w:tcBorders>
                  <w:vAlign w:val="center"/>
                </w:tcPr>
                <w:p w14:paraId="16D8CB9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0</w:t>
                  </w:r>
                </w:p>
              </w:tc>
              <w:tc>
                <w:tcPr>
                  <w:tcW w:w="1059" w:type="pct"/>
                  <w:vMerge w:val="continue"/>
                  <w:tcBorders>
                    <w:tl2br w:val="nil"/>
                    <w:tr2bl w:val="nil"/>
                  </w:tcBorders>
                  <w:vAlign w:val="center"/>
                </w:tcPr>
                <w:p w14:paraId="69F84B3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eastAsiaTheme="minorEastAsia"/>
                      <w:color w:val="auto"/>
                      <w:sz w:val="21"/>
                      <w:szCs w:val="21"/>
                      <w:vertAlign w:val="baseline"/>
                      <w:lang w:val="en-US" w:eastAsia="zh-CN"/>
                    </w:rPr>
                  </w:pPr>
                </w:p>
              </w:tc>
            </w:tr>
          </w:tbl>
          <w:p w14:paraId="08F45497">
            <w:pPr>
              <w:keepNext w:val="0"/>
              <w:keepLines w:val="0"/>
              <w:suppressLineNumbers w:val="0"/>
              <w:spacing w:before="0" w:beforeAutospacing="0" w:after="0" w:afterAutospacing="0" w:line="520" w:lineRule="exact"/>
              <w:ind w:left="0" w:right="0" w:firstLine="482" w:firstLineChars="200"/>
              <w:jc w:val="left"/>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2</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声环境</w:t>
            </w:r>
          </w:p>
          <w:p w14:paraId="26C9F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本项目厂界外50</w:t>
            </w:r>
            <w:r>
              <w:rPr>
                <w:rFonts w:hint="eastAsia" w:cs="Times New Roman" w:eastAsiaTheme="minorEastAsia"/>
                <w:color w:val="auto"/>
                <w:sz w:val="24"/>
                <w:lang w:val="en-US" w:eastAsia="zh-CN"/>
              </w:rPr>
              <w:t>m</w:t>
            </w:r>
            <w:r>
              <w:rPr>
                <w:rFonts w:hint="default" w:ascii="Times New Roman" w:hAnsi="Times New Roman" w:cs="Times New Roman" w:eastAsiaTheme="minorEastAsia"/>
                <w:color w:val="auto"/>
                <w:sz w:val="24"/>
                <w:lang w:val="en-US" w:eastAsia="zh-CN"/>
              </w:rPr>
              <w:t>范围内声环境保护目标主要为</w:t>
            </w:r>
            <w:r>
              <w:rPr>
                <w:rFonts w:hint="eastAsia" w:ascii="Times New Roman" w:hAnsi="Times New Roman" w:cs="Times New Roman" w:eastAsiaTheme="minorEastAsia"/>
                <w:color w:val="auto"/>
                <w:sz w:val="24"/>
                <w:lang w:val="en-US" w:eastAsia="zh-CN"/>
              </w:rPr>
              <w:t>世纪花园</w:t>
            </w:r>
            <w:r>
              <w:rPr>
                <w:rFonts w:hint="eastAsia" w:cs="Times New Roman" w:eastAsiaTheme="minorEastAsia"/>
                <w:color w:val="auto"/>
                <w:sz w:val="24"/>
                <w:lang w:val="en-US" w:eastAsia="zh-CN"/>
              </w:rPr>
              <w:t>小区</w:t>
            </w:r>
            <w:r>
              <w:rPr>
                <w:rFonts w:hint="default" w:ascii="Times New Roman" w:hAnsi="Times New Roman" w:cs="Times New Roman" w:eastAsiaTheme="minorEastAsia"/>
                <w:color w:val="auto"/>
                <w:sz w:val="24"/>
                <w:lang w:val="en-US" w:eastAsia="zh-CN"/>
              </w:rPr>
              <w:t>。</w:t>
            </w:r>
          </w:p>
          <w:p w14:paraId="0D2CC686">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表3-</w:t>
            </w:r>
            <w:r>
              <w:rPr>
                <w:rFonts w:hint="eastAsia" w:ascii="Times New Roman" w:hAnsi="Times New Roman" w:cs="Times New Roman" w:eastAsiaTheme="minorEastAsia"/>
                <w:b/>
                <w:color w:val="auto"/>
                <w:sz w:val="21"/>
                <w:szCs w:val="21"/>
                <w:lang w:val="en-US" w:eastAsia="zh-CN"/>
              </w:rPr>
              <w:t>4</w:t>
            </w:r>
            <w:r>
              <w:rPr>
                <w:rFonts w:hint="default" w:ascii="Times New Roman" w:hAnsi="Times New Roman" w:cs="Times New Roman" w:eastAsiaTheme="minorEastAsia"/>
                <w:b/>
                <w:color w:val="auto"/>
                <w:sz w:val="21"/>
                <w:szCs w:val="21"/>
                <w:lang w:val="en-US" w:eastAsia="zh-CN"/>
              </w:rPr>
              <w:t xml:space="preserve">   本项目声环境保护目标一览表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37"/>
              <w:gridCol w:w="825"/>
              <w:gridCol w:w="752"/>
              <w:gridCol w:w="1068"/>
              <w:gridCol w:w="1143"/>
              <w:gridCol w:w="1903"/>
            </w:tblGrid>
            <w:tr w14:paraId="0D33E5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bottom w:val="single" w:color="auto" w:sz="12" w:space="0"/>
                  </w:tcBorders>
                  <w:vAlign w:val="center"/>
                </w:tcPr>
                <w:p w14:paraId="582C3120">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环境要素</w:t>
                  </w:r>
                </w:p>
              </w:tc>
              <w:tc>
                <w:tcPr>
                  <w:tcW w:w="961" w:type="pct"/>
                  <w:tcBorders>
                    <w:bottom w:val="single" w:color="auto" w:sz="12" w:space="0"/>
                  </w:tcBorders>
                  <w:vAlign w:val="center"/>
                </w:tcPr>
                <w:p w14:paraId="1D7133CC">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保护目标</w:t>
                  </w:r>
                </w:p>
              </w:tc>
              <w:tc>
                <w:tcPr>
                  <w:tcW w:w="516" w:type="pct"/>
                  <w:tcBorders>
                    <w:bottom w:val="single" w:color="auto" w:sz="12" w:space="0"/>
                  </w:tcBorders>
                  <w:vAlign w:val="center"/>
                </w:tcPr>
                <w:p w14:paraId="022A5B57">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保护对象</w:t>
                  </w:r>
                </w:p>
              </w:tc>
              <w:tc>
                <w:tcPr>
                  <w:tcW w:w="470" w:type="pct"/>
                  <w:tcBorders>
                    <w:bottom w:val="single" w:color="auto" w:sz="12" w:space="0"/>
                  </w:tcBorders>
                  <w:vAlign w:val="center"/>
                </w:tcPr>
                <w:p w14:paraId="5E663496">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人数（人）</w:t>
                  </w:r>
                </w:p>
              </w:tc>
              <w:tc>
                <w:tcPr>
                  <w:tcW w:w="668" w:type="pct"/>
                  <w:tcBorders>
                    <w:bottom w:val="single" w:color="auto" w:sz="12" w:space="0"/>
                  </w:tcBorders>
                  <w:vAlign w:val="center"/>
                </w:tcPr>
                <w:p w14:paraId="5FE97AA6">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相对厂址位置</w:t>
                  </w:r>
                </w:p>
              </w:tc>
              <w:tc>
                <w:tcPr>
                  <w:tcW w:w="714" w:type="pct"/>
                  <w:tcBorders>
                    <w:bottom w:val="single" w:color="auto" w:sz="12" w:space="0"/>
                  </w:tcBorders>
                  <w:vAlign w:val="center"/>
                </w:tcPr>
                <w:p w14:paraId="78B8F492">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相对厂址距离/</w:t>
                  </w:r>
                  <w:r>
                    <w:rPr>
                      <w:rFonts w:hint="eastAsia" w:cs="Times New Roman" w:eastAsiaTheme="minorEastAsia"/>
                      <w:b/>
                      <w:bCs/>
                      <w:color w:val="auto"/>
                      <w:sz w:val="21"/>
                      <w:szCs w:val="21"/>
                      <w:vertAlign w:val="baseline"/>
                      <w:lang w:val="en-US" w:eastAsia="zh-CN"/>
                    </w:rPr>
                    <w:t>m</w:t>
                  </w:r>
                </w:p>
              </w:tc>
              <w:tc>
                <w:tcPr>
                  <w:tcW w:w="1190" w:type="pct"/>
                  <w:tcBorders>
                    <w:bottom w:val="single" w:color="auto" w:sz="12" w:space="0"/>
                  </w:tcBorders>
                  <w:vAlign w:val="center"/>
                </w:tcPr>
                <w:p w14:paraId="7AA758BC">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保护级别</w:t>
                  </w:r>
                </w:p>
              </w:tc>
            </w:tr>
            <w:tr w14:paraId="52F10C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top w:val="single" w:color="auto" w:sz="12" w:space="0"/>
                    <w:tl2br w:val="nil"/>
                    <w:tr2bl w:val="nil"/>
                  </w:tcBorders>
                  <w:vAlign w:val="center"/>
                </w:tcPr>
                <w:p w14:paraId="3C996966">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声环境</w:t>
                  </w:r>
                </w:p>
              </w:tc>
              <w:tc>
                <w:tcPr>
                  <w:tcW w:w="961" w:type="pct"/>
                  <w:tcBorders>
                    <w:top w:val="single" w:color="auto" w:sz="12" w:space="0"/>
                    <w:bottom w:val="single" w:color="auto" w:sz="12" w:space="0"/>
                    <w:tl2br w:val="nil"/>
                    <w:tr2bl w:val="nil"/>
                  </w:tcBorders>
                  <w:vAlign w:val="center"/>
                </w:tcPr>
                <w:p w14:paraId="6FF04A1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世纪花园小区</w:t>
                  </w:r>
                </w:p>
              </w:tc>
              <w:tc>
                <w:tcPr>
                  <w:tcW w:w="516" w:type="pct"/>
                  <w:tcBorders>
                    <w:top w:val="single" w:color="auto" w:sz="12" w:space="0"/>
                    <w:bottom w:val="single" w:color="auto" w:sz="12" w:space="0"/>
                    <w:tl2br w:val="nil"/>
                    <w:tr2bl w:val="nil"/>
                  </w:tcBorders>
                  <w:vAlign w:val="center"/>
                </w:tcPr>
                <w:p w14:paraId="2F5244E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color w:val="auto"/>
                      <w:kern w:val="2"/>
                      <w:sz w:val="21"/>
                      <w:szCs w:val="21"/>
                      <w:vertAlign w:val="baseline"/>
                      <w:lang w:val="en-US" w:eastAsia="zh-CN" w:bidi="ar-SA"/>
                    </w:rPr>
                  </w:pPr>
                  <w:r>
                    <w:rPr>
                      <w:rFonts w:hint="default" w:ascii="Times New Roman" w:hAnsi="Times New Roman" w:cs="Times New Roman" w:eastAsiaTheme="minorEastAsia"/>
                      <w:b w:val="0"/>
                      <w:bCs w:val="0"/>
                      <w:color w:val="auto"/>
                      <w:sz w:val="21"/>
                      <w:szCs w:val="21"/>
                      <w:vertAlign w:val="baseline"/>
                      <w:lang w:val="en-US" w:eastAsia="zh-CN"/>
                    </w:rPr>
                    <w:t>居民</w:t>
                  </w:r>
                </w:p>
              </w:tc>
              <w:tc>
                <w:tcPr>
                  <w:tcW w:w="470" w:type="pct"/>
                  <w:tcBorders>
                    <w:top w:val="single" w:color="auto" w:sz="12" w:space="0"/>
                    <w:bottom w:val="single" w:color="auto" w:sz="12" w:space="0"/>
                    <w:tl2br w:val="nil"/>
                    <w:tr2bl w:val="nil"/>
                  </w:tcBorders>
                  <w:vAlign w:val="center"/>
                </w:tcPr>
                <w:p w14:paraId="2385453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600</w:t>
                  </w:r>
                </w:p>
              </w:tc>
              <w:tc>
                <w:tcPr>
                  <w:tcW w:w="668" w:type="pct"/>
                  <w:tcBorders>
                    <w:top w:val="single" w:color="auto" w:sz="12" w:space="0"/>
                    <w:bottom w:val="single" w:color="auto" w:sz="12" w:space="0"/>
                    <w:tl2br w:val="nil"/>
                    <w:tr2bl w:val="nil"/>
                  </w:tcBorders>
                  <w:vAlign w:val="center"/>
                </w:tcPr>
                <w:p w14:paraId="4055A3B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val="0"/>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北侧</w:t>
                  </w:r>
                </w:p>
              </w:tc>
              <w:tc>
                <w:tcPr>
                  <w:tcW w:w="714" w:type="pct"/>
                  <w:tcBorders>
                    <w:top w:val="single" w:color="auto" w:sz="12" w:space="0"/>
                    <w:bottom w:val="single" w:color="auto" w:sz="12" w:space="0"/>
                    <w:tl2br w:val="nil"/>
                    <w:tr2bl w:val="nil"/>
                  </w:tcBorders>
                  <w:vAlign w:val="center"/>
                </w:tcPr>
                <w:p w14:paraId="404B78C1">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b w:val="0"/>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40</w:t>
                  </w:r>
                </w:p>
              </w:tc>
              <w:tc>
                <w:tcPr>
                  <w:tcW w:w="1190" w:type="pct"/>
                  <w:vMerge w:val="restart"/>
                  <w:tcBorders>
                    <w:top w:val="single" w:color="auto" w:sz="12" w:space="0"/>
                    <w:tl2br w:val="nil"/>
                    <w:tr2bl w:val="nil"/>
                  </w:tcBorders>
                  <w:vAlign w:val="center"/>
                </w:tcPr>
                <w:p w14:paraId="23F5B354">
                  <w:pPr>
                    <w:pStyle w:val="9"/>
                    <w:keepNext w:val="0"/>
                    <w:keepLines w:val="0"/>
                    <w:suppressLineNumbers w:val="0"/>
                    <w:bidi w:val="0"/>
                    <w:spacing w:before="0" w:beforeAutospacing="0" w:afterAutospacing="0" w:line="240" w:lineRule="auto"/>
                    <w:ind w:left="0" w:leftChars="0" w:right="0" w:firstLine="0" w:firstLineChars="0"/>
                    <w:jc w:val="both"/>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《声环境质量标准》（GB3096-2008）中2类</w:t>
                  </w:r>
                </w:p>
              </w:tc>
            </w:tr>
            <w:tr w14:paraId="6D76E7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tcBorders>
                    <w:tl2br w:val="nil"/>
                    <w:tr2bl w:val="nil"/>
                  </w:tcBorders>
                  <w:vAlign w:val="center"/>
                </w:tcPr>
                <w:p w14:paraId="5F7CD700">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961" w:type="pct"/>
                  <w:tcBorders>
                    <w:top w:val="single" w:color="auto" w:sz="12" w:space="0"/>
                    <w:bottom w:val="single" w:color="auto" w:sz="12" w:space="0"/>
                    <w:tl2br w:val="nil"/>
                    <w:tr2bl w:val="nil"/>
                  </w:tcBorders>
                  <w:vAlign w:val="center"/>
                </w:tcPr>
                <w:p w14:paraId="0A62F73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鹄赛餐饮</w:t>
                  </w:r>
                </w:p>
              </w:tc>
              <w:tc>
                <w:tcPr>
                  <w:tcW w:w="516" w:type="pct"/>
                  <w:tcBorders>
                    <w:top w:val="single" w:color="auto" w:sz="12" w:space="0"/>
                    <w:bottom w:val="single" w:color="auto" w:sz="12" w:space="0"/>
                    <w:tl2br w:val="nil"/>
                    <w:tr2bl w:val="nil"/>
                  </w:tcBorders>
                  <w:vAlign w:val="center"/>
                </w:tcPr>
                <w:p w14:paraId="25329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商家、顾客</w:t>
                  </w:r>
                </w:p>
              </w:tc>
              <w:tc>
                <w:tcPr>
                  <w:tcW w:w="470" w:type="pct"/>
                  <w:tcBorders>
                    <w:top w:val="single" w:color="auto" w:sz="12" w:space="0"/>
                    <w:bottom w:val="single" w:color="auto" w:sz="12" w:space="0"/>
                    <w:tl2br w:val="nil"/>
                    <w:tr2bl w:val="nil"/>
                  </w:tcBorders>
                  <w:vAlign w:val="center"/>
                </w:tcPr>
                <w:p w14:paraId="05494CA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w:t>
                  </w:r>
                </w:p>
              </w:tc>
              <w:tc>
                <w:tcPr>
                  <w:tcW w:w="668" w:type="pct"/>
                  <w:tcBorders>
                    <w:top w:val="single" w:color="auto" w:sz="12" w:space="0"/>
                    <w:bottom w:val="single" w:color="auto" w:sz="12" w:space="0"/>
                    <w:tl2br w:val="nil"/>
                    <w:tr2bl w:val="nil"/>
                  </w:tcBorders>
                  <w:vAlign w:val="center"/>
                </w:tcPr>
                <w:p w14:paraId="1104A0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左侧紧邻</w:t>
                  </w:r>
                </w:p>
              </w:tc>
              <w:tc>
                <w:tcPr>
                  <w:tcW w:w="714" w:type="pct"/>
                  <w:tcBorders>
                    <w:top w:val="single" w:color="auto" w:sz="12" w:space="0"/>
                    <w:bottom w:val="single" w:color="auto" w:sz="12" w:space="0"/>
                    <w:tl2br w:val="nil"/>
                    <w:tr2bl w:val="nil"/>
                  </w:tcBorders>
                  <w:vAlign w:val="center"/>
                </w:tcPr>
                <w:p w14:paraId="2281528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0</w:t>
                  </w:r>
                </w:p>
              </w:tc>
              <w:tc>
                <w:tcPr>
                  <w:tcW w:w="1190" w:type="pct"/>
                  <w:vMerge w:val="continue"/>
                  <w:tcBorders>
                    <w:tl2br w:val="nil"/>
                    <w:tr2bl w:val="nil"/>
                  </w:tcBorders>
                  <w:vAlign w:val="center"/>
                </w:tcPr>
                <w:p w14:paraId="38931F44">
                  <w:pPr>
                    <w:pStyle w:val="9"/>
                    <w:keepNext w:val="0"/>
                    <w:keepLines w:val="0"/>
                    <w:suppressLineNumbers w:val="0"/>
                    <w:bidi w:val="0"/>
                    <w:spacing w:before="0" w:beforeAutospacing="0" w:afterAutospacing="0" w:line="240" w:lineRule="auto"/>
                    <w:ind w:left="0" w:leftChars="0" w:right="0" w:firstLine="0" w:firstLineChars="0"/>
                    <w:jc w:val="both"/>
                    <w:rPr>
                      <w:rFonts w:hint="default" w:ascii="Times New Roman" w:hAnsi="Times New Roman" w:cs="Times New Roman" w:eastAsiaTheme="minorEastAsia"/>
                      <w:color w:val="auto"/>
                      <w:sz w:val="21"/>
                      <w:szCs w:val="21"/>
                      <w:vertAlign w:val="baseline"/>
                      <w:lang w:val="en-US" w:eastAsia="zh-CN"/>
                    </w:rPr>
                  </w:pPr>
                </w:p>
              </w:tc>
            </w:tr>
            <w:tr w14:paraId="5848FB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tcBorders>
                    <w:tl2br w:val="nil"/>
                    <w:tr2bl w:val="nil"/>
                  </w:tcBorders>
                  <w:vAlign w:val="center"/>
                </w:tcPr>
                <w:p w14:paraId="1D8BC75C">
                  <w:pPr>
                    <w:pStyle w:val="9"/>
                    <w:keepNext w:val="0"/>
                    <w:keepLines w:val="0"/>
                    <w:suppressLineNumbers w:val="0"/>
                    <w:bidi w:val="0"/>
                    <w:spacing w:before="0" w:beforeAutospacing="0" w:afterAutospacing="0" w:line="240" w:lineRule="auto"/>
                    <w:ind w:left="0" w:leftChars="0" w:right="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961" w:type="pct"/>
                  <w:tcBorders>
                    <w:top w:val="single" w:color="auto" w:sz="12" w:space="0"/>
                    <w:tl2br w:val="nil"/>
                    <w:tr2bl w:val="nil"/>
                  </w:tcBorders>
                  <w:vAlign w:val="center"/>
                </w:tcPr>
                <w:p w14:paraId="24FF15F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佳乐多商行</w:t>
                  </w:r>
                </w:p>
              </w:tc>
              <w:tc>
                <w:tcPr>
                  <w:tcW w:w="516" w:type="pct"/>
                  <w:tcBorders>
                    <w:top w:val="single" w:color="auto" w:sz="12" w:space="0"/>
                    <w:tl2br w:val="nil"/>
                    <w:tr2bl w:val="nil"/>
                  </w:tcBorders>
                  <w:vAlign w:val="center"/>
                </w:tcPr>
                <w:p w14:paraId="35E9E2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商家、顾客</w:t>
                  </w:r>
                </w:p>
              </w:tc>
              <w:tc>
                <w:tcPr>
                  <w:tcW w:w="470" w:type="pct"/>
                  <w:tcBorders>
                    <w:top w:val="single" w:color="auto" w:sz="12" w:space="0"/>
                    <w:tl2br w:val="nil"/>
                    <w:tr2bl w:val="nil"/>
                  </w:tcBorders>
                  <w:vAlign w:val="center"/>
                </w:tcPr>
                <w:p w14:paraId="6E74233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w:t>
                  </w:r>
                </w:p>
              </w:tc>
              <w:tc>
                <w:tcPr>
                  <w:tcW w:w="668" w:type="pct"/>
                  <w:tcBorders>
                    <w:top w:val="single" w:color="auto" w:sz="12" w:space="0"/>
                    <w:tl2br w:val="nil"/>
                    <w:tr2bl w:val="nil"/>
                  </w:tcBorders>
                  <w:vAlign w:val="center"/>
                </w:tcPr>
                <w:p w14:paraId="5A58F7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右侧紧邻</w:t>
                  </w:r>
                </w:p>
              </w:tc>
              <w:tc>
                <w:tcPr>
                  <w:tcW w:w="714" w:type="pct"/>
                  <w:tcBorders>
                    <w:top w:val="single" w:color="auto" w:sz="12" w:space="0"/>
                    <w:tl2br w:val="nil"/>
                    <w:tr2bl w:val="nil"/>
                  </w:tcBorders>
                  <w:vAlign w:val="center"/>
                </w:tcPr>
                <w:p w14:paraId="25C3CE5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cs="Times New Roman" w:eastAsiaTheme="minorEastAsia"/>
                      <w:color w:val="auto"/>
                      <w:sz w:val="21"/>
                      <w:szCs w:val="21"/>
                      <w:vertAlign w:val="baseline"/>
                      <w:lang w:val="en-US" w:eastAsia="zh-CN"/>
                    </w:rPr>
                    <w:t>0</w:t>
                  </w:r>
                </w:p>
              </w:tc>
              <w:tc>
                <w:tcPr>
                  <w:tcW w:w="1190" w:type="pct"/>
                  <w:vMerge w:val="continue"/>
                  <w:tcBorders>
                    <w:tl2br w:val="nil"/>
                    <w:tr2bl w:val="nil"/>
                  </w:tcBorders>
                  <w:vAlign w:val="center"/>
                </w:tcPr>
                <w:p w14:paraId="0DC71543">
                  <w:pPr>
                    <w:pStyle w:val="9"/>
                    <w:keepNext w:val="0"/>
                    <w:keepLines w:val="0"/>
                    <w:suppressLineNumbers w:val="0"/>
                    <w:bidi w:val="0"/>
                    <w:spacing w:before="0" w:beforeAutospacing="0" w:afterAutospacing="0" w:line="240" w:lineRule="auto"/>
                    <w:ind w:left="0" w:leftChars="0" w:right="0" w:firstLine="0" w:firstLineChars="0"/>
                    <w:jc w:val="both"/>
                    <w:rPr>
                      <w:rFonts w:hint="default" w:ascii="Times New Roman" w:hAnsi="Times New Roman" w:cs="Times New Roman" w:eastAsiaTheme="minorEastAsia"/>
                      <w:color w:val="auto"/>
                      <w:sz w:val="21"/>
                      <w:szCs w:val="21"/>
                      <w:vertAlign w:val="baseline"/>
                      <w:lang w:val="en-US" w:eastAsia="zh-CN"/>
                    </w:rPr>
                  </w:pPr>
                </w:p>
              </w:tc>
            </w:tr>
          </w:tbl>
          <w:p w14:paraId="262C83C5">
            <w:pPr>
              <w:keepNext w:val="0"/>
              <w:keepLines w:val="0"/>
              <w:suppressLineNumbers w:val="0"/>
              <w:spacing w:before="0" w:beforeAutospacing="0" w:after="0" w:afterAutospacing="0" w:line="520" w:lineRule="exact"/>
              <w:ind w:left="0" w:right="0" w:firstLine="482" w:firstLineChars="200"/>
              <w:jc w:val="left"/>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3</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地下水环境</w:t>
            </w:r>
          </w:p>
          <w:p w14:paraId="7A068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本项目厂界外500</w:t>
            </w:r>
            <w:r>
              <w:rPr>
                <w:rFonts w:hint="eastAsia" w:cs="Times New Roman" w:eastAsiaTheme="minorEastAsia"/>
                <w:color w:val="auto"/>
                <w:sz w:val="24"/>
                <w:lang w:val="en-US" w:eastAsia="zh-CN"/>
              </w:rPr>
              <w:t>m</w:t>
            </w:r>
            <w:r>
              <w:rPr>
                <w:rFonts w:hint="default" w:ascii="Times New Roman" w:hAnsi="Times New Roman" w:cs="Times New Roman" w:eastAsiaTheme="minorEastAsia"/>
                <w:color w:val="auto"/>
                <w:sz w:val="24"/>
                <w:lang w:val="en-US" w:eastAsia="zh-CN"/>
              </w:rPr>
              <w:t>范围内无地下水集中式饮用水水源和热水、矿泉水、温泉等特殊地下水资源。</w:t>
            </w:r>
          </w:p>
          <w:p w14:paraId="614A7339">
            <w:pPr>
              <w:keepNext w:val="0"/>
              <w:keepLines w:val="0"/>
              <w:suppressLineNumbers w:val="0"/>
              <w:spacing w:before="0" w:beforeAutospacing="0" w:after="0" w:afterAutospacing="0" w:line="520" w:lineRule="exact"/>
              <w:ind w:left="0" w:right="0" w:firstLine="482" w:firstLineChars="200"/>
              <w:jc w:val="left"/>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4</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生态环境</w:t>
            </w:r>
          </w:p>
          <w:p w14:paraId="587A2590">
            <w:pPr>
              <w:keepNext w:val="0"/>
              <w:keepLines w:val="0"/>
              <w:suppressLineNumbers w:val="0"/>
              <w:spacing w:before="0" w:beforeAutospacing="0" w:after="0" w:afterAutospacing="0" w:line="520" w:lineRule="exact"/>
              <w:ind w:left="0" w:right="0" w:firstLine="48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lang w:val="en-US" w:eastAsia="zh-CN"/>
              </w:rPr>
              <w:t>本项目租赁现有门面房，不新增用地。本项目</w:t>
            </w:r>
            <w:r>
              <w:rPr>
                <w:rFonts w:hint="eastAsia" w:ascii="Times New Roman" w:hAnsi="Times New Roman" w:cs="Times New Roman" w:eastAsiaTheme="minorEastAsia"/>
                <w:color w:val="auto"/>
                <w:sz w:val="24"/>
                <w:lang w:val="en-US" w:eastAsia="zh-CN"/>
              </w:rPr>
              <w:t>用地</w:t>
            </w:r>
            <w:r>
              <w:rPr>
                <w:rFonts w:hint="default" w:ascii="Times New Roman" w:hAnsi="Times New Roman" w:cs="Times New Roman" w:eastAsiaTheme="minorEastAsia"/>
                <w:color w:val="auto"/>
                <w:sz w:val="24"/>
                <w:lang w:val="en-US" w:eastAsia="zh-CN"/>
              </w:rPr>
              <w:t>范围内不涉及自然保护区、风景名胜区、饮用水源保护地和其他需要特别保护等法律法规禁止开发建设的区域。</w:t>
            </w:r>
          </w:p>
        </w:tc>
      </w:tr>
      <w:tr w14:paraId="1E45A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457" w:type="dxa"/>
            <w:tcMar>
              <w:left w:w="28" w:type="dxa"/>
              <w:right w:w="28" w:type="dxa"/>
            </w:tcMar>
            <w:vAlign w:val="center"/>
          </w:tcPr>
          <w:p w14:paraId="3C882E3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污染</w:t>
            </w:r>
          </w:p>
          <w:p w14:paraId="2431167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物排</w:t>
            </w:r>
          </w:p>
          <w:p w14:paraId="01CBA43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放控</w:t>
            </w:r>
          </w:p>
          <w:p w14:paraId="5CC7145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制标</w:t>
            </w:r>
          </w:p>
          <w:p w14:paraId="3E728CF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 w:val="24"/>
              </w:rPr>
              <w:t>准</w:t>
            </w:r>
          </w:p>
        </w:tc>
        <w:tc>
          <w:tcPr>
            <w:tcW w:w="8533" w:type="dxa"/>
            <w:vAlign w:val="center"/>
          </w:tcPr>
          <w:p w14:paraId="2D02519E">
            <w:pPr>
              <w:keepNext w:val="0"/>
              <w:keepLines w:val="0"/>
              <w:suppressLineNumbers w:val="0"/>
              <w:spacing w:before="0" w:beforeAutospacing="0" w:after="0" w:afterAutospacing="0" w:line="520" w:lineRule="exact"/>
              <w:ind w:left="0" w:right="0" w:firstLine="482" w:firstLineChars="200"/>
              <w:jc w:val="left"/>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1</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大气污染物排放标准</w:t>
            </w:r>
          </w:p>
          <w:p w14:paraId="175DB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运营过程中废气主要为宠物本身散发或手术过程产生的少量异味，以臭气浓度表征，废气排放</w:t>
            </w:r>
            <w:r>
              <w:rPr>
                <w:rFonts w:hint="eastAsia" w:ascii="Times New Roman" w:hAnsi="Times New Roman" w:cs="Times New Roman" w:eastAsiaTheme="minorEastAsia"/>
                <w:color w:val="auto"/>
                <w:sz w:val="24"/>
                <w:lang w:val="en-US" w:eastAsia="zh-CN"/>
              </w:rPr>
              <w:t>参照</w:t>
            </w:r>
            <w:r>
              <w:rPr>
                <w:rFonts w:hint="default" w:ascii="Times New Roman" w:hAnsi="Times New Roman" w:cs="Times New Roman" w:eastAsiaTheme="minorEastAsia"/>
                <w:color w:val="auto"/>
                <w:sz w:val="24"/>
                <w:lang w:val="en-US" w:eastAsia="zh-CN"/>
              </w:rPr>
              <w:t>执行《恶臭污染物排放标准》（GB14554-93）中表1中</w:t>
            </w:r>
            <w:r>
              <w:rPr>
                <w:rFonts w:hint="default" w:ascii="宋体" w:hAnsi="宋体" w:eastAsia="宋体" w:cs="宋体"/>
                <w:sz w:val="24"/>
                <w:szCs w:val="24"/>
              </w:rPr>
              <w:t>恶臭污染物厂界二级标准</w:t>
            </w:r>
            <w:r>
              <w:rPr>
                <w:rFonts w:hint="eastAsia" w:ascii="宋体" w:hAnsi="宋体" w:eastAsia="宋体" w:cs="宋体"/>
                <w:sz w:val="24"/>
                <w:szCs w:val="24"/>
                <w:lang w:val="en-US" w:eastAsia="zh-CN"/>
              </w:rPr>
              <w:t>限</w:t>
            </w:r>
            <w:r>
              <w:rPr>
                <w:rFonts w:hint="default" w:ascii="宋体" w:hAnsi="宋体" w:eastAsia="宋体" w:cs="宋体"/>
                <w:sz w:val="24"/>
                <w:szCs w:val="24"/>
              </w:rPr>
              <w:t>值</w:t>
            </w:r>
            <w:r>
              <w:rPr>
                <w:rFonts w:hint="default" w:ascii="Times New Roman" w:hAnsi="Times New Roman" w:cs="Times New Roman" w:eastAsiaTheme="minorEastAsia"/>
                <w:color w:val="auto"/>
                <w:sz w:val="24"/>
                <w:lang w:val="en-US" w:eastAsia="zh-CN"/>
              </w:rPr>
              <w:t>，见表3-</w:t>
            </w:r>
            <w:r>
              <w:rPr>
                <w:rFonts w:hint="eastAsia" w:cs="Times New Roman" w:eastAsiaTheme="minorEastAsia"/>
                <w:color w:val="auto"/>
                <w:sz w:val="24"/>
                <w:lang w:val="en-US" w:eastAsia="zh-CN"/>
              </w:rPr>
              <w:t>5</w:t>
            </w:r>
            <w:r>
              <w:rPr>
                <w:rFonts w:hint="default" w:ascii="Times New Roman" w:hAnsi="Times New Roman" w:cs="Times New Roman" w:eastAsiaTheme="minorEastAsia"/>
                <w:color w:val="auto"/>
                <w:sz w:val="24"/>
                <w:lang w:val="en-US" w:eastAsia="zh-CN"/>
              </w:rPr>
              <w:t>。</w:t>
            </w:r>
          </w:p>
          <w:p w14:paraId="25BF5856">
            <w:pPr>
              <w:pStyle w:val="55"/>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表3-</w:t>
            </w:r>
            <w:r>
              <w:rPr>
                <w:rFonts w:hint="eastAsia"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eastAsia="zh-CN"/>
              </w:rPr>
              <w:t xml:space="preserve">   大气污染物排放标准</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98"/>
              <w:gridCol w:w="1145"/>
              <w:gridCol w:w="1980"/>
              <w:gridCol w:w="2775"/>
            </w:tblGrid>
            <w:tr w14:paraId="5CACE1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5" w:type="pct"/>
                  <w:tcBorders>
                    <w:bottom w:val="single" w:color="auto" w:sz="12" w:space="0"/>
                  </w:tcBorders>
                  <w:vAlign w:val="center"/>
                </w:tcPr>
                <w:p w14:paraId="41C4F36A">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序号</w:t>
                  </w:r>
                </w:p>
              </w:tc>
              <w:tc>
                <w:tcPr>
                  <w:tcW w:w="874" w:type="pct"/>
                  <w:tcBorders>
                    <w:bottom w:val="single" w:color="auto" w:sz="12" w:space="0"/>
                  </w:tcBorders>
                  <w:vAlign w:val="center"/>
                </w:tcPr>
                <w:p w14:paraId="23C0467F">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污染物</w:t>
                  </w:r>
                </w:p>
              </w:tc>
              <w:tc>
                <w:tcPr>
                  <w:tcW w:w="716" w:type="pct"/>
                  <w:tcBorders>
                    <w:bottom w:val="single" w:color="auto" w:sz="12" w:space="0"/>
                  </w:tcBorders>
                  <w:vAlign w:val="center"/>
                </w:tcPr>
                <w:p w14:paraId="679D6BE2">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snapToGrid w:val="0"/>
                      <w:color w:val="auto"/>
                      <w:kern w:val="0"/>
                      <w:szCs w:val="21"/>
                      <w:lang w:val="en-US" w:eastAsia="zh-CN"/>
                    </w:rPr>
                  </w:pPr>
                  <w:r>
                    <w:rPr>
                      <w:rFonts w:hint="default" w:ascii="Times New Roman" w:hAnsi="Times New Roman" w:cs="Times New Roman" w:eastAsiaTheme="minorEastAsia"/>
                      <w:b/>
                      <w:bCs/>
                      <w:snapToGrid w:val="0"/>
                      <w:color w:val="auto"/>
                      <w:kern w:val="0"/>
                      <w:szCs w:val="21"/>
                      <w:lang w:val="en-US" w:eastAsia="zh-CN"/>
                    </w:rPr>
                    <w:t>排放形式</w:t>
                  </w:r>
                </w:p>
              </w:tc>
              <w:tc>
                <w:tcPr>
                  <w:tcW w:w="1238" w:type="pct"/>
                  <w:tcBorders>
                    <w:bottom w:val="single" w:color="auto" w:sz="12" w:space="0"/>
                  </w:tcBorders>
                  <w:vAlign w:val="center"/>
                </w:tcPr>
                <w:p w14:paraId="0D51F92A">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最高允许排放浓度</w:t>
                  </w:r>
                </w:p>
              </w:tc>
              <w:tc>
                <w:tcPr>
                  <w:tcW w:w="1735" w:type="pct"/>
                  <w:tcBorders>
                    <w:bottom w:val="single" w:color="auto" w:sz="12" w:space="0"/>
                  </w:tcBorders>
                  <w:vAlign w:val="center"/>
                </w:tcPr>
                <w:p w14:paraId="6C3A9108">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snapToGrid w:val="0"/>
                      <w:color w:val="auto"/>
                      <w:kern w:val="0"/>
                      <w:szCs w:val="21"/>
                    </w:rPr>
                    <w:t>执行标准</w:t>
                  </w:r>
                </w:p>
              </w:tc>
            </w:tr>
            <w:tr w14:paraId="42F6E1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5" w:type="pct"/>
                  <w:tcBorders>
                    <w:top w:val="single" w:color="auto" w:sz="12" w:space="0"/>
                    <w:tl2br w:val="nil"/>
                    <w:tr2bl w:val="nil"/>
                  </w:tcBorders>
                  <w:vAlign w:val="center"/>
                </w:tcPr>
                <w:p w14:paraId="16961E8F">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w:t>
                  </w:r>
                </w:p>
              </w:tc>
              <w:tc>
                <w:tcPr>
                  <w:tcW w:w="874" w:type="pct"/>
                  <w:tcBorders>
                    <w:top w:val="single" w:color="auto" w:sz="12" w:space="0"/>
                    <w:tl2br w:val="nil"/>
                    <w:tr2bl w:val="nil"/>
                  </w:tcBorders>
                  <w:vAlign w:val="center"/>
                </w:tcPr>
                <w:p w14:paraId="2981CBA2">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臭气浓度（无量纲）</w:t>
                  </w:r>
                </w:p>
              </w:tc>
              <w:tc>
                <w:tcPr>
                  <w:tcW w:w="716" w:type="pct"/>
                  <w:tcBorders>
                    <w:top w:val="single" w:color="auto" w:sz="12" w:space="0"/>
                    <w:tl2br w:val="nil"/>
                    <w:tr2bl w:val="nil"/>
                  </w:tcBorders>
                  <w:vAlign w:val="center"/>
                </w:tcPr>
                <w:p w14:paraId="60C9D2D2">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lang w:val="en-US" w:eastAsia="zh-CN"/>
                    </w:rPr>
                    <w:t>无组织</w:t>
                  </w:r>
                </w:p>
              </w:tc>
              <w:tc>
                <w:tcPr>
                  <w:tcW w:w="1238" w:type="pct"/>
                  <w:tcBorders>
                    <w:top w:val="single" w:color="auto" w:sz="12" w:space="0"/>
                    <w:tl2br w:val="nil"/>
                    <w:tr2bl w:val="nil"/>
                  </w:tcBorders>
                  <w:vAlign w:val="center"/>
                </w:tcPr>
                <w:p w14:paraId="79B69C86">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rPr>
                  </w:pPr>
                  <w:r>
                    <w:rPr>
                      <w:rFonts w:hint="default" w:ascii="Times New Roman" w:hAnsi="Times New Roman" w:cs="Times New Roman" w:eastAsiaTheme="minorEastAsia"/>
                      <w:color w:val="auto"/>
                      <w:lang w:val="en-US" w:eastAsia="zh-CN"/>
                    </w:rPr>
                    <w:t>20</w:t>
                  </w:r>
                </w:p>
              </w:tc>
              <w:tc>
                <w:tcPr>
                  <w:tcW w:w="1735" w:type="pct"/>
                  <w:tcBorders>
                    <w:top w:val="single" w:color="auto" w:sz="12" w:space="0"/>
                    <w:tl2br w:val="nil"/>
                    <w:tr2bl w:val="nil"/>
                  </w:tcBorders>
                  <w:vAlign w:val="center"/>
                </w:tcPr>
                <w:p w14:paraId="7DFABCE5">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《恶臭污染物排放标准》</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GB14554-93</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中表1中二级标准</w:t>
                  </w:r>
                  <w:r>
                    <w:rPr>
                      <w:rFonts w:hint="eastAsia" w:ascii="Times New Roman" w:hAnsi="Times New Roman" w:cs="Times New Roman" w:eastAsiaTheme="minorEastAsia"/>
                      <w:color w:val="auto"/>
                      <w:lang w:val="en-US" w:eastAsia="zh-CN"/>
                    </w:rPr>
                    <w:t>限</w:t>
                  </w:r>
                  <w:r>
                    <w:rPr>
                      <w:rFonts w:hint="default" w:ascii="Times New Roman" w:hAnsi="Times New Roman" w:cs="Times New Roman" w:eastAsiaTheme="minorEastAsia"/>
                      <w:color w:val="auto"/>
                    </w:rPr>
                    <w:t>值</w:t>
                  </w:r>
                </w:p>
              </w:tc>
            </w:tr>
          </w:tbl>
          <w:p w14:paraId="4D8AEC43">
            <w:pPr>
              <w:keepNext w:val="0"/>
              <w:keepLines w:val="0"/>
              <w:suppressLineNumbers w:val="0"/>
              <w:spacing w:before="0" w:beforeAutospacing="0" w:after="0" w:afterAutospacing="0" w:line="520" w:lineRule="exact"/>
              <w:ind w:left="0" w:right="0" w:firstLine="482" w:firstLineChars="200"/>
              <w:jc w:val="left"/>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2</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噪声排放标准</w:t>
            </w:r>
          </w:p>
          <w:p w14:paraId="10F028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运营期厂界噪声排放执行《工业企业厂界环境噪声排放标准》（GB12348-2008）2类标准。噪声限值见表3-</w:t>
            </w:r>
            <w:r>
              <w:rPr>
                <w:rFonts w:hint="eastAsia" w:cs="Times New Roman" w:eastAsiaTheme="minorEastAsia"/>
                <w:color w:val="auto"/>
                <w:sz w:val="24"/>
                <w:lang w:val="en-US" w:eastAsia="zh-CN"/>
              </w:rPr>
              <w:t>6</w:t>
            </w:r>
            <w:r>
              <w:rPr>
                <w:rFonts w:hint="default" w:ascii="Times New Roman" w:hAnsi="Times New Roman" w:cs="Times New Roman" w:eastAsiaTheme="minorEastAsia"/>
                <w:color w:val="auto"/>
                <w:sz w:val="24"/>
                <w:lang w:val="en-US" w:eastAsia="zh-CN"/>
              </w:rPr>
              <w:t>。</w:t>
            </w:r>
          </w:p>
          <w:p w14:paraId="783BBAC3">
            <w:pPr>
              <w:pStyle w:val="55"/>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表3-</w:t>
            </w:r>
            <w:r>
              <w:rPr>
                <w:rFonts w:hint="eastAsia"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lang w:eastAsia="zh-CN"/>
              </w:rPr>
              <w:t xml:space="preserve">   噪声排放限值标准</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4662"/>
              <w:gridCol w:w="1652"/>
            </w:tblGrid>
            <w:tr w14:paraId="7B8F0D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bottom w:val="single" w:color="auto" w:sz="12" w:space="0"/>
                  </w:tcBorders>
                  <w:vAlign w:val="center"/>
                </w:tcPr>
                <w:p w14:paraId="57CBFD87">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时期</w:t>
                  </w:r>
                </w:p>
              </w:tc>
              <w:tc>
                <w:tcPr>
                  <w:tcW w:w="2915" w:type="pct"/>
                  <w:tcBorders>
                    <w:bottom w:val="single" w:color="auto" w:sz="12" w:space="0"/>
                  </w:tcBorders>
                  <w:vAlign w:val="center"/>
                </w:tcPr>
                <w:p w14:paraId="0C7BCDB4">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标准</w:t>
                  </w:r>
                </w:p>
              </w:tc>
              <w:tc>
                <w:tcPr>
                  <w:tcW w:w="1033" w:type="pct"/>
                  <w:tcBorders>
                    <w:bottom w:val="single" w:color="auto" w:sz="12" w:space="0"/>
                  </w:tcBorders>
                  <w:vAlign w:val="center"/>
                </w:tcPr>
                <w:p w14:paraId="7E0672F3">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限值</w:t>
                  </w:r>
                </w:p>
              </w:tc>
            </w:tr>
            <w:tr w14:paraId="3BA89F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single" w:color="auto" w:sz="12" w:space="0"/>
                    <w:tl2br w:val="nil"/>
                    <w:tr2bl w:val="nil"/>
                  </w:tcBorders>
                  <w:vAlign w:val="center"/>
                </w:tcPr>
                <w:p w14:paraId="259161BA">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运营期</w:t>
                  </w:r>
                </w:p>
              </w:tc>
              <w:tc>
                <w:tcPr>
                  <w:tcW w:w="2915" w:type="pct"/>
                  <w:tcBorders>
                    <w:top w:val="single" w:color="auto" w:sz="12" w:space="0"/>
                    <w:tl2br w:val="nil"/>
                    <w:tr2bl w:val="nil"/>
                  </w:tcBorders>
                  <w:vAlign w:val="center"/>
                </w:tcPr>
                <w:p w14:paraId="26626A3A">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《工业企业厂界环境噪声排放标准》（GB12348-2008）2类</w:t>
                  </w:r>
                </w:p>
              </w:tc>
              <w:tc>
                <w:tcPr>
                  <w:tcW w:w="1033" w:type="pct"/>
                  <w:tcBorders>
                    <w:top w:val="single" w:color="auto" w:sz="12" w:space="0"/>
                    <w:tl2br w:val="nil"/>
                    <w:tr2bl w:val="nil"/>
                  </w:tcBorders>
                  <w:vAlign w:val="center"/>
                </w:tcPr>
                <w:p w14:paraId="4297B968">
                  <w:pPr>
                    <w:pStyle w:val="64"/>
                    <w:keepNext w:val="0"/>
                    <w:keepLines w:val="0"/>
                    <w:widowControl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昼间60dB（A）、夜间50dB（A）</w:t>
                  </w:r>
                </w:p>
              </w:tc>
            </w:tr>
          </w:tbl>
          <w:p w14:paraId="7F666E52">
            <w:pPr>
              <w:keepNext w:val="0"/>
              <w:keepLines w:val="0"/>
              <w:suppressLineNumbers w:val="0"/>
              <w:spacing w:before="0" w:beforeAutospacing="0" w:after="0" w:afterAutospacing="0" w:line="520" w:lineRule="exact"/>
              <w:ind w:left="0" w:right="0" w:firstLine="482" w:firstLineChars="200"/>
              <w:jc w:val="left"/>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3</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废水排放标准</w:t>
            </w:r>
          </w:p>
          <w:p w14:paraId="034009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一体化污水处理设施</w:t>
            </w:r>
            <w:r>
              <w:rPr>
                <w:rFonts w:hint="default" w:ascii="Times New Roman" w:hAnsi="Times New Roman" w:cs="Times New Roman" w:eastAsiaTheme="minorEastAsia"/>
                <w:color w:val="auto"/>
                <w:sz w:val="24"/>
                <w:lang w:val="en-US" w:eastAsia="zh-CN"/>
              </w:rPr>
              <w:t>出水</w:t>
            </w:r>
            <w:r>
              <w:rPr>
                <w:rFonts w:hint="eastAsia" w:ascii="Times New Roman" w:hAnsi="Times New Roman" w:cs="Times New Roman" w:eastAsiaTheme="minorEastAsia"/>
                <w:color w:val="auto"/>
                <w:sz w:val="24"/>
                <w:lang w:val="en-US" w:eastAsia="zh-CN"/>
              </w:rPr>
              <w:t>参照</w:t>
            </w:r>
            <w:r>
              <w:rPr>
                <w:rFonts w:hint="default" w:ascii="Times New Roman" w:hAnsi="Times New Roman" w:cs="Times New Roman" w:eastAsiaTheme="minorEastAsia"/>
                <w:color w:val="auto"/>
                <w:sz w:val="24"/>
                <w:lang w:val="en-US" w:eastAsia="zh-CN"/>
              </w:rPr>
              <w:t>执行《医疗机构水污染物排放标准》（GB18466-2005）表2中的“预处理标准”相关标准限值，标准值见表3-</w:t>
            </w:r>
            <w:r>
              <w:rPr>
                <w:rFonts w:hint="eastAsia" w:cs="Times New Roman" w:eastAsiaTheme="minorEastAsia"/>
                <w:color w:val="auto"/>
                <w:sz w:val="24"/>
                <w:lang w:val="en-US" w:eastAsia="zh-CN"/>
              </w:rPr>
              <w:t>7</w:t>
            </w:r>
            <w:r>
              <w:rPr>
                <w:rFonts w:hint="default" w:ascii="Times New Roman" w:hAnsi="Times New Roman" w:cs="Times New Roman" w:eastAsiaTheme="minorEastAsia"/>
                <w:color w:val="auto"/>
                <w:sz w:val="24"/>
                <w:lang w:val="en-US" w:eastAsia="zh-CN"/>
              </w:rPr>
              <w:t>。</w:t>
            </w:r>
          </w:p>
          <w:p w14:paraId="2BE9135A">
            <w:pPr>
              <w:pStyle w:val="55"/>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表3-</w:t>
            </w:r>
            <w:r>
              <w:rPr>
                <w:rFonts w:hint="eastAsia"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lang w:eastAsia="zh-CN"/>
              </w:rPr>
              <w:t xml:space="preserve">   </w:t>
            </w:r>
            <w:r>
              <w:rPr>
                <w:rFonts w:hint="default" w:ascii="Times New Roman" w:hAnsi="Times New Roman" w:cs="Times New Roman" w:eastAsiaTheme="minorEastAsia"/>
                <w:color w:val="auto"/>
                <w:sz w:val="21"/>
                <w:szCs w:val="21"/>
                <w:lang w:val="en-US" w:eastAsia="zh-CN"/>
              </w:rPr>
              <w:t>废水</w:t>
            </w:r>
            <w:r>
              <w:rPr>
                <w:rFonts w:hint="default" w:ascii="Times New Roman" w:hAnsi="Times New Roman" w:cs="Times New Roman" w:eastAsiaTheme="minorEastAsia"/>
                <w:color w:val="auto"/>
                <w:sz w:val="21"/>
                <w:szCs w:val="21"/>
                <w:lang w:eastAsia="zh-CN"/>
              </w:rPr>
              <w:t>污染物排放标准</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472"/>
              <w:gridCol w:w="2085"/>
              <w:gridCol w:w="2630"/>
            </w:tblGrid>
            <w:tr w14:paraId="6F3054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tcBorders>
                    <w:bottom w:val="single" w:color="auto" w:sz="12" w:space="0"/>
                  </w:tcBorders>
                  <w:vAlign w:val="center"/>
                </w:tcPr>
                <w:p w14:paraId="1BC4AAFE">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序号</w:t>
                  </w:r>
                </w:p>
              </w:tc>
              <w:tc>
                <w:tcPr>
                  <w:tcW w:w="1545" w:type="pct"/>
                  <w:tcBorders>
                    <w:bottom w:val="single" w:color="auto" w:sz="12" w:space="0"/>
                  </w:tcBorders>
                  <w:vAlign w:val="center"/>
                </w:tcPr>
                <w:p w14:paraId="27D8E188">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监测因子</w:t>
                  </w:r>
                </w:p>
              </w:tc>
              <w:tc>
                <w:tcPr>
                  <w:tcW w:w="1303" w:type="pct"/>
                  <w:tcBorders>
                    <w:bottom w:val="single" w:color="auto" w:sz="12" w:space="0"/>
                  </w:tcBorders>
                  <w:vAlign w:val="center"/>
                </w:tcPr>
                <w:p w14:paraId="70AD9D2B">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标准值</w:t>
                  </w:r>
                </w:p>
              </w:tc>
              <w:tc>
                <w:tcPr>
                  <w:tcW w:w="1644" w:type="pct"/>
                  <w:tcBorders>
                    <w:bottom w:val="single" w:color="auto" w:sz="12" w:space="0"/>
                  </w:tcBorders>
                  <w:vAlign w:val="center"/>
                </w:tcPr>
                <w:p w14:paraId="7362BF19">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snapToGrid w:val="0"/>
                      <w:color w:val="auto"/>
                      <w:kern w:val="0"/>
                      <w:szCs w:val="21"/>
                      <w:lang w:val="en-US" w:eastAsia="zh-CN"/>
                    </w:rPr>
                    <w:t>标准依据</w:t>
                  </w:r>
                </w:p>
              </w:tc>
            </w:tr>
            <w:tr w14:paraId="212C18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tcBorders>
                    <w:top w:val="single" w:color="auto" w:sz="12" w:space="0"/>
                    <w:tl2br w:val="nil"/>
                    <w:tr2bl w:val="nil"/>
                  </w:tcBorders>
                  <w:vAlign w:val="center"/>
                </w:tcPr>
                <w:p w14:paraId="27C91867">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w:t>
                  </w:r>
                </w:p>
              </w:tc>
              <w:tc>
                <w:tcPr>
                  <w:tcW w:w="1545" w:type="pct"/>
                  <w:tcBorders>
                    <w:top w:val="single" w:color="auto" w:sz="12" w:space="0"/>
                    <w:tl2br w:val="nil"/>
                    <w:tr2bl w:val="nil"/>
                  </w:tcBorders>
                  <w:vAlign w:val="center"/>
                </w:tcPr>
                <w:p w14:paraId="3B997990">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pH（无量纲）</w:t>
                  </w:r>
                </w:p>
              </w:tc>
              <w:tc>
                <w:tcPr>
                  <w:tcW w:w="1303" w:type="pct"/>
                  <w:tcBorders>
                    <w:top w:val="single" w:color="auto" w:sz="12" w:space="0"/>
                    <w:tl2br w:val="nil"/>
                    <w:tr2bl w:val="nil"/>
                  </w:tcBorders>
                  <w:vAlign w:val="center"/>
                </w:tcPr>
                <w:p w14:paraId="708AA7E5">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6~9</w:t>
                  </w:r>
                </w:p>
              </w:tc>
              <w:tc>
                <w:tcPr>
                  <w:tcW w:w="1644" w:type="pct"/>
                  <w:vMerge w:val="restart"/>
                  <w:tcBorders>
                    <w:top w:val="single" w:color="auto" w:sz="12" w:space="0"/>
                    <w:tl2br w:val="nil"/>
                    <w:tr2bl w:val="nil"/>
                  </w:tcBorders>
                  <w:vAlign w:val="center"/>
                </w:tcPr>
                <w:p w14:paraId="4D423489">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《医疗机构水污染物排放标准》</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GB18466-2005</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表2预处理</w:t>
                  </w:r>
                  <w:r>
                    <w:rPr>
                      <w:rFonts w:hint="default" w:ascii="Times New Roman" w:hAnsi="Times New Roman" w:cs="Times New Roman" w:eastAsiaTheme="minorEastAsia"/>
                      <w:color w:val="auto"/>
                      <w:lang w:val="en-US" w:eastAsia="zh-CN"/>
                    </w:rPr>
                    <w:t>标准</w:t>
                  </w:r>
                </w:p>
              </w:tc>
            </w:tr>
            <w:tr w14:paraId="1E985D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tcBorders>
                    <w:tl2br w:val="nil"/>
                    <w:tr2bl w:val="nil"/>
                  </w:tcBorders>
                  <w:vAlign w:val="center"/>
                </w:tcPr>
                <w:p w14:paraId="2008B476">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w:t>
                  </w:r>
                </w:p>
              </w:tc>
              <w:tc>
                <w:tcPr>
                  <w:tcW w:w="1545" w:type="pct"/>
                  <w:tcBorders>
                    <w:tl2br w:val="nil"/>
                    <w:tr2bl w:val="nil"/>
                  </w:tcBorders>
                  <w:vAlign w:val="center"/>
                </w:tcPr>
                <w:p w14:paraId="4D1C69F3">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悬浮物（毫克/升）</w:t>
                  </w:r>
                </w:p>
              </w:tc>
              <w:tc>
                <w:tcPr>
                  <w:tcW w:w="1303" w:type="pct"/>
                  <w:tcBorders>
                    <w:tl2br w:val="nil"/>
                    <w:tr2bl w:val="nil"/>
                  </w:tcBorders>
                  <w:vAlign w:val="center"/>
                </w:tcPr>
                <w:p w14:paraId="71C8797F">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60</w:t>
                  </w:r>
                </w:p>
              </w:tc>
              <w:tc>
                <w:tcPr>
                  <w:tcW w:w="1644" w:type="pct"/>
                  <w:vMerge w:val="continue"/>
                  <w:tcBorders>
                    <w:tl2br w:val="nil"/>
                    <w:tr2bl w:val="nil"/>
                  </w:tcBorders>
                  <w:vAlign w:val="center"/>
                </w:tcPr>
                <w:p w14:paraId="4D831585">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rPr>
                  </w:pPr>
                </w:p>
              </w:tc>
            </w:tr>
            <w:tr w14:paraId="5D4117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tcBorders>
                    <w:tl2br w:val="nil"/>
                    <w:tr2bl w:val="nil"/>
                  </w:tcBorders>
                  <w:vAlign w:val="center"/>
                </w:tcPr>
                <w:p w14:paraId="16944B16">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3</w:t>
                  </w:r>
                </w:p>
              </w:tc>
              <w:tc>
                <w:tcPr>
                  <w:tcW w:w="1545" w:type="pct"/>
                  <w:tcBorders>
                    <w:tl2br w:val="nil"/>
                    <w:tr2bl w:val="nil"/>
                  </w:tcBorders>
                  <w:vAlign w:val="center"/>
                </w:tcPr>
                <w:p w14:paraId="418DE5BC">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生化需氧量（毫克/升）</w:t>
                  </w:r>
                </w:p>
              </w:tc>
              <w:tc>
                <w:tcPr>
                  <w:tcW w:w="1303" w:type="pct"/>
                  <w:tcBorders>
                    <w:tl2br w:val="nil"/>
                    <w:tr2bl w:val="nil"/>
                  </w:tcBorders>
                  <w:vAlign w:val="center"/>
                </w:tcPr>
                <w:p w14:paraId="26BC1C61">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100</w:t>
                  </w:r>
                </w:p>
              </w:tc>
              <w:tc>
                <w:tcPr>
                  <w:tcW w:w="1644" w:type="pct"/>
                  <w:vMerge w:val="continue"/>
                  <w:tcBorders>
                    <w:tl2br w:val="nil"/>
                    <w:tr2bl w:val="nil"/>
                  </w:tcBorders>
                  <w:vAlign w:val="center"/>
                </w:tcPr>
                <w:p w14:paraId="17F8B853">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rPr>
                  </w:pPr>
                </w:p>
              </w:tc>
            </w:tr>
            <w:tr w14:paraId="4D3F7E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tcBorders>
                    <w:tl2br w:val="nil"/>
                    <w:tr2bl w:val="nil"/>
                  </w:tcBorders>
                  <w:vAlign w:val="center"/>
                </w:tcPr>
                <w:p w14:paraId="1C2D19CF">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4</w:t>
                  </w:r>
                </w:p>
              </w:tc>
              <w:tc>
                <w:tcPr>
                  <w:tcW w:w="1545" w:type="pct"/>
                  <w:tcBorders>
                    <w:tl2br w:val="nil"/>
                    <w:tr2bl w:val="nil"/>
                  </w:tcBorders>
                  <w:vAlign w:val="center"/>
                </w:tcPr>
                <w:p w14:paraId="05D26BEA">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化学需氧量（毫克/升）</w:t>
                  </w:r>
                </w:p>
              </w:tc>
              <w:tc>
                <w:tcPr>
                  <w:tcW w:w="1303" w:type="pct"/>
                  <w:tcBorders>
                    <w:tl2br w:val="nil"/>
                    <w:tr2bl w:val="nil"/>
                  </w:tcBorders>
                  <w:vAlign w:val="center"/>
                </w:tcPr>
                <w:p w14:paraId="75D92198">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250</w:t>
                  </w:r>
                </w:p>
              </w:tc>
              <w:tc>
                <w:tcPr>
                  <w:tcW w:w="1644" w:type="pct"/>
                  <w:vMerge w:val="continue"/>
                  <w:tcBorders>
                    <w:tl2br w:val="nil"/>
                    <w:tr2bl w:val="nil"/>
                  </w:tcBorders>
                  <w:vAlign w:val="center"/>
                </w:tcPr>
                <w:p w14:paraId="521A54A2">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rPr>
                  </w:pPr>
                </w:p>
              </w:tc>
            </w:tr>
            <w:tr w14:paraId="1DCAEA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tcBorders>
                    <w:tl2br w:val="nil"/>
                    <w:tr2bl w:val="nil"/>
                  </w:tcBorders>
                  <w:vAlign w:val="center"/>
                </w:tcPr>
                <w:p w14:paraId="73B55D1B">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5</w:t>
                  </w:r>
                </w:p>
              </w:tc>
              <w:tc>
                <w:tcPr>
                  <w:tcW w:w="1545" w:type="pct"/>
                  <w:tcBorders>
                    <w:tl2br w:val="nil"/>
                    <w:tr2bl w:val="nil"/>
                  </w:tcBorders>
                  <w:vAlign w:val="center"/>
                </w:tcPr>
                <w:p w14:paraId="3256FFA5">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氨氮（毫克/升）</w:t>
                  </w:r>
                </w:p>
              </w:tc>
              <w:tc>
                <w:tcPr>
                  <w:tcW w:w="1303" w:type="pct"/>
                  <w:tcBorders>
                    <w:tl2br w:val="nil"/>
                    <w:tr2bl w:val="nil"/>
                  </w:tcBorders>
                  <w:vAlign w:val="center"/>
                </w:tcPr>
                <w:p w14:paraId="76E03A0C">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w:t>
                  </w:r>
                </w:p>
              </w:tc>
              <w:tc>
                <w:tcPr>
                  <w:tcW w:w="1644" w:type="pct"/>
                  <w:vMerge w:val="continue"/>
                  <w:tcBorders>
                    <w:tl2br w:val="nil"/>
                    <w:tr2bl w:val="nil"/>
                  </w:tcBorders>
                  <w:vAlign w:val="center"/>
                </w:tcPr>
                <w:p w14:paraId="7C59EB4F">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rPr>
                  </w:pPr>
                </w:p>
              </w:tc>
            </w:tr>
            <w:tr w14:paraId="73554F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tcBorders>
                    <w:tl2br w:val="nil"/>
                    <w:tr2bl w:val="nil"/>
                  </w:tcBorders>
                  <w:vAlign w:val="center"/>
                </w:tcPr>
                <w:p w14:paraId="616D2327">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6</w:t>
                  </w:r>
                </w:p>
              </w:tc>
              <w:tc>
                <w:tcPr>
                  <w:tcW w:w="1545" w:type="pct"/>
                  <w:tcBorders>
                    <w:tl2br w:val="nil"/>
                    <w:tr2bl w:val="nil"/>
                  </w:tcBorders>
                  <w:vAlign w:val="center"/>
                </w:tcPr>
                <w:p w14:paraId="7704730B">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粪大肠菌群（</w:t>
                  </w:r>
                  <w:r>
                    <w:rPr>
                      <w:rFonts w:hint="eastAsia" w:cs="Times New Roman" w:eastAsiaTheme="minorEastAsia"/>
                      <w:color w:val="auto"/>
                      <w:lang w:val="en-US" w:eastAsia="zh-CN"/>
                    </w:rPr>
                    <w:t>MPN</w:t>
                  </w:r>
                  <w:r>
                    <w:rPr>
                      <w:rFonts w:hint="default" w:ascii="Times New Roman" w:hAnsi="Times New Roman" w:cs="Times New Roman" w:eastAsiaTheme="minorEastAsia"/>
                      <w:color w:val="auto"/>
                      <w:lang w:val="en-US" w:eastAsia="zh-CN"/>
                    </w:rPr>
                    <w:t>/升）</w:t>
                  </w:r>
                </w:p>
              </w:tc>
              <w:tc>
                <w:tcPr>
                  <w:tcW w:w="1303" w:type="pct"/>
                  <w:tcBorders>
                    <w:tl2br w:val="nil"/>
                    <w:tr2bl w:val="nil"/>
                  </w:tcBorders>
                  <w:vAlign w:val="center"/>
                </w:tcPr>
                <w:p w14:paraId="73618B1E">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5000</w:t>
                  </w:r>
                </w:p>
              </w:tc>
              <w:tc>
                <w:tcPr>
                  <w:tcW w:w="1644" w:type="pct"/>
                  <w:vMerge w:val="continue"/>
                  <w:tcBorders>
                    <w:tl2br w:val="nil"/>
                    <w:tr2bl w:val="nil"/>
                  </w:tcBorders>
                  <w:vAlign w:val="center"/>
                </w:tcPr>
                <w:p w14:paraId="7706B5E9">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rPr>
                  </w:pPr>
                </w:p>
              </w:tc>
            </w:tr>
          </w:tbl>
          <w:p w14:paraId="43E9357A">
            <w:pPr>
              <w:keepNext w:val="0"/>
              <w:keepLines w:val="0"/>
              <w:suppressLineNumbers w:val="0"/>
              <w:spacing w:before="0" w:beforeAutospacing="0" w:after="0" w:afterAutospacing="0" w:line="520" w:lineRule="exact"/>
              <w:ind w:left="0" w:right="0" w:firstLine="482" w:firstLineChars="200"/>
              <w:jc w:val="left"/>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4</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固体废物控制标准</w:t>
            </w:r>
          </w:p>
          <w:p w14:paraId="20D233F2">
            <w:pPr>
              <w:pStyle w:val="22"/>
              <w:keepNext w:val="0"/>
              <w:keepLines w:val="0"/>
              <w:suppressLineNumbers w:val="0"/>
              <w:spacing w:before="0" w:beforeAutospacing="0" w:after="0" w:afterAutospacing="0" w:line="520" w:lineRule="exact"/>
              <w:ind w:left="0" w:leftChars="0" w:right="0"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kern w:val="2"/>
                <w:sz w:val="24"/>
                <w:szCs w:val="24"/>
                <w:lang w:val="en-US" w:eastAsia="zh-CN" w:bidi="ar-SA"/>
              </w:rPr>
              <w:t>一般固体废物在院内暂存执行《一般工业固体废物贮存和填埋污染控制标准》（GB18599-2020）要求；危险废物暂存执行《危险废物贮存污染控制标准》（GB18597-2023）、国务院《医疗废物管理条例》（国务院令第 380号）、卫生部《医疗卫生机构医疗废物管理办法》（卫生部令第36号）、《医疗废物专用包装袋、容器和警示标志标准》（HJ421-2008）要求。</w:t>
            </w:r>
          </w:p>
        </w:tc>
      </w:tr>
      <w:tr w14:paraId="26E7D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3" w:hRule="atLeast"/>
          <w:jc w:val="center"/>
        </w:trPr>
        <w:tc>
          <w:tcPr>
            <w:tcW w:w="457" w:type="dxa"/>
            <w:vAlign w:val="center"/>
          </w:tcPr>
          <w:p w14:paraId="7291B92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总量</w:t>
            </w:r>
          </w:p>
          <w:p w14:paraId="16B9FA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控制</w:t>
            </w:r>
          </w:p>
          <w:p w14:paraId="3FC7BF2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 w:val="24"/>
              </w:rPr>
              <w:t>指标</w:t>
            </w:r>
          </w:p>
        </w:tc>
        <w:tc>
          <w:tcPr>
            <w:tcW w:w="8533" w:type="dxa"/>
            <w:vAlign w:val="center"/>
          </w:tcPr>
          <w:p w14:paraId="2BB92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outlineLvl w:val="9"/>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本项目不涉及总量控制指标。</w:t>
            </w:r>
          </w:p>
          <w:p w14:paraId="3E2A42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outlineLvl w:val="9"/>
              <w:rPr>
                <w:rFonts w:hint="default"/>
              </w:rPr>
            </w:pPr>
            <w:r>
              <w:rPr>
                <w:rFonts w:hint="eastAsia" w:ascii="Times New Roman" w:hAnsi="Times New Roman" w:cs="Times New Roman" w:eastAsiaTheme="minorEastAsia"/>
                <w:color w:val="auto"/>
                <w:kern w:val="2"/>
                <w:sz w:val="24"/>
                <w:szCs w:val="24"/>
                <w:lang w:val="en-US" w:eastAsia="zh-CN" w:bidi="ar-SA"/>
              </w:rPr>
              <w:t>本项目</w:t>
            </w:r>
            <w:r>
              <w:rPr>
                <w:rFonts w:hint="default" w:ascii="Times New Roman" w:hAnsi="Times New Roman" w:cs="Times New Roman" w:eastAsiaTheme="minorEastAsia"/>
                <w:color w:val="auto"/>
                <w:kern w:val="2"/>
                <w:sz w:val="24"/>
                <w:szCs w:val="24"/>
                <w:lang w:val="en-US" w:eastAsia="zh-CN" w:bidi="ar-SA"/>
              </w:rPr>
              <w:t>诊疗废水、宠物笼清洗污水采用一体化污水处理</w:t>
            </w:r>
            <w:r>
              <w:rPr>
                <w:rFonts w:hint="eastAsia" w:ascii="Times New Roman" w:hAnsi="Times New Roman" w:cs="Times New Roman" w:eastAsiaTheme="minorEastAsia"/>
                <w:color w:val="auto"/>
                <w:kern w:val="2"/>
                <w:sz w:val="24"/>
                <w:szCs w:val="24"/>
                <w:lang w:val="en-US" w:eastAsia="zh-CN" w:bidi="ar-SA"/>
              </w:rPr>
              <w:t>设施</w:t>
            </w:r>
            <w:r>
              <w:rPr>
                <w:rFonts w:hint="default" w:ascii="Times New Roman" w:hAnsi="Times New Roman" w:cs="Times New Roman" w:eastAsiaTheme="minorEastAsia"/>
                <w:color w:val="auto"/>
                <w:kern w:val="2"/>
                <w:sz w:val="24"/>
                <w:szCs w:val="24"/>
                <w:lang w:val="en-US" w:eastAsia="zh-CN" w:bidi="ar-SA"/>
              </w:rPr>
              <w:t>消毒处理满足《医疗机构水污染物排放标准》</w:t>
            </w: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GB18466-2005）表2中的预处理标准后，再与美容废水、生活污水汇集一起排入市政管网，最终排入阜西污水处理厂处理。</w:t>
            </w:r>
            <w:r>
              <w:rPr>
                <w:rFonts w:hint="eastAsia" w:ascii="Times New Roman" w:hAnsi="Times New Roman" w:cs="Times New Roman" w:eastAsiaTheme="minorEastAsia"/>
                <w:color w:val="auto"/>
                <w:kern w:val="2"/>
                <w:sz w:val="24"/>
                <w:szCs w:val="24"/>
                <w:lang w:val="en-US" w:eastAsia="zh-CN" w:bidi="ar-SA"/>
              </w:rPr>
              <w:t>本项目</w:t>
            </w:r>
            <w:r>
              <w:rPr>
                <w:rFonts w:hint="default" w:ascii="Times New Roman" w:hAnsi="Times New Roman" w:cs="Times New Roman" w:eastAsiaTheme="minorEastAsia"/>
                <w:color w:val="auto"/>
                <w:kern w:val="2"/>
                <w:sz w:val="24"/>
                <w:szCs w:val="24"/>
                <w:lang w:val="en-US" w:eastAsia="zh-CN" w:bidi="ar-SA"/>
              </w:rPr>
              <w:t>CODcr</w:t>
            </w: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NH</w:t>
            </w:r>
            <w:r>
              <w:rPr>
                <w:rFonts w:hint="default" w:ascii="Times New Roman" w:hAnsi="Times New Roman" w:cs="Times New Roman" w:eastAsiaTheme="minorEastAsia"/>
                <w:color w:val="auto"/>
                <w:kern w:val="2"/>
                <w:sz w:val="24"/>
                <w:szCs w:val="24"/>
                <w:vertAlign w:val="subscript"/>
                <w:lang w:val="en-US" w:eastAsia="zh-CN" w:bidi="ar-SA"/>
              </w:rPr>
              <w:t>3</w:t>
            </w:r>
            <w:r>
              <w:rPr>
                <w:rFonts w:hint="default" w:ascii="Times New Roman" w:hAnsi="Times New Roman" w:cs="Times New Roman" w:eastAsiaTheme="minorEastAsia"/>
                <w:color w:val="auto"/>
                <w:kern w:val="2"/>
                <w:sz w:val="24"/>
                <w:szCs w:val="24"/>
                <w:lang w:val="en-US" w:eastAsia="zh-CN" w:bidi="ar-SA"/>
              </w:rPr>
              <w:t>-N</w:t>
            </w:r>
            <w:r>
              <w:rPr>
                <w:rFonts w:hint="eastAsia" w:ascii="Times New Roman" w:hAnsi="Times New Roman" w:cs="Times New Roman" w:eastAsiaTheme="minorEastAsia"/>
                <w:color w:val="auto"/>
                <w:kern w:val="2"/>
                <w:sz w:val="24"/>
                <w:szCs w:val="24"/>
                <w:lang w:val="en-US" w:eastAsia="zh-CN" w:bidi="ar-SA"/>
              </w:rPr>
              <w:t>、总量由</w:t>
            </w:r>
            <w:r>
              <w:rPr>
                <w:rFonts w:hint="default" w:ascii="Times New Roman" w:hAnsi="Times New Roman" w:cs="Times New Roman" w:eastAsiaTheme="minorEastAsia"/>
                <w:color w:val="auto"/>
                <w:kern w:val="2"/>
                <w:sz w:val="24"/>
                <w:szCs w:val="24"/>
                <w:lang w:val="en-US" w:eastAsia="zh-CN" w:bidi="ar-SA"/>
              </w:rPr>
              <w:t>阜西污水处理厂</w:t>
            </w:r>
            <w:r>
              <w:rPr>
                <w:rFonts w:hint="eastAsia" w:ascii="Times New Roman" w:hAnsi="Times New Roman" w:cs="Times New Roman" w:eastAsiaTheme="minorEastAsia"/>
                <w:color w:val="auto"/>
                <w:kern w:val="2"/>
                <w:sz w:val="24"/>
                <w:szCs w:val="24"/>
                <w:lang w:val="en-US" w:eastAsia="zh-CN" w:bidi="ar-SA"/>
              </w:rPr>
              <w:t>统计，本项目不再重复申报。</w:t>
            </w:r>
          </w:p>
        </w:tc>
      </w:tr>
    </w:tbl>
    <w:p w14:paraId="3DAC710A">
      <w:pPr>
        <w:pStyle w:val="19"/>
        <w:jc w:val="center"/>
        <w:outlineLvl w:val="0"/>
        <w:rPr>
          <w:rFonts w:hint="default" w:ascii="Times New Roman" w:hAnsi="Times New Roman" w:cs="Times New Roman" w:eastAsiaTheme="minorEastAsia"/>
          <w:b/>
          <w:bCs/>
          <w:snapToGrid w:val="0"/>
          <w:color w:val="auto"/>
          <w:sz w:val="30"/>
          <w:szCs w:val="30"/>
        </w:rPr>
      </w:pPr>
      <w:r>
        <w:rPr>
          <w:rFonts w:hint="default" w:ascii="Times New Roman" w:hAnsi="Times New Roman" w:cs="Times New Roman" w:eastAsiaTheme="minorEastAsia"/>
          <w:snapToGrid w:val="0"/>
          <w:color w:val="auto"/>
          <w:sz w:val="36"/>
          <w:szCs w:val="36"/>
        </w:rPr>
        <w:br w:type="page"/>
      </w:r>
      <w:r>
        <w:rPr>
          <w:rFonts w:hint="default" w:ascii="Times New Roman" w:hAnsi="Times New Roman" w:cs="Times New Roman" w:eastAsiaTheme="minorEastAsia"/>
          <w:b/>
          <w:bCs/>
          <w:snapToGrid w:val="0"/>
          <w:color w:val="auto"/>
          <w:sz w:val="30"/>
          <w:szCs w:val="30"/>
        </w:rPr>
        <w:t>四、主要环境影响和保护措施</w:t>
      </w:r>
    </w:p>
    <w:tbl>
      <w:tblPr>
        <w:tblStyle w:val="23"/>
        <w:tblW w:w="88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165"/>
      </w:tblGrid>
      <w:tr w14:paraId="6FB58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293" w:type="dxa"/>
            <w:tcMar>
              <w:left w:w="28" w:type="dxa"/>
              <w:right w:w="28" w:type="dxa"/>
            </w:tcMar>
            <w:vAlign w:val="center"/>
          </w:tcPr>
          <w:p w14:paraId="095B95BB">
            <w:pPr>
              <w:pStyle w:val="19"/>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Cs/>
                <w:color w:val="auto"/>
                <w:kern w:val="2"/>
                <w:szCs w:val="24"/>
              </w:rPr>
            </w:pPr>
            <w:r>
              <w:rPr>
                <w:rFonts w:hint="default" w:ascii="Times New Roman" w:hAnsi="Times New Roman" w:cs="Times New Roman" w:eastAsiaTheme="minorEastAsia"/>
                <w:color w:val="auto"/>
                <w:kern w:val="2"/>
                <w:szCs w:val="24"/>
              </w:rPr>
              <w:t>施工期环境保护措施</w:t>
            </w:r>
          </w:p>
        </w:tc>
        <w:tc>
          <w:tcPr>
            <w:tcW w:w="8586" w:type="dxa"/>
            <w:vAlign w:val="center"/>
          </w:tcPr>
          <w:p w14:paraId="5B021B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本项目租赁</w:t>
            </w:r>
            <w:r>
              <w:rPr>
                <w:rFonts w:hint="eastAsia" w:ascii="Times New Roman" w:hAnsi="Times New Roman" w:cs="Times New Roman" w:eastAsiaTheme="minorEastAsia"/>
                <w:color w:val="auto"/>
                <w:sz w:val="24"/>
                <w:lang w:val="en-US" w:eastAsia="zh-CN"/>
              </w:rPr>
              <w:t>新疆昌吉州阜康市准噶尔路394号商铺</w:t>
            </w:r>
            <w:r>
              <w:rPr>
                <w:rFonts w:hint="default" w:ascii="Times New Roman" w:hAnsi="Times New Roman" w:cs="Times New Roman" w:eastAsiaTheme="minorEastAsia"/>
                <w:color w:val="auto"/>
                <w:sz w:val="24"/>
                <w:lang w:val="en-US" w:eastAsia="zh-CN"/>
              </w:rPr>
              <w:t>，</w:t>
            </w:r>
            <w:r>
              <w:rPr>
                <w:rFonts w:hint="eastAsia" w:cs="Times New Roman" w:eastAsiaTheme="minorEastAsia"/>
                <w:color w:val="auto"/>
                <w:sz w:val="24"/>
                <w:lang w:val="en-US" w:eastAsia="zh-CN"/>
              </w:rPr>
              <w:t>现已建设完成</w:t>
            </w:r>
            <w:r>
              <w:rPr>
                <w:rFonts w:hint="default" w:ascii="Times New Roman" w:hAnsi="Times New Roman" w:cs="Times New Roman" w:eastAsiaTheme="minorEastAsia"/>
                <w:color w:val="auto"/>
                <w:sz w:val="24"/>
                <w:lang w:val="en-US" w:eastAsia="zh-CN"/>
              </w:rPr>
              <w:t>。</w:t>
            </w:r>
            <w:r>
              <w:rPr>
                <w:rFonts w:hint="default"/>
                <w:sz w:val="24"/>
              </w:rPr>
              <w:t>不存在与</w:t>
            </w:r>
            <w:r>
              <w:rPr>
                <w:rFonts w:hint="eastAsia"/>
                <w:sz w:val="24"/>
                <w:lang w:val="en-US" w:eastAsia="zh-CN"/>
              </w:rPr>
              <w:t>施工期</w:t>
            </w:r>
            <w:r>
              <w:rPr>
                <w:rFonts w:hint="default"/>
                <w:sz w:val="24"/>
              </w:rPr>
              <w:t>有关的污染及</w:t>
            </w:r>
            <w:r>
              <w:rPr>
                <w:rFonts w:hint="eastAsia" w:cs="Times New Roman" w:eastAsiaTheme="minorEastAsia"/>
                <w:color w:val="auto"/>
                <w:sz w:val="24"/>
                <w:lang w:val="en-US" w:eastAsia="zh-CN"/>
              </w:rPr>
              <w:t>遗留的</w:t>
            </w:r>
            <w:r>
              <w:rPr>
                <w:rFonts w:hint="default"/>
                <w:sz w:val="24"/>
              </w:rPr>
              <w:t>环境问题</w:t>
            </w:r>
            <w:r>
              <w:rPr>
                <w:rFonts w:hint="eastAsia"/>
                <w:sz w:val="24"/>
                <w:lang w:eastAsia="zh-CN"/>
              </w:rPr>
              <w:t>。</w:t>
            </w:r>
            <w:r>
              <w:rPr>
                <w:rFonts w:hint="default" w:ascii="Times New Roman" w:hAnsi="Times New Roman" w:cs="Times New Roman" w:eastAsiaTheme="minorEastAsia"/>
                <w:color w:val="auto"/>
                <w:sz w:val="24"/>
              </w:rPr>
              <w:t>因此，本项目不对施工期环境影响进行分析。</w:t>
            </w:r>
          </w:p>
        </w:tc>
      </w:tr>
      <w:tr w14:paraId="69563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7" w:hRule="atLeast"/>
          <w:jc w:val="center"/>
        </w:trPr>
        <w:tc>
          <w:tcPr>
            <w:tcW w:w="748" w:type="dxa"/>
            <w:tcMar>
              <w:left w:w="28" w:type="dxa"/>
              <w:right w:w="28" w:type="dxa"/>
            </w:tcMar>
            <w:vAlign w:val="center"/>
          </w:tcPr>
          <w:p w14:paraId="67876BF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运营</w:t>
            </w:r>
          </w:p>
          <w:p w14:paraId="27853B5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期环</w:t>
            </w:r>
          </w:p>
          <w:p w14:paraId="4F94EF7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境影</w:t>
            </w:r>
          </w:p>
          <w:p w14:paraId="4F7E12C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响和</w:t>
            </w:r>
          </w:p>
          <w:p w14:paraId="25F23D3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保护</w:t>
            </w:r>
          </w:p>
          <w:p w14:paraId="21FB82AE">
            <w:pPr>
              <w:pStyle w:val="19"/>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kern w:val="2"/>
                <w:szCs w:val="24"/>
              </w:rPr>
            </w:pPr>
            <w:r>
              <w:rPr>
                <w:rFonts w:hint="default" w:ascii="Times New Roman" w:hAnsi="Times New Roman" w:cs="Times New Roman" w:eastAsiaTheme="minorEastAsia"/>
                <w:bCs/>
                <w:color w:val="auto"/>
                <w:sz w:val="24"/>
              </w:rPr>
              <w:t>措施</w:t>
            </w:r>
          </w:p>
        </w:tc>
        <w:tc>
          <w:tcPr>
            <w:tcW w:w="8586" w:type="dxa"/>
            <w:vAlign w:val="center"/>
          </w:tcPr>
          <w:p w14:paraId="6A4808E6">
            <w:pPr>
              <w:keepNext w:val="0"/>
              <w:keepLines w:val="0"/>
              <w:suppressLineNumbers w:val="0"/>
              <w:spacing w:before="0" w:beforeAutospacing="0" w:after="0" w:afterAutospacing="0" w:line="520" w:lineRule="exact"/>
              <w:ind w:left="0" w:right="0"/>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1.</w:t>
            </w:r>
            <w:r>
              <w:rPr>
                <w:rFonts w:hint="default" w:ascii="Times New Roman" w:hAnsi="Times New Roman" w:cs="Times New Roman" w:eastAsiaTheme="minorEastAsia"/>
                <w:b/>
                <w:bCs/>
                <w:color w:val="auto"/>
                <w:sz w:val="24"/>
                <w:lang w:val="en-US" w:eastAsia="zh-CN"/>
              </w:rPr>
              <w:t>废气</w:t>
            </w:r>
            <w:r>
              <w:rPr>
                <w:rFonts w:hint="default" w:ascii="Times New Roman" w:hAnsi="Times New Roman" w:cs="Times New Roman" w:eastAsiaTheme="minorEastAsia"/>
                <w:b/>
                <w:bCs/>
                <w:color w:val="auto"/>
                <w:sz w:val="24"/>
              </w:rPr>
              <w:t>环境影响及保护措施</w:t>
            </w:r>
          </w:p>
          <w:p w14:paraId="093259DB">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根据工程分析，</w:t>
            </w:r>
            <w:r>
              <w:rPr>
                <w:rFonts w:hint="eastAsia" w:ascii="Times New Roman" w:hAnsi="Times New Roman" w:cs="Times New Roman" w:eastAsiaTheme="minorEastAsia"/>
                <w:color w:val="auto"/>
                <w:sz w:val="24"/>
                <w:lang w:val="en-US" w:eastAsia="zh-CN"/>
              </w:rPr>
              <w:t>项目运营期产生的废气主要为</w:t>
            </w:r>
            <w:r>
              <w:rPr>
                <w:rFonts w:hint="default" w:ascii="Times New Roman" w:hAnsi="Times New Roman" w:cs="Times New Roman" w:eastAsiaTheme="minorEastAsia"/>
                <w:color w:val="auto"/>
                <w:sz w:val="24"/>
                <w:lang w:val="en-US" w:eastAsia="zh-CN"/>
              </w:rPr>
              <w:t>宠物本身散发或手术过程产生的异味</w:t>
            </w:r>
            <w:r>
              <w:rPr>
                <w:rFonts w:hint="eastAsia" w:ascii="Times New Roman" w:hAnsi="Times New Roman" w:cs="Times New Roman" w:eastAsiaTheme="minorEastAsia"/>
                <w:color w:val="auto"/>
                <w:sz w:val="24"/>
                <w:lang w:val="en-US" w:eastAsia="zh-CN"/>
              </w:rPr>
              <w:t>、污水处理设施产生的恶臭。</w:t>
            </w:r>
          </w:p>
          <w:p w14:paraId="1D1AF2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1.1废气产生、处置及排放情况</w:t>
            </w:r>
          </w:p>
          <w:p w14:paraId="4FE75979">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（1）</w:t>
            </w:r>
            <w:r>
              <w:rPr>
                <w:rFonts w:hint="default" w:ascii="Times New Roman" w:hAnsi="Times New Roman" w:cs="Times New Roman" w:eastAsiaTheme="minorEastAsia"/>
                <w:color w:val="auto"/>
                <w:sz w:val="24"/>
                <w:lang w:val="en-US" w:eastAsia="zh-CN"/>
              </w:rPr>
              <w:t>宠物本身散发或手术过程产生的异味</w:t>
            </w:r>
          </w:p>
          <w:p w14:paraId="74BD3517">
            <w:pPr>
              <w:keepNext w:val="0"/>
              <w:keepLines w:val="0"/>
              <w:suppressLineNumbers w:val="0"/>
              <w:spacing w:before="0" w:beforeAutospacing="0" w:after="0" w:afterAutospacing="0" w:line="520" w:lineRule="exact"/>
              <w:ind w:left="0" w:right="0" w:firstLine="480" w:firstLineChars="200"/>
              <w:jc w:val="left"/>
              <w:rPr>
                <w:rFonts w:hint="eastAsia"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本项目</w:t>
            </w:r>
            <w:r>
              <w:rPr>
                <w:rFonts w:hint="eastAsia" w:ascii="Times New Roman" w:hAnsi="Times New Roman" w:cs="Times New Roman" w:eastAsiaTheme="minorEastAsia"/>
                <w:color w:val="auto"/>
                <w:sz w:val="24"/>
                <w:lang w:val="en-US" w:eastAsia="zh-CN"/>
              </w:rPr>
              <w:t>主要</w:t>
            </w:r>
            <w:r>
              <w:rPr>
                <w:rFonts w:hint="default" w:ascii="Times New Roman" w:hAnsi="Times New Roman" w:cs="Times New Roman" w:eastAsiaTheme="minorEastAsia"/>
                <w:color w:val="auto"/>
                <w:sz w:val="24"/>
                <w:lang w:val="en-US" w:eastAsia="zh-CN"/>
              </w:rPr>
              <w:t>从事简单的宠物诊疗、宠物美容活动</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宠物本身散发或手术过程产生的异味，以臭气浓度表征</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宠物就诊症状轻者随即离开，在店停留时间短，仅需住院观察的宠物在店停留时间较长，需住院观察的宠物量极少宠物的粪便和尿液及时分类收集（不含传染性疾病宠物），交由环卫部门清运，再对住院房、隔离室异味进行净化处理，故宠物散发的气量极小，不对宠物散发的少量臭气进行定量分析。</w:t>
            </w:r>
          </w:p>
          <w:p w14:paraId="619F4DE6">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（2）污水处理设施恶臭</w:t>
            </w:r>
          </w:p>
          <w:p w14:paraId="4D8D4F80">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废水处理设施为密闭的一体化污水处理设备，</w:t>
            </w:r>
            <w:r>
              <w:rPr>
                <w:rFonts w:hint="eastAsia" w:ascii="Times New Roman" w:hAnsi="Times New Roman" w:cs="Times New Roman" w:eastAsiaTheme="minorEastAsia"/>
                <w:color w:val="auto"/>
                <w:sz w:val="24"/>
                <w:lang w:val="en-US" w:eastAsia="zh-CN"/>
              </w:rPr>
              <w:t>且处理量较小，</w:t>
            </w:r>
            <w:r>
              <w:rPr>
                <w:rFonts w:hint="default" w:ascii="Times New Roman" w:hAnsi="Times New Roman" w:cs="Times New Roman" w:eastAsiaTheme="minorEastAsia"/>
                <w:color w:val="auto"/>
                <w:sz w:val="24"/>
                <w:lang w:val="en-US" w:eastAsia="zh-CN"/>
              </w:rPr>
              <w:t>产生的恶臭为微量</w:t>
            </w:r>
            <w:r>
              <w:rPr>
                <w:rFonts w:hint="eastAsia" w:ascii="Times New Roman" w:hAnsi="Times New Roman" w:cs="Times New Roman" w:eastAsiaTheme="minorEastAsia"/>
                <w:color w:val="auto"/>
                <w:sz w:val="24"/>
                <w:lang w:val="en-US" w:eastAsia="zh-CN"/>
              </w:rPr>
              <w:t>。因此评价不对此做定量分析</w:t>
            </w:r>
            <w:r>
              <w:rPr>
                <w:rFonts w:hint="default" w:ascii="Times New Roman" w:hAnsi="Times New Roman" w:cs="Times New Roman" w:eastAsiaTheme="minorEastAsia"/>
                <w:color w:val="auto"/>
                <w:sz w:val="24"/>
                <w:lang w:val="en-US" w:eastAsia="zh-CN"/>
              </w:rPr>
              <w:t>。</w:t>
            </w:r>
          </w:p>
          <w:p w14:paraId="4D8D74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1.2废气治理措施及环境影响分析</w:t>
            </w:r>
          </w:p>
          <w:p w14:paraId="71D90CDD">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项目诊室内产生的臭味较小，通过保持室内良好的通风条件，并对宠物笼进行定期打扫和喷洒除臭剂，污水处理设施采用密闭加盖处理，减少臭气排放，通过以上措施，本项目外排废气可达标排放，对周边环境影响较小。</w:t>
            </w:r>
          </w:p>
          <w:p w14:paraId="7A18A097">
            <w:pPr>
              <w:keepNext w:val="0"/>
              <w:keepLines w:val="0"/>
              <w:suppressLineNumbers w:val="0"/>
              <w:spacing w:before="0" w:beforeAutospacing="0" w:after="0" w:afterAutospacing="0" w:line="520" w:lineRule="exact"/>
              <w:ind w:left="0" w:right="0" w:firstLine="482" w:firstLineChars="200"/>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1.</w:t>
            </w:r>
            <w:r>
              <w:rPr>
                <w:rFonts w:hint="eastAsia" w:cs="Times New Roman" w:eastAsiaTheme="minorEastAsia"/>
                <w:b/>
                <w:bCs/>
                <w:color w:val="auto"/>
                <w:sz w:val="24"/>
                <w:lang w:val="en-US" w:eastAsia="zh-CN"/>
              </w:rPr>
              <w:t>3</w:t>
            </w:r>
            <w:r>
              <w:rPr>
                <w:rFonts w:hint="default" w:ascii="Times New Roman" w:hAnsi="Times New Roman" w:cs="Times New Roman" w:eastAsiaTheme="minorEastAsia"/>
                <w:b/>
                <w:bCs/>
                <w:color w:val="auto"/>
                <w:sz w:val="24"/>
              </w:rPr>
              <w:t>废气治理设施的可行性分析</w:t>
            </w:r>
          </w:p>
          <w:p w14:paraId="670E39F1">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项目服务对象仅针对猫、狗，不接收人畜共患传染病的宠物，并且采用高压灭菌锅对诊疗过程中使用的器皿、手术器械进行灭菌：手术室、B超室及美容室安装紫外线灯对空气进行消毒，加强管理工作，并定期对医疗废物暂存间、污水处理设施、宠物笼舍、其他各科室进行消毒处理并喷洒生物除臭剂。</w:t>
            </w:r>
          </w:p>
          <w:p w14:paraId="303C3A39">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rPr>
              <w:t>项目运营期产生的废气主要为宠物本身散发或手术过程产生的异味、污水处理设施产生的恶臭</w:t>
            </w:r>
            <w:r>
              <w:rPr>
                <w:rFonts w:hint="eastAsia" w:cs="Times New Roman" w:eastAsiaTheme="minorEastAsia"/>
                <w:color w:val="auto"/>
                <w:sz w:val="24"/>
                <w:lang w:eastAsia="zh-CN"/>
              </w:rPr>
              <w:t>，</w:t>
            </w:r>
            <w:r>
              <w:rPr>
                <w:rFonts w:hint="eastAsia" w:cs="Times New Roman" w:eastAsiaTheme="minorEastAsia"/>
                <w:color w:val="auto"/>
                <w:sz w:val="24"/>
                <w:lang w:val="en-US" w:eastAsia="zh-CN"/>
              </w:rPr>
              <w:t>产生量较小，不做定量分析。恶臭是大气、水、废弃物等物质中的异味通过空气介质，作用于人的嗅觉而被感知的一种嗅觉污染。本项目废气排放方式为无组织排放。对于</w:t>
            </w:r>
            <w:r>
              <w:rPr>
                <w:rFonts w:hint="eastAsia" w:ascii="Times New Roman" w:hAnsi="Times New Roman" w:cs="Times New Roman" w:eastAsiaTheme="minorEastAsia"/>
                <w:color w:val="auto"/>
                <w:sz w:val="24"/>
                <w:lang w:val="en-US" w:eastAsia="zh-CN"/>
              </w:rPr>
              <w:t>污水处理设施恶臭，可采用</w:t>
            </w:r>
            <w:r>
              <w:rPr>
                <w:rFonts w:hint="default" w:ascii="宋体" w:hAnsi="宋体" w:eastAsia="宋体" w:cs="宋体"/>
                <w:sz w:val="24"/>
                <w:szCs w:val="24"/>
              </w:rPr>
              <w:t>密闭加盖</w:t>
            </w:r>
            <w:r>
              <w:rPr>
                <w:rFonts w:hint="eastAsia" w:ascii="宋体" w:hAnsi="宋体" w:eastAsia="宋体" w:cs="宋体"/>
                <w:sz w:val="24"/>
                <w:szCs w:val="24"/>
                <w:lang w:val="en-US" w:eastAsia="zh-CN"/>
              </w:rPr>
              <w:t>喷洒除臭剂等措施来减少恶臭物质的排放，</w:t>
            </w:r>
            <w:r>
              <w:rPr>
                <w:rFonts w:hint="default" w:ascii="Times New Roman" w:hAnsi="Times New Roman" w:cs="Times New Roman" w:eastAsiaTheme="minorEastAsia"/>
                <w:color w:val="auto"/>
                <w:sz w:val="24"/>
              </w:rPr>
              <w:t>根据《排污许可证申请与核发技术规范医疗机构》（HJ1105-2020）</w:t>
            </w:r>
            <w:r>
              <w:rPr>
                <w:rFonts w:hint="eastAsia" w:cs="Times New Roman" w:eastAsiaTheme="minorEastAsia"/>
                <w:color w:val="auto"/>
                <w:sz w:val="24"/>
                <w:lang w:eastAsia="zh-CN"/>
              </w:rPr>
              <w:t>，</w:t>
            </w:r>
            <w:r>
              <w:rPr>
                <w:rFonts w:hint="eastAsia" w:cs="Times New Roman" w:eastAsiaTheme="minorEastAsia"/>
                <w:color w:val="auto"/>
                <w:sz w:val="24"/>
                <w:lang w:val="en-US" w:eastAsia="zh-CN"/>
              </w:rPr>
              <w:t>附录A表A.1排污单位废气治理可行技术参照表，无组织排放形式可行技术为“产生恶臭区域加罩或加盖，投加除臭剂”。因此，此方案为可行技术。</w:t>
            </w:r>
          </w:p>
          <w:p w14:paraId="0D6F702E">
            <w:pPr>
              <w:keepNext w:val="0"/>
              <w:keepLines w:val="0"/>
              <w:suppressLineNumbers w:val="0"/>
              <w:spacing w:before="0" w:beforeAutospacing="0" w:after="0" w:afterAutospacing="0" w:line="520" w:lineRule="exact"/>
              <w:ind w:left="0" w:right="0" w:firstLine="482" w:firstLineChars="200"/>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1.</w:t>
            </w:r>
            <w:r>
              <w:rPr>
                <w:rFonts w:hint="eastAsia" w:ascii="Times New Roman" w:hAnsi="Times New Roman" w:cs="Times New Roman" w:eastAsiaTheme="minorEastAsia"/>
                <w:b/>
                <w:bCs/>
                <w:color w:val="auto"/>
                <w:sz w:val="24"/>
                <w:lang w:val="en-US" w:eastAsia="zh-CN"/>
              </w:rPr>
              <w:t>4</w:t>
            </w:r>
            <w:r>
              <w:rPr>
                <w:rFonts w:hint="default" w:ascii="Times New Roman" w:hAnsi="Times New Roman" w:cs="Times New Roman" w:eastAsiaTheme="minorEastAsia"/>
                <w:b/>
                <w:bCs/>
                <w:color w:val="auto"/>
                <w:sz w:val="24"/>
              </w:rPr>
              <w:t>监测计划</w:t>
            </w:r>
          </w:p>
          <w:p w14:paraId="77C3850F">
            <w:pPr>
              <w:keepNext w:val="0"/>
              <w:keepLines w:val="0"/>
              <w:suppressLineNumbers w:val="0"/>
              <w:spacing w:before="0" w:beforeAutospacing="0" w:after="0" w:afterAutospacing="0" w:line="520" w:lineRule="exact"/>
              <w:ind w:left="0" w:right="0" w:firstLine="480" w:firstLineChars="200"/>
              <w:jc w:val="left"/>
              <w:rPr>
                <w:rFonts w:hint="eastAsia"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根据《排污单位自行监测技术指南 总则》（HJ819-2017）要求，项目废气自行监测要求见表4-1。</w:t>
            </w:r>
          </w:p>
          <w:p w14:paraId="7ECF7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lang w:val="en-US" w:eastAsia="zh-CN"/>
              </w:rPr>
            </w:pPr>
            <w:r>
              <w:rPr>
                <w:rFonts w:hint="eastAsia" w:ascii="Times New Roman" w:hAnsi="Times New Roman" w:cs="Times New Roman" w:eastAsiaTheme="minorEastAsia"/>
                <w:b/>
                <w:color w:val="auto"/>
                <w:sz w:val="21"/>
                <w:szCs w:val="21"/>
                <w:lang w:val="en-US" w:eastAsia="zh-CN"/>
              </w:rPr>
              <w:t>表4-1   项目废气自行监测要求一览表</w:t>
            </w:r>
          </w:p>
          <w:tbl>
            <w:tblPr>
              <w:tblStyle w:val="24"/>
              <w:tblW w:w="79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818"/>
              <w:gridCol w:w="1091"/>
              <w:gridCol w:w="2768"/>
              <w:gridCol w:w="764"/>
              <w:gridCol w:w="736"/>
            </w:tblGrid>
            <w:tr w14:paraId="2007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Borders>
                    <w:top w:val="single" w:color="auto" w:sz="12" w:space="0"/>
                    <w:left w:val="nil"/>
                    <w:bottom w:val="single" w:color="auto" w:sz="12" w:space="0"/>
                  </w:tcBorders>
                  <w:vAlign w:val="center"/>
                </w:tcPr>
                <w:p w14:paraId="4EBE2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eastAsiaTheme="minorEastAsia"/>
                      <w:b/>
                      <w:bCs w:val="0"/>
                      <w:color w:val="auto"/>
                      <w:sz w:val="21"/>
                      <w:szCs w:val="21"/>
                      <w:lang w:val="en-US" w:eastAsia="zh-CN"/>
                    </w:rPr>
                  </w:pPr>
                  <w:r>
                    <w:rPr>
                      <w:rFonts w:hint="eastAsia" w:ascii="Times New Roman" w:hAnsi="Times New Roman" w:cs="Times New Roman" w:eastAsiaTheme="minorEastAsia"/>
                      <w:b/>
                      <w:bCs w:val="0"/>
                      <w:color w:val="auto"/>
                      <w:sz w:val="21"/>
                      <w:szCs w:val="21"/>
                      <w:lang w:val="en-US" w:eastAsia="zh-CN"/>
                    </w:rPr>
                    <w:t>类别</w:t>
                  </w:r>
                </w:p>
              </w:tc>
              <w:tc>
                <w:tcPr>
                  <w:tcW w:w="818" w:type="dxa"/>
                  <w:tcBorders>
                    <w:top w:val="single" w:color="auto" w:sz="12" w:space="0"/>
                    <w:bottom w:val="single" w:color="auto" w:sz="12" w:space="0"/>
                  </w:tcBorders>
                  <w:vAlign w:val="center"/>
                </w:tcPr>
                <w:p w14:paraId="5D358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eastAsiaTheme="minorEastAsia"/>
                      <w:b/>
                      <w:bCs w:val="0"/>
                      <w:color w:val="auto"/>
                      <w:sz w:val="21"/>
                      <w:szCs w:val="21"/>
                      <w:lang w:val="en-US" w:eastAsia="zh-CN"/>
                    </w:rPr>
                  </w:pPr>
                  <w:r>
                    <w:rPr>
                      <w:rFonts w:hint="eastAsia" w:ascii="Times New Roman" w:hAnsi="Times New Roman" w:cs="Times New Roman" w:eastAsiaTheme="minorEastAsia"/>
                      <w:b/>
                      <w:bCs w:val="0"/>
                      <w:color w:val="auto"/>
                      <w:sz w:val="21"/>
                      <w:szCs w:val="21"/>
                      <w:lang w:val="en-US" w:eastAsia="zh-CN"/>
                    </w:rPr>
                    <w:t>监测指标</w:t>
                  </w:r>
                </w:p>
              </w:tc>
              <w:tc>
                <w:tcPr>
                  <w:tcW w:w="1091" w:type="dxa"/>
                  <w:tcBorders>
                    <w:top w:val="single" w:color="auto" w:sz="12" w:space="0"/>
                    <w:bottom w:val="single" w:color="auto" w:sz="12" w:space="0"/>
                  </w:tcBorders>
                  <w:vAlign w:val="center"/>
                </w:tcPr>
                <w:p w14:paraId="579BF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eastAsiaTheme="minorEastAsia"/>
                      <w:b/>
                      <w:bCs w:val="0"/>
                      <w:color w:val="auto"/>
                      <w:sz w:val="21"/>
                      <w:szCs w:val="21"/>
                      <w:lang w:val="en-US" w:eastAsia="zh-CN"/>
                    </w:rPr>
                  </w:pPr>
                  <w:r>
                    <w:rPr>
                      <w:rFonts w:hint="eastAsia" w:ascii="Times New Roman" w:hAnsi="Times New Roman" w:cs="Times New Roman" w:eastAsiaTheme="minorEastAsia"/>
                      <w:b/>
                      <w:bCs w:val="0"/>
                      <w:color w:val="auto"/>
                      <w:sz w:val="21"/>
                      <w:szCs w:val="21"/>
                      <w:lang w:val="en-US" w:eastAsia="zh-CN"/>
                    </w:rPr>
                    <w:t>排放标准限值</w:t>
                  </w:r>
                </w:p>
              </w:tc>
              <w:tc>
                <w:tcPr>
                  <w:tcW w:w="2768" w:type="dxa"/>
                  <w:tcBorders>
                    <w:top w:val="single" w:color="auto" w:sz="12" w:space="0"/>
                    <w:bottom w:val="single" w:color="auto" w:sz="12" w:space="0"/>
                  </w:tcBorders>
                  <w:vAlign w:val="center"/>
                </w:tcPr>
                <w:p w14:paraId="03CD2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eastAsiaTheme="minorEastAsia"/>
                      <w:b/>
                      <w:bCs w:val="0"/>
                      <w:color w:val="auto"/>
                      <w:sz w:val="21"/>
                      <w:szCs w:val="21"/>
                      <w:lang w:val="en-US" w:eastAsia="zh-CN"/>
                    </w:rPr>
                  </w:pPr>
                  <w:r>
                    <w:rPr>
                      <w:rFonts w:hint="eastAsia" w:ascii="Times New Roman" w:hAnsi="Times New Roman" w:cs="Times New Roman" w:eastAsiaTheme="minorEastAsia"/>
                      <w:b/>
                      <w:bCs w:val="0"/>
                      <w:color w:val="auto"/>
                      <w:sz w:val="21"/>
                      <w:szCs w:val="21"/>
                      <w:lang w:val="en-US" w:eastAsia="zh-CN"/>
                    </w:rPr>
                    <w:t>执行标准</w:t>
                  </w:r>
                </w:p>
              </w:tc>
              <w:tc>
                <w:tcPr>
                  <w:tcW w:w="764" w:type="dxa"/>
                  <w:tcBorders>
                    <w:top w:val="single" w:color="auto" w:sz="12" w:space="0"/>
                    <w:bottom w:val="single" w:color="auto" w:sz="12" w:space="0"/>
                  </w:tcBorders>
                  <w:vAlign w:val="center"/>
                </w:tcPr>
                <w:p w14:paraId="51FD6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eastAsiaTheme="minorEastAsia"/>
                      <w:b/>
                      <w:bCs w:val="0"/>
                      <w:color w:val="auto"/>
                      <w:sz w:val="21"/>
                      <w:szCs w:val="21"/>
                      <w:lang w:val="en-US" w:eastAsia="zh-CN"/>
                    </w:rPr>
                  </w:pPr>
                  <w:r>
                    <w:rPr>
                      <w:rFonts w:hint="eastAsia" w:ascii="Times New Roman" w:hAnsi="Times New Roman" w:cs="Times New Roman" w:eastAsiaTheme="minorEastAsia"/>
                      <w:b/>
                      <w:bCs w:val="0"/>
                      <w:color w:val="auto"/>
                      <w:sz w:val="21"/>
                      <w:szCs w:val="21"/>
                      <w:lang w:val="en-US" w:eastAsia="zh-CN"/>
                    </w:rPr>
                    <w:t>监测位置</w:t>
                  </w:r>
                </w:p>
              </w:tc>
              <w:tc>
                <w:tcPr>
                  <w:tcW w:w="736" w:type="dxa"/>
                  <w:tcBorders>
                    <w:top w:val="single" w:color="auto" w:sz="12" w:space="0"/>
                    <w:bottom w:val="single" w:color="auto" w:sz="12" w:space="0"/>
                    <w:right w:val="nil"/>
                  </w:tcBorders>
                  <w:vAlign w:val="center"/>
                </w:tcPr>
                <w:p w14:paraId="7318A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eastAsiaTheme="minorEastAsia"/>
                      <w:b/>
                      <w:bCs w:val="0"/>
                      <w:color w:val="auto"/>
                      <w:sz w:val="21"/>
                      <w:szCs w:val="21"/>
                      <w:lang w:val="en-US" w:eastAsia="zh-CN"/>
                    </w:rPr>
                  </w:pPr>
                  <w:r>
                    <w:rPr>
                      <w:rFonts w:hint="eastAsia" w:ascii="Times New Roman" w:hAnsi="Times New Roman" w:cs="Times New Roman" w:eastAsiaTheme="minorEastAsia"/>
                      <w:b/>
                      <w:bCs w:val="0"/>
                      <w:color w:val="auto"/>
                      <w:sz w:val="21"/>
                      <w:szCs w:val="21"/>
                      <w:lang w:val="en-US" w:eastAsia="zh-CN"/>
                    </w:rPr>
                    <w:t>监测频次</w:t>
                  </w:r>
                </w:p>
              </w:tc>
            </w:tr>
            <w:tr w14:paraId="71E9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Borders>
                    <w:top w:val="single" w:color="auto" w:sz="12" w:space="0"/>
                    <w:left w:val="nil"/>
                    <w:bottom w:val="single" w:color="auto" w:sz="12" w:space="0"/>
                  </w:tcBorders>
                  <w:vAlign w:val="center"/>
                </w:tcPr>
                <w:p w14:paraId="0EB3A7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宠物本身散发或手术过程产生的异味</w:t>
                  </w:r>
                </w:p>
              </w:tc>
              <w:tc>
                <w:tcPr>
                  <w:tcW w:w="818" w:type="dxa"/>
                  <w:tcBorders>
                    <w:top w:val="single" w:color="auto" w:sz="12" w:space="0"/>
                    <w:bottom w:val="single" w:color="auto" w:sz="12" w:space="0"/>
                  </w:tcBorders>
                  <w:vAlign w:val="center"/>
                </w:tcPr>
                <w:p w14:paraId="692C0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臭气浓度</w:t>
                  </w:r>
                </w:p>
              </w:tc>
              <w:tc>
                <w:tcPr>
                  <w:tcW w:w="1091" w:type="dxa"/>
                  <w:tcBorders>
                    <w:top w:val="single" w:color="auto" w:sz="12" w:space="0"/>
                    <w:bottom w:val="single" w:color="auto" w:sz="12" w:space="0"/>
                  </w:tcBorders>
                  <w:vAlign w:val="center"/>
                </w:tcPr>
                <w:p w14:paraId="3C11E8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浓度：20无量纲</w:t>
                  </w:r>
                </w:p>
              </w:tc>
              <w:tc>
                <w:tcPr>
                  <w:tcW w:w="2768" w:type="dxa"/>
                  <w:tcBorders>
                    <w:top w:val="single" w:color="auto" w:sz="12" w:space="0"/>
                    <w:bottom w:val="single" w:color="auto" w:sz="12" w:space="0"/>
                  </w:tcBorders>
                  <w:vAlign w:val="center"/>
                </w:tcPr>
                <w:p w14:paraId="6A225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《恶臭污染物排放标准》（GB14554-93）中表1中恶臭污染物厂界二级标准</w:t>
                  </w:r>
                  <w:r>
                    <w:rPr>
                      <w:rFonts w:hint="eastAsia" w:ascii="Times New Roman" w:hAnsi="Times New Roman" w:cs="Times New Roman" w:eastAsiaTheme="minorEastAsia"/>
                      <w:bCs/>
                      <w:color w:val="auto"/>
                      <w:sz w:val="21"/>
                      <w:szCs w:val="21"/>
                      <w:lang w:val="en-US" w:eastAsia="zh-CN"/>
                    </w:rPr>
                    <w:t>限</w:t>
                  </w:r>
                  <w:r>
                    <w:rPr>
                      <w:rFonts w:hint="default" w:ascii="Times New Roman" w:hAnsi="Times New Roman" w:cs="Times New Roman" w:eastAsiaTheme="minorEastAsia"/>
                      <w:bCs/>
                      <w:color w:val="auto"/>
                      <w:sz w:val="21"/>
                      <w:szCs w:val="21"/>
                      <w:lang w:val="en-US" w:eastAsia="zh-CN"/>
                    </w:rPr>
                    <w:t>值</w:t>
                  </w:r>
                </w:p>
              </w:tc>
              <w:tc>
                <w:tcPr>
                  <w:tcW w:w="764" w:type="dxa"/>
                  <w:tcBorders>
                    <w:top w:val="single" w:color="auto" w:sz="12" w:space="0"/>
                    <w:bottom w:val="single" w:color="auto" w:sz="12" w:space="0"/>
                  </w:tcBorders>
                  <w:vAlign w:val="center"/>
                </w:tcPr>
                <w:p w14:paraId="0DE36E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单位周界</w:t>
                  </w:r>
                </w:p>
              </w:tc>
              <w:tc>
                <w:tcPr>
                  <w:tcW w:w="736" w:type="dxa"/>
                  <w:tcBorders>
                    <w:top w:val="single" w:color="auto" w:sz="12" w:space="0"/>
                    <w:bottom w:val="single" w:color="auto" w:sz="12" w:space="0"/>
                    <w:right w:val="nil"/>
                  </w:tcBorders>
                  <w:vAlign w:val="center"/>
                </w:tcPr>
                <w:p w14:paraId="759F8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1次/年</w:t>
                  </w:r>
                </w:p>
              </w:tc>
            </w:tr>
          </w:tbl>
          <w:p w14:paraId="1B00C9F2">
            <w:pPr>
              <w:pStyle w:val="67"/>
              <w:keepNext w:val="0"/>
              <w:keepLines w:val="0"/>
              <w:suppressLineNumbers w:val="0"/>
              <w:adjustRightInd/>
              <w:snapToGrid/>
              <w:spacing w:before="0" w:beforeAutospacing="0" w:after="0" w:afterAutospacing="0" w:line="520" w:lineRule="exact"/>
              <w:ind w:left="0" w:right="0" w:firstLine="0" w:firstLineChars="0"/>
              <w:rPr>
                <w:rFonts w:hint="default" w:ascii="Times New Roman" w:hAnsi="Times New Roman" w:cs="Times New Roman" w:eastAsiaTheme="minorEastAsia"/>
                <w:b/>
                <w:bCs/>
                <w:color w:val="auto"/>
              </w:rPr>
            </w:pPr>
            <w:r>
              <w:rPr>
                <w:rFonts w:hint="eastAsia" w:cs="Times New Roman" w:eastAsiaTheme="minorEastAsia"/>
                <w:b/>
                <w:bCs/>
                <w:color w:val="auto"/>
                <w:lang w:val="en-US" w:eastAsia="zh-CN"/>
              </w:rPr>
              <w:t>2.</w:t>
            </w:r>
            <w:r>
              <w:rPr>
                <w:rFonts w:hint="default" w:ascii="Times New Roman" w:hAnsi="Times New Roman" w:cs="Times New Roman" w:eastAsiaTheme="minorEastAsia"/>
                <w:b/>
                <w:bCs/>
                <w:color w:val="auto"/>
                <w:lang w:val="en-US" w:eastAsia="zh-CN"/>
              </w:rPr>
              <w:t>废</w:t>
            </w:r>
            <w:r>
              <w:rPr>
                <w:rFonts w:hint="default" w:ascii="Times New Roman" w:hAnsi="Times New Roman" w:cs="Times New Roman" w:eastAsiaTheme="minorEastAsia"/>
                <w:b/>
                <w:bCs/>
                <w:color w:val="auto"/>
              </w:rPr>
              <w:t>水环境影响及保护措施</w:t>
            </w:r>
          </w:p>
          <w:p w14:paraId="3917D9D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本项目运营期废水主要为诊疗废水、美容废水、宠物笼清洗污水、生活污水。</w:t>
            </w:r>
          </w:p>
          <w:p w14:paraId="4C0479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2.1废水产生、处置及排放情况</w:t>
            </w:r>
          </w:p>
          <w:p w14:paraId="0342B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eastAsia" w:cs="Times New Roman" w:eastAsiaTheme="minorEastAsia"/>
                <w:bCs/>
                <w:color w:val="auto"/>
                <w:sz w:val="24"/>
                <w:szCs w:val="24"/>
                <w:lang w:val="en-US" w:eastAsia="zh-CN"/>
              </w:rPr>
              <w:t>（1）</w:t>
            </w:r>
            <w:r>
              <w:rPr>
                <w:rFonts w:hint="default" w:ascii="Times New Roman" w:hAnsi="Times New Roman" w:cs="Times New Roman" w:eastAsiaTheme="minorEastAsia"/>
                <w:bCs/>
                <w:color w:val="auto"/>
                <w:sz w:val="24"/>
                <w:szCs w:val="24"/>
                <w:lang w:val="en-US" w:eastAsia="zh-CN"/>
              </w:rPr>
              <w:t>动物美容</w:t>
            </w:r>
            <w:r>
              <w:rPr>
                <w:rFonts w:hint="eastAsia" w:cs="Times New Roman" w:eastAsiaTheme="minorEastAsia"/>
                <w:bCs/>
                <w:color w:val="auto"/>
                <w:sz w:val="24"/>
                <w:szCs w:val="24"/>
                <w:lang w:val="en-US" w:eastAsia="zh-CN"/>
              </w:rPr>
              <w:t>废水</w:t>
            </w:r>
          </w:p>
          <w:p w14:paraId="54939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动物美容</w:t>
            </w:r>
            <w:r>
              <w:rPr>
                <w:rFonts w:hint="eastAsia" w:cs="Times New Roman" w:eastAsiaTheme="minorEastAsia"/>
                <w:bCs/>
                <w:color w:val="auto"/>
                <w:sz w:val="24"/>
                <w:szCs w:val="24"/>
                <w:lang w:val="en-US" w:eastAsia="zh-CN"/>
              </w:rPr>
              <w:t>废水主要来自宠物美容、清洗过程产生的废水，根据建设提供资料，宠物洗护用水量按每只宠物30L计。项目宠物美容年接待量为400只，则</w:t>
            </w:r>
            <w:r>
              <w:rPr>
                <w:rFonts w:hint="default" w:ascii="Times New Roman" w:hAnsi="Times New Roman" w:cs="Times New Roman" w:eastAsiaTheme="minorEastAsia"/>
                <w:bCs/>
                <w:color w:val="auto"/>
                <w:sz w:val="24"/>
                <w:szCs w:val="24"/>
                <w:lang w:val="en-US" w:eastAsia="zh-CN"/>
              </w:rPr>
              <w:t>动物美容</w:t>
            </w:r>
            <w:r>
              <w:rPr>
                <w:rFonts w:hint="eastAsia" w:cs="Times New Roman" w:eastAsiaTheme="minorEastAsia"/>
                <w:bCs/>
                <w:color w:val="auto"/>
                <w:sz w:val="24"/>
                <w:szCs w:val="24"/>
                <w:lang w:val="en-US" w:eastAsia="zh-CN"/>
              </w:rPr>
              <w:t>用水量为12.0t/a；污水量按用水量的90%计，则</w:t>
            </w:r>
            <w:r>
              <w:rPr>
                <w:rFonts w:hint="default" w:ascii="Times New Roman" w:hAnsi="Times New Roman" w:cs="Times New Roman" w:eastAsiaTheme="minorEastAsia"/>
                <w:bCs/>
                <w:color w:val="auto"/>
                <w:sz w:val="24"/>
                <w:szCs w:val="24"/>
                <w:lang w:val="en-US" w:eastAsia="zh-CN"/>
              </w:rPr>
              <w:t>动物美容</w:t>
            </w:r>
            <w:r>
              <w:rPr>
                <w:rFonts w:hint="eastAsia" w:cs="Times New Roman" w:eastAsiaTheme="minorEastAsia"/>
                <w:bCs/>
                <w:color w:val="auto"/>
                <w:sz w:val="24"/>
                <w:szCs w:val="24"/>
                <w:lang w:val="en-US" w:eastAsia="zh-CN"/>
              </w:rPr>
              <w:t>废水产生量为10.8t/a。类比同类宠物医院项目，</w:t>
            </w:r>
            <w:r>
              <w:rPr>
                <w:rFonts w:hint="default" w:ascii="Times New Roman" w:hAnsi="Times New Roman" w:cs="Times New Roman" w:eastAsiaTheme="minorEastAsia"/>
                <w:bCs/>
                <w:color w:val="auto"/>
                <w:sz w:val="24"/>
                <w:szCs w:val="24"/>
                <w:lang w:val="en-US" w:eastAsia="zh-CN"/>
              </w:rPr>
              <w:t>动物美容</w:t>
            </w:r>
            <w:r>
              <w:rPr>
                <w:rFonts w:hint="eastAsia" w:cs="Times New Roman" w:eastAsiaTheme="minorEastAsia"/>
                <w:bCs/>
                <w:color w:val="auto"/>
                <w:sz w:val="24"/>
                <w:szCs w:val="24"/>
                <w:lang w:val="en-US" w:eastAsia="zh-CN"/>
              </w:rPr>
              <w:t>废水中污染物浓度为CODcr：300mg/L、BOD</w:t>
            </w:r>
            <w:r>
              <w:rPr>
                <w:rFonts w:hint="eastAsia" w:cs="Times New Roman" w:eastAsiaTheme="minorEastAsia"/>
                <w:bCs/>
                <w:color w:val="auto"/>
                <w:sz w:val="24"/>
                <w:szCs w:val="24"/>
                <w:vertAlign w:val="subscript"/>
                <w:lang w:val="en-US" w:eastAsia="zh-CN"/>
              </w:rPr>
              <w:t>5</w:t>
            </w:r>
            <w:r>
              <w:rPr>
                <w:rFonts w:hint="eastAsia" w:cs="Times New Roman" w:eastAsiaTheme="minorEastAsia"/>
                <w:bCs/>
                <w:color w:val="auto"/>
                <w:sz w:val="24"/>
                <w:szCs w:val="24"/>
                <w:lang w:val="en-US" w:eastAsia="zh-CN"/>
              </w:rPr>
              <w:t>：180mg/L、SS：300mg/L、氨氮：25mg/L。本项目</w:t>
            </w:r>
            <w:r>
              <w:rPr>
                <w:rFonts w:hint="default" w:ascii="Times New Roman" w:hAnsi="Times New Roman" w:cs="Times New Roman" w:eastAsiaTheme="minorEastAsia"/>
                <w:bCs/>
                <w:color w:val="auto"/>
                <w:sz w:val="24"/>
                <w:szCs w:val="24"/>
                <w:lang w:val="en-US" w:eastAsia="zh-CN"/>
              </w:rPr>
              <w:t>动物美容</w:t>
            </w:r>
            <w:r>
              <w:rPr>
                <w:rFonts w:hint="eastAsia" w:cs="Times New Roman" w:eastAsiaTheme="minorEastAsia"/>
                <w:bCs/>
                <w:color w:val="auto"/>
                <w:sz w:val="24"/>
                <w:szCs w:val="24"/>
                <w:lang w:val="en-US" w:eastAsia="zh-CN"/>
              </w:rPr>
              <w:t>废水综合污染物见下表4-2。</w:t>
            </w:r>
          </w:p>
          <w:p w14:paraId="3D13C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
                <w:color w:val="auto"/>
                <w:sz w:val="21"/>
                <w:szCs w:val="21"/>
              </w:rPr>
              <w:t>表4-</w:t>
            </w:r>
            <w:r>
              <w:rPr>
                <w:rFonts w:hint="eastAsia" w:cs="Times New Roman" w:eastAsiaTheme="minorEastAsia"/>
                <w:b/>
                <w:color w:val="auto"/>
                <w:sz w:val="21"/>
                <w:szCs w:val="21"/>
                <w:lang w:val="en-US" w:eastAsia="zh-CN"/>
              </w:rPr>
              <w:t>2</w:t>
            </w:r>
            <w:r>
              <w:rPr>
                <w:rFonts w:hint="default" w:ascii="Times New Roman" w:hAnsi="Times New Roman" w:cs="Times New Roman" w:eastAsiaTheme="minorEastAsia"/>
                <w:b/>
                <w:color w:val="auto"/>
                <w:sz w:val="21"/>
                <w:szCs w:val="21"/>
              </w:rPr>
              <w:t xml:space="preserve"> </w:t>
            </w:r>
            <w:r>
              <w:rPr>
                <w:rFonts w:hint="default" w:ascii="Times New Roman" w:hAnsi="Times New Roman" w:cs="Times New Roman" w:eastAsiaTheme="minorEastAsia"/>
                <w:b/>
                <w:color w:val="auto"/>
                <w:sz w:val="21"/>
                <w:szCs w:val="21"/>
                <w:lang w:val="en-US" w:eastAsia="zh-CN"/>
              </w:rPr>
              <w:t xml:space="preserve">  动物美容废</w:t>
            </w:r>
            <w:r>
              <w:rPr>
                <w:rFonts w:hint="default" w:ascii="Times New Roman" w:hAnsi="Times New Roman" w:cs="Times New Roman" w:eastAsiaTheme="minorEastAsia"/>
                <w:b/>
                <w:color w:val="auto"/>
                <w:sz w:val="21"/>
                <w:szCs w:val="21"/>
              </w:rPr>
              <w:t>水</w:t>
            </w:r>
            <w:r>
              <w:rPr>
                <w:rFonts w:hint="default" w:ascii="Times New Roman" w:hAnsi="Times New Roman" w:cs="Times New Roman" w:eastAsiaTheme="minorEastAsia"/>
                <w:b/>
                <w:color w:val="auto"/>
                <w:sz w:val="21"/>
                <w:szCs w:val="21"/>
                <w:lang w:val="en-US" w:eastAsia="zh-CN"/>
              </w:rPr>
              <w:t>污染源</w:t>
            </w:r>
            <w:r>
              <w:rPr>
                <w:rFonts w:hint="eastAsia" w:ascii="Times New Roman" w:hAnsi="Times New Roman" w:cs="Times New Roman" w:eastAsiaTheme="minorEastAsia"/>
                <w:b/>
                <w:color w:val="auto"/>
                <w:sz w:val="21"/>
                <w:szCs w:val="21"/>
                <w:lang w:val="en-US" w:eastAsia="zh-CN"/>
              </w:rPr>
              <w:t>源</w:t>
            </w:r>
            <w:r>
              <w:rPr>
                <w:rFonts w:hint="default" w:ascii="Times New Roman" w:hAnsi="Times New Roman" w:cs="Times New Roman" w:eastAsiaTheme="minorEastAsia"/>
                <w:b/>
                <w:color w:val="auto"/>
                <w:sz w:val="21"/>
                <w:szCs w:val="21"/>
                <w:lang w:val="en-US" w:eastAsia="zh-CN"/>
              </w:rPr>
              <w:t>强一览</w:t>
            </w:r>
            <w:r>
              <w:rPr>
                <w:rFonts w:hint="default" w:ascii="Times New Roman" w:hAnsi="Times New Roman" w:cs="Times New Roman" w:eastAsiaTheme="minorEastAsia"/>
                <w:b/>
                <w:color w:val="auto"/>
                <w:sz w:val="21"/>
                <w:szCs w:val="21"/>
              </w:rPr>
              <w:t>表</w:t>
            </w:r>
          </w:p>
          <w:tbl>
            <w:tblPr>
              <w:tblStyle w:val="24"/>
              <w:tblW w:w="794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005"/>
              <w:gridCol w:w="990"/>
              <w:gridCol w:w="1110"/>
              <w:gridCol w:w="915"/>
              <w:gridCol w:w="975"/>
              <w:gridCol w:w="975"/>
              <w:gridCol w:w="1222"/>
            </w:tblGrid>
            <w:tr w14:paraId="0F00DB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Borders>
                    <w:bottom w:val="single" w:color="auto" w:sz="12" w:space="0"/>
                  </w:tcBorders>
                  <w:vAlign w:val="center"/>
                </w:tcPr>
                <w:p w14:paraId="0DFAC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废水类别</w:t>
                  </w:r>
                </w:p>
              </w:tc>
              <w:tc>
                <w:tcPr>
                  <w:tcW w:w="1005" w:type="dxa"/>
                  <w:tcBorders>
                    <w:bottom w:val="single" w:color="auto" w:sz="12" w:space="0"/>
                  </w:tcBorders>
                  <w:vAlign w:val="center"/>
                </w:tcPr>
                <w:p w14:paraId="06F70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污染物</w:t>
                  </w:r>
                </w:p>
              </w:tc>
              <w:tc>
                <w:tcPr>
                  <w:tcW w:w="990" w:type="dxa"/>
                  <w:tcBorders>
                    <w:bottom w:val="single" w:color="auto" w:sz="12" w:space="0"/>
                  </w:tcBorders>
                  <w:vAlign w:val="center"/>
                </w:tcPr>
                <w:p w14:paraId="447424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产生量t/a</w:t>
                  </w:r>
                </w:p>
              </w:tc>
              <w:tc>
                <w:tcPr>
                  <w:tcW w:w="1110" w:type="dxa"/>
                  <w:tcBorders>
                    <w:bottom w:val="single" w:color="auto" w:sz="12" w:space="0"/>
                  </w:tcBorders>
                  <w:vAlign w:val="center"/>
                </w:tcPr>
                <w:p w14:paraId="25C00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产生浓度mg/L</w:t>
                  </w:r>
                </w:p>
              </w:tc>
              <w:tc>
                <w:tcPr>
                  <w:tcW w:w="915" w:type="dxa"/>
                  <w:tcBorders>
                    <w:bottom w:val="single" w:color="auto" w:sz="12" w:space="0"/>
                  </w:tcBorders>
                  <w:vAlign w:val="center"/>
                </w:tcPr>
                <w:p w14:paraId="13CF58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治理</w:t>
                  </w:r>
                </w:p>
                <w:p w14:paraId="519FB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措施</w:t>
                  </w:r>
                </w:p>
              </w:tc>
              <w:tc>
                <w:tcPr>
                  <w:tcW w:w="975" w:type="dxa"/>
                  <w:tcBorders>
                    <w:bottom w:val="single" w:color="auto" w:sz="12" w:space="0"/>
                  </w:tcBorders>
                  <w:vAlign w:val="center"/>
                </w:tcPr>
                <w:p w14:paraId="1F97F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处理效率%</w:t>
                  </w:r>
                </w:p>
              </w:tc>
              <w:tc>
                <w:tcPr>
                  <w:tcW w:w="975" w:type="dxa"/>
                  <w:tcBorders>
                    <w:bottom w:val="single" w:color="auto" w:sz="12" w:space="0"/>
                  </w:tcBorders>
                  <w:vAlign w:val="center"/>
                </w:tcPr>
                <w:p w14:paraId="75E93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排放量t/a</w:t>
                  </w:r>
                </w:p>
              </w:tc>
              <w:tc>
                <w:tcPr>
                  <w:tcW w:w="1222" w:type="dxa"/>
                  <w:tcBorders>
                    <w:bottom w:val="single" w:color="auto" w:sz="12" w:space="0"/>
                  </w:tcBorders>
                  <w:vAlign w:val="center"/>
                </w:tcPr>
                <w:p w14:paraId="52C85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排放浓度mg/L</w:t>
                  </w:r>
                </w:p>
              </w:tc>
            </w:tr>
            <w:tr w14:paraId="2490E7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restart"/>
                  <w:tcBorders>
                    <w:top w:val="single" w:color="auto" w:sz="12" w:space="0"/>
                    <w:tl2br w:val="nil"/>
                    <w:tr2bl w:val="nil"/>
                  </w:tcBorders>
                  <w:vAlign w:val="center"/>
                </w:tcPr>
                <w:p w14:paraId="78D726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动物美容废水</w:t>
                  </w:r>
                </w:p>
              </w:tc>
              <w:tc>
                <w:tcPr>
                  <w:tcW w:w="1005" w:type="dxa"/>
                  <w:tcBorders>
                    <w:top w:val="single" w:color="auto" w:sz="12" w:space="0"/>
                    <w:tl2br w:val="nil"/>
                    <w:tr2bl w:val="nil"/>
                  </w:tcBorders>
                  <w:vAlign w:val="center"/>
                </w:tcPr>
                <w:p w14:paraId="1ACA1B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CODcr</w:t>
                  </w:r>
                </w:p>
              </w:tc>
              <w:tc>
                <w:tcPr>
                  <w:tcW w:w="990" w:type="dxa"/>
                  <w:tcBorders>
                    <w:top w:val="single" w:color="auto" w:sz="12" w:space="0"/>
                    <w:tl2br w:val="nil"/>
                    <w:tr2bl w:val="nil"/>
                  </w:tcBorders>
                  <w:vAlign w:val="center"/>
                </w:tcPr>
                <w:p w14:paraId="50362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0.0032</w:t>
                  </w:r>
                </w:p>
              </w:tc>
              <w:tc>
                <w:tcPr>
                  <w:tcW w:w="1110" w:type="dxa"/>
                  <w:tcBorders>
                    <w:top w:val="single" w:color="auto" w:sz="12" w:space="0"/>
                    <w:tl2br w:val="nil"/>
                    <w:tr2bl w:val="nil"/>
                  </w:tcBorders>
                  <w:vAlign w:val="center"/>
                </w:tcPr>
                <w:p w14:paraId="10A1C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300</w:t>
                  </w:r>
                </w:p>
              </w:tc>
              <w:tc>
                <w:tcPr>
                  <w:tcW w:w="915" w:type="dxa"/>
                  <w:vMerge w:val="restart"/>
                  <w:tcBorders>
                    <w:top w:val="single" w:color="auto" w:sz="12" w:space="0"/>
                    <w:tl2br w:val="nil"/>
                    <w:tr2bl w:val="nil"/>
                  </w:tcBorders>
                  <w:vAlign w:val="center"/>
                </w:tcPr>
                <w:p w14:paraId="1AECE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op w:val="single" w:color="auto" w:sz="12" w:space="0"/>
                    <w:tl2br w:val="nil"/>
                    <w:tr2bl w:val="nil"/>
                  </w:tcBorders>
                  <w:vAlign w:val="center"/>
                </w:tcPr>
                <w:p w14:paraId="23B73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op w:val="single" w:color="auto" w:sz="12" w:space="0"/>
                    <w:tl2br w:val="nil"/>
                    <w:tr2bl w:val="nil"/>
                  </w:tcBorders>
                  <w:vAlign w:val="center"/>
                </w:tcPr>
                <w:p w14:paraId="19AB4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0.0032</w:t>
                  </w:r>
                </w:p>
              </w:tc>
              <w:tc>
                <w:tcPr>
                  <w:tcW w:w="1222" w:type="dxa"/>
                  <w:tcBorders>
                    <w:top w:val="single" w:color="auto" w:sz="12" w:space="0"/>
                    <w:tl2br w:val="nil"/>
                    <w:tr2bl w:val="nil"/>
                  </w:tcBorders>
                  <w:vAlign w:val="center"/>
                </w:tcPr>
                <w:p w14:paraId="4E02AB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300</w:t>
                  </w:r>
                </w:p>
              </w:tc>
            </w:tr>
            <w:tr w14:paraId="7D959D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continue"/>
                  <w:tcBorders>
                    <w:tl2br w:val="nil"/>
                    <w:tr2bl w:val="nil"/>
                  </w:tcBorders>
                  <w:vAlign w:val="center"/>
                </w:tcPr>
                <w:p w14:paraId="7FC73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1005" w:type="dxa"/>
                  <w:tcBorders>
                    <w:tl2br w:val="nil"/>
                    <w:tr2bl w:val="nil"/>
                  </w:tcBorders>
                  <w:vAlign w:val="center"/>
                </w:tcPr>
                <w:p w14:paraId="43CFEB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BOD</w:t>
                  </w:r>
                  <w:r>
                    <w:rPr>
                      <w:rFonts w:hint="default" w:ascii="Times New Roman" w:hAnsi="Times New Roman" w:cs="Times New Roman" w:eastAsiaTheme="minorEastAsia"/>
                      <w:bCs/>
                      <w:color w:val="auto"/>
                      <w:sz w:val="21"/>
                      <w:szCs w:val="21"/>
                      <w:vertAlign w:val="subscript"/>
                      <w:lang w:val="en-US" w:eastAsia="zh-CN"/>
                    </w:rPr>
                    <w:t>5</w:t>
                  </w:r>
                </w:p>
              </w:tc>
              <w:tc>
                <w:tcPr>
                  <w:tcW w:w="990" w:type="dxa"/>
                  <w:tcBorders>
                    <w:tl2br w:val="nil"/>
                    <w:tr2bl w:val="nil"/>
                  </w:tcBorders>
                  <w:vAlign w:val="center"/>
                </w:tcPr>
                <w:p w14:paraId="3BC90F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0.0019</w:t>
                  </w:r>
                </w:p>
              </w:tc>
              <w:tc>
                <w:tcPr>
                  <w:tcW w:w="1110" w:type="dxa"/>
                  <w:tcBorders>
                    <w:tl2br w:val="nil"/>
                    <w:tr2bl w:val="nil"/>
                  </w:tcBorders>
                  <w:vAlign w:val="center"/>
                </w:tcPr>
                <w:p w14:paraId="6D6FB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180</w:t>
                  </w:r>
                </w:p>
              </w:tc>
              <w:tc>
                <w:tcPr>
                  <w:tcW w:w="915" w:type="dxa"/>
                  <w:vMerge w:val="continue"/>
                  <w:tcBorders>
                    <w:tl2br w:val="nil"/>
                    <w:tr2bl w:val="nil"/>
                  </w:tcBorders>
                  <w:vAlign w:val="center"/>
                </w:tcPr>
                <w:p w14:paraId="6B5B4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47303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04DFA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0.0019</w:t>
                  </w:r>
                </w:p>
              </w:tc>
              <w:tc>
                <w:tcPr>
                  <w:tcW w:w="1222" w:type="dxa"/>
                  <w:tcBorders>
                    <w:tl2br w:val="nil"/>
                    <w:tr2bl w:val="nil"/>
                  </w:tcBorders>
                  <w:vAlign w:val="center"/>
                </w:tcPr>
                <w:p w14:paraId="33C13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180</w:t>
                  </w:r>
                </w:p>
              </w:tc>
            </w:tr>
            <w:tr w14:paraId="49B2A1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continue"/>
                  <w:tcBorders>
                    <w:tl2br w:val="nil"/>
                    <w:tr2bl w:val="nil"/>
                  </w:tcBorders>
                  <w:vAlign w:val="center"/>
                </w:tcPr>
                <w:p w14:paraId="290CDC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1005" w:type="dxa"/>
                  <w:tcBorders>
                    <w:tl2br w:val="nil"/>
                    <w:tr2bl w:val="nil"/>
                  </w:tcBorders>
                  <w:vAlign w:val="center"/>
                </w:tcPr>
                <w:p w14:paraId="598FD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SS</w:t>
                  </w:r>
                </w:p>
              </w:tc>
              <w:tc>
                <w:tcPr>
                  <w:tcW w:w="990" w:type="dxa"/>
                  <w:tcBorders>
                    <w:tl2br w:val="nil"/>
                    <w:tr2bl w:val="nil"/>
                  </w:tcBorders>
                  <w:vAlign w:val="center"/>
                </w:tcPr>
                <w:p w14:paraId="2378F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0.0032</w:t>
                  </w:r>
                </w:p>
              </w:tc>
              <w:tc>
                <w:tcPr>
                  <w:tcW w:w="1110" w:type="dxa"/>
                  <w:tcBorders>
                    <w:tl2br w:val="nil"/>
                    <w:tr2bl w:val="nil"/>
                  </w:tcBorders>
                  <w:vAlign w:val="center"/>
                </w:tcPr>
                <w:p w14:paraId="03604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300</w:t>
                  </w:r>
                </w:p>
              </w:tc>
              <w:tc>
                <w:tcPr>
                  <w:tcW w:w="915" w:type="dxa"/>
                  <w:vMerge w:val="continue"/>
                  <w:tcBorders>
                    <w:tl2br w:val="nil"/>
                    <w:tr2bl w:val="nil"/>
                  </w:tcBorders>
                  <w:vAlign w:val="center"/>
                </w:tcPr>
                <w:p w14:paraId="3C6DDE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30257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4E39B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0.0032</w:t>
                  </w:r>
                </w:p>
              </w:tc>
              <w:tc>
                <w:tcPr>
                  <w:tcW w:w="1222" w:type="dxa"/>
                  <w:tcBorders>
                    <w:tl2br w:val="nil"/>
                    <w:tr2bl w:val="nil"/>
                  </w:tcBorders>
                  <w:vAlign w:val="center"/>
                </w:tcPr>
                <w:p w14:paraId="6DCED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300</w:t>
                  </w:r>
                </w:p>
              </w:tc>
            </w:tr>
            <w:tr w14:paraId="5C9506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continue"/>
                  <w:tcBorders>
                    <w:tl2br w:val="nil"/>
                    <w:tr2bl w:val="nil"/>
                  </w:tcBorders>
                  <w:vAlign w:val="center"/>
                </w:tcPr>
                <w:p w14:paraId="78E66F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1005" w:type="dxa"/>
                  <w:tcBorders>
                    <w:tl2br w:val="nil"/>
                    <w:tr2bl w:val="nil"/>
                  </w:tcBorders>
                  <w:vAlign w:val="center"/>
                </w:tcPr>
                <w:p w14:paraId="029DA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NH</w:t>
                  </w:r>
                  <w:r>
                    <w:rPr>
                      <w:rFonts w:hint="default" w:ascii="Times New Roman" w:hAnsi="Times New Roman" w:cs="Times New Roman" w:eastAsiaTheme="minorEastAsia"/>
                      <w:bCs/>
                      <w:color w:val="auto"/>
                      <w:sz w:val="21"/>
                      <w:szCs w:val="21"/>
                      <w:vertAlign w:val="subscript"/>
                      <w:lang w:val="en-US" w:eastAsia="zh-CN"/>
                    </w:rPr>
                    <w:t>3</w:t>
                  </w:r>
                  <w:r>
                    <w:rPr>
                      <w:rFonts w:hint="default" w:ascii="Times New Roman" w:hAnsi="Times New Roman" w:cs="Times New Roman" w:eastAsiaTheme="minorEastAsia"/>
                      <w:bCs/>
                      <w:color w:val="auto"/>
                      <w:sz w:val="21"/>
                      <w:szCs w:val="21"/>
                      <w:lang w:val="en-US" w:eastAsia="zh-CN"/>
                    </w:rPr>
                    <w:t>-N</w:t>
                  </w:r>
                </w:p>
              </w:tc>
              <w:tc>
                <w:tcPr>
                  <w:tcW w:w="990" w:type="dxa"/>
                  <w:tcBorders>
                    <w:tl2br w:val="nil"/>
                    <w:tr2bl w:val="nil"/>
                  </w:tcBorders>
                  <w:vAlign w:val="center"/>
                </w:tcPr>
                <w:p w14:paraId="5DCFCB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0.0003</w:t>
                  </w:r>
                </w:p>
              </w:tc>
              <w:tc>
                <w:tcPr>
                  <w:tcW w:w="1110" w:type="dxa"/>
                  <w:tcBorders>
                    <w:tl2br w:val="nil"/>
                    <w:tr2bl w:val="nil"/>
                  </w:tcBorders>
                  <w:vAlign w:val="center"/>
                </w:tcPr>
                <w:p w14:paraId="45E88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25</w:t>
                  </w:r>
                </w:p>
              </w:tc>
              <w:tc>
                <w:tcPr>
                  <w:tcW w:w="915" w:type="dxa"/>
                  <w:vMerge w:val="continue"/>
                  <w:tcBorders>
                    <w:tl2br w:val="nil"/>
                    <w:tr2bl w:val="nil"/>
                  </w:tcBorders>
                  <w:vAlign w:val="center"/>
                </w:tcPr>
                <w:p w14:paraId="081C84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761993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03B1F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0.0003</w:t>
                  </w:r>
                </w:p>
              </w:tc>
              <w:tc>
                <w:tcPr>
                  <w:tcW w:w="1222" w:type="dxa"/>
                  <w:tcBorders>
                    <w:tl2br w:val="nil"/>
                    <w:tr2bl w:val="nil"/>
                  </w:tcBorders>
                  <w:vAlign w:val="center"/>
                </w:tcPr>
                <w:p w14:paraId="38FA7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25</w:t>
                  </w:r>
                </w:p>
              </w:tc>
            </w:tr>
          </w:tbl>
          <w:p w14:paraId="489D70BF">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w:t>
            </w:r>
            <w:r>
              <w:rPr>
                <w:rFonts w:hint="eastAsia" w:cs="Times New Roman" w:eastAsiaTheme="minorEastAsia"/>
                <w:color w:val="auto"/>
                <w:sz w:val="24"/>
                <w:lang w:val="en-US" w:eastAsia="zh-CN"/>
              </w:rPr>
              <w:t>2</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诊疗</w:t>
            </w:r>
            <w:r>
              <w:rPr>
                <w:rFonts w:hint="eastAsia" w:ascii="Times New Roman" w:hAnsi="Times New Roman" w:cs="Times New Roman" w:eastAsiaTheme="minorEastAsia"/>
                <w:color w:val="auto"/>
                <w:sz w:val="24"/>
                <w:lang w:val="en-US" w:eastAsia="zh-CN"/>
              </w:rPr>
              <w:t>废水</w:t>
            </w:r>
          </w:p>
          <w:p w14:paraId="731AE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eastAsia="宋体" w:cs="Times New Roman"/>
                <w:b/>
                <w:bCs/>
                <w:color w:val="auto"/>
                <w:sz w:val="24"/>
                <w:lang w:val="en-US" w:eastAsia="zh-CN"/>
              </w:rPr>
            </w:pPr>
            <w:r>
              <w:rPr>
                <w:rFonts w:hint="eastAsia" w:ascii="宋体" w:hAnsi="宋体" w:eastAsia="宋体"/>
                <w:sz w:val="24"/>
                <w:szCs w:val="24"/>
              </w:rPr>
              <w:t>诊疗废水来自</w:t>
            </w:r>
            <w:r>
              <w:rPr>
                <w:rFonts w:hint="eastAsia" w:ascii="宋体" w:hAnsi="宋体" w:eastAsia="宋体"/>
                <w:sz w:val="24"/>
                <w:szCs w:val="24"/>
                <w:lang w:val="en-US" w:eastAsia="zh-CN"/>
              </w:rPr>
              <w:t>宠物门诊及住院过程产生的废水。</w:t>
            </w:r>
          </w:p>
          <w:p w14:paraId="2FC1320C">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①门诊用水</w:t>
            </w:r>
          </w:p>
          <w:p w14:paraId="363F5B22">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项目正常运营后，</w:t>
            </w:r>
            <w:r>
              <w:rPr>
                <w:rFonts w:hint="eastAsia" w:ascii="Times New Roman" w:hAnsi="Times New Roman" w:cs="Times New Roman" w:eastAsiaTheme="minorEastAsia"/>
                <w:color w:val="auto"/>
                <w:sz w:val="24"/>
                <w:lang w:val="en-US" w:eastAsia="zh-CN"/>
              </w:rPr>
              <w:t>年接待</w:t>
            </w:r>
            <w:r>
              <w:rPr>
                <w:rFonts w:hint="default" w:ascii="Times New Roman" w:hAnsi="Times New Roman" w:cs="Times New Roman" w:eastAsiaTheme="minorEastAsia"/>
                <w:color w:val="auto"/>
                <w:sz w:val="24"/>
                <w:lang w:val="en-US" w:eastAsia="zh-CN"/>
              </w:rPr>
              <w:t>需诊治的宠物</w:t>
            </w:r>
            <w:r>
              <w:rPr>
                <w:rFonts w:hint="eastAsia" w:cs="Times New Roman" w:eastAsiaTheme="minorEastAsia"/>
                <w:color w:val="auto"/>
                <w:sz w:val="24"/>
                <w:lang w:val="en-US" w:eastAsia="zh-CN"/>
              </w:rPr>
              <w:t>6</w:t>
            </w:r>
            <w:r>
              <w:rPr>
                <w:rFonts w:hint="default" w:ascii="Times New Roman" w:hAnsi="Times New Roman" w:cs="Times New Roman" w:eastAsiaTheme="minorEastAsia"/>
                <w:color w:val="auto"/>
                <w:sz w:val="24"/>
                <w:lang w:val="en-US" w:eastAsia="zh-CN"/>
              </w:rPr>
              <w:t>00例</w:t>
            </w:r>
            <w:r>
              <w:rPr>
                <w:rFonts w:hint="eastAsia" w:cs="Times New Roman" w:eastAsiaTheme="minorEastAsia"/>
                <w:color w:val="auto"/>
                <w:sz w:val="24"/>
                <w:lang w:val="en-US" w:eastAsia="zh-CN"/>
              </w:rPr>
              <w:t>，</w:t>
            </w:r>
            <w:r>
              <w:rPr>
                <w:rFonts w:hint="default" w:ascii="Times New Roman" w:hAnsi="Times New Roman" w:cs="Times New Roman" w:eastAsiaTheme="minorEastAsia"/>
                <w:bCs/>
                <w:color w:val="auto"/>
                <w:sz w:val="24"/>
                <w:szCs w:val="24"/>
                <w:lang w:val="en-US" w:eastAsia="zh-CN"/>
              </w:rPr>
              <w:t>参考《建筑给水排水设计标准》（GB50015-2019）进行用水量计算，选取最高日用水定额取10L/只，则</w:t>
            </w:r>
            <w:r>
              <w:rPr>
                <w:rFonts w:hint="eastAsia" w:ascii="Times New Roman" w:hAnsi="Times New Roman" w:cs="Times New Roman" w:eastAsiaTheme="minorEastAsia"/>
                <w:color w:val="auto"/>
                <w:sz w:val="24"/>
                <w:lang w:val="en-US" w:eastAsia="zh-CN"/>
              </w:rPr>
              <w:t>门诊</w:t>
            </w:r>
            <w:r>
              <w:rPr>
                <w:rFonts w:hint="default" w:ascii="Times New Roman" w:hAnsi="Times New Roman" w:cs="Times New Roman" w:eastAsiaTheme="minorEastAsia"/>
                <w:bCs/>
                <w:color w:val="auto"/>
                <w:sz w:val="24"/>
                <w:szCs w:val="24"/>
                <w:lang w:val="en-US" w:eastAsia="zh-CN"/>
              </w:rPr>
              <w:t>用水量</w:t>
            </w:r>
            <w:r>
              <w:rPr>
                <w:rFonts w:hint="eastAsia" w:cs="Times New Roman" w:eastAsiaTheme="minorEastAsia"/>
                <w:bCs/>
                <w:color w:val="auto"/>
                <w:sz w:val="24"/>
                <w:szCs w:val="24"/>
                <w:lang w:val="en-US" w:eastAsia="zh-CN"/>
              </w:rPr>
              <w:t>为6</w:t>
            </w:r>
            <w:r>
              <w:rPr>
                <w:rFonts w:hint="default" w:ascii="Times New Roman" w:hAnsi="Times New Roman" w:cs="Times New Roman" w:eastAsiaTheme="minorEastAsia"/>
                <w:bCs/>
                <w:color w:val="auto"/>
                <w:sz w:val="24"/>
                <w:szCs w:val="24"/>
                <w:lang w:val="en-US" w:eastAsia="zh-CN"/>
              </w:rPr>
              <w:t>.0t/a。</w:t>
            </w:r>
          </w:p>
          <w:p w14:paraId="41DA136F">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②住院用水</w:t>
            </w:r>
          </w:p>
          <w:p w14:paraId="3D4630D3">
            <w:pPr>
              <w:keepNext w:val="0"/>
              <w:keepLines w:val="0"/>
              <w:suppressLineNumbers w:val="0"/>
              <w:spacing w:before="0" w:beforeAutospacing="0" w:after="0" w:afterAutospacing="0" w:line="520" w:lineRule="exact"/>
              <w:ind w:left="0" w:right="0"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cs="Times New Roman" w:eastAsiaTheme="minorEastAsia"/>
                <w:color w:val="auto"/>
                <w:sz w:val="24"/>
                <w:lang w:val="en-US" w:eastAsia="zh-CN"/>
              </w:rPr>
              <w:t>住院用水主要为</w:t>
            </w:r>
            <w:r>
              <w:rPr>
                <w:rFonts w:hint="eastAsia" w:ascii="宋体" w:hAnsi="宋体" w:eastAsia="宋体"/>
                <w:sz w:val="24"/>
                <w:szCs w:val="24"/>
              </w:rPr>
              <w:t>手术室手术器具消毒清洗用水</w:t>
            </w:r>
            <w:r>
              <w:rPr>
                <w:rFonts w:hint="eastAsia" w:ascii="宋体" w:hAnsi="宋体" w:eastAsia="宋体"/>
                <w:sz w:val="24"/>
                <w:szCs w:val="24"/>
                <w:lang w:eastAsia="zh-CN"/>
              </w:rPr>
              <w:t>，</w:t>
            </w:r>
            <w:r>
              <w:rPr>
                <w:rFonts w:hint="default" w:ascii="Times New Roman" w:hAnsi="Times New Roman" w:cs="Times New Roman" w:eastAsiaTheme="minorEastAsia"/>
                <w:color w:val="auto"/>
                <w:sz w:val="24"/>
                <w:lang w:val="en-US" w:eastAsia="zh-CN"/>
              </w:rPr>
              <w:t>项目正常运营后，</w:t>
            </w:r>
            <w:r>
              <w:rPr>
                <w:rFonts w:hint="eastAsia" w:ascii="Times New Roman" w:hAnsi="Times New Roman" w:cs="Times New Roman" w:eastAsiaTheme="minorEastAsia"/>
                <w:color w:val="auto"/>
                <w:sz w:val="24"/>
                <w:lang w:val="en-US" w:eastAsia="zh-CN"/>
              </w:rPr>
              <w:t>年接待</w:t>
            </w:r>
            <w:r>
              <w:rPr>
                <w:rFonts w:hint="default" w:ascii="Times New Roman" w:hAnsi="Times New Roman" w:cs="Times New Roman" w:eastAsiaTheme="minorEastAsia"/>
                <w:color w:val="auto"/>
                <w:sz w:val="24"/>
                <w:lang w:val="en-US" w:eastAsia="zh-CN"/>
              </w:rPr>
              <w:t>需</w:t>
            </w:r>
            <w:r>
              <w:rPr>
                <w:rFonts w:hint="eastAsia" w:ascii="Times New Roman" w:hAnsi="Times New Roman" w:cs="Times New Roman" w:eastAsiaTheme="minorEastAsia"/>
                <w:color w:val="auto"/>
                <w:sz w:val="24"/>
                <w:lang w:val="en-US" w:eastAsia="zh-CN"/>
              </w:rPr>
              <w:t>手术</w:t>
            </w:r>
            <w:r>
              <w:rPr>
                <w:rFonts w:hint="default" w:ascii="Times New Roman" w:hAnsi="Times New Roman" w:cs="Times New Roman" w:eastAsiaTheme="minorEastAsia"/>
                <w:color w:val="auto"/>
                <w:sz w:val="24"/>
                <w:lang w:val="en-US" w:eastAsia="zh-CN"/>
              </w:rPr>
              <w:t>的宠物</w:t>
            </w:r>
            <w:r>
              <w:rPr>
                <w:rFonts w:hint="eastAsia" w:cs="Times New Roman" w:eastAsiaTheme="minorEastAsia"/>
                <w:color w:val="auto"/>
                <w:sz w:val="24"/>
                <w:lang w:val="en-US" w:eastAsia="zh-CN"/>
              </w:rPr>
              <w:t>2</w:t>
            </w:r>
            <w:r>
              <w:rPr>
                <w:rFonts w:hint="default" w:ascii="Times New Roman" w:hAnsi="Times New Roman" w:cs="Times New Roman" w:eastAsiaTheme="minorEastAsia"/>
                <w:color w:val="auto"/>
                <w:sz w:val="24"/>
                <w:lang w:val="en-US" w:eastAsia="zh-CN"/>
              </w:rPr>
              <w:t>00例</w:t>
            </w:r>
            <w:r>
              <w:rPr>
                <w:rFonts w:hint="eastAsia" w:cs="Times New Roman" w:eastAsiaTheme="minorEastAsia"/>
                <w:color w:val="auto"/>
                <w:sz w:val="24"/>
                <w:lang w:val="en-US" w:eastAsia="zh-CN"/>
              </w:rPr>
              <w:t>，</w:t>
            </w:r>
            <w:r>
              <w:rPr>
                <w:rFonts w:hint="default" w:ascii="Times New Roman" w:hAnsi="Times New Roman" w:cs="Times New Roman" w:eastAsiaTheme="minorEastAsia"/>
                <w:bCs/>
                <w:color w:val="auto"/>
                <w:sz w:val="24"/>
                <w:szCs w:val="24"/>
                <w:lang w:val="en-US" w:eastAsia="zh-CN"/>
              </w:rPr>
              <w:t>参考《建筑给水排水设计标准》（GB50015-2019）进行用水量计算，选取最高日用水定额取20L/只，则</w:t>
            </w:r>
            <w:r>
              <w:rPr>
                <w:rFonts w:hint="eastAsia" w:ascii="Times New Roman" w:hAnsi="Times New Roman" w:cs="Times New Roman" w:eastAsiaTheme="minorEastAsia"/>
                <w:color w:val="auto"/>
                <w:sz w:val="24"/>
                <w:lang w:val="en-US" w:eastAsia="zh-CN"/>
              </w:rPr>
              <w:t>住院用水</w:t>
            </w:r>
            <w:r>
              <w:rPr>
                <w:rFonts w:hint="default" w:ascii="Times New Roman" w:hAnsi="Times New Roman" w:cs="Times New Roman" w:eastAsiaTheme="minorEastAsia"/>
                <w:bCs/>
                <w:color w:val="auto"/>
                <w:sz w:val="24"/>
                <w:szCs w:val="24"/>
                <w:lang w:val="en-US" w:eastAsia="zh-CN"/>
              </w:rPr>
              <w:t>量</w:t>
            </w:r>
            <w:r>
              <w:rPr>
                <w:rFonts w:hint="eastAsia" w:cs="Times New Roman" w:eastAsiaTheme="minorEastAsia"/>
                <w:bCs/>
                <w:color w:val="auto"/>
                <w:sz w:val="24"/>
                <w:szCs w:val="24"/>
                <w:lang w:val="en-US" w:eastAsia="zh-CN"/>
              </w:rPr>
              <w:t>为4</w:t>
            </w:r>
            <w:r>
              <w:rPr>
                <w:rFonts w:hint="default" w:ascii="Times New Roman" w:hAnsi="Times New Roman" w:cs="Times New Roman" w:eastAsiaTheme="minorEastAsia"/>
                <w:bCs/>
                <w:color w:val="auto"/>
                <w:sz w:val="24"/>
                <w:szCs w:val="24"/>
                <w:lang w:val="en-US" w:eastAsia="zh-CN"/>
              </w:rPr>
              <w:t>.0t/a。</w:t>
            </w:r>
          </w:p>
          <w:p w14:paraId="3F0BB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eastAsiaTheme="minorEastAsia"/>
                <w:bCs/>
                <w:color w:val="auto"/>
                <w:sz w:val="24"/>
                <w:szCs w:val="24"/>
                <w:lang w:val="en-US" w:eastAsia="zh-CN"/>
              </w:rPr>
            </w:pPr>
            <w:r>
              <w:rPr>
                <w:rFonts w:hint="eastAsia" w:ascii="Times New Roman" w:hAnsi="Times New Roman" w:cs="Times New Roman" w:eastAsiaTheme="minorEastAsia"/>
                <w:bCs/>
                <w:color w:val="auto"/>
                <w:sz w:val="24"/>
                <w:szCs w:val="24"/>
                <w:lang w:val="en-US" w:eastAsia="zh-CN"/>
              </w:rPr>
              <w:t>经统计，诊疗用水量（含门诊用水、住院用水）约10.0t/a，诊疗</w:t>
            </w:r>
            <w:r>
              <w:rPr>
                <w:rFonts w:hint="default" w:ascii="Times New Roman" w:hAnsi="Times New Roman" w:cs="Times New Roman" w:eastAsiaTheme="minorEastAsia"/>
                <w:bCs/>
                <w:color w:val="auto"/>
                <w:sz w:val="24"/>
                <w:szCs w:val="24"/>
                <w:lang w:val="en-US" w:eastAsia="zh-CN"/>
              </w:rPr>
              <w:t>废水产生系数按90%计算，则</w:t>
            </w:r>
            <w:r>
              <w:rPr>
                <w:rFonts w:hint="eastAsia" w:ascii="Times New Roman" w:hAnsi="Times New Roman" w:cs="Times New Roman" w:eastAsiaTheme="minorEastAsia"/>
                <w:bCs/>
                <w:color w:val="auto"/>
                <w:sz w:val="24"/>
                <w:szCs w:val="24"/>
                <w:lang w:val="en-US" w:eastAsia="zh-CN"/>
              </w:rPr>
              <w:t>诊疗废水产生量为9.0t/a。本项目</w:t>
            </w:r>
            <w:r>
              <w:rPr>
                <w:rFonts w:hint="default" w:ascii="Times New Roman" w:hAnsi="Times New Roman" w:cs="Times New Roman" w:eastAsiaTheme="minorEastAsia"/>
                <w:color w:val="auto"/>
                <w:sz w:val="24"/>
                <w:lang w:val="en-US" w:eastAsia="zh-CN"/>
              </w:rPr>
              <w:t>诊疗</w:t>
            </w:r>
            <w:r>
              <w:rPr>
                <w:rFonts w:hint="eastAsia" w:ascii="Times New Roman" w:hAnsi="Times New Roman" w:cs="Times New Roman" w:eastAsiaTheme="minorEastAsia"/>
                <w:color w:val="auto"/>
                <w:sz w:val="24"/>
                <w:lang w:val="en-US" w:eastAsia="zh-CN"/>
              </w:rPr>
              <w:t>废水</w:t>
            </w:r>
            <w:r>
              <w:rPr>
                <w:rFonts w:hint="eastAsia" w:ascii="Times New Roman" w:hAnsi="Times New Roman" w:cs="Times New Roman" w:eastAsiaTheme="minorEastAsia"/>
                <w:bCs/>
                <w:color w:val="auto"/>
                <w:sz w:val="24"/>
                <w:szCs w:val="24"/>
                <w:lang w:val="en-US" w:eastAsia="zh-CN"/>
              </w:rPr>
              <w:t>综合污染物见下表4-</w:t>
            </w:r>
            <w:r>
              <w:rPr>
                <w:rFonts w:hint="eastAsia" w:cs="Times New Roman" w:eastAsiaTheme="minorEastAsia"/>
                <w:bCs/>
                <w:color w:val="auto"/>
                <w:sz w:val="24"/>
                <w:szCs w:val="24"/>
                <w:lang w:val="en-US" w:eastAsia="zh-CN"/>
              </w:rPr>
              <w:t>3</w:t>
            </w:r>
            <w:r>
              <w:rPr>
                <w:rFonts w:hint="eastAsia" w:ascii="Times New Roman" w:hAnsi="Times New Roman" w:cs="Times New Roman" w:eastAsiaTheme="minorEastAsia"/>
                <w:bCs/>
                <w:color w:val="auto"/>
                <w:sz w:val="24"/>
                <w:szCs w:val="24"/>
                <w:lang w:val="en-US" w:eastAsia="zh-CN"/>
              </w:rPr>
              <w:t>。</w:t>
            </w:r>
          </w:p>
          <w:p w14:paraId="6DD67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cs="Times New Roman" w:eastAsiaTheme="minorEastAsia"/>
                <w:bCs/>
                <w:color w:val="auto"/>
                <w:sz w:val="24"/>
                <w:szCs w:val="24"/>
                <w:lang w:val="en-US" w:eastAsia="zh-CN"/>
              </w:rPr>
            </w:pPr>
            <w:r>
              <w:rPr>
                <w:rFonts w:hint="eastAsia" w:cs="Times New Roman" w:eastAsiaTheme="minorEastAsia"/>
                <w:bCs/>
                <w:color w:val="auto"/>
                <w:sz w:val="24"/>
                <w:szCs w:val="24"/>
                <w:lang w:val="en-US" w:eastAsia="zh-CN"/>
              </w:rPr>
              <w:t>（3）</w:t>
            </w:r>
            <w:r>
              <w:rPr>
                <w:rFonts w:hint="default" w:ascii="Times New Roman" w:hAnsi="Times New Roman" w:cs="Times New Roman" w:eastAsiaTheme="minorEastAsia"/>
                <w:color w:val="auto"/>
                <w:kern w:val="2"/>
                <w:sz w:val="24"/>
                <w:szCs w:val="24"/>
                <w:lang w:val="en-US" w:eastAsia="zh-CN" w:bidi="ar-SA"/>
              </w:rPr>
              <w:t>宠物笼清洗</w:t>
            </w:r>
            <w:r>
              <w:rPr>
                <w:rFonts w:hint="eastAsia" w:ascii="Times New Roman" w:hAnsi="Times New Roman" w:cs="Times New Roman" w:eastAsiaTheme="minorEastAsia"/>
                <w:color w:val="auto"/>
                <w:kern w:val="2"/>
                <w:sz w:val="24"/>
                <w:szCs w:val="24"/>
                <w:lang w:val="en-US" w:eastAsia="zh-CN" w:bidi="ar-SA"/>
              </w:rPr>
              <w:t>废</w:t>
            </w:r>
            <w:r>
              <w:rPr>
                <w:rFonts w:hint="default" w:ascii="Times New Roman" w:hAnsi="Times New Roman" w:cs="Times New Roman" w:eastAsiaTheme="minorEastAsia"/>
                <w:color w:val="auto"/>
                <w:kern w:val="2"/>
                <w:sz w:val="24"/>
                <w:szCs w:val="24"/>
                <w:lang w:val="en-US" w:eastAsia="zh-CN" w:bidi="ar-SA"/>
              </w:rPr>
              <w:t>水</w:t>
            </w:r>
          </w:p>
          <w:p w14:paraId="5267D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bCs/>
                <w:color w:val="auto"/>
                <w:sz w:val="24"/>
                <w:szCs w:val="24"/>
                <w:lang w:val="en-US" w:eastAsia="zh-CN"/>
              </w:rPr>
              <w:t>根据建设单位运行情况，平均动物笼每周清洗一次，每次清洗动物笼数量约</w:t>
            </w:r>
            <w:r>
              <w:rPr>
                <w:rFonts w:hint="eastAsia" w:cs="Times New Roman" w:eastAsiaTheme="minorEastAsia"/>
                <w:bCs/>
                <w:color w:val="auto"/>
                <w:sz w:val="24"/>
                <w:szCs w:val="24"/>
                <w:lang w:val="en-US" w:eastAsia="zh-CN"/>
              </w:rPr>
              <w:t>8</w:t>
            </w:r>
            <w:r>
              <w:rPr>
                <w:rFonts w:hint="default" w:ascii="Times New Roman" w:hAnsi="Times New Roman" w:cs="Times New Roman" w:eastAsiaTheme="minorEastAsia"/>
                <w:bCs/>
                <w:color w:val="auto"/>
                <w:sz w:val="24"/>
                <w:szCs w:val="24"/>
                <w:lang w:val="en-US" w:eastAsia="zh-CN"/>
              </w:rPr>
              <w:t>个，清洗用水量按50L/个·次，则宠物笼清洗用水量为1</w:t>
            </w:r>
            <w:r>
              <w:rPr>
                <w:rFonts w:hint="eastAsia" w:cs="Times New Roman" w:eastAsiaTheme="minorEastAsia"/>
                <w:bCs/>
                <w:color w:val="auto"/>
                <w:sz w:val="24"/>
                <w:szCs w:val="24"/>
                <w:lang w:val="en-US" w:eastAsia="zh-CN"/>
              </w:rPr>
              <w:t>9.2</w:t>
            </w:r>
            <w:r>
              <w:rPr>
                <w:rFonts w:hint="default" w:ascii="Times New Roman" w:hAnsi="Times New Roman" w:cs="Times New Roman" w:eastAsiaTheme="minorEastAsia"/>
                <w:bCs/>
                <w:color w:val="auto"/>
                <w:sz w:val="24"/>
                <w:szCs w:val="24"/>
                <w:lang w:val="en-US" w:eastAsia="zh-CN"/>
              </w:rPr>
              <w:t>t/a；宠物笼清洗污水产生系数按80%计算，则项目运营期产生的宠物笼清洗污水量为1</w:t>
            </w:r>
            <w:r>
              <w:rPr>
                <w:rFonts w:hint="eastAsia" w:cs="Times New Roman" w:eastAsiaTheme="minorEastAsia"/>
                <w:bCs/>
                <w:color w:val="auto"/>
                <w:sz w:val="24"/>
                <w:szCs w:val="24"/>
                <w:lang w:val="en-US" w:eastAsia="zh-CN"/>
              </w:rPr>
              <w:t>5.36</w:t>
            </w:r>
            <w:r>
              <w:rPr>
                <w:rFonts w:hint="default" w:ascii="Times New Roman" w:hAnsi="Times New Roman" w:cs="Times New Roman" w:eastAsiaTheme="minorEastAsia"/>
                <w:bCs/>
                <w:color w:val="auto"/>
                <w:sz w:val="24"/>
                <w:szCs w:val="24"/>
                <w:lang w:val="en-US" w:eastAsia="zh-CN"/>
              </w:rPr>
              <w:t>t/a。</w:t>
            </w:r>
          </w:p>
          <w:p w14:paraId="15F2A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eastAsia" w:cs="Times New Roman" w:eastAsiaTheme="minorEastAsia"/>
                <w:bCs/>
                <w:color w:val="auto"/>
                <w:sz w:val="24"/>
                <w:szCs w:val="24"/>
                <w:lang w:val="en-US" w:eastAsia="zh-CN"/>
              </w:rPr>
              <w:t>本项目</w:t>
            </w:r>
            <w:r>
              <w:rPr>
                <w:rFonts w:hint="default" w:ascii="Times New Roman" w:hAnsi="Times New Roman" w:cs="Times New Roman" w:eastAsiaTheme="minorEastAsia"/>
                <w:color w:val="auto"/>
                <w:sz w:val="24"/>
                <w:lang w:val="en-US" w:eastAsia="zh-CN"/>
              </w:rPr>
              <w:t>诊疗</w:t>
            </w:r>
            <w:r>
              <w:rPr>
                <w:rFonts w:hint="eastAsia" w:ascii="Times New Roman" w:hAnsi="Times New Roman" w:cs="Times New Roman" w:eastAsiaTheme="minorEastAsia"/>
                <w:color w:val="auto"/>
                <w:sz w:val="24"/>
                <w:lang w:val="en-US" w:eastAsia="zh-CN"/>
              </w:rPr>
              <w:t>废水</w:t>
            </w:r>
            <w:r>
              <w:rPr>
                <w:rFonts w:hint="eastAsia" w:cs="Times New Roman" w:eastAsiaTheme="minorEastAsia"/>
                <w:color w:val="auto"/>
                <w:sz w:val="24"/>
                <w:lang w:val="en-US" w:eastAsia="zh-CN"/>
              </w:rPr>
              <w:t>、</w:t>
            </w:r>
            <w:r>
              <w:rPr>
                <w:rFonts w:hint="default" w:ascii="Times New Roman" w:hAnsi="Times New Roman" w:cs="Times New Roman" w:eastAsiaTheme="minorEastAsia"/>
                <w:color w:val="auto"/>
                <w:kern w:val="2"/>
                <w:sz w:val="24"/>
                <w:szCs w:val="24"/>
                <w:lang w:val="en-US" w:eastAsia="zh-CN" w:bidi="ar-SA"/>
              </w:rPr>
              <w:t>宠物笼清洗</w:t>
            </w:r>
            <w:r>
              <w:rPr>
                <w:rFonts w:hint="eastAsia" w:ascii="Times New Roman" w:hAnsi="Times New Roman" w:cs="Times New Roman" w:eastAsiaTheme="minorEastAsia"/>
                <w:color w:val="auto"/>
                <w:kern w:val="2"/>
                <w:sz w:val="24"/>
                <w:szCs w:val="24"/>
                <w:lang w:val="en-US" w:eastAsia="zh-CN" w:bidi="ar-SA"/>
              </w:rPr>
              <w:t>废</w:t>
            </w:r>
            <w:r>
              <w:rPr>
                <w:rFonts w:hint="default" w:ascii="Times New Roman" w:hAnsi="Times New Roman" w:cs="Times New Roman" w:eastAsiaTheme="minorEastAsia"/>
                <w:color w:val="auto"/>
                <w:kern w:val="2"/>
                <w:sz w:val="24"/>
                <w:szCs w:val="24"/>
                <w:lang w:val="en-US" w:eastAsia="zh-CN" w:bidi="ar-SA"/>
              </w:rPr>
              <w:t>水</w:t>
            </w:r>
            <w:r>
              <w:rPr>
                <w:rFonts w:hint="eastAsia" w:cs="Times New Roman" w:eastAsiaTheme="minorEastAsia"/>
                <w:bCs/>
                <w:color w:val="auto"/>
                <w:sz w:val="24"/>
                <w:szCs w:val="24"/>
                <w:lang w:val="en-US" w:eastAsia="zh-CN"/>
              </w:rPr>
              <w:t>污染物排放情况类比昌吉市王道晨专心动物医院建设项目废水污染物排放情况（</w:t>
            </w:r>
            <w:r>
              <w:rPr>
                <w:rFonts w:hint="eastAsia" w:cs="Times New Roman" w:eastAsiaTheme="minorEastAsia"/>
                <w:b/>
                <w:bCs w:val="0"/>
                <w:color w:val="auto"/>
                <w:sz w:val="24"/>
                <w:szCs w:val="24"/>
                <w:lang w:val="en-US" w:eastAsia="zh-CN"/>
              </w:rPr>
              <w:t>检测报告见附件</w:t>
            </w:r>
            <w:r>
              <w:rPr>
                <w:rFonts w:hint="eastAsia" w:cs="Times New Roman" w:eastAsiaTheme="minorEastAsia"/>
                <w:bCs/>
                <w:color w:val="auto"/>
                <w:sz w:val="24"/>
                <w:szCs w:val="24"/>
                <w:lang w:val="en-US" w:eastAsia="zh-CN"/>
              </w:rPr>
              <w:t>）。本项目与昌吉市王道晨专心动物医院项目性质、规模相同、经营（生产）方式相同、污水处理设备和工艺相同。因此，本项目与昌吉市王道晨专心动物医院项目具有可比性。类比昌吉市王道晨专心动物医院项目废水监测数据，废水主要污染物处理前排放浓度为CODcr：46mg/L、BOD</w:t>
            </w:r>
            <w:r>
              <w:rPr>
                <w:rFonts w:hint="eastAsia" w:cs="Times New Roman" w:eastAsiaTheme="minorEastAsia"/>
                <w:bCs/>
                <w:color w:val="auto"/>
                <w:sz w:val="24"/>
                <w:szCs w:val="24"/>
                <w:vertAlign w:val="subscript"/>
                <w:lang w:val="en-US" w:eastAsia="zh-CN"/>
              </w:rPr>
              <w:t>5</w:t>
            </w:r>
            <w:r>
              <w:rPr>
                <w:rFonts w:hint="eastAsia" w:cs="Times New Roman" w:eastAsiaTheme="minorEastAsia"/>
                <w:bCs/>
                <w:color w:val="auto"/>
                <w:sz w:val="24"/>
                <w:szCs w:val="24"/>
                <w:lang w:val="en-US" w:eastAsia="zh-CN"/>
              </w:rPr>
              <w:t>：13.5mg/L、SS：12mg/L、NH</w:t>
            </w:r>
            <w:r>
              <w:rPr>
                <w:rFonts w:hint="eastAsia" w:cs="Times New Roman" w:eastAsiaTheme="minorEastAsia"/>
                <w:bCs/>
                <w:color w:val="auto"/>
                <w:sz w:val="24"/>
                <w:szCs w:val="24"/>
                <w:vertAlign w:val="subscript"/>
                <w:lang w:val="en-US" w:eastAsia="zh-CN"/>
              </w:rPr>
              <w:t>3</w:t>
            </w:r>
            <w:r>
              <w:rPr>
                <w:rFonts w:hint="eastAsia" w:cs="Times New Roman" w:eastAsiaTheme="minorEastAsia"/>
                <w:bCs/>
                <w:color w:val="auto"/>
                <w:sz w:val="24"/>
                <w:szCs w:val="24"/>
                <w:lang w:val="en-US" w:eastAsia="zh-CN"/>
              </w:rPr>
              <w:t>-N：3.06mg/L、粪大肠菌群：170MPN/L；处理后排放浓度为CODcr：45mg/L、BOD</w:t>
            </w:r>
            <w:r>
              <w:rPr>
                <w:rFonts w:hint="eastAsia" w:cs="Times New Roman" w:eastAsiaTheme="minorEastAsia"/>
                <w:bCs/>
                <w:color w:val="auto"/>
                <w:sz w:val="24"/>
                <w:szCs w:val="24"/>
                <w:vertAlign w:val="subscript"/>
                <w:lang w:val="en-US" w:eastAsia="zh-CN"/>
              </w:rPr>
              <w:t>5</w:t>
            </w:r>
            <w:r>
              <w:rPr>
                <w:rFonts w:hint="eastAsia" w:cs="Times New Roman" w:eastAsiaTheme="minorEastAsia"/>
                <w:bCs/>
                <w:color w:val="auto"/>
                <w:sz w:val="24"/>
                <w:szCs w:val="24"/>
                <w:lang w:val="en-US" w:eastAsia="zh-CN"/>
              </w:rPr>
              <w:t>：13.2mg/L、SS：11mg/L、NH</w:t>
            </w:r>
            <w:r>
              <w:rPr>
                <w:rFonts w:hint="eastAsia" w:cs="Times New Roman" w:eastAsiaTheme="minorEastAsia"/>
                <w:bCs/>
                <w:color w:val="auto"/>
                <w:sz w:val="24"/>
                <w:szCs w:val="24"/>
                <w:vertAlign w:val="subscript"/>
                <w:lang w:val="en-US" w:eastAsia="zh-CN"/>
              </w:rPr>
              <w:t>3</w:t>
            </w:r>
            <w:r>
              <w:rPr>
                <w:rFonts w:hint="eastAsia" w:cs="Times New Roman" w:eastAsiaTheme="minorEastAsia"/>
                <w:bCs/>
                <w:color w:val="auto"/>
                <w:sz w:val="24"/>
                <w:szCs w:val="24"/>
                <w:lang w:val="en-US" w:eastAsia="zh-CN"/>
              </w:rPr>
              <w:t>-N：3.06mg/L、粪大肠菌群：130MPN/L，浓度满足《医疗机构水污染物排放标准》（GB18466-2005）。本项目诊疗废水</w:t>
            </w:r>
            <w:r>
              <w:rPr>
                <w:rFonts w:hint="eastAsia" w:cs="Times New Roman" w:eastAsiaTheme="minorEastAsia"/>
                <w:color w:val="auto"/>
                <w:sz w:val="24"/>
                <w:lang w:val="en-US" w:eastAsia="zh-CN"/>
              </w:rPr>
              <w:t>、</w:t>
            </w:r>
            <w:r>
              <w:rPr>
                <w:rFonts w:hint="default" w:ascii="Times New Roman" w:hAnsi="Times New Roman" w:cs="Times New Roman" w:eastAsiaTheme="minorEastAsia"/>
                <w:color w:val="auto"/>
                <w:kern w:val="2"/>
                <w:sz w:val="24"/>
                <w:szCs w:val="24"/>
                <w:lang w:val="en-US" w:eastAsia="zh-CN" w:bidi="ar-SA"/>
              </w:rPr>
              <w:t>宠物笼清洗</w:t>
            </w:r>
            <w:r>
              <w:rPr>
                <w:rFonts w:hint="eastAsia" w:ascii="Times New Roman" w:hAnsi="Times New Roman" w:cs="Times New Roman" w:eastAsiaTheme="minorEastAsia"/>
                <w:color w:val="auto"/>
                <w:kern w:val="2"/>
                <w:sz w:val="24"/>
                <w:szCs w:val="24"/>
                <w:lang w:val="en-US" w:eastAsia="zh-CN" w:bidi="ar-SA"/>
              </w:rPr>
              <w:t>废</w:t>
            </w:r>
            <w:r>
              <w:rPr>
                <w:rFonts w:hint="default" w:ascii="Times New Roman" w:hAnsi="Times New Roman" w:cs="Times New Roman" w:eastAsiaTheme="minorEastAsia"/>
                <w:color w:val="auto"/>
                <w:kern w:val="2"/>
                <w:sz w:val="24"/>
                <w:szCs w:val="24"/>
                <w:lang w:val="en-US" w:eastAsia="zh-CN" w:bidi="ar-SA"/>
              </w:rPr>
              <w:t>水</w:t>
            </w:r>
            <w:r>
              <w:rPr>
                <w:rFonts w:hint="eastAsia" w:cs="Times New Roman" w:eastAsiaTheme="minorEastAsia"/>
                <w:bCs/>
                <w:color w:val="auto"/>
                <w:sz w:val="24"/>
                <w:szCs w:val="24"/>
                <w:lang w:val="en-US" w:eastAsia="zh-CN"/>
              </w:rPr>
              <w:t>污染物排放情况见下表4-3。</w:t>
            </w:r>
          </w:p>
          <w:p w14:paraId="124DB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
                <w:color w:val="auto"/>
                <w:sz w:val="21"/>
                <w:szCs w:val="21"/>
              </w:rPr>
              <w:t>表4-</w:t>
            </w:r>
            <w:r>
              <w:rPr>
                <w:rFonts w:hint="eastAsia" w:cs="Times New Roman" w:eastAsiaTheme="minorEastAsia"/>
                <w:b/>
                <w:color w:val="auto"/>
                <w:sz w:val="21"/>
                <w:szCs w:val="21"/>
                <w:lang w:val="en-US" w:eastAsia="zh-CN"/>
              </w:rPr>
              <w:t>3</w:t>
            </w:r>
            <w:r>
              <w:rPr>
                <w:rFonts w:hint="default" w:ascii="Times New Roman" w:hAnsi="Times New Roman" w:cs="Times New Roman" w:eastAsiaTheme="minorEastAsia"/>
                <w:b/>
                <w:color w:val="auto"/>
                <w:sz w:val="21"/>
                <w:szCs w:val="21"/>
              </w:rPr>
              <w:t xml:space="preserve">   </w:t>
            </w:r>
            <w:r>
              <w:rPr>
                <w:rFonts w:hint="default" w:ascii="Times New Roman" w:hAnsi="Times New Roman" w:cs="Times New Roman" w:eastAsiaTheme="minorEastAsia"/>
                <w:b/>
                <w:color w:val="auto"/>
                <w:sz w:val="21"/>
                <w:szCs w:val="21"/>
                <w:lang w:val="en-US" w:eastAsia="zh-CN"/>
              </w:rPr>
              <w:t>诊疗</w:t>
            </w:r>
            <w:r>
              <w:rPr>
                <w:rFonts w:hint="default" w:ascii="Times New Roman" w:hAnsi="Times New Roman" w:cs="Times New Roman" w:eastAsiaTheme="minorEastAsia"/>
                <w:b/>
                <w:color w:val="auto"/>
                <w:sz w:val="21"/>
                <w:szCs w:val="21"/>
              </w:rPr>
              <w:t>废水</w:t>
            </w:r>
            <w:r>
              <w:rPr>
                <w:rFonts w:hint="eastAsia" w:ascii="Times New Roman" w:hAnsi="Times New Roman" w:cs="Times New Roman" w:eastAsiaTheme="minorEastAsia"/>
                <w:b/>
                <w:color w:val="auto"/>
                <w:sz w:val="21"/>
                <w:szCs w:val="21"/>
                <w:lang w:val="en-US" w:eastAsia="zh-CN"/>
              </w:rPr>
              <w:t>+</w:t>
            </w:r>
            <w:r>
              <w:rPr>
                <w:rFonts w:hint="default" w:ascii="Times New Roman" w:hAnsi="Times New Roman" w:cs="Times New Roman" w:eastAsiaTheme="minorEastAsia"/>
                <w:b/>
                <w:color w:val="auto"/>
                <w:sz w:val="21"/>
                <w:szCs w:val="21"/>
                <w:lang w:val="en-US" w:eastAsia="zh-CN"/>
              </w:rPr>
              <w:t>宠物笼清洗</w:t>
            </w:r>
            <w:r>
              <w:rPr>
                <w:rFonts w:hint="eastAsia" w:ascii="Times New Roman" w:hAnsi="Times New Roman" w:cs="Times New Roman" w:eastAsiaTheme="minorEastAsia"/>
                <w:b/>
                <w:color w:val="auto"/>
                <w:sz w:val="21"/>
                <w:szCs w:val="21"/>
                <w:lang w:val="en-US" w:eastAsia="zh-CN"/>
              </w:rPr>
              <w:t>废</w:t>
            </w:r>
            <w:r>
              <w:rPr>
                <w:rFonts w:hint="default" w:ascii="Times New Roman" w:hAnsi="Times New Roman" w:cs="Times New Roman" w:eastAsiaTheme="minorEastAsia"/>
                <w:b/>
                <w:color w:val="auto"/>
                <w:sz w:val="21"/>
                <w:szCs w:val="21"/>
                <w:lang w:val="en-US" w:eastAsia="zh-CN"/>
              </w:rPr>
              <w:t>水污染源</w:t>
            </w:r>
            <w:r>
              <w:rPr>
                <w:rFonts w:hint="eastAsia" w:ascii="Times New Roman" w:hAnsi="Times New Roman" w:cs="Times New Roman" w:eastAsiaTheme="minorEastAsia"/>
                <w:b/>
                <w:color w:val="auto"/>
                <w:sz w:val="21"/>
                <w:szCs w:val="21"/>
                <w:lang w:val="en-US" w:eastAsia="zh-CN"/>
              </w:rPr>
              <w:t>源</w:t>
            </w:r>
            <w:r>
              <w:rPr>
                <w:rFonts w:hint="default" w:ascii="Times New Roman" w:hAnsi="Times New Roman" w:cs="Times New Roman" w:eastAsiaTheme="minorEastAsia"/>
                <w:b/>
                <w:color w:val="auto"/>
                <w:sz w:val="21"/>
                <w:szCs w:val="21"/>
                <w:lang w:val="en-US" w:eastAsia="zh-CN"/>
              </w:rPr>
              <w:t>强一览</w:t>
            </w:r>
            <w:r>
              <w:rPr>
                <w:rFonts w:hint="default" w:ascii="Times New Roman" w:hAnsi="Times New Roman" w:cs="Times New Roman" w:eastAsiaTheme="minorEastAsia"/>
                <w:b/>
                <w:color w:val="auto"/>
                <w:sz w:val="21"/>
                <w:szCs w:val="21"/>
              </w:rPr>
              <w:t>表</w:t>
            </w:r>
          </w:p>
          <w:tbl>
            <w:tblPr>
              <w:tblStyle w:val="24"/>
              <w:tblW w:w="794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005"/>
              <w:gridCol w:w="990"/>
              <w:gridCol w:w="1193"/>
              <w:gridCol w:w="832"/>
              <w:gridCol w:w="975"/>
              <w:gridCol w:w="975"/>
              <w:gridCol w:w="1222"/>
            </w:tblGrid>
            <w:tr w14:paraId="2AE7AC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Borders>
                    <w:bottom w:val="single" w:color="auto" w:sz="12" w:space="0"/>
                  </w:tcBorders>
                  <w:vAlign w:val="center"/>
                </w:tcPr>
                <w:p w14:paraId="74604C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废水类别</w:t>
                  </w:r>
                </w:p>
              </w:tc>
              <w:tc>
                <w:tcPr>
                  <w:tcW w:w="1005" w:type="dxa"/>
                  <w:tcBorders>
                    <w:bottom w:val="single" w:color="auto" w:sz="12" w:space="0"/>
                  </w:tcBorders>
                  <w:vAlign w:val="center"/>
                </w:tcPr>
                <w:p w14:paraId="7AC24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污染物</w:t>
                  </w:r>
                </w:p>
              </w:tc>
              <w:tc>
                <w:tcPr>
                  <w:tcW w:w="990" w:type="dxa"/>
                  <w:tcBorders>
                    <w:bottom w:val="single" w:color="auto" w:sz="12" w:space="0"/>
                  </w:tcBorders>
                  <w:vAlign w:val="center"/>
                </w:tcPr>
                <w:p w14:paraId="5E35EE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产生量t/a</w:t>
                  </w:r>
                </w:p>
              </w:tc>
              <w:tc>
                <w:tcPr>
                  <w:tcW w:w="1193" w:type="dxa"/>
                  <w:tcBorders>
                    <w:bottom w:val="single" w:color="auto" w:sz="12" w:space="0"/>
                  </w:tcBorders>
                  <w:vAlign w:val="center"/>
                </w:tcPr>
                <w:p w14:paraId="05988D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产生浓度mg/L</w:t>
                  </w:r>
                </w:p>
              </w:tc>
              <w:tc>
                <w:tcPr>
                  <w:tcW w:w="832" w:type="dxa"/>
                  <w:tcBorders>
                    <w:bottom w:val="single" w:color="auto" w:sz="12" w:space="0"/>
                  </w:tcBorders>
                  <w:vAlign w:val="center"/>
                </w:tcPr>
                <w:p w14:paraId="43CF5B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治理</w:t>
                  </w:r>
                </w:p>
                <w:p w14:paraId="22C9C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措施</w:t>
                  </w:r>
                </w:p>
              </w:tc>
              <w:tc>
                <w:tcPr>
                  <w:tcW w:w="975" w:type="dxa"/>
                  <w:tcBorders>
                    <w:bottom w:val="single" w:color="auto" w:sz="12" w:space="0"/>
                  </w:tcBorders>
                  <w:vAlign w:val="center"/>
                </w:tcPr>
                <w:p w14:paraId="5B33D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处理效率%</w:t>
                  </w:r>
                </w:p>
              </w:tc>
              <w:tc>
                <w:tcPr>
                  <w:tcW w:w="975" w:type="dxa"/>
                  <w:tcBorders>
                    <w:bottom w:val="single" w:color="auto" w:sz="12" w:space="0"/>
                  </w:tcBorders>
                  <w:vAlign w:val="center"/>
                </w:tcPr>
                <w:p w14:paraId="2FC62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排放量t/a</w:t>
                  </w:r>
                </w:p>
              </w:tc>
              <w:tc>
                <w:tcPr>
                  <w:tcW w:w="1222" w:type="dxa"/>
                  <w:tcBorders>
                    <w:bottom w:val="single" w:color="auto" w:sz="12" w:space="0"/>
                  </w:tcBorders>
                  <w:vAlign w:val="center"/>
                </w:tcPr>
                <w:p w14:paraId="08932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排放浓度mg/L</w:t>
                  </w:r>
                </w:p>
              </w:tc>
            </w:tr>
            <w:tr w14:paraId="459555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restart"/>
                  <w:tcBorders>
                    <w:top w:val="single" w:color="auto" w:sz="12" w:space="0"/>
                    <w:tl2br w:val="nil"/>
                    <w:tr2bl w:val="nil"/>
                  </w:tcBorders>
                  <w:vAlign w:val="center"/>
                </w:tcPr>
                <w:p w14:paraId="022C22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vertAlign w:val="baseline"/>
                      <w:lang w:val="en-US" w:eastAsia="zh-CN"/>
                    </w:rPr>
                    <w:t>诊疗废水</w:t>
                  </w:r>
                  <w:r>
                    <w:rPr>
                      <w:rFonts w:hint="eastAsia" w:ascii="Times New Roman" w:hAnsi="Times New Roman" w:cs="Times New Roman" w:eastAsiaTheme="minorEastAsia"/>
                      <w:bCs/>
                      <w:color w:val="auto"/>
                      <w:sz w:val="21"/>
                      <w:szCs w:val="21"/>
                      <w:vertAlign w:val="baseline"/>
                      <w:lang w:val="en-US" w:eastAsia="zh-CN"/>
                    </w:rPr>
                    <w:t>+</w:t>
                  </w:r>
                  <w:r>
                    <w:rPr>
                      <w:rFonts w:hint="default" w:ascii="Times New Roman" w:hAnsi="Times New Roman" w:cs="Times New Roman" w:eastAsiaTheme="minorEastAsia"/>
                      <w:bCs/>
                      <w:color w:val="auto"/>
                      <w:sz w:val="21"/>
                      <w:szCs w:val="21"/>
                      <w:vertAlign w:val="baseline"/>
                      <w:lang w:val="en-US" w:eastAsia="zh-CN"/>
                    </w:rPr>
                    <w:t>宠物笼清洗</w:t>
                  </w:r>
                  <w:r>
                    <w:rPr>
                      <w:rFonts w:hint="eastAsia" w:ascii="Times New Roman" w:hAnsi="Times New Roman" w:cs="Times New Roman" w:eastAsiaTheme="minorEastAsia"/>
                      <w:bCs/>
                      <w:color w:val="auto"/>
                      <w:sz w:val="21"/>
                      <w:szCs w:val="21"/>
                      <w:vertAlign w:val="baseline"/>
                      <w:lang w:val="en-US" w:eastAsia="zh-CN"/>
                    </w:rPr>
                    <w:t>废</w:t>
                  </w:r>
                  <w:r>
                    <w:rPr>
                      <w:rFonts w:hint="default" w:ascii="Times New Roman" w:hAnsi="Times New Roman" w:cs="Times New Roman" w:eastAsiaTheme="minorEastAsia"/>
                      <w:bCs/>
                      <w:color w:val="auto"/>
                      <w:sz w:val="21"/>
                      <w:szCs w:val="21"/>
                      <w:vertAlign w:val="baseline"/>
                      <w:lang w:val="en-US" w:eastAsia="zh-CN"/>
                    </w:rPr>
                    <w:t>水</w:t>
                  </w:r>
                </w:p>
              </w:tc>
              <w:tc>
                <w:tcPr>
                  <w:tcW w:w="1005" w:type="dxa"/>
                  <w:tcBorders>
                    <w:top w:val="single" w:color="auto" w:sz="12" w:space="0"/>
                    <w:tl2br w:val="nil"/>
                    <w:tr2bl w:val="nil"/>
                  </w:tcBorders>
                  <w:vAlign w:val="center"/>
                </w:tcPr>
                <w:p w14:paraId="6C590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CODcr</w:t>
                  </w:r>
                </w:p>
              </w:tc>
              <w:tc>
                <w:tcPr>
                  <w:tcW w:w="990" w:type="dxa"/>
                  <w:tcBorders>
                    <w:top w:val="single" w:color="auto" w:sz="12" w:space="0"/>
                    <w:tl2br w:val="nil"/>
                    <w:tr2bl w:val="nil"/>
                  </w:tcBorders>
                  <w:vAlign w:val="center"/>
                </w:tcPr>
                <w:p w14:paraId="4E4F46F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0.00112</w:t>
                  </w:r>
                </w:p>
              </w:tc>
              <w:tc>
                <w:tcPr>
                  <w:tcW w:w="1193" w:type="dxa"/>
                  <w:tcBorders>
                    <w:top w:val="single" w:color="auto" w:sz="12" w:space="0"/>
                    <w:tl2br w:val="nil"/>
                    <w:tr2bl w:val="nil"/>
                  </w:tcBorders>
                  <w:vAlign w:val="center"/>
                </w:tcPr>
                <w:p w14:paraId="53CA2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46</w:t>
                  </w:r>
                </w:p>
              </w:tc>
              <w:tc>
                <w:tcPr>
                  <w:tcW w:w="832" w:type="dxa"/>
                  <w:vMerge w:val="restart"/>
                  <w:tcBorders>
                    <w:top w:val="single" w:color="auto" w:sz="12" w:space="0"/>
                    <w:tl2br w:val="nil"/>
                    <w:tr2bl w:val="nil"/>
                  </w:tcBorders>
                  <w:vAlign w:val="center"/>
                </w:tcPr>
                <w:p w14:paraId="06E7C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一体化污水处理设施</w:t>
                  </w:r>
                </w:p>
              </w:tc>
              <w:tc>
                <w:tcPr>
                  <w:tcW w:w="975" w:type="dxa"/>
                  <w:tcBorders>
                    <w:top w:val="single" w:color="auto" w:sz="12" w:space="0"/>
                    <w:tl2br w:val="nil"/>
                    <w:tr2bl w:val="nil"/>
                  </w:tcBorders>
                  <w:vAlign w:val="center"/>
                </w:tcPr>
                <w:p w14:paraId="752062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op w:val="single" w:color="auto" w:sz="12" w:space="0"/>
                    <w:tl2br w:val="nil"/>
                    <w:tr2bl w:val="nil"/>
                  </w:tcBorders>
                  <w:vAlign w:val="center"/>
                </w:tcPr>
                <w:p w14:paraId="1D41C63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0.00110</w:t>
                  </w:r>
                </w:p>
              </w:tc>
              <w:tc>
                <w:tcPr>
                  <w:tcW w:w="1222" w:type="dxa"/>
                  <w:tcBorders>
                    <w:top w:val="single" w:color="auto" w:sz="12" w:space="0"/>
                    <w:tl2br w:val="nil"/>
                    <w:tr2bl w:val="nil"/>
                  </w:tcBorders>
                  <w:vAlign w:val="center"/>
                </w:tcPr>
                <w:p w14:paraId="3D3B4C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4</w:t>
                  </w:r>
                  <w:r>
                    <w:rPr>
                      <w:rFonts w:hint="eastAsia" w:cs="Times New Roman" w:eastAsiaTheme="minorEastAsia"/>
                      <w:bCs/>
                      <w:color w:val="auto"/>
                      <w:sz w:val="21"/>
                      <w:szCs w:val="21"/>
                      <w:vertAlign w:val="baseline"/>
                      <w:lang w:val="en-US" w:eastAsia="zh-CN"/>
                    </w:rPr>
                    <w:t>5</w:t>
                  </w:r>
                </w:p>
              </w:tc>
            </w:tr>
            <w:tr w14:paraId="5CBB6F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continue"/>
                  <w:tcBorders>
                    <w:tl2br w:val="nil"/>
                    <w:tr2bl w:val="nil"/>
                  </w:tcBorders>
                  <w:vAlign w:val="center"/>
                </w:tcPr>
                <w:p w14:paraId="0B6EC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1005" w:type="dxa"/>
                  <w:tcBorders>
                    <w:tl2br w:val="nil"/>
                    <w:tr2bl w:val="nil"/>
                  </w:tcBorders>
                  <w:vAlign w:val="center"/>
                </w:tcPr>
                <w:p w14:paraId="639E4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BOD</w:t>
                  </w:r>
                  <w:r>
                    <w:rPr>
                      <w:rFonts w:hint="default" w:ascii="Times New Roman" w:hAnsi="Times New Roman" w:cs="Times New Roman" w:eastAsiaTheme="minorEastAsia"/>
                      <w:bCs/>
                      <w:color w:val="auto"/>
                      <w:sz w:val="21"/>
                      <w:szCs w:val="21"/>
                      <w:vertAlign w:val="subscript"/>
                      <w:lang w:val="en-US" w:eastAsia="zh-CN"/>
                    </w:rPr>
                    <w:t>5</w:t>
                  </w:r>
                </w:p>
              </w:tc>
              <w:tc>
                <w:tcPr>
                  <w:tcW w:w="990" w:type="dxa"/>
                  <w:tcBorders>
                    <w:tl2br w:val="nil"/>
                    <w:tr2bl w:val="nil"/>
                  </w:tcBorders>
                  <w:vAlign w:val="center"/>
                </w:tcPr>
                <w:p w14:paraId="73CC7FA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0.00033</w:t>
                  </w:r>
                </w:p>
              </w:tc>
              <w:tc>
                <w:tcPr>
                  <w:tcW w:w="1193" w:type="dxa"/>
                  <w:tcBorders>
                    <w:tl2br w:val="nil"/>
                    <w:tr2bl w:val="nil"/>
                  </w:tcBorders>
                  <w:vAlign w:val="center"/>
                </w:tcPr>
                <w:p w14:paraId="6B6E6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13.5</w:t>
                  </w:r>
                </w:p>
              </w:tc>
              <w:tc>
                <w:tcPr>
                  <w:tcW w:w="832" w:type="dxa"/>
                  <w:vMerge w:val="continue"/>
                  <w:tcBorders>
                    <w:tl2br w:val="nil"/>
                    <w:tr2bl w:val="nil"/>
                  </w:tcBorders>
                  <w:vAlign w:val="center"/>
                </w:tcPr>
                <w:p w14:paraId="27DA7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5B1973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3356E4F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0.00032</w:t>
                  </w:r>
                </w:p>
              </w:tc>
              <w:tc>
                <w:tcPr>
                  <w:tcW w:w="1222" w:type="dxa"/>
                  <w:tcBorders>
                    <w:tl2br w:val="nil"/>
                    <w:tr2bl w:val="nil"/>
                  </w:tcBorders>
                  <w:vAlign w:val="center"/>
                </w:tcPr>
                <w:p w14:paraId="0294D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13.</w:t>
                  </w:r>
                  <w:r>
                    <w:rPr>
                      <w:rFonts w:hint="eastAsia" w:cs="Times New Roman" w:eastAsiaTheme="minorEastAsia"/>
                      <w:bCs/>
                      <w:color w:val="auto"/>
                      <w:sz w:val="21"/>
                      <w:szCs w:val="21"/>
                      <w:vertAlign w:val="baseline"/>
                      <w:lang w:val="en-US" w:eastAsia="zh-CN"/>
                    </w:rPr>
                    <w:t>2</w:t>
                  </w:r>
                </w:p>
              </w:tc>
            </w:tr>
            <w:tr w14:paraId="7BDCE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continue"/>
                  <w:tcBorders>
                    <w:tl2br w:val="nil"/>
                    <w:tr2bl w:val="nil"/>
                  </w:tcBorders>
                  <w:vAlign w:val="center"/>
                </w:tcPr>
                <w:p w14:paraId="453CA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1005" w:type="dxa"/>
                  <w:tcBorders>
                    <w:tl2br w:val="nil"/>
                    <w:tr2bl w:val="nil"/>
                  </w:tcBorders>
                  <w:vAlign w:val="center"/>
                </w:tcPr>
                <w:p w14:paraId="01406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SS</w:t>
                  </w:r>
                </w:p>
              </w:tc>
              <w:tc>
                <w:tcPr>
                  <w:tcW w:w="990" w:type="dxa"/>
                  <w:tcBorders>
                    <w:tl2br w:val="nil"/>
                    <w:tr2bl w:val="nil"/>
                  </w:tcBorders>
                  <w:vAlign w:val="center"/>
                </w:tcPr>
                <w:p w14:paraId="478143E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0.00029</w:t>
                  </w:r>
                </w:p>
              </w:tc>
              <w:tc>
                <w:tcPr>
                  <w:tcW w:w="1193" w:type="dxa"/>
                  <w:tcBorders>
                    <w:tl2br w:val="nil"/>
                    <w:tr2bl w:val="nil"/>
                  </w:tcBorders>
                  <w:vAlign w:val="center"/>
                </w:tcPr>
                <w:p w14:paraId="29EA63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12</w:t>
                  </w:r>
                </w:p>
              </w:tc>
              <w:tc>
                <w:tcPr>
                  <w:tcW w:w="832" w:type="dxa"/>
                  <w:vMerge w:val="continue"/>
                  <w:tcBorders>
                    <w:tl2br w:val="nil"/>
                    <w:tr2bl w:val="nil"/>
                  </w:tcBorders>
                  <w:vAlign w:val="center"/>
                </w:tcPr>
                <w:p w14:paraId="392B69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72F80D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02344A8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0.00027</w:t>
                  </w:r>
                </w:p>
              </w:tc>
              <w:tc>
                <w:tcPr>
                  <w:tcW w:w="1222" w:type="dxa"/>
                  <w:tcBorders>
                    <w:tl2br w:val="nil"/>
                    <w:tr2bl w:val="nil"/>
                  </w:tcBorders>
                  <w:vAlign w:val="center"/>
                </w:tcPr>
                <w:p w14:paraId="0D320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1</w:t>
                  </w:r>
                  <w:r>
                    <w:rPr>
                      <w:rFonts w:hint="eastAsia" w:cs="Times New Roman" w:eastAsiaTheme="minorEastAsia"/>
                      <w:bCs/>
                      <w:color w:val="auto"/>
                      <w:sz w:val="21"/>
                      <w:szCs w:val="21"/>
                      <w:vertAlign w:val="baseline"/>
                      <w:lang w:val="en-US" w:eastAsia="zh-CN"/>
                    </w:rPr>
                    <w:t>1</w:t>
                  </w:r>
                </w:p>
              </w:tc>
            </w:tr>
            <w:tr w14:paraId="1F151D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continue"/>
                  <w:tcBorders>
                    <w:tl2br w:val="nil"/>
                    <w:tr2bl w:val="nil"/>
                  </w:tcBorders>
                  <w:vAlign w:val="center"/>
                </w:tcPr>
                <w:p w14:paraId="0362A3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1005" w:type="dxa"/>
                  <w:tcBorders>
                    <w:tl2br w:val="nil"/>
                    <w:tr2bl w:val="nil"/>
                  </w:tcBorders>
                  <w:vAlign w:val="center"/>
                </w:tcPr>
                <w:p w14:paraId="72A11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NH</w:t>
                  </w:r>
                  <w:r>
                    <w:rPr>
                      <w:rFonts w:hint="default" w:ascii="Times New Roman" w:hAnsi="Times New Roman" w:cs="Times New Roman" w:eastAsiaTheme="minorEastAsia"/>
                      <w:bCs/>
                      <w:color w:val="auto"/>
                      <w:sz w:val="21"/>
                      <w:szCs w:val="21"/>
                      <w:vertAlign w:val="subscript"/>
                      <w:lang w:val="en-US" w:eastAsia="zh-CN"/>
                    </w:rPr>
                    <w:t>3</w:t>
                  </w:r>
                  <w:r>
                    <w:rPr>
                      <w:rFonts w:hint="default" w:ascii="Times New Roman" w:hAnsi="Times New Roman" w:cs="Times New Roman" w:eastAsiaTheme="minorEastAsia"/>
                      <w:bCs/>
                      <w:color w:val="auto"/>
                      <w:sz w:val="21"/>
                      <w:szCs w:val="21"/>
                      <w:lang w:val="en-US" w:eastAsia="zh-CN"/>
                    </w:rPr>
                    <w:t>-N</w:t>
                  </w:r>
                </w:p>
              </w:tc>
              <w:tc>
                <w:tcPr>
                  <w:tcW w:w="990" w:type="dxa"/>
                  <w:tcBorders>
                    <w:tl2br w:val="nil"/>
                    <w:tr2bl w:val="nil"/>
                  </w:tcBorders>
                  <w:vAlign w:val="center"/>
                </w:tcPr>
                <w:p w14:paraId="21B1DA7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0.00007</w:t>
                  </w:r>
                </w:p>
              </w:tc>
              <w:tc>
                <w:tcPr>
                  <w:tcW w:w="1193" w:type="dxa"/>
                  <w:tcBorders>
                    <w:tl2br w:val="nil"/>
                    <w:tr2bl w:val="nil"/>
                  </w:tcBorders>
                  <w:vAlign w:val="center"/>
                </w:tcPr>
                <w:p w14:paraId="6B647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3.06</w:t>
                  </w:r>
                </w:p>
              </w:tc>
              <w:tc>
                <w:tcPr>
                  <w:tcW w:w="832" w:type="dxa"/>
                  <w:vMerge w:val="continue"/>
                  <w:tcBorders>
                    <w:tl2br w:val="nil"/>
                    <w:tr2bl w:val="nil"/>
                  </w:tcBorders>
                  <w:vAlign w:val="center"/>
                </w:tcPr>
                <w:p w14:paraId="0217A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7DF0D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3F71532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0.00007</w:t>
                  </w:r>
                </w:p>
              </w:tc>
              <w:tc>
                <w:tcPr>
                  <w:tcW w:w="1222" w:type="dxa"/>
                  <w:tcBorders>
                    <w:tl2br w:val="nil"/>
                    <w:tr2bl w:val="nil"/>
                  </w:tcBorders>
                  <w:vAlign w:val="center"/>
                </w:tcPr>
                <w:p w14:paraId="50981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3.06</w:t>
                  </w:r>
                </w:p>
              </w:tc>
            </w:tr>
            <w:tr w14:paraId="3E592E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continue"/>
                  <w:tcBorders>
                    <w:tl2br w:val="nil"/>
                    <w:tr2bl w:val="nil"/>
                  </w:tcBorders>
                  <w:vAlign w:val="center"/>
                </w:tcPr>
                <w:p w14:paraId="4379CF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1005" w:type="dxa"/>
                  <w:tcBorders>
                    <w:tl2br w:val="nil"/>
                    <w:tr2bl w:val="nil"/>
                  </w:tcBorders>
                  <w:vAlign w:val="center"/>
                </w:tcPr>
                <w:p w14:paraId="60C48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粪大肠菌群</w:t>
                  </w:r>
                </w:p>
              </w:tc>
              <w:tc>
                <w:tcPr>
                  <w:tcW w:w="990" w:type="dxa"/>
                  <w:tcBorders>
                    <w:tl2br w:val="nil"/>
                    <w:tr2bl w:val="nil"/>
                  </w:tcBorders>
                  <w:vAlign w:val="center"/>
                </w:tcPr>
                <w:p w14:paraId="059E206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93" w:type="dxa"/>
                  <w:tcBorders>
                    <w:tl2br w:val="nil"/>
                    <w:tr2bl w:val="nil"/>
                  </w:tcBorders>
                  <w:vAlign w:val="center"/>
                </w:tcPr>
                <w:p w14:paraId="6761D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170</w:t>
                  </w:r>
                  <w:r>
                    <w:rPr>
                      <w:rFonts w:hint="eastAsia" w:cs="Times New Roman" w:eastAsiaTheme="minorEastAsia"/>
                      <w:bCs/>
                      <w:color w:val="auto"/>
                      <w:sz w:val="21"/>
                      <w:szCs w:val="21"/>
                      <w:vertAlign w:val="baseline"/>
                      <w:lang w:val="en-US" w:eastAsia="zh-CN"/>
                    </w:rPr>
                    <w:t>（</w:t>
                  </w:r>
                  <w:r>
                    <w:rPr>
                      <w:rFonts w:hint="eastAsia" w:cs="Times New Roman" w:eastAsiaTheme="minorEastAsia"/>
                      <w:bCs/>
                      <w:color w:val="auto"/>
                      <w:sz w:val="21"/>
                      <w:szCs w:val="21"/>
                      <w:lang w:val="en-US" w:eastAsia="zh-CN"/>
                    </w:rPr>
                    <w:t>MPN/L</w:t>
                  </w:r>
                  <w:r>
                    <w:rPr>
                      <w:rFonts w:hint="eastAsia" w:cs="Times New Roman" w:eastAsiaTheme="minorEastAsia"/>
                      <w:bCs/>
                      <w:color w:val="auto"/>
                      <w:sz w:val="21"/>
                      <w:szCs w:val="21"/>
                      <w:vertAlign w:val="baseline"/>
                      <w:lang w:val="en-US" w:eastAsia="zh-CN"/>
                    </w:rPr>
                    <w:t>）</w:t>
                  </w:r>
                </w:p>
              </w:tc>
              <w:tc>
                <w:tcPr>
                  <w:tcW w:w="832" w:type="dxa"/>
                  <w:vMerge w:val="continue"/>
                  <w:tcBorders>
                    <w:tl2br w:val="nil"/>
                    <w:tr2bl w:val="nil"/>
                  </w:tcBorders>
                  <w:vAlign w:val="center"/>
                </w:tcPr>
                <w:p w14:paraId="0E5F8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76F19D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1D0FA61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22" w:type="dxa"/>
                  <w:tcBorders>
                    <w:tl2br w:val="nil"/>
                    <w:tr2bl w:val="nil"/>
                  </w:tcBorders>
                  <w:vAlign w:val="center"/>
                </w:tcPr>
                <w:p w14:paraId="7FF29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1</w:t>
                  </w:r>
                  <w:r>
                    <w:rPr>
                      <w:rFonts w:hint="eastAsia" w:cs="Times New Roman" w:eastAsiaTheme="minorEastAsia"/>
                      <w:bCs/>
                      <w:color w:val="auto"/>
                      <w:sz w:val="21"/>
                      <w:szCs w:val="21"/>
                      <w:vertAlign w:val="baseline"/>
                      <w:lang w:val="en-US" w:eastAsia="zh-CN"/>
                    </w:rPr>
                    <w:t>3</w:t>
                  </w:r>
                  <w:r>
                    <w:rPr>
                      <w:rFonts w:hint="eastAsia" w:ascii="Times New Roman" w:hAnsi="Times New Roman" w:cs="Times New Roman" w:eastAsiaTheme="minorEastAsia"/>
                      <w:bCs/>
                      <w:color w:val="auto"/>
                      <w:sz w:val="21"/>
                      <w:szCs w:val="21"/>
                      <w:vertAlign w:val="baseline"/>
                      <w:lang w:val="en-US" w:eastAsia="zh-CN"/>
                    </w:rPr>
                    <w:t>0</w:t>
                  </w:r>
                  <w:r>
                    <w:rPr>
                      <w:rFonts w:hint="eastAsia" w:cs="Times New Roman" w:eastAsiaTheme="minorEastAsia"/>
                      <w:bCs/>
                      <w:color w:val="auto"/>
                      <w:sz w:val="21"/>
                      <w:szCs w:val="21"/>
                      <w:vertAlign w:val="baseline"/>
                      <w:lang w:val="en-US" w:eastAsia="zh-CN"/>
                    </w:rPr>
                    <w:t>（</w:t>
                  </w:r>
                  <w:r>
                    <w:rPr>
                      <w:rFonts w:hint="eastAsia" w:cs="Times New Roman" w:eastAsiaTheme="minorEastAsia"/>
                      <w:bCs/>
                      <w:color w:val="auto"/>
                      <w:sz w:val="21"/>
                      <w:szCs w:val="21"/>
                      <w:lang w:val="en-US" w:eastAsia="zh-CN"/>
                    </w:rPr>
                    <w:t>MPN/L</w:t>
                  </w:r>
                  <w:r>
                    <w:rPr>
                      <w:rFonts w:hint="eastAsia" w:cs="Times New Roman" w:eastAsiaTheme="minorEastAsia"/>
                      <w:bCs/>
                      <w:color w:val="auto"/>
                      <w:sz w:val="21"/>
                      <w:szCs w:val="21"/>
                      <w:vertAlign w:val="baseline"/>
                      <w:lang w:val="en-US" w:eastAsia="zh-CN"/>
                    </w:rPr>
                    <w:t>）</w:t>
                  </w:r>
                </w:p>
              </w:tc>
            </w:tr>
          </w:tbl>
          <w:p w14:paraId="73530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bCs/>
                <w:color w:val="auto"/>
                <w:sz w:val="24"/>
                <w:szCs w:val="24"/>
                <w:lang w:val="en-US" w:eastAsia="zh-CN"/>
              </w:rPr>
            </w:pPr>
            <w:r>
              <w:rPr>
                <w:rFonts w:hint="eastAsia" w:cs="Times New Roman" w:eastAsiaTheme="minorEastAsia"/>
                <w:bCs/>
                <w:color w:val="auto"/>
                <w:sz w:val="24"/>
                <w:szCs w:val="24"/>
                <w:lang w:val="en-US" w:eastAsia="zh-CN"/>
              </w:rPr>
              <w:t>（4）生活污水</w:t>
            </w:r>
          </w:p>
          <w:p w14:paraId="357A4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本项目劳动定员5人，均不在医院内食宿，年工作3</w:t>
            </w:r>
            <w:r>
              <w:rPr>
                <w:rFonts w:hint="eastAsia" w:cs="Times New Roman" w:eastAsiaTheme="minorEastAsia"/>
                <w:bCs/>
                <w:color w:val="auto"/>
                <w:sz w:val="24"/>
                <w:szCs w:val="24"/>
                <w:lang w:val="en-US" w:eastAsia="zh-CN"/>
              </w:rPr>
              <w:t>3</w:t>
            </w:r>
            <w:r>
              <w:rPr>
                <w:rFonts w:hint="default" w:ascii="Times New Roman" w:hAnsi="Times New Roman" w:cs="Times New Roman" w:eastAsiaTheme="minorEastAsia"/>
                <w:bCs/>
                <w:color w:val="auto"/>
                <w:sz w:val="24"/>
                <w:szCs w:val="24"/>
                <w:lang w:val="en-US" w:eastAsia="zh-CN"/>
              </w:rPr>
              <w:t>0天。参照</w:t>
            </w:r>
            <w:r>
              <w:rPr>
                <w:rFonts w:hint="eastAsia" w:ascii="宋体" w:hAnsi="宋体" w:eastAsia="宋体" w:cs="宋体"/>
                <w:kern w:val="0"/>
                <w:sz w:val="24"/>
                <w:szCs w:val="24"/>
                <w:lang w:val="en-US" w:eastAsia="zh-CN" w:bidi="ar"/>
              </w:rPr>
              <w:t>《排放源统计调查产排污核算方法和系数手册》—“生活源产排污系数手册”－“第一部分城镇生活源水污染物产生系数”</w:t>
            </w:r>
            <w:r>
              <w:rPr>
                <w:rFonts w:hint="eastAsia" w:ascii="宋体" w:hAnsi="宋体" w:eastAsia="宋体" w:cs="宋体"/>
                <w:kern w:val="2"/>
                <w:sz w:val="24"/>
                <w:szCs w:val="24"/>
                <w:lang w:val="en-US" w:eastAsia="zh-CN" w:bidi="ar"/>
              </w:rPr>
              <w:t>中城镇居民用水定额</w:t>
            </w:r>
            <w:r>
              <w:rPr>
                <w:rFonts w:hint="default" w:ascii="Times New Roman" w:hAnsi="Times New Roman" w:eastAsia="宋体" w:cs="Times New Roman"/>
                <w:kern w:val="2"/>
                <w:sz w:val="24"/>
                <w:szCs w:val="24"/>
                <w:lang w:val="en-US" w:eastAsia="zh-CN" w:bidi="ar"/>
              </w:rPr>
              <w:t>137L/</w:t>
            </w:r>
            <w:r>
              <w:rPr>
                <w:rFonts w:hint="eastAsia" w:ascii="宋体" w:hAnsi="宋体" w:eastAsia="宋体" w:cs="宋体"/>
                <w:kern w:val="2"/>
                <w:sz w:val="24"/>
                <w:szCs w:val="24"/>
                <w:lang w:val="en-US" w:eastAsia="zh-CN" w:bidi="ar"/>
              </w:rPr>
              <w:t>人</w:t>
            </w:r>
            <w:r>
              <w:rPr>
                <w:rFonts w:hint="default" w:ascii="Times New Roman" w:hAnsi="Times New Roman" w:eastAsia="宋体" w:cs="Times New Roman"/>
                <w:kern w:val="2"/>
                <w:sz w:val="24"/>
                <w:szCs w:val="24"/>
                <w:lang w:val="en-US" w:eastAsia="zh-CN" w:bidi="ar"/>
              </w:rPr>
              <w:t>·d</w:t>
            </w:r>
            <w:r>
              <w:rPr>
                <w:rFonts w:hint="eastAsia" w:ascii="宋体" w:hAnsi="宋体" w:eastAsia="宋体" w:cs="宋体"/>
                <w:kern w:val="2"/>
                <w:sz w:val="24"/>
                <w:szCs w:val="24"/>
                <w:lang w:val="en-US" w:eastAsia="zh-CN" w:bidi="ar"/>
              </w:rPr>
              <w:t>计算，</w:t>
            </w:r>
            <w:r>
              <w:rPr>
                <w:rFonts w:hint="default" w:ascii="Times New Roman" w:hAnsi="Times New Roman" w:cs="Times New Roman" w:eastAsiaTheme="minorEastAsia"/>
                <w:bCs/>
                <w:color w:val="auto"/>
                <w:sz w:val="24"/>
                <w:szCs w:val="24"/>
                <w:lang w:val="en-US" w:eastAsia="zh-CN"/>
              </w:rPr>
              <w:t>则项目生活用水量为</w:t>
            </w:r>
            <w:r>
              <w:rPr>
                <w:rFonts w:hint="eastAsia" w:cs="Times New Roman" w:eastAsiaTheme="minorEastAsia"/>
                <w:bCs/>
                <w:color w:val="auto"/>
                <w:sz w:val="24"/>
                <w:szCs w:val="24"/>
                <w:lang w:val="en-US" w:eastAsia="zh-CN"/>
              </w:rPr>
              <w:t>226.05</w:t>
            </w:r>
            <w:r>
              <w:rPr>
                <w:rFonts w:hint="default" w:ascii="Times New Roman" w:hAnsi="Times New Roman" w:cs="Times New Roman" w:eastAsiaTheme="minorEastAsia"/>
                <w:bCs/>
                <w:color w:val="auto"/>
                <w:sz w:val="24"/>
                <w:szCs w:val="24"/>
                <w:lang w:val="en-US" w:eastAsia="zh-CN"/>
              </w:rPr>
              <w:t>t/a</w:t>
            </w:r>
            <w:r>
              <w:rPr>
                <w:rFonts w:hint="eastAsia" w:ascii="Times New Roman" w:hAnsi="Times New Roman" w:cs="Times New Roman" w:eastAsiaTheme="minorEastAsia"/>
                <w:bCs/>
                <w:color w:val="auto"/>
                <w:sz w:val="24"/>
                <w:szCs w:val="24"/>
                <w:lang w:val="en-US" w:eastAsia="zh-CN"/>
              </w:rPr>
              <w:t>；</w:t>
            </w:r>
            <w:r>
              <w:rPr>
                <w:rFonts w:hint="default" w:ascii="Times New Roman" w:hAnsi="Times New Roman" w:cs="Times New Roman" w:eastAsiaTheme="minorEastAsia"/>
                <w:bCs/>
                <w:color w:val="auto"/>
                <w:sz w:val="24"/>
                <w:szCs w:val="24"/>
                <w:lang w:val="en-US" w:eastAsia="zh-CN"/>
              </w:rPr>
              <w:t>排水量按用水量的80%计，则生活污水排放量为</w:t>
            </w:r>
            <w:r>
              <w:rPr>
                <w:rFonts w:hint="eastAsia" w:ascii="Times New Roman" w:hAnsi="Times New Roman" w:cs="Times New Roman" w:eastAsiaTheme="minorEastAsia"/>
                <w:bCs/>
                <w:color w:val="auto"/>
                <w:sz w:val="24"/>
                <w:szCs w:val="24"/>
                <w:lang w:val="en-US" w:eastAsia="zh-CN"/>
              </w:rPr>
              <w:t>180.8</w:t>
            </w:r>
            <w:r>
              <w:rPr>
                <w:rFonts w:hint="default" w:ascii="Times New Roman" w:hAnsi="Times New Roman" w:cs="Times New Roman" w:eastAsiaTheme="minorEastAsia"/>
                <w:bCs/>
                <w:color w:val="auto"/>
                <w:sz w:val="24"/>
                <w:szCs w:val="24"/>
                <w:lang w:val="en-US" w:eastAsia="zh-CN"/>
              </w:rPr>
              <w:t>t/a</w:t>
            </w:r>
            <w:r>
              <w:rPr>
                <w:rFonts w:hint="eastAsia" w:ascii="Times New Roman" w:hAnsi="Times New Roman" w:cs="Times New Roman" w:eastAsiaTheme="minorEastAsia"/>
                <w:bCs/>
                <w:color w:val="auto"/>
                <w:sz w:val="24"/>
                <w:szCs w:val="24"/>
                <w:lang w:val="en-US" w:eastAsia="zh-CN"/>
              </w:rPr>
              <w:t>。</w:t>
            </w:r>
          </w:p>
          <w:p w14:paraId="25D2F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cs="Times New Roman" w:eastAsiaTheme="minorEastAsia"/>
                <w:bCs/>
                <w:color w:val="auto"/>
                <w:sz w:val="24"/>
                <w:szCs w:val="24"/>
                <w:lang w:val="en-US" w:eastAsia="zh-CN"/>
              </w:rPr>
            </w:pPr>
            <w:r>
              <w:rPr>
                <w:rFonts w:hint="eastAsia" w:ascii="Times New Roman" w:hAnsi="Times New Roman" w:cs="Times New Roman" w:eastAsiaTheme="minorEastAsia"/>
                <w:color w:val="auto"/>
                <w:kern w:val="2"/>
                <w:sz w:val="24"/>
                <w:szCs w:val="24"/>
                <w:lang w:val="en-US" w:eastAsia="zh-CN" w:bidi="ar-SA"/>
              </w:rPr>
              <w:t>经统计，</w:t>
            </w:r>
            <w:r>
              <w:rPr>
                <w:rFonts w:hint="default" w:ascii="Times New Roman" w:hAnsi="Times New Roman" w:cs="Times New Roman" w:eastAsiaTheme="minorEastAsia"/>
                <w:color w:val="auto"/>
                <w:kern w:val="2"/>
                <w:sz w:val="24"/>
                <w:szCs w:val="24"/>
                <w:lang w:val="en-US" w:eastAsia="zh-CN" w:bidi="ar-SA"/>
              </w:rPr>
              <w:t>宠物笼清洗污水、生活污水</w:t>
            </w:r>
            <w:r>
              <w:rPr>
                <w:rFonts w:hint="default" w:ascii="Times New Roman" w:hAnsi="Times New Roman" w:cs="Times New Roman" w:eastAsiaTheme="minorEastAsia"/>
                <w:bCs/>
                <w:color w:val="auto"/>
                <w:sz w:val="24"/>
                <w:szCs w:val="24"/>
                <w:lang w:val="en-US" w:eastAsia="zh-CN"/>
              </w:rPr>
              <w:t>排放量</w:t>
            </w:r>
            <w:r>
              <w:rPr>
                <w:rFonts w:hint="eastAsia" w:ascii="Times New Roman" w:hAnsi="Times New Roman" w:cs="Times New Roman" w:eastAsiaTheme="minorEastAsia"/>
                <w:bCs/>
                <w:color w:val="auto"/>
                <w:sz w:val="24"/>
                <w:szCs w:val="24"/>
                <w:lang w:val="en-US" w:eastAsia="zh-CN"/>
              </w:rPr>
              <w:t>196.16</w:t>
            </w:r>
            <w:r>
              <w:rPr>
                <w:rFonts w:hint="default" w:ascii="Times New Roman" w:hAnsi="Times New Roman" w:cs="Times New Roman" w:eastAsiaTheme="minorEastAsia"/>
                <w:bCs/>
                <w:color w:val="auto"/>
                <w:sz w:val="24"/>
                <w:szCs w:val="24"/>
                <w:lang w:val="en-US" w:eastAsia="zh-CN"/>
              </w:rPr>
              <w:t>t/a</w:t>
            </w:r>
            <w:r>
              <w:rPr>
                <w:rFonts w:hint="eastAsia" w:ascii="Times New Roman" w:hAnsi="Times New Roman" w:cs="Times New Roman" w:eastAsiaTheme="minorEastAsia"/>
                <w:bCs/>
                <w:color w:val="auto"/>
                <w:sz w:val="24"/>
                <w:szCs w:val="24"/>
                <w:lang w:val="en-US" w:eastAsia="zh-CN"/>
              </w:rPr>
              <w:t>。</w:t>
            </w:r>
            <w:r>
              <w:rPr>
                <w:rFonts w:hint="default" w:ascii="Times New Roman" w:hAnsi="Times New Roman" w:cs="Times New Roman" w:eastAsiaTheme="minorEastAsia"/>
                <w:color w:val="auto"/>
                <w:kern w:val="2"/>
                <w:sz w:val="24"/>
                <w:szCs w:val="24"/>
                <w:lang w:val="en-US" w:eastAsia="zh-CN" w:bidi="ar-SA"/>
              </w:rPr>
              <w:t>宠物笼清洗污水</w:t>
            </w:r>
            <w:r>
              <w:rPr>
                <w:rFonts w:hint="eastAsia" w:ascii="宋体" w:hAnsi="宋体" w:eastAsia="宋体"/>
                <w:sz w:val="24"/>
                <w:szCs w:val="24"/>
              </w:rPr>
              <w:t>与生活污水性质相近，本次评价生活污水、清洁废水水质参照</w:t>
            </w:r>
            <w:r>
              <w:rPr>
                <w:rFonts w:hint="default" w:ascii="Times New Roman" w:hAnsi="Times New Roman" w:cs="Times New Roman" w:eastAsiaTheme="minorEastAsia"/>
                <w:color w:val="auto"/>
                <w:sz w:val="24"/>
                <w:lang w:val="en-US" w:eastAsia="zh-CN"/>
              </w:rPr>
              <w:t>《排放源统计调查产排污核算方法和系数手册》中“城镇生活污水污染物产生系数”，污染物浓度一般为：化学需氧量460mg/L；氨氮52.2mg/L；总氮71.2mg/L；总磷5.12mg/L。</w:t>
            </w:r>
            <w:r>
              <w:rPr>
                <w:rFonts w:hint="eastAsia" w:cs="Times New Roman" w:eastAsiaTheme="minorEastAsia"/>
                <w:bCs/>
                <w:color w:val="auto"/>
                <w:sz w:val="24"/>
                <w:szCs w:val="24"/>
                <w:lang w:val="en-US" w:eastAsia="zh-CN"/>
              </w:rPr>
              <w:t>本次评价</w:t>
            </w:r>
            <w:r>
              <w:rPr>
                <w:rFonts w:hint="eastAsia" w:ascii="宋体" w:hAnsi="宋体" w:eastAsia="宋体"/>
                <w:sz w:val="24"/>
                <w:szCs w:val="24"/>
              </w:rPr>
              <w:t>各污染物浓度取</w:t>
            </w:r>
            <w:r>
              <w:rPr>
                <w:rFonts w:hint="default" w:ascii="Times New Roman" w:hAnsi="Times New Roman" w:cs="Times New Roman" w:eastAsiaTheme="minorEastAsia"/>
                <w:color w:val="auto"/>
                <w:sz w:val="24"/>
                <w:lang w:val="en-US" w:eastAsia="zh-CN"/>
              </w:rPr>
              <w:t>化学需氧量460mg/L；氨氮52.2mg/L；总氮71.2mg/L；总磷5.12mg/L</w:t>
            </w:r>
            <w:r>
              <w:rPr>
                <w:rFonts w:hint="eastAsia" w:ascii="Times New Roman" w:hAnsi="Times New Roman" w:cs="Times New Roman" w:eastAsiaTheme="minorEastAsia"/>
                <w:color w:val="auto"/>
                <w:sz w:val="24"/>
                <w:lang w:val="en-US" w:eastAsia="zh-CN"/>
              </w:rPr>
              <w:t>。</w:t>
            </w:r>
          </w:p>
          <w:p w14:paraId="699DC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表4-</w:t>
            </w:r>
            <w:r>
              <w:rPr>
                <w:rFonts w:hint="eastAsia" w:cs="Times New Roman" w:eastAsiaTheme="minorEastAsia"/>
                <w:b/>
                <w:color w:val="auto"/>
                <w:sz w:val="21"/>
                <w:szCs w:val="21"/>
                <w:lang w:val="en-US" w:eastAsia="zh-CN"/>
              </w:rPr>
              <w:t>4</w:t>
            </w:r>
            <w:r>
              <w:rPr>
                <w:rFonts w:hint="default" w:ascii="Times New Roman" w:hAnsi="Times New Roman" w:cs="Times New Roman" w:eastAsiaTheme="minorEastAsia"/>
                <w:b/>
                <w:color w:val="auto"/>
                <w:sz w:val="21"/>
                <w:szCs w:val="21"/>
              </w:rPr>
              <w:t xml:space="preserve"> </w:t>
            </w:r>
            <w:r>
              <w:rPr>
                <w:rFonts w:hint="default" w:ascii="Times New Roman" w:hAnsi="Times New Roman" w:cs="Times New Roman" w:eastAsiaTheme="minorEastAsia"/>
                <w:b/>
                <w:color w:val="auto"/>
                <w:sz w:val="21"/>
                <w:szCs w:val="21"/>
                <w:lang w:val="en-US" w:eastAsia="zh-CN"/>
              </w:rPr>
              <w:t xml:space="preserve">  生活污水污染源</w:t>
            </w:r>
            <w:r>
              <w:rPr>
                <w:rFonts w:hint="eastAsia" w:ascii="Times New Roman" w:hAnsi="Times New Roman" w:cs="Times New Roman" w:eastAsiaTheme="minorEastAsia"/>
                <w:b/>
                <w:color w:val="auto"/>
                <w:sz w:val="21"/>
                <w:szCs w:val="21"/>
                <w:lang w:val="en-US" w:eastAsia="zh-CN"/>
              </w:rPr>
              <w:t>源</w:t>
            </w:r>
            <w:r>
              <w:rPr>
                <w:rFonts w:hint="default" w:ascii="Times New Roman" w:hAnsi="Times New Roman" w:cs="Times New Roman" w:eastAsiaTheme="minorEastAsia"/>
                <w:b/>
                <w:color w:val="auto"/>
                <w:sz w:val="21"/>
                <w:szCs w:val="21"/>
                <w:lang w:val="en-US" w:eastAsia="zh-CN"/>
              </w:rPr>
              <w:t>强一览</w:t>
            </w:r>
            <w:r>
              <w:rPr>
                <w:rFonts w:hint="default" w:ascii="Times New Roman" w:hAnsi="Times New Roman" w:cs="Times New Roman" w:eastAsiaTheme="minorEastAsia"/>
                <w:b/>
                <w:color w:val="auto"/>
                <w:sz w:val="21"/>
                <w:szCs w:val="21"/>
              </w:rPr>
              <w:t>表</w:t>
            </w:r>
          </w:p>
          <w:tbl>
            <w:tblPr>
              <w:tblStyle w:val="24"/>
              <w:tblW w:w="794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6"/>
              <w:gridCol w:w="876"/>
              <w:gridCol w:w="990"/>
              <w:gridCol w:w="1110"/>
              <w:gridCol w:w="915"/>
              <w:gridCol w:w="975"/>
              <w:gridCol w:w="975"/>
              <w:gridCol w:w="1222"/>
            </w:tblGrid>
            <w:tr w14:paraId="65474E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bottom w:val="single" w:color="auto" w:sz="12" w:space="0"/>
                  </w:tcBorders>
                  <w:vAlign w:val="center"/>
                </w:tcPr>
                <w:p w14:paraId="34DFA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废水类别</w:t>
                  </w:r>
                </w:p>
              </w:tc>
              <w:tc>
                <w:tcPr>
                  <w:tcW w:w="876" w:type="dxa"/>
                  <w:tcBorders>
                    <w:bottom w:val="single" w:color="auto" w:sz="12" w:space="0"/>
                  </w:tcBorders>
                  <w:vAlign w:val="center"/>
                </w:tcPr>
                <w:p w14:paraId="3B6380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污染物</w:t>
                  </w:r>
                </w:p>
              </w:tc>
              <w:tc>
                <w:tcPr>
                  <w:tcW w:w="990" w:type="dxa"/>
                  <w:tcBorders>
                    <w:bottom w:val="single" w:color="auto" w:sz="12" w:space="0"/>
                  </w:tcBorders>
                  <w:vAlign w:val="center"/>
                </w:tcPr>
                <w:p w14:paraId="1ACDA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产生量t/a</w:t>
                  </w:r>
                </w:p>
              </w:tc>
              <w:tc>
                <w:tcPr>
                  <w:tcW w:w="1110" w:type="dxa"/>
                  <w:tcBorders>
                    <w:bottom w:val="single" w:color="auto" w:sz="12" w:space="0"/>
                  </w:tcBorders>
                  <w:vAlign w:val="center"/>
                </w:tcPr>
                <w:p w14:paraId="5FCFA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产生浓度mg/L</w:t>
                  </w:r>
                </w:p>
              </w:tc>
              <w:tc>
                <w:tcPr>
                  <w:tcW w:w="915" w:type="dxa"/>
                  <w:tcBorders>
                    <w:bottom w:val="single" w:color="auto" w:sz="12" w:space="0"/>
                  </w:tcBorders>
                  <w:vAlign w:val="center"/>
                </w:tcPr>
                <w:p w14:paraId="33A7C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治理</w:t>
                  </w:r>
                </w:p>
                <w:p w14:paraId="5C43B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措施</w:t>
                  </w:r>
                </w:p>
              </w:tc>
              <w:tc>
                <w:tcPr>
                  <w:tcW w:w="975" w:type="dxa"/>
                  <w:tcBorders>
                    <w:bottom w:val="single" w:color="auto" w:sz="12" w:space="0"/>
                  </w:tcBorders>
                  <w:vAlign w:val="center"/>
                </w:tcPr>
                <w:p w14:paraId="28030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处理效率%</w:t>
                  </w:r>
                </w:p>
              </w:tc>
              <w:tc>
                <w:tcPr>
                  <w:tcW w:w="975" w:type="dxa"/>
                  <w:tcBorders>
                    <w:bottom w:val="single" w:color="auto" w:sz="12" w:space="0"/>
                  </w:tcBorders>
                  <w:vAlign w:val="center"/>
                </w:tcPr>
                <w:p w14:paraId="28D0C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排放量t/a</w:t>
                  </w:r>
                </w:p>
              </w:tc>
              <w:tc>
                <w:tcPr>
                  <w:tcW w:w="1222" w:type="dxa"/>
                  <w:tcBorders>
                    <w:bottom w:val="single" w:color="auto" w:sz="12" w:space="0"/>
                  </w:tcBorders>
                  <w:vAlign w:val="center"/>
                </w:tcPr>
                <w:p w14:paraId="1E30D4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排放浓度mg/L</w:t>
                  </w:r>
                </w:p>
              </w:tc>
            </w:tr>
            <w:tr w14:paraId="3F9B68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Merge w:val="restart"/>
                  <w:tcBorders>
                    <w:top w:val="single" w:color="auto" w:sz="12" w:space="0"/>
                    <w:tl2br w:val="nil"/>
                    <w:tr2bl w:val="nil"/>
                  </w:tcBorders>
                  <w:vAlign w:val="center"/>
                </w:tcPr>
                <w:p w14:paraId="39454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生活污水</w:t>
                  </w:r>
                </w:p>
              </w:tc>
              <w:tc>
                <w:tcPr>
                  <w:tcW w:w="876" w:type="dxa"/>
                  <w:tcBorders>
                    <w:top w:val="single" w:color="auto" w:sz="12" w:space="0"/>
                    <w:tl2br w:val="nil"/>
                    <w:tr2bl w:val="nil"/>
                  </w:tcBorders>
                  <w:vAlign w:val="center"/>
                </w:tcPr>
                <w:p w14:paraId="306067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CODcr</w:t>
                  </w:r>
                </w:p>
              </w:tc>
              <w:tc>
                <w:tcPr>
                  <w:tcW w:w="990" w:type="dxa"/>
                  <w:tcBorders>
                    <w:top w:val="single" w:color="auto" w:sz="12" w:space="0"/>
                    <w:tl2br w:val="nil"/>
                    <w:tr2bl w:val="nil"/>
                  </w:tcBorders>
                  <w:vAlign w:val="center"/>
                </w:tcPr>
                <w:p w14:paraId="373BAE9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0.0902</w:t>
                  </w:r>
                </w:p>
              </w:tc>
              <w:tc>
                <w:tcPr>
                  <w:tcW w:w="1110" w:type="dxa"/>
                  <w:tcBorders>
                    <w:top w:val="single" w:color="auto" w:sz="12" w:space="0"/>
                    <w:tl2br w:val="nil"/>
                    <w:tr2bl w:val="nil"/>
                  </w:tcBorders>
                  <w:vAlign w:val="center"/>
                </w:tcPr>
                <w:p w14:paraId="72F266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460</w:t>
                  </w:r>
                </w:p>
              </w:tc>
              <w:tc>
                <w:tcPr>
                  <w:tcW w:w="915" w:type="dxa"/>
                  <w:vMerge w:val="restart"/>
                  <w:tcBorders>
                    <w:top w:val="single" w:color="auto" w:sz="12" w:space="0"/>
                    <w:tl2br w:val="nil"/>
                    <w:tr2bl w:val="nil"/>
                  </w:tcBorders>
                  <w:vAlign w:val="center"/>
                </w:tcPr>
                <w:p w14:paraId="05C825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op w:val="single" w:color="auto" w:sz="12" w:space="0"/>
                    <w:tl2br w:val="nil"/>
                    <w:tr2bl w:val="nil"/>
                  </w:tcBorders>
                  <w:vAlign w:val="center"/>
                </w:tcPr>
                <w:p w14:paraId="3F634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op w:val="single" w:color="auto" w:sz="12" w:space="0"/>
                    <w:tl2br w:val="nil"/>
                    <w:tr2bl w:val="nil"/>
                  </w:tcBorders>
                  <w:vAlign w:val="center"/>
                </w:tcPr>
                <w:p w14:paraId="3142FFB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0.0902</w:t>
                  </w:r>
                </w:p>
              </w:tc>
              <w:tc>
                <w:tcPr>
                  <w:tcW w:w="1222" w:type="dxa"/>
                  <w:tcBorders>
                    <w:top w:val="single" w:color="auto" w:sz="12" w:space="0"/>
                    <w:tl2br w:val="nil"/>
                    <w:tr2bl w:val="nil"/>
                  </w:tcBorders>
                  <w:vAlign w:val="center"/>
                </w:tcPr>
                <w:p w14:paraId="425DA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460</w:t>
                  </w:r>
                </w:p>
              </w:tc>
            </w:tr>
            <w:tr w14:paraId="2E852C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Merge w:val="continue"/>
                  <w:tcBorders>
                    <w:tl2br w:val="nil"/>
                    <w:tr2bl w:val="nil"/>
                  </w:tcBorders>
                  <w:vAlign w:val="center"/>
                </w:tcPr>
                <w:p w14:paraId="4C703D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876" w:type="dxa"/>
                  <w:tcBorders>
                    <w:tl2br w:val="nil"/>
                    <w:tr2bl w:val="nil"/>
                  </w:tcBorders>
                  <w:vAlign w:val="center"/>
                </w:tcPr>
                <w:p w14:paraId="65A1B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cs="Times New Roman" w:eastAsiaTheme="minorEastAsia"/>
                      <w:bCs/>
                      <w:color w:val="auto"/>
                      <w:sz w:val="21"/>
                      <w:szCs w:val="21"/>
                      <w:lang w:val="en-US" w:eastAsia="zh-CN"/>
                    </w:rPr>
                    <w:t>NH</w:t>
                  </w:r>
                  <w:r>
                    <w:rPr>
                      <w:rFonts w:hint="default" w:ascii="Times New Roman" w:hAnsi="Times New Roman" w:cs="Times New Roman" w:eastAsiaTheme="minorEastAsia"/>
                      <w:bCs/>
                      <w:color w:val="auto"/>
                      <w:sz w:val="21"/>
                      <w:szCs w:val="21"/>
                      <w:vertAlign w:val="subscript"/>
                      <w:lang w:val="en-US" w:eastAsia="zh-CN"/>
                    </w:rPr>
                    <w:t>3</w:t>
                  </w:r>
                  <w:r>
                    <w:rPr>
                      <w:rFonts w:hint="default" w:ascii="Times New Roman" w:hAnsi="Times New Roman" w:cs="Times New Roman" w:eastAsiaTheme="minorEastAsia"/>
                      <w:bCs/>
                      <w:color w:val="auto"/>
                      <w:sz w:val="21"/>
                      <w:szCs w:val="21"/>
                      <w:lang w:val="en-US" w:eastAsia="zh-CN"/>
                    </w:rPr>
                    <w:t>-N</w:t>
                  </w:r>
                </w:p>
              </w:tc>
              <w:tc>
                <w:tcPr>
                  <w:tcW w:w="990" w:type="dxa"/>
                  <w:tcBorders>
                    <w:tl2br w:val="nil"/>
                    <w:tr2bl w:val="nil"/>
                  </w:tcBorders>
                  <w:vAlign w:val="center"/>
                </w:tcPr>
                <w:p w14:paraId="2E32D6F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0.0102</w:t>
                  </w:r>
                </w:p>
              </w:tc>
              <w:tc>
                <w:tcPr>
                  <w:tcW w:w="1110" w:type="dxa"/>
                  <w:tcBorders>
                    <w:tl2br w:val="nil"/>
                    <w:tr2bl w:val="nil"/>
                  </w:tcBorders>
                  <w:vAlign w:val="center"/>
                </w:tcPr>
                <w:p w14:paraId="1C56B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52.2</w:t>
                  </w:r>
                </w:p>
              </w:tc>
              <w:tc>
                <w:tcPr>
                  <w:tcW w:w="915" w:type="dxa"/>
                  <w:vMerge w:val="continue"/>
                  <w:tcBorders>
                    <w:tl2br w:val="nil"/>
                    <w:tr2bl w:val="nil"/>
                  </w:tcBorders>
                  <w:vAlign w:val="center"/>
                </w:tcPr>
                <w:p w14:paraId="238704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705CD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63F09C9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0.0102</w:t>
                  </w:r>
                </w:p>
              </w:tc>
              <w:tc>
                <w:tcPr>
                  <w:tcW w:w="1222" w:type="dxa"/>
                  <w:tcBorders>
                    <w:tl2br w:val="nil"/>
                    <w:tr2bl w:val="nil"/>
                  </w:tcBorders>
                  <w:vAlign w:val="center"/>
                </w:tcPr>
                <w:p w14:paraId="3B9687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52.2</w:t>
                  </w:r>
                </w:p>
              </w:tc>
            </w:tr>
            <w:tr w14:paraId="43AEE3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Merge w:val="continue"/>
                  <w:tcBorders>
                    <w:tl2br w:val="nil"/>
                    <w:tr2bl w:val="nil"/>
                  </w:tcBorders>
                  <w:vAlign w:val="center"/>
                </w:tcPr>
                <w:p w14:paraId="0CEA0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876" w:type="dxa"/>
                  <w:tcBorders>
                    <w:tl2br w:val="nil"/>
                    <w:tr2bl w:val="nil"/>
                  </w:tcBorders>
                  <w:vAlign w:val="center"/>
                </w:tcPr>
                <w:p w14:paraId="26D98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T-N</w:t>
                  </w:r>
                </w:p>
              </w:tc>
              <w:tc>
                <w:tcPr>
                  <w:tcW w:w="990" w:type="dxa"/>
                  <w:tcBorders>
                    <w:tl2br w:val="nil"/>
                    <w:tr2bl w:val="nil"/>
                  </w:tcBorders>
                  <w:vAlign w:val="center"/>
                </w:tcPr>
                <w:p w14:paraId="1105C29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0.0140</w:t>
                  </w:r>
                </w:p>
              </w:tc>
              <w:tc>
                <w:tcPr>
                  <w:tcW w:w="1110" w:type="dxa"/>
                  <w:tcBorders>
                    <w:tl2br w:val="nil"/>
                    <w:tr2bl w:val="nil"/>
                  </w:tcBorders>
                  <w:vAlign w:val="center"/>
                </w:tcPr>
                <w:p w14:paraId="07A1F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71.2</w:t>
                  </w:r>
                </w:p>
              </w:tc>
              <w:tc>
                <w:tcPr>
                  <w:tcW w:w="915" w:type="dxa"/>
                  <w:vMerge w:val="continue"/>
                  <w:tcBorders>
                    <w:tl2br w:val="nil"/>
                    <w:tr2bl w:val="nil"/>
                  </w:tcBorders>
                  <w:vAlign w:val="center"/>
                </w:tcPr>
                <w:p w14:paraId="74904E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0451E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14960F4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0.0140</w:t>
                  </w:r>
                </w:p>
              </w:tc>
              <w:tc>
                <w:tcPr>
                  <w:tcW w:w="1222" w:type="dxa"/>
                  <w:tcBorders>
                    <w:tl2br w:val="nil"/>
                    <w:tr2bl w:val="nil"/>
                  </w:tcBorders>
                  <w:vAlign w:val="center"/>
                </w:tcPr>
                <w:p w14:paraId="5CDF5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71.2</w:t>
                  </w:r>
                </w:p>
              </w:tc>
            </w:tr>
            <w:tr w14:paraId="6EE4E7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Merge w:val="continue"/>
                  <w:tcBorders>
                    <w:tl2br w:val="nil"/>
                    <w:tr2bl w:val="nil"/>
                  </w:tcBorders>
                  <w:vAlign w:val="center"/>
                </w:tcPr>
                <w:p w14:paraId="1ACC60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876" w:type="dxa"/>
                  <w:tcBorders>
                    <w:tl2br w:val="nil"/>
                    <w:tr2bl w:val="nil"/>
                  </w:tcBorders>
                  <w:vAlign w:val="center"/>
                </w:tcPr>
                <w:p w14:paraId="172C2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T-P</w:t>
                  </w:r>
                </w:p>
              </w:tc>
              <w:tc>
                <w:tcPr>
                  <w:tcW w:w="990" w:type="dxa"/>
                  <w:tcBorders>
                    <w:tl2br w:val="nil"/>
                    <w:tr2bl w:val="nil"/>
                  </w:tcBorders>
                  <w:vAlign w:val="center"/>
                </w:tcPr>
                <w:p w14:paraId="42A8B36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0.0010</w:t>
                  </w:r>
                </w:p>
              </w:tc>
              <w:tc>
                <w:tcPr>
                  <w:tcW w:w="1110" w:type="dxa"/>
                  <w:tcBorders>
                    <w:tl2br w:val="nil"/>
                    <w:tr2bl w:val="nil"/>
                  </w:tcBorders>
                  <w:vAlign w:val="center"/>
                </w:tcPr>
                <w:p w14:paraId="02DDC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5.12</w:t>
                  </w:r>
                </w:p>
              </w:tc>
              <w:tc>
                <w:tcPr>
                  <w:tcW w:w="915" w:type="dxa"/>
                  <w:vMerge w:val="continue"/>
                  <w:tcBorders>
                    <w:tl2br w:val="nil"/>
                    <w:tr2bl w:val="nil"/>
                  </w:tcBorders>
                  <w:vAlign w:val="center"/>
                </w:tcPr>
                <w:p w14:paraId="570145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p>
              </w:tc>
              <w:tc>
                <w:tcPr>
                  <w:tcW w:w="975" w:type="dxa"/>
                  <w:tcBorders>
                    <w:tl2br w:val="nil"/>
                    <w:tr2bl w:val="nil"/>
                  </w:tcBorders>
                  <w:vAlign w:val="center"/>
                </w:tcPr>
                <w:p w14:paraId="495D5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w:t>
                  </w:r>
                </w:p>
              </w:tc>
              <w:tc>
                <w:tcPr>
                  <w:tcW w:w="975" w:type="dxa"/>
                  <w:tcBorders>
                    <w:tl2br w:val="nil"/>
                    <w:tr2bl w:val="nil"/>
                  </w:tcBorders>
                  <w:vAlign w:val="center"/>
                </w:tcPr>
                <w:p w14:paraId="26F3981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0.0010</w:t>
                  </w:r>
                </w:p>
              </w:tc>
              <w:tc>
                <w:tcPr>
                  <w:tcW w:w="1222" w:type="dxa"/>
                  <w:tcBorders>
                    <w:tl2br w:val="nil"/>
                    <w:tr2bl w:val="nil"/>
                  </w:tcBorders>
                  <w:vAlign w:val="center"/>
                </w:tcPr>
                <w:p w14:paraId="7E73E3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Cs/>
                      <w:color w:val="auto"/>
                      <w:sz w:val="21"/>
                      <w:szCs w:val="21"/>
                      <w:vertAlign w:val="baseline"/>
                      <w:lang w:val="en-US" w:eastAsia="zh-CN"/>
                    </w:rPr>
                  </w:pPr>
                  <w:r>
                    <w:rPr>
                      <w:rFonts w:hint="eastAsia" w:ascii="Times New Roman" w:hAnsi="Times New Roman" w:cs="Times New Roman" w:eastAsiaTheme="minorEastAsia"/>
                      <w:bCs/>
                      <w:color w:val="auto"/>
                      <w:sz w:val="21"/>
                      <w:szCs w:val="21"/>
                      <w:vertAlign w:val="baseline"/>
                      <w:lang w:val="en-US" w:eastAsia="zh-CN"/>
                    </w:rPr>
                    <w:t>5.12</w:t>
                  </w:r>
                </w:p>
              </w:tc>
            </w:tr>
          </w:tbl>
          <w:p w14:paraId="46FFE4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2.2</w:t>
            </w:r>
            <w:r>
              <w:rPr>
                <w:rFonts w:hint="default" w:ascii="Times New Roman" w:hAnsi="Times New Roman" w:eastAsia="宋体" w:cs="Times New Roman"/>
                <w:b/>
                <w:bCs/>
                <w:color w:val="auto"/>
                <w:sz w:val="24"/>
                <w:lang w:val="en-US" w:eastAsia="zh-CN"/>
              </w:rPr>
              <w:t>废水污染防治措施可行性分析</w:t>
            </w:r>
          </w:p>
          <w:p w14:paraId="641D2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ascii="Times New Roman" w:hAnsi="Times New Roman" w:cs="Times New Roman" w:eastAsiaTheme="minorEastAsia"/>
                <w:color w:val="auto"/>
                <w:kern w:val="2"/>
                <w:sz w:val="24"/>
                <w:szCs w:val="24"/>
                <w:lang w:val="en-US" w:eastAsia="zh-CN" w:bidi="ar-SA"/>
              </w:rPr>
              <w:t>本项目运营期废水主要为诊疗废水、美容废水、宠物笼清洗污水、生活污水。</w:t>
            </w:r>
            <w:r>
              <w:rPr>
                <w:rFonts w:hint="default" w:ascii="Times New Roman" w:hAnsi="Times New Roman" w:cs="Times New Roman" w:eastAsiaTheme="minorEastAsia"/>
                <w:color w:val="auto"/>
                <w:sz w:val="24"/>
                <w:lang w:val="en-US" w:eastAsia="zh-CN"/>
              </w:rPr>
              <w:t>诊疗废水单独收集</w:t>
            </w:r>
            <w:r>
              <w:rPr>
                <w:rFonts w:hint="eastAsia" w:ascii="Times New Roman" w:hAnsi="Times New Roman" w:cs="Times New Roman" w:eastAsiaTheme="minorEastAsia"/>
                <w:color w:val="auto"/>
                <w:sz w:val="24"/>
                <w:lang w:val="en-US" w:eastAsia="zh-CN"/>
              </w:rPr>
              <w:t>处理</w:t>
            </w:r>
            <w:r>
              <w:rPr>
                <w:rFonts w:hint="default" w:ascii="Times New Roman" w:hAnsi="Times New Roman" w:cs="Times New Roman" w:eastAsiaTheme="minorEastAsia"/>
                <w:color w:val="auto"/>
                <w:sz w:val="24"/>
                <w:lang w:val="en-US" w:eastAsia="zh-CN"/>
              </w:rPr>
              <w:t>，采取一体化污水处理设施消毒处理（位于</w:t>
            </w:r>
            <w:r>
              <w:rPr>
                <w:rFonts w:hint="eastAsia" w:cs="Times New Roman" w:eastAsiaTheme="minorEastAsia"/>
                <w:color w:val="auto"/>
                <w:sz w:val="24"/>
                <w:lang w:val="en-US" w:eastAsia="zh-CN"/>
              </w:rPr>
              <w:t>美容</w:t>
            </w:r>
            <w:r>
              <w:rPr>
                <w:rFonts w:hint="default" w:ascii="Times New Roman" w:hAnsi="Times New Roman" w:cs="Times New Roman" w:eastAsiaTheme="minorEastAsia"/>
                <w:color w:val="auto"/>
                <w:sz w:val="24"/>
                <w:lang w:val="en-US" w:eastAsia="zh-CN"/>
              </w:rPr>
              <w:t>室，设计处理能力为1.0</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/d</w:t>
            </w:r>
            <w:r>
              <w:rPr>
                <w:rFonts w:hint="default" w:ascii="Times New Roman" w:hAnsi="Times New Roman" w:cs="Times New Roman" w:eastAsiaTheme="minorEastAsia"/>
                <w:color w:val="auto"/>
                <w:sz w:val="24"/>
                <w:lang w:val="en-US" w:eastAsia="zh-CN"/>
              </w:rPr>
              <w:t>），处理后与</w:t>
            </w:r>
            <w:r>
              <w:rPr>
                <w:rFonts w:hint="default" w:ascii="Times New Roman" w:hAnsi="Times New Roman" w:cs="Times New Roman" w:eastAsiaTheme="minorEastAsia"/>
                <w:color w:val="auto"/>
                <w:kern w:val="2"/>
                <w:sz w:val="24"/>
                <w:szCs w:val="24"/>
                <w:lang w:val="en-US" w:eastAsia="zh-CN" w:bidi="ar-SA"/>
              </w:rPr>
              <w:t>美容废水、宠物笼清洗污水、生活污水</w:t>
            </w:r>
            <w:r>
              <w:rPr>
                <w:rFonts w:hint="default" w:ascii="Times New Roman" w:hAnsi="Times New Roman" w:cs="Times New Roman" w:eastAsiaTheme="minorEastAsia"/>
                <w:color w:val="auto"/>
                <w:sz w:val="24"/>
                <w:lang w:val="en-US" w:eastAsia="zh-CN"/>
              </w:rPr>
              <w:t>汇集一起排入市政管网，最终排入阜西污水处理厂处理。</w:t>
            </w:r>
          </w:p>
          <w:p w14:paraId="62870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cs="Times New Roman" w:eastAsiaTheme="minorEastAsia"/>
                <w:bCs/>
                <w:color w:val="auto"/>
                <w:sz w:val="24"/>
                <w:szCs w:val="24"/>
                <w:lang w:val="en-US" w:eastAsia="zh-CN"/>
              </w:rPr>
              <w:t>根据《综合医院建筑设计规范》（局部修订征求意见稿）中“6.给水排水、消防和污水处理、7.6手术部”，应满足以下要求</w:t>
            </w:r>
            <w:r>
              <w:rPr>
                <w:rFonts w:hint="eastAsia" w:cs="Times New Roman" w:eastAsiaTheme="minorEastAsia"/>
                <w:bCs/>
                <w:color w:val="auto"/>
                <w:sz w:val="24"/>
                <w:szCs w:val="24"/>
                <w:lang w:val="en-US" w:eastAsia="zh-CN"/>
              </w:rPr>
              <w:t>：</w:t>
            </w:r>
          </w:p>
          <w:p w14:paraId="27A7A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cs="Times New Roman" w:eastAsiaTheme="minorEastAsia"/>
                <w:bCs/>
                <w:color w:val="auto"/>
                <w:sz w:val="24"/>
                <w:szCs w:val="24"/>
                <w:lang w:val="en-US" w:eastAsia="zh-CN"/>
              </w:rPr>
              <w:t>①一般规定</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卫生器具应采用节水器具，但大便器的冲洗水量应满足排泄物输送排放的要求</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给水排水设备、器材应采用安全可靠的产品，以减少维修的风险。</w:t>
            </w:r>
          </w:p>
          <w:p w14:paraId="7238F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cs="Times New Roman" w:eastAsiaTheme="minorEastAsia"/>
                <w:bCs/>
                <w:color w:val="auto"/>
                <w:sz w:val="24"/>
                <w:szCs w:val="24"/>
                <w:lang w:val="en-US" w:eastAsia="zh-CN"/>
              </w:rPr>
              <w:t>②给水</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诊室、检验科等房间的洗手盆采用非手动开关，并应采取防止污水外溅的措施。</w:t>
            </w:r>
          </w:p>
          <w:p w14:paraId="204F2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cs="Times New Roman" w:eastAsiaTheme="minorEastAsia"/>
                <w:bCs/>
                <w:color w:val="auto"/>
                <w:sz w:val="24"/>
                <w:szCs w:val="24"/>
                <w:lang w:val="en-US" w:eastAsia="zh-CN"/>
              </w:rPr>
              <w:t>③排水</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医院排水系统的设计应防止管道污废水泄漏、防止管道的堵塞和防止排水系统内的有毒有害、非毒性气体和臭味溢出进入建筑物内。</w:t>
            </w:r>
          </w:p>
          <w:p w14:paraId="2BAD4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cs="Times New Roman" w:eastAsiaTheme="minorEastAsia"/>
                <w:bCs/>
                <w:color w:val="auto"/>
                <w:sz w:val="24"/>
                <w:szCs w:val="24"/>
                <w:lang w:val="en-US" w:eastAsia="zh-CN"/>
              </w:rPr>
              <w:t>④污水处理</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污水处理池应密闭，尾气应统一收集消毒处理后排放。</w:t>
            </w:r>
          </w:p>
          <w:p w14:paraId="7BAD9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cs="Times New Roman" w:eastAsiaTheme="minorEastAsia"/>
                <w:bCs/>
                <w:color w:val="auto"/>
                <w:sz w:val="24"/>
                <w:szCs w:val="24"/>
                <w:lang w:val="en-US" w:eastAsia="zh-CN"/>
              </w:rPr>
              <w:t>⑤手术部</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一般手术室室内温度冬季不宜低于20℃，夏季不宜高于26C</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室内相对湿度冬季不宜低于30%，夏季不宜高于65%</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应在送风口采用过滤器效率不低于高中效过滤器的上送下回空调系统或全新风通风系统。室内不应有局部气流干扰定向流，应保持正压，换气次数不得低于6次/h。噪声不应大于50dB(A)。</w:t>
            </w:r>
          </w:p>
          <w:p w14:paraId="2D2A4F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cs="Times New Roman" w:eastAsiaTheme="minorEastAsia"/>
                <w:bCs/>
                <w:color w:val="auto"/>
                <w:sz w:val="24"/>
                <w:szCs w:val="24"/>
                <w:lang w:val="en-US" w:eastAsia="zh-CN"/>
              </w:rPr>
              <w:t>参照《医疗机构水污染物排放标准》（GB18466-2005）中“4.1.3 关于县级以下或20张床位以下的综合医疗机构和其他所有医疗机构的污水须经消毒处理后方可排放的相关要求”。本项目诊疗废水采用一体化废水处理设施消毒处理，一体化污水处理设施（密闭）由液位感应系统、储药箱、混合器等组成，采用手工投加三氯异氰尿酸消毒片的消毒方式，投加比例1～2片/升。诊疗废水从清洗槽流入位于清洗槽下方的一体化污水处理设备的进水口，再进入设备的混合器，人工投加三氯异氰尿酸消毒片后与污水接触时间大于20分钟后排放。</w:t>
            </w:r>
          </w:p>
          <w:p w14:paraId="629C6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eastAsia" w:cs="Times New Roman" w:eastAsiaTheme="minorEastAsia"/>
                <w:bCs/>
                <w:color w:val="auto"/>
                <w:sz w:val="24"/>
                <w:szCs w:val="24"/>
                <w:lang w:val="en-US" w:eastAsia="zh-CN"/>
              </w:rPr>
              <w:t>（1）</w:t>
            </w:r>
            <w:r>
              <w:rPr>
                <w:rFonts w:hint="default" w:ascii="Times New Roman" w:hAnsi="Times New Roman" w:cs="Times New Roman" w:eastAsiaTheme="minorEastAsia"/>
                <w:color w:val="auto"/>
                <w:kern w:val="2"/>
                <w:sz w:val="24"/>
                <w:szCs w:val="24"/>
                <w:lang w:val="en-US" w:eastAsia="zh-CN" w:bidi="ar-SA"/>
              </w:rPr>
              <w:t>美容废水、生活污水</w:t>
            </w:r>
            <w:r>
              <w:rPr>
                <w:rFonts w:hint="eastAsia" w:ascii="Times New Roman" w:hAnsi="Times New Roman" w:cs="Times New Roman" w:eastAsiaTheme="minorEastAsia"/>
                <w:color w:val="auto"/>
                <w:kern w:val="2"/>
                <w:sz w:val="24"/>
                <w:szCs w:val="24"/>
                <w:lang w:val="en-US" w:eastAsia="zh-CN" w:bidi="ar-SA"/>
              </w:rPr>
              <w:t>处理措施</w:t>
            </w:r>
          </w:p>
          <w:p w14:paraId="3ABE3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eastAsia" w:cs="Times New Roman" w:eastAsiaTheme="minorEastAsia"/>
                <w:bCs/>
                <w:color w:val="auto"/>
                <w:sz w:val="24"/>
                <w:szCs w:val="24"/>
                <w:lang w:val="en-US" w:eastAsia="zh-CN"/>
              </w:rPr>
              <w:t>本项目</w:t>
            </w:r>
            <w:r>
              <w:rPr>
                <w:rFonts w:hint="default" w:ascii="Times New Roman" w:hAnsi="Times New Roman" w:cs="Times New Roman" w:eastAsiaTheme="minorEastAsia"/>
                <w:color w:val="auto"/>
                <w:kern w:val="2"/>
                <w:sz w:val="24"/>
                <w:szCs w:val="24"/>
                <w:lang w:val="en-US" w:eastAsia="zh-CN" w:bidi="ar-SA"/>
              </w:rPr>
              <w:t>美容废水、生活污水</w:t>
            </w:r>
            <w:r>
              <w:rPr>
                <w:rFonts w:hint="default" w:cs="Times New Roman" w:eastAsiaTheme="minorEastAsia"/>
                <w:bCs/>
                <w:color w:val="auto"/>
                <w:sz w:val="24"/>
                <w:szCs w:val="24"/>
                <w:lang w:val="en-US" w:eastAsia="zh-CN"/>
              </w:rPr>
              <w:t>处理满足《医疗机构水污染物排放标准》</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GB18466-2005）表2中的预处理标准要求，直接排入市政下水管网，最终</w:t>
            </w:r>
            <w:r>
              <w:rPr>
                <w:rFonts w:hint="default" w:ascii="Times New Roman" w:hAnsi="Times New Roman" w:cs="Times New Roman" w:eastAsiaTheme="minorEastAsia"/>
                <w:color w:val="auto"/>
                <w:sz w:val="24"/>
                <w:lang w:val="en-US" w:eastAsia="zh-CN"/>
              </w:rPr>
              <w:t>排入阜西污水处理厂处理</w:t>
            </w:r>
            <w:r>
              <w:rPr>
                <w:rFonts w:hint="default" w:cs="Times New Roman" w:eastAsiaTheme="minorEastAsia"/>
                <w:bCs/>
                <w:color w:val="auto"/>
                <w:sz w:val="24"/>
                <w:szCs w:val="24"/>
                <w:lang w:val="en-US" w:eastAsia="zh-CN"/>
              </w:rPr>
              <w:t>。因此，本项目废水对周边环境影响较小。</w:t>
            </w:r>
          </w:p>
          <w:p w14:paraId="09CEBD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eastAsia" w:cs="Times New Roman" w:eastAsiaTheme="minorEastAsia"/>
                <w:bCs/>
                <w:color w:val="auto"/>
                <w:sz w:val="24"/>
                <w:szCs w:val="24"/>
                <w:lang w:val="en-US" w:eastAsia="zh-CN"/>
              </w:rPr>
              <w:t>（2）</w:t>
            </w:r>
            <w:r>
              <w:rPr>
                <w:rFonts w:hint="default" w:cs="Times New Roman" w:eastAsiaTheme="minorEastAsia"/>
                <w:bCs/>
                <w:color w:val="auto"/>
                <w:sz w:val="24"/>
                <w:szCs w:val="24"/>
                <w:lang w:val="en-US" w:eastAsia="zh-CN"/>
              </w:rPr>
              <w:t>诊疗废水</w:t>
            </w:r>
            <w:r>
              <w:rPr>
                <w:rFonts w:hint="default" w:ascii="Times New Roman" w:hAnsi="Times New Roman" w:cs="Times New Roman" w:eastAsiaTheme="minorEastAsia"/>
                <w:color w:val="auto"/>
                <w:kern w:val="2"/>
                <w:sz w:val="24"/>
                <w:szCs w:val="24"/>
                <w:lang w:val="en-US" w:eastAsia="zh-CN" w:bidi="ar-SA"/>
              </w:rPr>
              <w:t>、宠物笼清洗污水</w:t>
            </w:r>
            <w:r>
              <w:rPr>
                <w:rFonts w:hint="eastAsia" w:cs="Times New Roman" w:eastAsiaTheme="minorEastAsia"/>
                <w:bCs/>
                <w:color w:val="auto"/>
                <w:sz w:val="24"/>
                <w:szCs w:val="24"/>
                <w:lang w:val="en-US" w:eastAsia="zh-CN"/>
              </w:rPr>
              <w:t>处理措施</w:t>
            </w:r>
          </w:p>
          <w:p w14:paraId="6BC431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cs="Times New Roman" w:eastAsiaTheme="minorEastAsia"/>
                <w:bCs/>
                <w:color w:val="auto"/>
                <w:sz w:val="24"/>
                <w:szCs w:val="24"/>
                <w:lang w:val="en-US" w:eastAsia="zh-CN"/>
              </w:rPr>
              <w:t>诊疗废水</w:t>
            </w:r>
            <w:r>
              <w:rPr>
                <w:rFonts w:hint="default" w:ascii="Times New Roman" w:hAnsi="Times New Roman" w:cs="Times New Roman" w:eastAsiaTheme="minorEastAsia"/>
                <w:color w:val="auto"/>
                <w:kern w:val="2"/>
                <w:sz w:val="24"/>
                <w:szCs w:val="24"/>
                <w:lang w:val="en-US" w:eastAsia="zh-CN" w:bidi="ar-SA"/>
              </w:rPr>
              <w:t>、宠物笼清洗污水</w:t>
            </w:r>
            <w:r>
              <w:rPr>
                <w:rFonts w:hint="default" w:cs="Times New Roman" w:eastAsiaTheme="minorEastAsia"/>
                <w:bCs/>
                <w:color w:val="auto"/>
                <w:sz w:val="24"/>
                <w:szCs w:val="24"/>
                <w:lang w:val="en-US" w:eastAsia="zh-CN"/>
              </w:rPr>
              <w:t>可能含病原体，因此，项目诊疗废水</w:t>
            </w:r>
            <w:r>
              <w:rPr>
                <w:rFonts w:hint="default" w:ascii="Times New Roman" w:hAnsi="Times New Roman" w:cs="Times New Roman" w:eastAsiaTheme="minorEastAsia"/>
                <w:color w:val="auto"/>
                <w:kern w:val="2"/>
                <w:sz w:val="24"/>
                <w:szCs w:val="24"/>
                <w:lang w:val="en-US" w:eastAsia="zh-CN" w:bidi="ar-SA"/>
              </w:rPr>
              <w:t>、宠物笼清洗污水</w:t>
            </w:r>
            <w:r>
              <w:rPr>
                <w:rFonts w:hint="default" w:cs="Times New Roman" w:eastAsiaTheme="minorEastAsia"/>
                <w:bCs/>
                <w:color w:val="auto"/>
                <w:sz w:val="24"/>
                <w:szCs w:val="24"/>
                <w:lang w:val="en-US" w:eastAsia="zh-CN"/>
              </w:rPr>
              <w:t>采用一体化污水处理</w:t>
            </w:r>
            <w:r>
              <w:rPr>
                <w:rFonts w:hint="eastAsia" w:cs="Times New Roman" w:eastAsiaTheme="minorEastAsia"/>
                <w:bCs/>
                <w:color w:val="auto"/>
                <w:sz w:val="24"/>
                <w:szCs w:val="24"/>
                <w:lang w:val="en-US" w:eastAsia="zh-CN"/>
              </w:rPr>
              <w:t>设施</w:t>
            </w:r>
            <w:r>
              <w:rPr>
                <w:rFonts w:hint="default" w:cs="Times New Roman" w:eastAsiaTheme="minorEastAsia"/>
                <w:bCs/>
                <w:color w:val="auto"/>
                <w:sz w:val="24"/>
                <w:szCs w:val="24"/>
                <w:lang w:val="en-US" w:eastAsia="zh-CN"/>
              </w:rPr>
              <w:t>消毒处理满足《医疗机构水污染物排放标准》</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GB18466-2005）表2中的预处理标准后，再与</w:t>
            </w:r>
            <w:r>
              <w:rPr>
                <w:rFonts w:hint="default" w:ascii="Times New Roman" w:hAnsi="Times New Roman" w:cs="Times New Roman" w:eastAsiaTheme="minorEastAsia"/>
                <w:color w:val="auto"/>
                <w:kern w:val="2"/>
                <w:sz w:val="24"/>
                <w:szCs w:val="24"/>
                <w:lang w:val="en-US" w:eastAsia="zh-CN" w:bidi="ar-SA"/>
              </w:rPr>
              <w:t>美容废水、生活污水</w:t>
            </w:r>
            <w:r>
              <w:rPr>
                <w:rFonts w:hint="default" w:ascii="Times New Roman" w:hAnsi="Times New Roman" w:cs="Times New Roman" w:eastAsiaTheme="minorEastAsia"/>
                <w:color w:val="auto"/>
                <w:sz w:val="24"/>
                <w:lang w:val="en-US" w:eastAsia="zh-CN"/>
              </w:rPr>
              <w:t>汇集一起排入市政管网，最终排入阜西污水处理厂处理</w:t>
            </w:r>
            <w:r>
              <w:rPr>
                <w:rFonts w:hint="default" w:cs="Times New Roman" w:eastAsiaTheme="minorEastAsia"/>
                <w:bCs/>
                <w:color w:val="auto"/>
                <w:sz w:val="24"/>
                <w:szCs w:val="24"/>
                <w:lang w:val="en-US" w:eastAsia="zh-CN"/>
              </w:rPr>
              <w:t>。</w:t>
            </w:r>
            <w:r>
              <w:rPr>
                <w:rFonts w:hint="eastAsia" w:ascii="宋体" w:hAnsi="宋体" w:eastAsia="宋体"/>
                <w:sz w:val="24"/>
                <w:szCs w:val="24"/>
              </w:rPr>
              <w:t>诊疗废水来自</w:t>
            </w:r>
            <w:r>
              <w:rPr>
                <w:rFonts w:hint="eastAsia" w:ascii="宋体" w:hAnsi="宋体" w:eastAsia="宋体"/>
                <w:sz w:val="24"/>
                <w:szCs w:val="24"/>
                <w:lang w:val="en-US" w:eastAsia="zh-CN"/>
              </w:rPr>
              <w:t>宠物门诊及住院过程产生的废水，</w:t>
            </w:r>
            <w:r>
              <w:rPr>
                <w:rFonts w:hint="eastAsia" w:ascii="Times New Roman" w:hAnsi="Times New Roman" w:cs="Times New Roman" w:eastAsiaTheme="minorEastAsia"/>
                <w:bCs/>
                <w:color w:val="auto"/>
                <w:sz w:val="24"/>
                <w:szCs w:val="24"/>
                <w:lang w:val="en-US" w:eastAsia="zh-CN"/>
              </w:rPr>
              <w:t>经统计诊疗</w:t>
            </w:r>
            <w:r>
              <w:rPr>
                <w:rFonts w:hint="eastAsia" w:cs="Times New Roman" w:eastAsiaTheme="minorEastAsia"/>
                <w:bCs/>
                <w:color w:val="auto"/>
                <w:sz w:val="24"/>
                <w:szCs w:val="24"/>
                <w:lang w:val="en-US" w:eastAsia="zh-CN"/>
              </w:rPr>
              <w:t>废水产生量为0.027</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/d</w:t>
            </w:r>
            <w:r>
              <w:rPr>
                <w:rFonts w:hint="eastAsia" w:cs="Times New Roman" w:eastAsiaTheme="minorEastAsia"/>
                <w:bCs/>
                <w:color w:val="auto"/>
                <w:sz w:val="24"/>
                <w:szCs w:val="24"/>
                <w:lang w:val="en-US" w:eastAsia="zh-CN"/>
              </w:rPr>
              <w:t>。本项目</w:t>
            </w:r>
            <w:r>
              <w:rPr>
                <w:rFonts w:hint="default" w:cs="Times New Roman" w:eastAsiaTheme="minorEastAsia"/>
                <w:bCs/>
                <w:color w:val="auto"/>
                <w:sz w:val="24"/>
                <w:szCs w:val="24"/>
                <w:lang w:val="en-US" w:eastAsia="zh-CN"/>
              </w:rPr>
              <w:t>一体化污水处理设施</w:t>
            </w:r>
            <w:r>
              <w:rPr>
                <w:rFonts w:hint="default" w:ascii="Times New Roman" w:hAnsi="Times New Roman" w:cs="Times New Roman" w:eastAsiaTheme="minorEastAsia"/>
                <w:color w:val="auto"/>
                <w:sz w:val="24"/>
                <w:lang w:val="en-US" w:eastAsia="zh-CN"/>
              </w:rPr>
              <w:t>设计处理能力为1.0</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/d</w:t>
            </w:r>
            <w:r>
              <w:rPr>
                <w:rFonts w:hint="eastAsia" w:ascii="Times New Roman" w:hAnsi="Times New Roman" w:cs="Times New Roman" w:eastAsiaTheme="minorEastAsia"/>
                <w:color w:val="auto"/>
                <w:sz w:val="24"/>
                <w:lang w:val="en-US" w:eastAsia="zh-CN"/>
              </w:rPr>
              <w:t>，处理能力远大于诊疗废水产生量，处理能力满足要求。</w:t>
            </w:r>
          </w:p>
          <w:p w14:paraId="0AADF6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cs="Times New Roman" w:eastAsiaTheme="minorEastAsia"/>
                <w:bCs/>
                <w:color w:val="auto"/>
                <w:sz w:val="24"/>
                <w:szCs w:val="24"/>
                <w:lang w:val="en-US" w:eastAsia="zh-CN"/>
              </w:rPr>
            </w:pPr>
            <w:r>
              <w:rPr>
                <w:rFonts w:hint="eastAsia" w:cs="Times New Roman" w:eastAsiaTheme="minorEastAsia"/>
                <w:bCs/>
                <w:color w:val="auto"/>
                <w:sz w:val="24"/>
                <w:szCs w:val="24"/>
                <w:lang w:val="en-US" w:eastAsia="zh-CN"/>
              </w:rPr>
              <w:t>综上，本项目消毒装置出水符合《医疗机构水污染物排放标准》(GB18466-2005）中的“综合医疗机构和其他医疗机构水污染排放限值（日均值）”中的预处理排放要求。只要企业加强废水处理设施运行管理，强化环保意识，保证宠物医院内废水进管前预处理达标排放，本项目产生的废水对水环境影响较小。</w:t>
            </w:r>
          </w:p>
          <w:p w14:paraId="4997C3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cs="Times New Roman" w:eastAsiaTheme="minorEastAsia"/>
                <w:bCs/>
                <w:color w:val="auto"/>
                <w:sz w:val="24"/>
                <w:szCs w:val="24"/>
                <w:lang w:val="en-US" w:eastAsia="zh-CN"/>
              </w:rPr>
            </w:pPr>
            <w:r>
              <w:rPr>
                <w:rFonts w:hint="eastAsia" w:cs="Times New Roman" w:eastAsiaTheme="minorEastAsia"/>
                <w:bCs/>
                <w:color w:val="auto"/>
                <w:sz w:val="24"/>
                <w:szCs w:val="24"/>
                <w:lang w:val="en-US" w:eastAsia="zh-CN"/>
              </w:rPr>
              <w:t>（3）事故废水防范措施</w:t>
            </w:r>
          </w:p>
          <w:p w14:paraId="3253D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cs="Times New Roman" w:eastAsiaTheme="minorEastAsia"/>
                <w:b w:val="0"/>
                <w:color w:val="auto"/>
                <w:kern w:val="2"/>
                <w:sz w:val="24"/>
                <w:szCs w:val="24"/>
                <w:lang w:val="en-US" w:eastAsia="zh-CN" w:bidi="ar-SA"/>
              </w:rPr>
            </w:pPr>
            <w:r>
              <w:rPr>
                <w:rFonts w:hint="eastAsia" w:cs="Times New Roman" w:eastAsiaTheme="minorEastAsia"/>
                <w:b w:val="0"/>
                <w:color w:val="auto"/>
                <w:kern w:val="2"/>
                <w:sz w:val="24"/>
                <w:szCs w:val="24"/>
                <w:lang w:val="en-US" w:eastAsia="zh-CN" w:bidi="ar-SA"/>
              </w:rPr>
              <w:t>参照</w:t>
            </w:r>
            <w:r>
              <w:rPr>
                <w:rFonts w:hint="default" w:ascii="Times New Roman" w:hAnsi="Times New Roman" w:cs="Times New Roman" w:eastAsiaTheme="minorEastAsia"/>
                <w:b w:val="0"/>
                <w:color w:val="auto"/>
                <w:kern w:val="2"/>
                <w:sz w:val="24"/>
                <w:szCs w:val="24"/>
                <w:lang w:val="en-US" w:eastAsia="zh-CN" w:bidi="ar-SA"/>
              </w:rPr>
              <w:t>《医院污水处理工程技术规范》（HJ2029-2013)，我国突发性污染事件发生频繁，为预防医院污水处理过程中的突发性事件或处理设施事故的发生，保证医院污水达标排放，保护地表水环境质量，设置应急事故池是必要的</w:t>
            </w:r>
            <w:r>
              <w:rPr>
                <w:rFonts w:hint="eastAsia" w:cs="Times New Roman" w:eastAsiaTheme="minorEastAsia"/>
                <w:b w:val="0"/>
                <w:color w:val="auto"/>
                <w:kern w:val="2"/>
                <w:sz w:val="24"/>
                <w:szCs w:val="24"/>
                <w:lang w:val="en-US" w:eastAsia="zh-CN" w:bidi="ar-SA"/>
              </w:rPr>
              <w:t>，同时参照“12.4.1 医院污水处理工程应设应急事故池，以贮存处理系统事故或其它突发事件时医院污水。传染病医院污水处理工程应急事故池容积不小于日排放量的100%，非传染病医院污水处理工程应急事故池容积不小于日排放量的30%”</w:t>
            </w:r>
          </w:p>
          <w:p w14:paraId="1B4344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cs="Times New Roman" w:eastAsiaTheme="minorEastAsia"/>
                <w:bCs/>
                <w:color w:val="auto"/>
                <w:sz w:val="24"/>
                <w:szCs w:val="24"/>
                <w:lang w:val="en-US" w:eastAsia="zh-CN"/>
              </w:rPr>
            </w:pPr>
            <w:r>
              <w:rPr>
                <w:rFonts w:hint="eastAsia" w:cs="Times New Roman" w:eastAsiaTheme="minorEastAsia"/>
                <w:b w:val="0"/>
                <w:color w:val="auto"/>
                <w:kern w:val="2"/>
                <w:sz w:val="24"/>
                <w:szCs w:val="24"/>
                <w:lang w:val="en-US" w:eastAsia="zh-CN" w:bidi="ar-SA"/>
              </w:rPr>
              <w:t>根据工程分析，</w:t>
            </w:r>
            <w:r>
              <w:rPr>
                <w:rFonts w:hint="default" w:ascii="Times New Roman" w:hAnsi="Times New Roman" w:cs="Times New Roman" w:eastAsiaTheme="minorEastAsia"/>
                <w:b w:val="0"/>
                <w:color w:val="auto"/>
                <w:kern w:val="2"/>
                <w:sz w:val="24"/>
                <w:szCs w:val="24"/>
                <w:lang w:val="en-US" w:eastAsia="zh-CN" w:bidi="ar-SA"/>
              </w:rPr>
              <w:t>本项目</w:t>
            </w:r>
            <w:r>
              <w:rPr>
                <w:rFonts w:hint="eastAsia" w:cs="Times New Roman" w:eastAsiaTheme="minorEastAsia"/>
                <w:color w:val="auto"/>
                <w:kern w:val="2"/>
                <w:sz w:val="24"/>
                <w:szCs w:val="24"/>
                <w:lang w:val="en-US" w:eastAsia="zh-CN" w:bidi="ar-SA"/>
              </w:rPr>
              <w:t>医疗废水</w:t>
            </w:r>
            <w:r>
              <w:rPr>
                <w:rFonts w:hint="default" w:ascii="Times New Roman" w:hAnsi="Times New Roman" w:cs="Times New Roman" w:eastAsiaTheme="minorEastAsia"/>
                <w:b w:val="0"/>
                <w:color w:val="auto"/>
                <w:kern w:val="2"/>
                <w:sz w:val="24"/>
                <w:szCs w:val="24"/>
                <w:lang w:val="en-US" w:eastAsia="zh-CN" w:bidi="ar-SA"/>
              </w:rPr>
              <w:t>产生量约为</w:t>
            </w:r>
            <w:r>
              <w:rPr>
                <w:rFonts w:hint="eastAsia" w:cs="Times New Roman" w:eastAsiaTheme="minorEastAsia"/>
                <w:b w:val="0"/>
                <w:color w:val="auto"/>
                <w:kern w:val="2"/>
                <w:sz w:val="24"/>
                <w:szCs w:val="24"/>
                <w:lang w:val="en-US" w:eastAsia="zh-CN" w:bidi="ar-SA"/>
              </w:rPr>
              <w:t>0.074</w:t>
            </w:r>
            <w:r>
              <w:rPr>
                <w:rFonts w:hint="default" w:ascii="Times New Roman" w:hAnsi="Times New Roman" w:cs="Times New Roman" w:eastAsiaTheme="minorEastAsia"/>
                <w:b w:val="0"/>
                <w:color w:val="auto"/>
                <w:kern w:val="2"/>
                <w:sz w:val="24"/>
                <w:szCs w:val="24"/>
                <w:lang w:val="en-US" w:eastAsia="zh-CN" w:bidi="ar-SA"/>
              </w:rPr>
              <w:t>m</w:t>
            </w:r>
            <w:r>
              <w:rPr>
                <w:rFonts w:hint="default" w:ascii="Times New Roman" w:hAnsi="Times New Roman" w:cs="Times New Roman" w:eastAsiaTheme="minorEastAsia"/>
                <w:b w:val="0"/>
                <w:color w:val="auto"/>
                <w:kern w:val="2"/>
                <w:sz w:val="24"/>
                <w:szCs w:val="24"/>
                <w:vertAlign w:val="superscript"/>
                <w:lang w:val="en-US" w:eastAsia="zh-CN" w:bidi="ar-SA"/>
              </w:rPr>
              <w:t>3</w:t>
            </w:r>
            <w:r>
              <w:rPr>
                <w:rFonts w:hint="default" w:ascii="Times New Roman" w:hAnsi="Times New Roman" w:cs="Times New Roman" w:eastAsiaTheme="minorEastAsia"/>
                <w:b w:val="0"/>
                <w:color w:val="auto"/>
                <w:kern w:val="2"/>
                <w:sz w:val="24"/>
                <w:szCs w:val="24"/>
                <w:lang w:val="en-US" w:eastAsia="zh-CN" w:bidi="ar-SA"/>
              </w:rPr>
              <w:t>/d，</w:t>
            </w:r>
            <w:r>
              <w:rPr>
                <w:rFonts w:hint="eastAsia" w:cs="Times New Roman" w:eastAsiaTheme="minorEastAsia"/>
                <w:b w:val="0"/>
                <w:color w:val="auto"/>
                <w:kern w:val="2"/>
                <w:sz w:val="24"/>
                <w:szCs w:val="24"/>
                <w:lang w:val="en-US" w:eastAsia="zh-CN" w:bidi="ar-SA"/>
              </w:rPr>
              <w:t>经核算一体化污水处理设施应急事故池容积不小于0.002m</w:t>
            </w:r>
            <w:r>
              <w:rPr>
                <w:rFonts w:hint="eastAsia" w:cs="Times New Roman" w:eastAsiaTheme="minorEastAsia"/>
                <w:b w:val="0"/>
                <w:color w:val="auto"/>
                <w:kern w:val="2"/>
                <w:sz w:val="24"/>
                <w:szCs w:val="24"/>
                <w:vertAlign w:val="superscript"/>
                <w:lang w:val="en-US" w:eastAsia="zh-CN" w:bidi="ar-SA"/>
              </w:rPr>
              <w:t>3</w:t>
            </w:r>
            <w:r>
              <w:rPr>
                <w:rFonts w:hint="eastAsia" w:cs="Times New Roman" w:eastAsiaTheme="minorEastAsia"/>
                <w:b w:val="0"/>
                <w:color w:val="auto"/>
                <w:kern w:val="2"/>
                <w:sz w:val="24"/>
                <w:szCs w:val="24"/>
                <w:lang w:val="en-US" w:eastAsia="zh-CN" w:bidi="ar-SA"/>
              </w:rPr>
              <w:t>。</w:t>
            </w:r>
            <w:r>
              <w:rPr>
                <w:rFonts w:hint="default" w:ascii="Times New Roman" w:hAnsi="Times New Roman" w:cs="Times New Roman" w:eastAsiaTheme="minorEastAsia"/>
                <w:b w:val="0"/>
                <w:color w:val="auto"/>
                <w:kern w:val="2"/>
                <w:sz w:val="24"/>
                <w:szCs w:val="24"/>
                <w:lang w:val="en-US" w:eastAsia="zh-CN" w:bidi="ar-SA"/>
              </w:rPr>
              <w:t>因此，本</w:t>
            </w:r>
            <w:r>
              <w:rPr>
                <w:rFonts w:hint="eastAsia" w:cs="Times New Roman" w:eastAsiaTheme="minorEastAsia"/>
                <w:b w:val="0"/>
                <w:color w:val="auto"/>
                <w:kern w:val="2"/>
                <w:sz w:val="24"/>
                <w:szCs w:val="24"/>
                <w:lang w:val="en-US" w:eastAsia="zh-CN" w:bidi="ar-SA"/>
              </w:rPr>
              <w:t>此评价建议</w:t>
            </w:r>
            <w:r>
              <w:rPr>
                <w:rFonts w:hint="default" w:ascii="Times New Roman" w:hAnsi="Times New Roman" w:cs="Times New Roman" w:eastAsiaTheme="minorEastAsia"/>
                <w:b w:val="0"/>
                <w:color w:val="auto"/>
                <w:kern w:val="2"/>
                <w:sz w:val="24"/>
                <w:szCs w:val="24"/>
                <w:lang w:val="en-US" w:eastAsia="zh-CN" w:bidi="ar-SA"/>
              </w:rPr>
              <w:t>在</w:t>
            </w:r>
            <w:r>
              <w:rPr>
                <w:rFonts w:hint="eastAsia" w:cs="Times New Roman" w:eastAsiaTheme="minorEastAsia"/>
                <w:b w:val="0"/>
                <w:color w:val="auto"/>
                <w:kern w:val="2"/>
                <w:sz w:val="24"/>
                <w:szCs w:val="24"/>
                <w:lang w:val="en-US" w:eastAsia="zh-CN" w:bidi="ar-SA"/>
              </w:rPr>
              <w:t>宠物医院</w:t>
            </w:r>
            <w:r>
              <w:rPr>
                <w:rFonts w:hint="default" w:ascii="Times New Roman" w:hAnsi="Times New Roman" w:cs="Times New Roman" w:eastAsiaTheme="minorEastAsia"/>
                <w:b w:val="0"/>
                <w:color w:val="auto"/>
                <w:kern w:val="2"/>
                <w:sz w:val="24"/>
                <w:szCs w:val="24"/>
                <w:lang w:val="en-US" w:eastAsia="zh-CN" w:bidi="ar-SA"/>
              </w:rPr>
              <w:t>院区内</w:t>
            </w:r>
            <w:r>
              <w:rPr>
                <w:rFonts w:hint="eastAsia" w:cs="Times New Roman" w:eastAsiaTheme="minorEastAsia"/>
                <w:b w:val="0"/>
                <w:color w:val="auto"/>
                <w:kern w:val="2"/>
                <w:sz w:val="24"/>
                <w:szCs w:val="24"/>
                <w:lang w:val="en-US" w:eastAsia="zh-CN" w:bidi="ar-SA"/>
              </w:rPr>
              <w:t>设置1处容积5L的医疗废水临时收集设施</w:t>
            </w:r>
            <w:r>
              <w:rPr>
                <w:rFonts w:hint="default" w:ascii="Times New Roman" w:hAnsi="Times New Roman" w:cs="Times New Roman" w:eastAsiaTheme="minorEastAsia"/>
                <w:b w:val="0"/>
                <w:color w:val="auto"/>
                <w:kern w:val="2"/>
                <w:sz w:val="24"/>
                <w:szCs w:val="24"/>
                <w:lang w:val="en-US" w:eastAsia="zh-CN" w:bidi="ar-SA"/>
              </w:rPr>
              <w:t>。一旦发生事故，应立即在院区内采取限电限水措施。在进行应急救援之前，必须先关闭污水排放口的应急阀门，确保事故废水不会进入外环境。</w:t>
            </w:r>
          </w:p>
          <w:p w14:paraId="58F1C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eastAsia" w:ascii="Times New Roman" w:hAnsi="Times New Roman" w:cs="Times New Roman" w:eastAsiaTheme="minorEastAsia"/>
                <w:b/>
                <w:bCs/>
                <w:color w:val="auto"/>
                <w:sz w:val="24"/>
                <w:lang w:val="en-US" w:eastAsia="zh-CN"/>
              </w:rPr>
              <w:t>2.3污染物排放口设置情况</w:t>
            </w:r>
          </w:p>
          <w:p w14:paraId="02AD2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cs="Times New Roman" w:eastAsiaTheme="minorEastAsia"/>
                <w:bCs/>
                <w:color w:val="auto"/>
                <w:sz w:val="24"/>
                <w:szCs w:val="24"/>
                <w:lang w:val="en-US" w:eastAsia="zh-CN"/>
              </w:rPr>
            </w:pPr>
            <w:r>
              <w:rPr>
                <w:rFonts w:hint="default" w:ascii="Times New Roman" w:hAnsi="Times New Roman" w:cs="Times New Roman" w:eastAsiaTheme="minorEastAsia"/>
                <w:color w:val="auto"/>
                <w:kern w:val="2"/>
                <w:sz w:val="24"/>
                <w:szCs w:val="24"/>
                <w:lang w:val="en-US" w:eastAsia="zh-CN" w:bidi="ar-SA"/>
              </w:rPr>
              <w:t>本项目运营期废水主要为诊疗废水、美容废水、宠物笼清洗污水、生活污水。</w:t>
            </w:r>
            <w:r>
              <w:rPr>
                <w:rFonts w:hint="default" w:ascii="Times New Roman" w:hAnsi="Times New Roman" w:cs="Times New Roman" w:eastAsiaTheme="minorEastAsia"/>
                <w:color w:val="auto"/>
                <w:sz w:val="24"/>
                <w:lang w:val="en-US" w:eastAsia="zh-CN"/>
              </w:rPr>
              <w:t>诊疗废水单独收集</w:t>
            </w:r>
            <w:r>
              <w:rPr>
                <w:rFonts w:hint="eastAsia" w:ascii="Times New Roman" w:hAnsi="Times New Roman" w:cs="Times New Roman" w:eastAsiaTheme="minorEastAsia"/>
                <w:color w:val="auto"/>
                <w:sz w:val="24"/>
                <w:lang w:val="en-US" w:eastAsia="zh-CN"/>
              </w:rPr>
              <w:t>处理</w:t>
            </w:r>
            <w:r>
              <w:rPr>
                <w:rFonts w:hint="default" w:ascii="Times New Roman" w:hAnsi="Times New Roman" w:cs="Times New Roman" w:eastAsiaTheme="minorEastAsia"/>
                <w:color w:val="auto"/>
                <w:sz w:val="24"/>
                <w:lang w:val="en-US" w:eastAsia="zh-CN"/>
              </w:rPr>
              <w:t>，</w:t>
            </w:r>
            <w:r>
              <w:rPr>
                <w:rFonts w:hint="default" w:cs="Times New Roman" w:eastAsiaTheme="minorEastAsia"/>
                <w:bCs/>
                <w:color w:val="auto"/>
                <w:sz w:val="24"/>
                <w:szCs w:val="24"/>
                <w:lang w:val="en-US" w:eastAsia="zh-CN"/>
              </w:rPr>
              <w:t>采用一体化污水处理</w:t>
            </w:r>
            <w:r>
              <w:rPr>
                <w:rFonts w:hint="eastAsia" w:cs="Times New Roman" w:eastAsiaTheme="minorEastAsia"/>
                <w:bCs/>
                <w:color w:val="auto"/>
                <w:sz w:val="24"/>
                <w:szCs w:val="24"/>
                <w:lang w:val="en-US" w:eastAsia="zh-CN"/>
              </w:rPr>
              <w:t>设施</w:t>
            </w:r>
            <w:r>
              <w:rPr>
                <w:rFonts w:hint="default" w:cs="Times New Roman" w:eastAsiaTheme="minorEastAsia"/>
                <w:bCs/>
                <w:color w:val="auto"/>
                <w:sz w:val="24"/>
                <w:szCs w:val="24"/>
                <w:lang w:val="en-US" w:eastAsia="zh-CN"/>
              </w:rPr>
              <w:t>消毒处理满足《医疗机构水污染物排放标准》</w:t>
            </w:r>
            <w:r>
              <w:rPr>
                <w:rFonts w:hint="eastAsia" w:cs="Times New Roman" w:eastAsiaTheme="minorEastAsia"/>
                <w:bCs/>
                <w:color w:val="auto"/>
                <w:sz w:val="24"/>
                <w:szCs w:val="24"/>
                <w:lang w:val="en-US" w:eastAsia="zh-CN"/>
              </w:rPr>
              <w:t>（</w:t>
            </w:r>
            <w:r>
              <w:rPr>
                <w:rFonts w:hint="default" w:cs="Times New Roman" w:eastAsiaTheme="minorEastAsia"/>
                <w:bCs/>
                <w:color w:val="auto"/>
                <w:sz w:val="24"/>
                <w:szCs w:val="24"/>
                <w:lang w:val="en-US" w:eastAsia="zh-CN"/>
              </w:rPr>
              <w:t>GB18466-2005）表2中的预处理标准后，再与</w:t>
            </w:r>
            <w:r>
              <w:rPr>
                <w:rFonts w:hint="default" w:ascii="Times New Roman" w:hAnsi="Times New Roman" w:cs="Times New Roman" w:eastAsiaTheme="minorEastAsia"/>
                <w:color w:val="auto"/>
                <w:kern w:val="2"/>
                <w:sz w:val="24"/>
                <w:szCs w:val="24"/>
                <w:lang w:val="en-US" w:eastAsia="zh-CN" w:bidi="ar-SA"/>
              </w:rPr>
              <w:t>美容废水、宠物笼清洗污水、生活污水</w:t>
            </w:r>
            <w:r>
              <w:rPr>
                <w:rFonts w:hint="default" w:ascii="Times New Roman" w:hAnsi="Times New Roman" w:cs="Times New Roman" w:eastAsiaTheme="minorEastAsia"/>
                <w:color w:val="auto"/>
                <w:sz w:val="24"/>
                <w:lang w:val="en-US" w:eastAsia="zh-CN"/>
              </w:rPr>
              <w:t>汇集一起排入市政管网，最终排入阜西污水处理厂处理</w:t>
            </w:r>
            <w:r>
              <w:rPr>
                <w:rFonts w:hint="default" w:cs="Times New Roman" w:eastAsiaTheme="minorEastAsia"/>
                <w:bCs/>
                <w:color w:val="auto"/>
                <w:sz w:val="24"/>
                <w:szCs w:val="24"/>
                <w:lang w:val="en-US" w:eastAsia="zh-CN"/>
              </w:rPr>
              <w:t>。</w:t>
            </w:r>
            <w:r>
              <w:rPr>
                <w:rFonts w:hint="eastAsia" w:cs="Times New Roman" w:eastAsiaTheme="minorEastAsia"/>
                <w:bCs/>
                <w:color w:val="auto"/>
                <w:sz w:val="24"/>
                <w:szCs w:val="24"/>
                <w:lang w:val="en-US" w:eastAsia="zh-CN"/>
              </w:rPr>
              <w:t>本项目废水污染治理设施情况见下表4-5。</w:t>
            </w:r>
          </w:p>
          <w:p w14:paraId="4911C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eastAsiaTheme="minorEastAsia"/>
                <w:b/>
                <w:color w:val="auto"/>
                <w:sz w:val="21"/>
                <w:szCs w:val="21"/>
                <w:lang w:val="en-US" w:eastAsia="zh-CN"/>
              </w:rPr>
            </w:pPr>
          </w:p>
          <w:p w14:paraId="2DEA8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eastAsiaTheme="minorEastAsia"/>
                <w:b/>
                <w:color w:val="auto"/>
                <w:sz w:val="21"/>
                <w:szCs w:val="21"/>
                <w:lang w:val="en-US" w:eastAsia="zh-CN"/>
              </w:rPr>
            </w:pPr>
          </w:p>
          <w:p w14:paraId="79987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eastAsiaTheme="minorEastAsia"/>
                <w:b/>
                <w:color w:val="auto"/>
                <w:sz w:val="21"/>
                <w:szCs w:val="21"/>
                <w:lang w:val="en-US" w:eastAsia="zh-CN"/>
              </w:rPr>
            </w:pPr>
          </w:p>
          <w:p w14:paraId="67336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eastAsiaTheme="minorEastAsia"/>
                <w:b/>
                <w:color w:val="auto"/>
                <w:sz w:val="21"/>
                <w:szCs w:val="21"/>
                <w:lang w:val="en-US" w:eastAsia="zh-CN"/>
              </w:rPr>
            </w:pPr>
          </w:p>
          <w:p w14:paraId="57AE3C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eastAsiaTheme="minorEastAsia"/>
                <w:b/>
                <w:color w:val="auto"/>
                <w:sz w:val="21"/>
                <w:szCs w:val="21"/>
                <w:lang w:val="en-US" w:eastAsia="zh-CN"/>
              </w:rPr>
            </w:pPr>
            <w:r>
              <w:rPr>
                <w:rFonts w:hint="eastAsia" w:ascii="Times New Roman" w:hAnsi="Times New Roman" w:cs="Times New Roman" w:eastAsiaTheme="minorEastAsia"/>
                <w:b/>
                <w:color w:val="auto"/>
                <w:sz w:val="21"/>
                <w:szCs w:val="21"/>
                <w:lang w:val="en-US" w:eastAsia="zh-CN"/>
              </w:rPr>
              <w:t>表4-</w:t>
            </w:r>
            <w:r>
              <w:rPr>
                <w:rFonts w:hint="eastAsia" w:cs="Times New Roman" w:eastAsiaTheme="minorEastAsia"/>
                <w:b/>
                <w:color w:val="auto"/>
                <w:sz w:val="21"/>
                <w:szCs w:val="21"/>
                <w:lang w:val="en-US" w:eastAsia="zh-CN"/>
              </w:rPr>
              <w:t>5</w:t>
            </w:r>
            <w:r>
              <w:rPr>
                <w:rFonts w:hint="eastAsia" w:ascii="Times New Roman" w:hAnsi="Times New Roman" w:cs="Times New Roman" w:eastAsiaTheme="minorEastAsia"/>
                <w:b/>
                <w:color w:val="auto"/>
                <w:sz w:val="21"/>
                <w:szCs w:val="21"/>
                <w:lang w:val="en-US" w:eastAsia="zh-CN"/>
              </w:rPr>
              <w:t xml:space="preserve">   废水类别、污染物及污染治理设施信息表</w:t>
            </w:r>
          </w:p>
          <w:tbl>
            <w:tblPr>
              <w:tblStyle w:val="24"/>
              <w:tblW w:w="794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11"/>
              <w:gridCol w:w="534"/>
              <w:gridCol w:w="780"/>
              <w:gridCol w:w="519"/>
              <w:gridCol w:w="611"/>
              <w:gridCol w:w="611"/>
              <w:gridCol w:w="611"/>
              <w:gridCol w:w="611"/>
              <w:gridCol w:w="611"/>
              <w:gridCol w:w="612"/>
              <w:gridCol w:w="714"/>
              <w:gridCol w:w="510"/>
            </w:tblGrid>
            <w:tr w14:paraId="2336E0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1" w:type="dxa"/>
                  <w:vMerge w:val="restart"/>
                  <w:noWrap w:val="0"/>
                  <w:vAlign w:val="center"/>
                </w:tcPr>
                <w:p w14:paraId="205347FB">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编号</w:t>
                  </w:r>
                </w:p>
              </w:tc>
              <w:tc>
                <w:tcPr>
                  <w:tcW w:w="611" w:type="dxa"/>
                  <w:vMerge w:val="restart"/>
                  <w:noWrap w:val="0"/>
                  <w:vAlign w:val="center"/>
                </w:tcPr>
                <w:p w14:paraId="04A2E612">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名称</w:t>
                  </w:r>
                </w:p>
              </w:tc>
              <w:tc>
                <w:tcPr>
                  <w:tcW w:w="534" w:type="dxa"/>
                  <w:vMerge w:val="restart"/>
                  <w:noWrap w:val="0"/>
                  <w:vAlign w:val="center"/>
                </w:tcPr>
                <w:p w14:paraId="28ECEB89">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类别</w:t>
                  </w:r>
                </w:p>
              </w:tc>
              <w:tc>
                <w:tcPr>
                  <w:tcW w:w="780" w:type="dxa"/>
                  <w:vMerge w:val="restart"/>
                  <w:noWrap w:val="0"/>
                  <w:vAlign w:val="center"/>
                </w:tcPr>
                <w:p w14:paraId="7F656CA6">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污染物</w:t>
                  </w:r>
                </w:p>
              </w:tc>
              <w:tc>
                <w:tcPr>
                  <w:tcW w:w="1741" w:type="dxa"/>
                  <w:gridSpan w:val="3"/>
                  <w:noWrap w:val="0"/>
                  <w:vAlign w:val="center"/>
                </w:tcPr>
                <w:p w14:paraId="5C26FF4F">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污染防治措施</w:t>
                  </w:r>
                </w:p>
              </w:tc>
              <w:tc>
                <w:tcPr>
                  <w:tcW w:w="1222" w:type="dxa"/>
                  <w:gridSpan w:val="2"/>
                  <w:noWrap w:val="0"/>
                  <w:vAlign w:val="center"/>
                </w:tcPr>
                <w:p w14:paraId="6B7C447B">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排放口</w:t>
                  </w:r>
                </w:p>
              </w:tc>
              <w:tc>
                <w:tcPr>
                  <w:tcW w:w="611" w:type="dxa"/>
                  <w:vMerge w:val="restart"/>
                  <w:tcBorders>
                    <w:bottom w:val="single" w:color="auto" w:sz="12" w:space="0"/>
                  </w:tcBorders>
                  <w:noWrap w:val="0"/>
                  <w:vAlign w:val="center"/>
                </w:tcPr>
                <w:p w14:paraId="2FFAC533">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排放去向</w:t>
                  </w:r>
                </w:p>
              </w:tc>
              <w:tc>
                <w:tcPr>
                  <w:tcW w:w="612" w:type="dxa"/>
                  <w:vMerge w:val="restart"/>
                  <w:tcBorders>
                    <w:bottom w:val="single" w:color="auto" w:sz="12" w:space="0"/>
                  </w:tcBorders>
                  <w:noWrap w:val="0"/>
                  <w:vAlign w:val="center"/>
                </w:tcPr>
                <w:p w14:paraId="20335372">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排放方式</w:t>
                  </w:r>
                </w:p>
              </w:tc>
              <w:tc>
                <w:tcPr>
                  <w:tcW w:w="714" w:type="dxa"/>
                  <w:vMerge w:val="restart"/>
                  <w:tcBorders>
                    <w:bottom w:val="single" w:color="auto" w:sz="12" w:space="0"/>
                  </w:tcBorders>
                  <w:noWrap w:val="0"/>
                  <w:vAlign w:val="center"/>
                </w:tcPr>
                <w:p w14:paraId="7F742FB5">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排放规律</w:t>
                  </w:r>
                </w:p>
              </w:tc>
              <w:tc>
                <w:tcPr>
                  <w:tcW w:w="510" w:type="dxa"/>
                  <w:vMerge w:val="restart"/>
                  <w:tcBorders>
                    <w:bottom w:val="single" w:color="auto" w:sz="12" w:space="0"/>
                  </w:tcBorders>
                  <w:noWrap w:val="0"/>
                  <w:vAlign w:val="center"/>
                </w:tcPr>
                <w:p w14:paraId="25D2A81E">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排放口类型</w:t>
                  </w:r>
                </w:p>
              </w:tc>
            </w:tr>
            <w:tr w14:paraId="19A39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1" w:type="dxa"/>
                  <w:vMerge w:val="continue"/>
                  <w:tcBorders>
                    <w:bottom w:val="single" w:color="auto" w:sz="12" w:space="0"/>
                  </w:tcBorders>
                  <w:noWrap w:val="0"/>
                  <w:vAlign w:val="center"/>
                </w:tcPr>
                <w:p w14:paraId="01E6D7F4">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p>
              </w:tc>
              <w:tc>
                <w:tcPr>
                  <w:tcW w:w="611" w:type="dxa"/>
                  <w:vMerge w:val="continue"/>
                  <w:tcBorders>
                    <w:bottom w:val="single" w:color="auto" w:sz="12" w:space="0"/>
                  </w:tcBorders>
                  <w:noWrap w:val="0"/>
                  <w:vAlign w:val="center"/>
                </w:tcPr>
                <w:p w14:paraId="6CF452A6">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p>
              </w:tc>
              <w:tc>
                <w:tcPr>
                  <w:tcW w:w="534" w:type="dxa"/>
                  <w:vMerge w:val="continue"/>
                  <w:tcBorders>
                    <w:bottom w:val="single" w:color="auto" w:sz="12" w:space="0"/>
                  </w:tcBorders>
                  <w:noWrap w:val="0"/>
                  <w:vAlign w:val="center"/>
                </w:tcPr>
                <w:p w14:paraId="10D01799">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p>
              </w:tc>
              <w:tc>
                <w:tcPr>
                  <w:tcW w:w="780" w:type="dxa"/>
                  <w:vMerge w:val="continue"/>
                  <w:tcBorders>
                    <w:bottom w:val="single" w:color="auto" w:sz="12" w:space="0"/>
                  </w:tcBorders>
                  <w:noWrap w:val="0"/>
                  <w:vAlign w:val="center"/>
                </w:tcPr>
                <w:p w14:paraId="349467F7">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p>
              </w:tc>
              <w:tc>
                <w:tcPr>
                  <w:tcW w:w="519" w:type="dxa"/>
                  <w:tcBorders>
                    <w:bottom w:val="single" w:color="auto" w:sz="12" w:space="0"/>
                  </w:tcBorders>
                  <w:noWrap w:val="0"/>
                  <w:vAlign w:val="center"/>
                </w:tcPr>
                <w:p w14:paraId="62642BAC">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工艺</w:t>
                  </w:r>
                </w:p>
              </w:tc>
              <w:tc>
                <w:tcPr>
                  <w:tcW w:w="611" w:type="dxa"/>
                  <w:tcBorders>
                    <w:bottom w:val="single" w:color="auto" w:sz="12" w:space="0"/>
                  </w:tcBorders>
                  <w:noWrap w:val="0"/>
                  <w:vAlign w:val="center"/>
                </w:tcPr>
                <w:p w14:paraId="20609109">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是否为可行技术</w:t>
                  </w:r>
                </w:p>
              </w:tc>
              <w:tc>
                <w:tcPr>
                  <w:tcW w:w="611" w:type="dxa"/>
                  <w:tcBorders>
                    <w:bottom w:val="single" w:color="auto" w:sz="12" w:space="0"/>
                  </w:tcBorders>
                  <w:noWrap w:val="0"/>
                  <w:vAlign w:val="center"/>
                </w:tcPr>
                <w:p w14:paraId="21E6C766">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处理能力</w:t>
                  </w:r>
                </w:p>
              </w:tc>
              <w:tc>
                <w:tcPr>
                  <w:tcW w:w="611" w:type="dxa"/>
                  <w:tcBorders>
                    <w:bottom w:val="single" w:color="auto" w:sz="12" w:space="0"/>
                  </w:tcBorders>
                  <w:noWrap w:val="0"/>
                  <w:vAlign w:val="center"/>
                </w:tcPr>
                <w:p w14:paraId="61BD3C2D">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经度</w:t>
                  </w:r>
                </w:p>
              </w:tc>
              <w:tc>
                <w:tcPr>
                  <w:tcW w:w="611" w:type="dxa"/>
                  <w:tcBorders>
                    <w:bottom w:val="single" w:color="auto" w:sz="12" w:space="0"/>
                  </w:tcBorders>
                  <w:noWrap w:val="0"/>
                  <w:vAlign w:val="center"/>
                </w:tcPr>
                <w:p w14:paraId="6044F622">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ascii="Times New Roman" w:hAnsi="Times New Roman" w:eastAsia="宋体" w:cs="Times New Roman"/>
                      <w:b/>
                      <w:bCs/>
                      <w:color w:val="auto"/>
                      <w:sz w:val="18"/>
                      <w:szCs w:val="18"/>
                      <w:vertAlign w:val="baseline"/>
                      <w:lang w:val="en-US" w:eastAsia="zh-CN"/>
                    </w:rPr>
                    <w:t>纬度</w:t>
                  </w:r>
                </w:p>
              </w:tc>
              <w:tc>
                <w:tcPr>
                  <w:tcW w:w="611" w:type="dxa"/>
                  <w:vMerge w:val="continue"/>
                  <w:tcBorders>
                    <w:top w:val="single" w:color="auto" w:sz="12" w:space="0"/>
                    <w:bottom w:val="single" w:color="auto" w:sz="12" w:space="0"/>
                    <w:tl2br w:val="nil"/>
                    <w:tr2bl w:val="nil"/>
                  </w:tcBorders>
                  <w:noWrap w:val="0"/>
                  <w:vAlign w:val="center"/>
                </w:tcPr>
                <w:p w14:paraId="3C6E0C79">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p>
              </w:tc>
              <w:tc>
                <w:tcPr>
                  <w:tcW w:w="612" w:type="dxa"/>
                  <w:vMerge w:val="continue"/>
                  <w:tcBorders>
                    <w:top w:val="single" w:color="auto" w:sz="12" w:space="0"/>
                    <w:bottom w:val="single" w:color="auto" w:sz="12" w:space="0"/>
                    <w:tl2br w:val="nil"/>
                    <w:tr2bl w:val="nil"/>
                  </w:tcBorders>
                  <w:noWrap w:val="0"/>
                  <w:vAlign w:val="center"/>
                </w:tcPr>
                <w:p w14:paraId="09844F5E">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p>
              </w:tc>
              <w:tc>
                <w:tcPr>
                  <w:tcW w:w="714" w:type="dxa"/>
                  <w:vMerge w:val="continue"/>
                  <w:tcBorders>
                    <w:top w:val="single" w:color="auto" w:sz="12" w:space="0"/>
                    <w:bottom w:val="single" w:color="auto" w:sz="12" w:space="0"/>
                    <w:tl2br w:val="nil"/>
                    <w:tr2bl w:val="nil"/>
                  </w:tcBorders>
                  <w:noWrap w:val="0"/>
                  <w:vAlign w:val="center"/>
                </w:tcPr>
                <w:p w14:paraId="6DADFD3E">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p>
              </w:tc>
              <w:tc>
                <w:tcPr>
                  <w:tcW w:w="510" w:type="dxa"/>
                  <w:vMerge w:val="continue"/>
                  <w:tcBorders>
                    <w:top w:val="single" w:color="auto" w:sz="12" w:space="0"/>
                    <w:bottom w:val="single" w:color="auto" w:sz="12" w:space="0"/>
                    <w:tl2br w:val="nil"/>
                    <w:tr2bl w:val="nil"/>
                  </w:tcBorders>
                  <w:noWrap w:val="0"/>
                  <w:vAlign w:val="center"/>
                </w:tcPr>
                <w:p w14:paraId="393E823A">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p>
              </w:tc>
            </w:tr>
            <w:tr w14:paraId="035ADE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1" w:type="dxa"/>
                  <w:vMerge w:val="restart"/>
                  <w:tcBorders>
                    <w:top w:val="single" w:color="auto" w:sz="12" w:space="0"/>
                    <w:tl2br w:val="nil"/>
                    <w:tr2bl w:val="nil"/>
                  </w:tcBorders>
                  <w:noWrap w:val="0"/>
                  <w:vAlign w:val="center"/>
                </w:tcPr>
                <w:p w14:paraId="5C2AE6C5">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DW001</w:t>
                  </w:r>
                </w:p>
              </w:tc>
              <w:tc>
                <w:tcPr>
                  <w:tcW w:w="611" w:type="dxa"/>
                  <w:vMerge w:val="restart"/>
                  <w:tcBorders>
                    <w:top w:val="single" w:color="auto" w:sz="12" w:space="0"/>
                    <w:tl2br w:val="nil"/>
                    <w:tr2bl w:val="nil"/>
                  </w:tcBorders>
                  <w:noWrap w:val="0"/>
                  <w:vAlign w:val="center"/>
                </w:tcPr>
                <w:p w14:paraId="2FDE72DB">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总排放口</w:t>
                  </w:r>
                </w:p>
              </w:tc>
              <w:tc>
                <w:tcPr>
                  <w:tcW w:w="534" w:type="dxa"/>
                  <w:tcBorders>
                    <w:top w:val="single" w:color="auto" w:sz="12" w:space="0"/>
                    <w:tl2br w:val="nil"/>
                    <w:tr2bl w:val="nil"/>
                  </w:tcBorders>
                  <w:noWrap w:val="0"/>
                  <w:vAlign w:val="center"/>
                </w:tcPr>
                <w:p w14:paraId="538A98F5">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生活污水</w:t>
                  </w:r>
                </w:p>
              </w:tc>
              <w:tc>
                <w:tcPr>
                  <w:tcW w:w="780" w:type="dxa"/>
                  <w:tcBorders>
                    <w:top w:val="single" w:color="auto" w:sz="12" w:space="0"/>
                    <w:tl2br w:val="nil"/>
                    <w:tr2bl w:val="nil"/>
                  </w:tcBorders>
                  <w:noWrap w:val="0"/>
                  <w:vAlign w:val="center"/>
                </w:tcPr>
                <w:p w14:paraId="2895E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cs="Times New Roman" w:eastAsiaTheme="minorEastAsia"/>
                      <w:color w:val="auto"/>
                      <w:sz w:val="18"/>
                      <w:szCs w:val="18"/>
                      <w:lang w:val="en-US" w:eastAsia="zh-CN"/>
                    </w:rPr>
                    <w:t>COD</w:t>
                  </w:r>
                  <w:r>
                    <w:rPr>
                      <w:rFonts w:hint="eastAsia" w:cs="Times New Roman" w:eastAsiaTheme="minorEastAsia"/>
                      <w:color w:val="auto"/>
                      <w:sz w:val="18"/>
                      <w:szCs w:val="18"/>
                      <w:lang w:val="en-US" w:eastAsia="zh-CN"/>
                    </w:rPr>
                    <w:t>cr</w:t>
                  </w:r>
                  <w:r>
                    <w:rPr>
                      <w:rFonts w:hint="default" w:ascii="Times New Roman" w:hAnsi="Times New Roman" w:cs="Times New Roman" w:eastAsiaTheme="minorEastAsia"/>
                      <w:color w:val="auto"/>
                      <w:sz w:val="18"/>
                      <w:szCs w:val="18"/>
                      <w:lang w:val="en-US" w:eastAsia="zh-CN"/>
                    </w:rPr>
                    <w:t>、</w:t>
                  </w:r>
                  <w:r>
                    <w:rPr>
                      <w:rFonts w:hint="default" w:ascii="Times New Roman" w:hAnsi="Times New Roman" w:cs="Times New Roman" w:eastAsiaTheme="minorEastAsia"/>
                      <w:b w:val="0"/>
                      <w:bCs/>
                      <w:color w:val="auto"/>
                      <w:sz w:val="18"/>
                      <w:szCs w:val="18"/>
                      <w:lang w:val="en-US" w:eastAsia="zh-CN"/>
                    </w:rPr>
                    <w:t>NH</w:t>
                  </w:r>
                  <w:r>
                    <w:rPr>
                      <w:rFonts w:hint="default" w:ascii="Times New Roman" w:hAnsi="Times New Roman" w:cs="Times New Roman" w:eastAsiaTheme="minorEastAsia"/>
                      <w:b w:val="0"/>
                      <w:bCs/>
                      <w:color w:val="auto"/>
                      <w:sz w:val="18"/>
                      <w:szCs w:val="18"/>
                      <w:vertAlign w:val="subscript"/>
                      <w:lang w:val="en-US" w:eastAsia="zh-CN"/>
                    </w:rPr>
                    <w:t>3</w:t>
                  </w:r>
                  <w:r>
                    <w:rPr>
                      <w:rFonts w:hint="default" w:ascii="Times New Roman" w:hAnsi="Times New Roman" w:cs="Times New Roman" w:eastAsiaTheme="minorEastAsia"/>
                      <w:b w:val="0"/>
                      <w:bCs/>
                      <w:color w:val="auto"/>
                      <w:sz w:val="18"/>
                      <w:szCs w:val="18"/>
                      <w:lang w:val="en-US" w:eastAsia="zh-CN"/>
                    </w:rPr>
                    <w:t>-N</w:t>
                  </w:r>
                  <w:r>
                    <w:rPr>
                      <w:rFonts w:hint="eastAsia" w:cs="Times New Roman" w:eastAsiaTheme="minorEastAsia"/>
                      <w:color w:val="auto"/>
                      <w:sz w:val="18"/>
                      <w:szCs w:val="18"/>
                      <w:lang w:val="en-US" w:eastAsia="zh-CN"/>
                    </w:rPr>
                    <w:t>、T-P、T-N</w:t>
                  </w:r>
                </w:p>
              </w:tc>
              <w:tc>
                <w:tcPr>
                  <w:tcW w:w="519" w:type="dxa"/>
                  <w:tcBorders>
                    <w:top w:val="single" w:color="auto" w:sz="12" w:space="0"/>
                    <w:tl2br w:val="nil"/>
                    <w:tr2bl w:val="nil"/>
                  </w:tcBorders>
                  <w:noWrap w:val="0"/>
                  <w:vAlign w:val="center"/>
                </w:tcPr>
                <w:p w14:paraId="23D0C7A0">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w:t>
                  </w:r>
                </w:p>
              </w:tc>
              <w:tc>
                <w:tcPr>
                  <w:tcW w:w="611" w:type="dxa"/>
                  <w:tcBorders>
                    <w:top w:val="single" w:color="auto" w:sz="12" w:space="0"/>
                    <w:tl2br w:val="nil"/>
                    <w:tr2bl w:val="nil"/>
                  </w:tcBorders>
                  <w:noWrap w:val="0"/>
                  <w:vAlign w:val="center"/>
                </w:tcPr>
                <w:p w14:paraId="30CB1CCF">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w:t>
                  </w:r>
                </w:p>
              </w:tc>
              <w:tc>
                <w:tcPr>
                  <w:tcW w:w="611" w:type="dxa"/>
                  <w:tcBorders>
                    <w:top w:val="single" w:color="auto" w:sz="12" w:space="0"/>
                    <w:tl2br w:val="nil"/>
                    <w:tr2bl w:val="nil"/>
                  </w:tcBorders>
                  <w:noWrap w:val="0"/>
                  <w:vAlign w:val="center"/>
                </w:tcPr>
                <w:p w14:paraId="209E85E3">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w:t>
                  </w:r>
                </w:p>
              </w:tc>
              <w:tc>
                <w:tcPr>
                  <w:tcW w:w="611" w:type="dxa"/>
                  <w:vMerge w:val="restart"/>
                  <w:tcBorders>
                    <w:top w:val="single" w:color="auto" w:sz="12" w:space="0"/>
                    <w:tl2br w:val="nil"/>
                    <w:tr2bl w:val="nil"/>
                  </w:tcBorders>
                  <w:noWrap w:val="0"/>
                  <w:vAlign w:val="center"/>
                </w:tcPr>
                <w:p w14:paraId="3B91E268">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87.</w:t>
                  </w:r>
                  <w:r>
                    <w:rPr>
                      <w:rFonts w:hint="eastAsia" w:cs="Times New Roman"/>
                      <w:color w:val="auto"/>
                      <w:sz w:val="18"/>
                      <w:szCs w:val="18"/>
                      <w:vertAlign w:val="baseline"/>
                      <w:lang w:val="en-US" w:eastAsia="zh-CN"/>
                    </w:rPr>
                    <w:t>97798</w:t>
                  </w:r>
                </w:p>
              </w:tc>
              <w:tc>
                <w:tcPr>
                  <w:tcW w:w="611" w:type="dxa"/>
                  <w:vMerge w:val="restart"/>
                  <w:tcBorders>
                    <w:top w:val="single" w:color="auto" w:sz="12" w:space="0"/>
                    <w:tl2br w:val="nil"/>
                    <w:tr2bl w:val="nil"/>
                  </w:tcBorders>
                  <w:noWrap w:val="0"/>
                  <w:vAlign w:val="center"/>
                </w:tcPr>
                <w:p w14:paraId="5E7F5A57">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44.15033</w:t>
                  </w:r>
                </w:p>
              </w:tc>
              <w:tc>
                <w:tcPr>
                  <w:tcW w:w="611" w:type="dxa"/>
                  <w:vMerge w:val="restart"/>
                  <w:tcBorders>
                    <w:top w:val="single" w:color="auto" w:sz="12" w:space="0"/>
                  </w:tcBorders>
                  <w:noWrap w:val="0"/>
                  <w:vAlign w:val="center"/>
                </w:tcPr>
                <w:p w14:paraId="09B449DF">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阜西污水处理厂</w:t>
                  </w:r>
                </w:p>
              </w:tc>
              <w:tc>
                <w:tcPr>
                  <w:tcW w:w="612" w:type="dxa"/>
                  <w:vMerge w:val="restart"/>
                  <w:tcBorders>
                    <w:top w:val="single" w:color="auto" w:sz="12" w:space="0"/>
                  </w:tcBorders>
                  <w:noWrap w:val="0"/>
                  <w:vAlign w:val="center"/>
                </w:tcPr>
                <w:p w14:paraId="251055C0">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间接排放</w:t>
                  </w:r>
                </w:p>
              </w:tc>
              <w:tc>
                <w:tcPr>
                  <w:tcW w:w="714" w:type="dxa"/>
                  <w:vMerge w:val="restart"/>
                  <w:tcBorders>
                    <w:top w:val="single" w:color="auto" w:sz="12" w:space="0"/>
                  </w:tcBorders>
                  <w:noWrap w:val="0"/>
                  <w:vAlign w:val="center"/>
                </w:tcPr>
                <w:p w14:paraId="31295050">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连续排放，流量不稳定且无规律，但不属于冲击型排放</w:t>
                  </w:r>
                </w:p>
              </w:tc>
              <w:tc>
                <w:tcPr>
                  <w:tcW w:w="510" w:type="dxa"/>
                  <w:vMerge w:val="restart"/>
                  <w:tcBorders>
                    <w:top w:val="single" w:color="auto" w:sz="12" w:space="0"/>
                  </w:tcBorders>
                  <w:noWrap w:val="0"/>
                  <w:vAlign w:val="center"/>
                </w:tcPr>
                <w:p w14:paraId="2BFEE09E">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企业总排</w:t>
                  </w:r>
                  <w:r>
                    <w:rPr>
                      <w:rFonts w:hint="eastAsia" w:ascii="Times New Roman" w:hAnsi="Times New Roman" w:eastAsia="宋体" w:cs="Times New Roman"/>
                      <w:color w:val="auto"/>
                      <w:kern w:val="0"/>
                      <w:sz w:val="18"/>
                      <w:szCs w:val="18"/>
                      <w:lang w:val="en-US" w:eastAsia="zh-CN" w:bidi="ar"/>
                    </w:rPr>
                    <w:t>口</w:t>
                  </w:r>
                </w:p>
                <w:p w14:paraId="0EB95CD0">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w:t>
                  </w:r>
                </w:p>
                <w:p w14:paraId="782E90DE">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一般排放口</w:t>
                  </w:r>
                </w:p>
              </w:tc>
            </w:tr>
            <w:tr w14:paraId="5AFB3D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1" w:type="dxa"/>
                  <w:vMerge w:val="continue"/>
                  <w:tcBorders>
                    <w:tl2br w:val="nil"/>
                    <w:tr2bl w:val="nil"/>
                  </w:tcBorders>
                  <w:noWrap w:val="0"/>
                  <w:vAlign w:val="center"/>
                </w:tcPr>
                <w:p w14:paraId="64E69298">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1" w:type="dxa"/>
                  <w:vMerge w:val="continue"/>
                  <w:tcBorders>
                    <w:tl2br w:val="nil"/>
                    <w:tr2bl w:val="nil"/>
                  </w:tcBorders>
                  <w:noWrap w:val="0"/>
                  <w:vAlign w:val="center"/>
                </w:tcPr>
                <w:p w14:paraId="305BFEC1">
                  <w:pPr>
                    <w:pStyle w:val="9"/>
                    <w:keepNext w:val="0"/>
                    <w:keepLines w:val="0"/>
                    <w:suppressLineNumbers w:val="0"/>
                    <w:spacing w:before="0" w:beforeAutospacing="0" w:afterAutospacing="0" w:line="240" w:lineRule="auto"/>
                    <w:ind w:left="0" w:right="0"/>
                    <w:jc w:val="center"/>
                    <w:rPr>
                      <w:rFonts w:hint="eastAsia" w:ascii="Times New Roman" w:hAnsi="Times New Roman" w:eastAsia="宋体" w:cs="Times New Roman"/>
                      <w:color w:val="auto"/>
                      <w:sz w:val="18"/>
                      <w:szCs w:val="18"/>
                      <w:vertAlign w:val="baseline"/>
                      <w:lang w:val="en-US" w:eastAsia="zh-CN"/>
                    </w:rPr>
                  </w:pPr>
                </w:p>
              </w:tc>
              <w:tc>
                <w:tcPr>
                  <w:tcW w:w="534" w:type="dxa"/>
                  <w:tcBorders>
                    <w:tl2br w:val="nil"/>
                    <w:tr2bl w:val="nil"/>
                  </w:tcBorders>
                  <w:noWrap w:val="0"/>
                  <w:vAlign w:val="center"/>
                </w:tcPr>
                <w:p w14:paraId="5A853B01">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美容废水</w:t>
                  </w:r>
                </w:p>
              </w:tc>
              <w:tc>
                <w:tcPr>
                  <w:tcW w:w="780" w:type="dxa"/>
                  <w:tcBorders>
                    <w:tl2br w:val="nil"/>
                    <w:tr2bl w:val="nil"/>
                  </w:tcBorders>
                  <w:noWrap w:val="0"/>
                  <w:vAlign w:val="center"/>
                </w:tcPr>
                <w:p w14:paraId="6AFA236E">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SS、COD</w:t>
                  </w:r>
                  <w:r>
                    <w:rPr>
                      <w:rFonts w:hint="eastAsia" w:cs="Times New Roman" w:eastAsiaTheme="minorEastAsia"/>
                      <w:color w:val="auto"/>
                      <w:sz w:val="18"/>
                      <w:szCs w:val="18"/>
                      <w:lang w:val="en-US" w:eastAsia="zh-CN"/>
                    </w:rPr>
                    <w:t>cr</w:t>
                  </w:r>
                  <w:r>
                    <w:rPr>
                      <w:rFonts w:hint="default" w:ascii="Times New Roman" w:hAnsi="Times New Roman" w:cs="Times New Roman" w:eastAsiaTheme="minorEastAsia"/>
                      <w:color w:val="auto"/>
                      <w:sz w:val="18"/>
                      <w:szCs w:val="18"/>
                      <w:lang w:val="en-US" w:eastAsia="zh-CN"/>
                    </w:rPr>
                    <w:t>、BOD</w:t>
                  </w:r>
                  <w:r>
                    <w:rPr>
                      <w:rFonts w:hint="default" w:ascii="Times New Roman" w:hAnsi="Times New Roman" w:cs="Times New Roman" w:eastAsiaTheme="minorEastAsia"/>
                      <w:color w:val="auto"/>
                      <w:sz w:val="18"/>
                      <w:szCs w:val="18"/>
                      <w:vertAlign w:val="subscript"/>
                      <w:lang w:val="en-US" w:eastAsia="zh-CN"/>
                    </w:rPr>
                    <w:t>5</w:t>
                  </w:r>
                  <w:r>
                    <w:rPr>
                      <w:rFonts w:hint="default" w:ascii="Times New Roman" w:hAnsi="Times New Roman" w:cs="Times New Roman" w:eastAsiaTheme="minorEastAsia"/>
                      <w:color w:val="auto"/>
                      <w:sz w:val="18"/>
                      <w:szCs w:val="18"/>
                      <w:lang w:val="en-US" w:eastAsia="zh-CN"/>
                    </w:rPr>
                    <w:t>、</w:t>
                  </w:r>
                  <w:r>
                    <w:rPr>
                      <w:rFonts w:hint="default" w:ascii="Times New Roman" w:hAnsi="Times New Roman" w:cs="Times New Roman" w:eastAsiaTheme="minorEastAsia"/>
                      <w:b w:val="0"/>
                      <w:bCs/>
                      <w:color w:val="auto"/>
                      <w:sz w:val="18"/>
                      <w:szCs w:val="18"/>
                      <w:lang w:val="en-US" w:eastAsia="zh-CN"/>
                    </w:rPr>
                    <w:t>NH</w:t>
                  </w:r>
                  <w:r>
                    <w:rPr>
                      <w:rFonts w:hint="default" w:ascii="Times New Roman" w:hAnsi="Times New Roman" w:cs="Times New Roman" w:eastAsiaTheme="minorEastAsia"/>
                      <w:b w:val="0"/>
                      <w:bCs/>
                      <w:color w:val="auto"/>
                      <w:sz w:val="18"/>
                      <w:szCs w:val="18"/>
                      <w:vertAlign w:val="subscript"/>
                      <w:lang w:val="en-US" w:eastAsia="zh-CN"/>
                    </w:rPr>
                    <w:t>3</w:t>
                  </w:r>
                  <w:r>
                    <w:rPr>
                      <w:rFonts w:hint="default" w:ascii="Times New Roman" w:hAnsi="Times New Roman" w:cs="Times New Roman" w:eastAsiaTheme="minorEastAsia"/>
                      <w:b w:val="0"/>
                      <w:bCs/>
                      <w:color w:val="auto"/>
                      <w:sz w:val="18"/>
                      <w:szCs w:val="18"/>
                      <w:lang w:val="en-US" w:eastAsia="zh-CN"/>
                    </w:rPr>
                    <w:t>-N</w:t>
                  </w:r>
                </w:p>
              </w:tc>
              <w:tc>
                <w:tcPr>
                  <w:tcW w:w="519" w:type="dxa"/>
                  <w:tcBorders>
                    <w:tl2br w:val="nil"/>
                    <w:tr2bl w:val="nil"/>
                  </w:tcBorders>
                  <w:noWrap w:val="0"/>
                  <w:vAlign w:val="center"/>
                </w:tcPr>
                <w:p w14:paraId="084A0324">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w:t>
                  </w:r>
                </w:p>
              </w:tc>
              <w:tc>
                <w:tcPr>
                  <w:tcW w:w="611" w:type="dxa"/>
                  <w:tcBorders>
                    <w:tl2br w:val="nil"/>
                    <w:tr2bl w:val="nil"/>
                  </w:tcBorders>
                  <w:noWrap w:val="0"/>
                  <w:vAlign w:val="center"/>
                </w:tcPr>
                <w:p w14:paraId="52BEE84A">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w:t>
                  </w:r>
                </w:p>
              </w:tc>
              <w:tc>
                <w:tcPr>
                  <w:tcW w:w="611" w:type="dxa"/>
                  <w:tcBorders>
                    <w:tl2br w:val="nil"/>
                    <w:tr2bl w:val="nil"/>
                  </w:tcBorders>
                  <w:noWrap w:val="0"/>
                  <w:vAlign w:val="center"/>
                </w:tcPr>
                <w:p w14:paraId="01177EE2">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w:t>
                  </w:r>
                </w:p>
              </w:tc>
              <w:tc>
                <w:tcPr>
                  <w:tcW w:w="611" w:type="dxa"/>
                  <w:vMerge w:val="continue"/>
                  <w:tcBorders>
                    <w:tl2br w:val="nil"/>
                    <w:tr2bl w:val="nil"/>
                  </w:tcBorders>
                  <w:noWrap w:val="0"/>
                  <w:vAlign w:val="center"/>
                </w:tcPr>
                <w:p w14:paraId="39117C02">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1" w:type="dxa"/>
                  <w:vMerge w:val="continue"/>
                  <w:tcBorders>
                    <w:tl2br w:val="nil"/>
                    <w:tr2bl w:val="nil"/>
                  </w:tcBorders>
                  <w:noWrap w:val="0"/>
                  <w:vAlign w:val="center"/>
                </w:tcPr>
                <w:p w14:paraId="3BD938A3">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1" w:type="dxa"/>
                  <w:vMerge w:val="continue"/>
                  <w:tcBorders>
                    <w:tl2br w:val="nil"/>
                    <w:tr2bl w:val="nil"/>
                  </w:tcBorders>
                  <w:noWrap w:val="0"/>
                  <w:vAlign w:val="center"/>
                </w:tcPr>
                <w:p w14:paraId="7E37E74E">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2" w:type="dxa"/>
                  <w:vMerge w:val="continue"/>
                  <w:tcBorders>
                    <w:tl2br w:val="nil"/>
                    <w:tr2bl w:val="nil"/>
                  </w:tcBorders>
                  <w:noWrap w:val="0"/>
                  <w:vAlign w:val="center"/>
                </w:tcPr>
                <w:p w14:paraId="1EB3396A">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714" w:type="dxa"/>
                  <w:vMerge w:val="continue"/>
                  <w:tcBorders>
                    <w:tl2br w:val="nil"/>
                    <w:tr2bl w:val="nil"/>
                  </w:tcBorders>
                  <w:noWrap w:val="0"/>
                  <w:vAlign w:val="center"/>
                </w:tcPr>
                <w:p w14:paraId="0250CDF3">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510" w:type="dxa"/>
                  <w:vMerge w:val="continue"/>
                  <w:tcBorders>
                    <w:tl2br w:val="nil"/>
                    <w:tr2bl w:val="nil"/>
                  </w:tcBorders>
                  <w:noWrap w:val="0"/>
                  <w:vAlign w:val="center"/>
                </w:tcPr>
                <w:p w14:paraId="2A1260FE">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kern w:val="0"/>
                      <w:sz w:val="18"/>
                      <w:szCs w:val="18"/>
                      <w:lang w:val="en-US" w:eastAsia="zh-CN" w:bidi="ar"/>
                    </w:rPr>
                  </w:pPr>
                </w:p>
              </w:tc>
            </w:tr>
            <w:tr w14:paraId="1C4F34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1" w:type="dxa"/>
                  <w:vMerge w:val="continue"/>
                  <w:tcBorders>
                    <w:tl2br w:val="nil"/>
                    <w:tr2bl w:val="nil"/>
                  </w:tcBorders>
                  <w:noWrap w:val="0"/>
                  <w:vAlign w:val="center"/>
                </w:tcPr>
                <w:p w14:paraId="5F703B8B">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1" w:type="dxa"/>
                  <w:vMerge w:val="continue"/>
                  <w:tcBorders>
                    <w:tl2br w:val="nil"/>
                    <w:tr2bl w:val="nil"/>
                  </w:tcBorders>
                  <w:noWrap w:val="0"/>
                  <w:vAlign w:val="center"/>
                </w:tcPr>
                <w:p w14:paraId="3E0E0E03">
                  <w:pPr>
                    <w:pStyle w:val="9"/>
                    <w:keepNext w:val="0"/>
                    <w:keepLines w:val="0"/>
                    <w:suppressLineNumbers w:val="0"/>
                    <w:spacing w:before="0" w:beforeAutospacing="0" w:afterAutospacing="0" w:line="240" w:lineRule="auto"/>
                    <w:ind w:left="0" w:right="0"/>
                    <w:jc w:val="center"/>
                    <w:rPr>
                      <w:rFonts w:hint="eastAsia" w:ascii="Times New Roman" w:hAnsi="Times New Roman" w:eastAsia="宋体" w:cs="Times New Roman"/>
                      <w:color w:val="auto"/>
                      <w:sz w:val="18"/>
                      <w:szCs w:val="18"/>
                      <w:vertAlign w:val="baseline"/>
                      <w:lang w:val="en-US" w:eastAsia="zh-CN"/>
                    </w:rPr>
                  </w:pPr>
                </w:p>
              </w:tc>
              <w:tc>
                <w:tcPr>
                  <w:tcW w:w="534" w:type="dxa"/>
                  <w:tcBorders>
                    <w:tl2br w:val="nil"/>
                    <w:tr2bl w:val="nil"/>
                  </w:tcBorders>
                  <w:noWrap w:val="0"/>
                  <w:vAlign w:val="center"/>
                </w:tcPr>
                <w:p w14:paraId="48CD315F">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eastAsia" w:ascii="Times New Roman" w:hAnsi="Times New Roman" w:eastAsia="宋体" w:cs="Times New Roman"/>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宠物笼清洗污水</w:t>
                  </w:r>
                </w:p>
              </w:tc>
              <w:tc>
                <w:tcPr>
                  <w:tcW w:w="780" w:type="dxa"/>
                  <w:tcBorders>
                    <w:tl2br w:val="nil"/>
                    <w:tr2bl w:val="nil"/>
                  </w:tcBorders>
                  <w:noWrap w:val="0"/>
                  <w:vAlign w:val="center"/>
                </w:tcPr>
                <w:p w14:paraId="32CED854">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eastAsia" w:ascii="Times New Roman" w:hAnsi="Times New Roman" w:eastAsia="宋体" w:cs="Times New Roman"/>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COD</w:t>
                  </w:r>
                  <w:r>
                    <w:rPr>
                      <w:rFonts w:hint="eastAsia" w:cs="Times New Roman" w:eastAsiaTheme="minorEastAsia"/>
                      <w:color w:val="auto"/>
                      <w:sz w:val="18"/>
                      <w:szCs w:val="18"/>
                      <w:lang w:val="en-US" w:eastAsia="zh-CN"/>
                    </w:rPr>
                    <w:t>cr</w:t>
                  </w:r>
                  <w:r>
                    <w:rPr>
                      <w:rFonts w:hint="default" w:ascii="Times New Roman" w:hAnsi="Times New Roman" w:cs="Times New Roman" w:eastAsiaTheme="minorEastAsia"/>
                      <w:color w:val="auto"/>
                      <w:sz w:val="18"/>
                      <w:szCs w:val="18"/>
                      <w:lang w:val="en-US" w:eastAsia="zh-CN"/>
                    </w:rPr>
                    <w:t>、</w:t>
                  </w:r>
                  <w:r>
                    <w:rPr>
                      <w:rFonts w:hint="default" w:ascii="Times New Roman" w:hAnsi="Times New Roman" w:cs="Times New Roman" w:eastAsiaTheme="minorEastAsia"/>
                      <w:b w:val="0"/>
                      <w:bCs/>
                      <w:color w:val="auto"/>
                      <w:sz w:val="18"/>
                      <w:szCs w:val="18"/>
                      <w:lang w:val="en-US" w:eastAsia="zh-CN"/>
                    </w:rPr>
                    <w:t>NH</w:t>
                  </w:r>
                  <w:r>
                    <w:rPr>
                      <w:rFonts w:hint="default" w:ascii="Times New Roman" w:hAnsi="Times New Roman" w:cs="Times New Roman" w:eastAsiaTheme="minorEastAsia"/>
                      <w:b w:val="0"/>
                      <w:bCs/>
                      <w:color w:val="auto"/>
                      <w:sz w:val="18"/>
                      <w:szCs w:val="18"/>
                      <w:vertAlign w:val="subscript"/>
                      <w:lang w:val="en-US" w:eastAsia="zh-CN"/>
                    </w:rPr>
                    <w:t>3</w:t>
                  </w:r>
                  <w:r>
                    <w:rPr>
                      <w:rFonts w:hint="default" w:ascii="Times New Roman" w:hAnsi="Times New Roman" w:cs="Times New Roman" w:eastAsiaTheme="minorEastAsia"/>
                      <w:b w:val="0"/>
                      <w:bCs/>
                      <w:color w:val="auto"/>
                      <w:sz w:val="18"/>
                      <w:szCs w:val="18"/>
                      <w:lang w:val="en-US" w:eastAsia="zh-CN"/>
                    </w:rPr>
                    <w:t>-N</w:t>
                  </w:r>
                  <w:r>
                    <w:rPr>
                      <w:rFonts w:hint="eastAsia" w:cs="Times New Roman" w:eastAsiaTheme="minorEastAsia"/>
                      <w:color w:val="auto"/>
                      <w:sz w:val="18"/>
                      <w:szCs w:val="18"/>
                      <w:lang w:val="en-US" w:eastAsia="zh-CN"/>
                    </w:rPr>
                    <w:t>、T-P、T-N</w:t>
                  </w:r>
                </w:p>
              </w:tc>
              <w:tc>
                <w:tcPr>
                  <w:tcW w:w="519" w:type="dxa"/>
                  <w:tcBorders>
                    <w:tl2br w:val="nil"/>
                    <w:tr2bl w:val="nil"/>
                  </w:tcBorders>
                  <w:noWrap w:val="0"/>
                  <w:vAlign w:val="center"/>
                </w:tcPr>
                <w:p w14:paraId="3804CA90">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w:t>
                  </w:r>
                </w:p>
              </w:tc>
              <w:tc>
                <w:tcPr>
                  <w:tcW w:w="611" w:type="dxa"/>
                  <w:tcBorders>
                    <w:tl2br w:val="nil"/>
                    <w:tr2bl w:val="nil"/>
                  </w:tcBorders>
                  <w:noWrap w:val="0"/>
                  <w:vAlign w:val="center"/>
                </w:tcPr>
                <w:p w14:paraId="009D9361">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w:t>
                  </w:r>
                </w:p>
              </w:tc>
              <w:tc>
                <w:tcPr>
                  <w:tcW w:w="611" w:type="dxa"/>
                  <w:tcBorders>
                    <w:tl2br w:val="nil"/>
                    <w:tr2bl w:val="nil"/>
                  </w:tcBorders>
                  <w:noWrap w:val="0"/>
                  <w:vAlign w:val="center"/>
                </w:tcPr>
                <w:p w14:paraId="2C7B3D0D">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w:t>
                  </w:r>
                </w:p>
              </w:tc>
              <w:tc>
                <w:tcPr>
                  <w:tcW w:w="611" w:type="dxa"/>
                  <w:vMerge w:val="continue"/>
                  <w:tcBorders>
                    <w:tl2br w:val="nil"/>
                    <w:tr2bl w:val="nil"/>
                  </w:tcBorders>
                  <w:noWrap w:val="0"/>
                  <w:vAlign w:val="center"/>
                </w:tcPr>
                <w:p w14:paraId="2182E423">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1" w:type="dxa"/>
                  <w:vMerge w:val="continue"/>
                  <w:tcBorders>
                    <w:tl2br w:val="nil"/>
                    <w:tr2bl w:val="nil"/>
                  </w:tcBorders>
                  <w:noWrap w:val="0"/>
                  <w:vAlign w:val="center"/>
                </w:tcPr>
                <w:p w14:paraId="4D392FD8">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1" w:type="dxa"/>
                  <w:vMerge w:val="continue"/>
                  <w:tcBorders>
                    <w:tl2br w:val="nil"/>
                    <w:tr2bl w:val="nil"/>
                  </w:tcBorders>
                  <w:noWrap w:val="0"/>
                  <w:vAlign w:val="center"/>
                </w:tcPr>
                <w:p w14:paraId="142FA31E">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2" w:type="dxa"/>
                  <w:vMerge w:val="continue"/>
                  <w:tcBorders>
                    <w:tl2br w:val="nil"/>
                    <w:tr2bl w:val="nil"/>
                  </w:tcBorders>
                  <w:noWrap w:val="0"/>
                  <w:vAlign w:val="center"/>
                </w:tcPr>
                <w:p w14:paraId="591FAF62">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714" w:type="dxa"/>
                  <w:vMerge w:val="continue"/>
                  <w:tcBorders>
                    <w:tl2br w:val="nil"/>
                    <w:tr2bl w:val="nil"/>
                  </w:tcBorders>
                  <w:noWrap w:val="0"/>
                  <w:vAlign w:val="center"/>
                </w:tcPr>
                <w:p w14:paraId="255B696F">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510" w:type="dxa"/>
                  <w:vMerge w:val="continue"/>
                  <w:tcBorders>
                    <w:tl2br w:val="nil"/>
                    <w:tr2bl w:val="nil"/>
                  </w:tcBorders>
                  <w:noWrap w:val="0"/>
                  <w:vAlign w:val="center"/>
                </w:tcPr>
                <w:p w14:paraId="06BFC610">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kern w:val="0"/>
                      <w:sz w:val="18"/>
                      <w:szCs w:val="18"/>
                      <w:lang w:val="en-US" w:eastAsia="zh-CN" w:bidi="ar"/>
                    </w:rPr>
                  </w:pPr>
                </w:p>
              </w:tc>
            </w:tr>
            <w:tr w14:paraId="49E60A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1" w:type="dxa"/>
                  <w:vMerge w:val="continue"/>
                  <w:tcBorders>
                    <w:tl2br w:val="nil"/>
                    <w:tr2bl w:val="nil"/>
                  </w:tcBorders>
                  <w:noWrap w:val="0"/>
                  <w:vAlign w:val="center"/>
                </w:tcPr>
                <w:p w14:paraId="56AF0E0E">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1" w:type="dxa"/>
                  <w:vMerge w:val="continue"/>
                  <w:tcBorders>
                    <w:tl2br w:val="nil"/>
                    <w:tr2bl w:val="nil"/>
                  </w:tcBorders>
                  <w:noWrap w:val="0"/>
                  <w:vAlign w:val="center"/>
                </w:tcPr>
                <w:p w14:paraId="16C59C11">
                  <w:pPr>
                    <w:pStyle w:val="9"/>
                    <w:keepNext w:val="0"/>
                    <w:keepLines w:val="0"/>
                    <w:suppressLineNumbers w:val="0"/>
                    <w:spacing w:before="0" w:beforeAutospacing="0" w:afterAutospacing="0" w:line="240" w:lineRule="auto"/>
                    <w:ind w:left="0" w:right="0"/>
                    <w:jc w:val="center"/>
                    <w:rPr>
                      <w:rFonts w:hint="eastAsia" w:ascii="Times New Roman" w:hAnsi="Times New Roman" w:eastAsia="宋体" w:cs="Times New Roman"/>
                      <w:color w:val="auto"/>
                      <w:sz w:val="18"/>
                      <w:szCs w:val="18"/>
                      <w:vertAlign w:val="baseline"/>
                      <w:lang w:val="en-US" w:eastAsia="zh-CN"/>
                    </w:rPr>
                  </w:pPr>
                </w:p>
              </w:tc>
              <w:tc>
                <w:tcPr>
                  <w:tcW w:w="534" w:type="dxa"/>
                  <w:tcBorders>
                    <w:tl2br w:val="nil"/>
                    <w:tr2bl w:val="nil"/>
                  </w:tcBorders>
                  <w:noWrap w:val="0"/>
                  <w:vAlign w:val="center"/>
                </w:tcPr>
                <w:p w14:paraId="0E29624A">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eastAsia" w:ascii="Times New Roman" w:hAnsi="Times New Roman" w:eastAsia="宋体" w:cs="Times New Roman"/>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诊疗废水</w:t>
                  </w:r>
                </w:p>
              </w:tc>
              <w:tc>
                <w:tcPr>
                  <w:tcW w:w="780" w:type="dxa"/>
                  <w:tcBorders>
                    <w:tl2br w:val="nil"/>
                    <w:tr2bl w:val="nil"/>
                  </w:tcBorders>
                  <w:noWrap w:val="0"/>
                  <w:vAlign w:val="center"/>
                </w:tcPr>
                <w:p w14:paraId="7570D999">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eastAsia" w:ascii="Times New Roman" w:hAnsi="Times New Roman" w:eastAsia="宋体" w:cs="Times New Roman"/>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SS、COD</w:t>
                  </w:r>
                  <w:r>
                    <w:rPr>
                      <w:rFonts w:hint="eastAsia" w:cs="Times New Roman" w:eastAsiaTheme="minorEastAsia"/>
                      <w:color w:val="auto"/>
                      <w:sz w:val="18"/>
                      <w:szCs w:val="18"/>
                      <w:lang w:val="en-US" w:eastAsia="zh-CN"/>
                    </w:rPr>
                    <w:t>cr</w:t>
                  </w:r>
                  <w:r>
                    <w:rPr>
                      <w:rFonts w:hint="default" w:ascii="Times New Roman" w:hAnsi="Times New Roman" w:cs="Times New Roman" w:eastAsiaTheme="minorEastAsia"/>
                      <w:color w:val="auto"/>
                      <w:sz w:val="18"/>
                      <w:szCs w:val="18"/>
                      <w:lang w:val="en-US" w:eastAsia="zh-CN"/>
                    </w:rPr>
                    <w:t>、BOD</w:t>
                  </w:r>
                  <w:r>
                    <w:rPr>
                      <w:rFonts w:hint="default" w:ascii="Times New Roman" w:hAnsi="Times New Roman" w:cs="Times New Roman" w:eastAsiaTheme="minorEastAsia"/>
                      <w:color w:val="auto"/>
                      <w:sz w:val="18"/>
                      <w:szCs w:val="18"/>
                      <w:vertAlign w:val="subscript"/>
                      <w:lang w:val="en-US" w:eastAsia="zh-CN"/>
                    </w:rPr>
                    <w:t>5</w:t>
                  </w:r>
                  <w:r>
                    <w:rPr>
                      <w:rFonts w:hint="default" w:ascii="Times New Roman" w:hAnsi="Times New Roman" w:cs="Times New Roman" w:eastAsiaTheme="minorEastAsia"/>
                      <w:color w:val="auto"/>
                      <w:sz w:val="18"/>
                      <w:szCs w:val="18"/>
                      <w:lang w:val="en-US" w:eastAsia="zh-CN"/>
                    </w:rPr>
                    <w:t>、</w:t>
                  </w:r>
                  <w:r>
                    <w:rPr>
                      <w:rFonts w:hint="default" w:ascii="Times New Roman" w:hAnsi="Times New Roman" w:cs="Times New Roman" w:eastAsiaTheme="minorEastAsia"/>
                      <w:b w:val="0"/>
                      <w:bCs/>
                      <w:color w:val="auto"/>
                      <w:sz w:val="18"/>
                      <w:szCs w:val="18"/>
                      <w:lang w:val="en-US" w:eastAsia="zh-CN"/>
                    </w:rPr>
                    <w:t>NH</w:t>
                  </w:r>
                  <w:r>
                    <w:rPr>
                      <w:rFonts w:hint="default" w:ascii="Times New Roman" w:hAnsi="Times New Roman" w:cs="Times New Roman" w:eastAsiaTheme="minorEastAsia"/>
                      <w:b w:val="0"/>
                      <w:bCs/>
                      <w:color w:val="auto"/>
                      <w:sz w:val="18"/>
                      <w:szCs w:val="18"/>
                      <w:vertAlign w:val="subscript"/>
                      <w:lang w:val="en-US" w:eastAsia="zh-CN"/>
                    </w:rPr>
                    <w:t>3</w:t>
                  </w:r>
                  <w:r>
                    <w:rPr>
                      <w:rFonts w:hint="default" w:ascii="Times New Roman" w:hAnsi="Times New Roman" w:cs="Times New Roman" w:eastAsiaTheme="minorEastAsia"/>
                      <w:b w:val="0"/>
                      <w:bCs/>
                      <w:color w:val="auto"/>
                      <w:sz w:val="18"/>
                      <w:szCs w:val="18"/>
                      <w:lang w:val="en-US" w:eastAsia="zh-CN"/>
                    </w:rPr>
                    <w:t>-N</w:t>
                  </w:r>
                  <w:r>
                    <w:rPr>
                      <w:rFonts w:hint="default" w:ascii="Times New Roman" w:hAnsi="Times New Roman" w:cs="Times New Roman" w:eastAsiaTheme="minorEastAsia"/>
                      <w:color w:val="auto"/>
                      <w:sz w:val="18"/>
                      <w:szCs w:val="18"/>
                      <w:lang w:val="en-US" w:eastAsia="zh-CN"/>
                    </w:rPr>
                    <w:t>、粪大肠菌群</w:t>
                  </w:r>
                </w:p>
              </w:tc>
              <w:tc>
                <w:tcPr>
                  <w:tcW w:w="519" w:type="dxa"/>
                  <w:tcBorders>
                    <w:tl2br w:val="nil"/>
                    <w:tr2bl w:val="nil"/>
                  </w:tcBorders>
                  <w:noWrap w:val="0"/>
                  <w:vAlign w:val="center"/>
                </w:tcPr>
                <w:p w14:paraId="144E1121">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18"/>
                      <w:szCs w:val="18"/>
                      <w:vertAlign w:val="baseline"/>
                      <w:lang w:val="en-US" w:eastAsia="zh-CN"/>
                    </w:rPr>
                  </w:pPr>
                  <w:r>
                    <w:rPr>
                      <w:rFonts w:hint="default" w:cs="Times New Roman" w:eastAsiaTheme="minorEastAsia"/>
                      <w:bCs/>
                      <w:color w:val="auto"/>
                      <w:sz w:val="18"/>
                      <w:szCs w:val="18"/>
                      <w:lang w:val="en-US" w:eastAsia="zh-CN"/>
                    </w:rPr>
                    <w:t>一体化污水处理</w:t>
                  </w:r>
                  <w:r>
                    <w:rPr>
                      <w:rFonts w:hint="eastAsia" w:cs="Times New Roman" w:eastAsiaTheme="minorEastAsia"/>
                      <w:bCs/>
                      <w:color w:val="auto"/>
                      <w:sz w:val="18"/>
                      <w:szCs w:val="18"/>
                      <w:lang w:val="en-US" w:eastAsia="zh-CN"/>
                    </w:rPr>
                    <w:t>设施</w:t>
                  </w:r>
                  <w:r>
                    <w:rPr>
                      <w:rFonts w:hint="default" w:cs="Times New Roman" w:eastAsiaTheme="minorEastAsia"/>
                      <w:bCs/>
                      <w:color w:val="auto"/>
                      <w:sz w:val="18"/>
                      <w:szCs w:val="18"/>
                      <w:lang w:val="en-US" w:eastAsia="zh-CN"/>
                    </w:rPr>
                    <w:t>消毒处理</w:t>
                  </w:r>
                </w:p>
              </w:tc>
              <w:tc>
                <w:tcPr>
                  <w:tcW w:w="611" w:type="dxa"/>
                  <w:tcBorders>
                    <w:tl2br w:val="nil"/>
                    <w:tr2bl w:val="nil"/>
                  </w:tcBorders>
                  <w:noWrap w:val="0"/>
                  <w:vAlign w:val="center"/>
                </w:tcPr>
                <w:p w14:paraId="42BA8D06">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是</w:t>
                  </w:r>
                </w:p>
              </w:tc>
              <w:tc>
                <w:tcPr>
                  <w:tcW w:w="611" w:type="dxa"/>
                  <w:tcBorders>
                    <w:tl2br w:val="nil"/>
                    <w:tr2bl w:val="nil"/>
                  </w:tcBorders>
                  <w:noWrap w:val="0"/>
                  <w:vAlign w:val="center"/>
                </w:tcPr>
                <w:p w14:paraId="78C4466A">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18"/>
                      <w:szCs w:val="18"/>
                      <w:vertAlign w:val="baseline"/>
                      <w:lang w:val="en-US" w:eastAsia="zh-CN"/>
                    </w:rPr>
                  </w:pPr>
                  <w:r>
                    <w:rPr>
                      <w:rFonts w:hint="default" w:ascii="Times New Roman" w:hAnsi="Times New Roman" w:cs="Times New Roman" w:eastAsiaTheme="minorEastAsia"/>
                      <w:color w:val="auto"/>
                      <w:sz w:val="18"/>
                      <w:szCs w:val="18"/>
                      <w:lang w:val="en-US" w:eastAsia="zh-CN"/>
                    </w:rPr>
                    <w:t>1.0m</w:t>
                  </w:r>
                  <w:r>
                    <w:rPr>
                      <w:rFonts w:hint="default" w:ascii="Times New Roman" w:hAnsi="Times New Roman" w:cs="Times New Roman" w:eastAsiaTheme="minorEastAsia"/>
                      <w:color w:val="auto"/>
                      <w:sz w:val="18"/>
                      <w:szCs w:val="18"/>
                      <w:vertAlign w:val="superscript"/>
                      <w:lang w:val="en-US" w:eastAsia="zh-CN"/>
                    </w:rPr>
                    <w:t>3</w:t>
                  </w:r>
                  <w:r>
                    <w:rPr>
                      <w:rFonts w:hint="default" w:ascii="Times New Roman" w:hAnsi="Times New Roman" w:cs="Times New Roman" w:eastAsiaTheme="minorEastAsia"/>
                      <w:color w:val="auto"/>
                      <w:sz w:val="18"/>
                      <w:szCs w:val="18"/>
                      <w:lang w:val="en-US" w:eastAsia="zh-CN"/>
                    </w:rPr>
                    <w:t>/d</w:t>
                  </w:r>
                </w:p>
              </w:tc>
              <w:tc>
                <w:tcPr>
                  <w:tcW w:w="611" w:type="dxa"/>
                  <w:vMerge w:val="continue"/>
                  <w:tcBorders>
                    <w:tl2br w:val="nil"/>
                    <w:tr2bl w:val="nil"/>
                  </w:tcBorders>
                  <w:noWrap w:val="0"/>
                  <w:vAlign w:val="center"/>
                </w:tcPr>
                <w:p w14:paraId="5475FD35">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1" w:type="dxa"/>
                  <w:vMerge w:val="continue"/>
                  <w:tcBorders>
                    <w:tl2br w:val="nil"/>
                    <w:tr2bl w:val="nil"/>
                  </w:tcBorders>
                  <w:noWrap w:val="0"/>
                  <w:vAlign w:val="center"/>
                </w:tcPr>
                <w:p w14:paraId="7ADB9A10">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1" w:type="dxa"/>
                  <w:vMerge w:val="continue"/>
                  <w:tcBorders>
                    <w:tl2br w:val="nil"/>
                    <w:tr2bl w:val="nil"/>
                  </w:tcBorders>
                  <w:noWrap w:val="0"/>
                  <w:vAlign w:val="center"/>
                </w:tcPr>
                <w:p w14:paraId="3378566C">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612" w:type="dxa"/>
                  <w:vMerge w:val="continue"/>
                  <w:tcBorders>
                    <w:tl2br w:val="nil"/>
                    <w:tr2bl w:val="nil"/>
                  </w:tcBorders>
                  <w:noWrap w:val="0"/>
                  <w:vAlign w:val="center"/>
                </w:tcPr>
                <w:p w14:paraId="7D174EF8">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714" w:type="dxa"/>
                  <w:vMerge w:val="continue"/>
                  <w:tcBorders>
                    <w:tl2br w:val="nil"/>
                    <w:tr2bl w:val="nil"/>
                  </w:tcBorders>
                  <w:noWrap w:val="0"/>
                  <w:vAlign w:val="center"/>
                </w:tcPr>
                <w:p w14:paraId="5AE45CF8">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sz w:val="18"/>
                      <w:szCs w:val="18"/>
                      <w:vertAlign w:val="baseline"/>
                      <w:lang w:val="en-US" w:eastAsia="zh-CN"/>
                    </w:rPr>
                  </w:pPr>
                </w:p>
              </w:tc>
              <w:tc>
                <w:tcPr>
                  <w:tcW w:w="510" w:type="dxa"/>
                  <w:vMerge w:val="continue"/>
                  <w:tcBorders>
                    <w:tl2br w:val="nil"/>
                    <w:tr2bl w:val="nil"/>
                  </w:tcBorders>
                  <w:noWrap w:val="0"/>
                  <w:vAlign w:val="center"/>
                </w:tcPr>
                <w:p w14:paraId="1E6BBFDE">
                  <w:pPr>
                    <w:pStyle w:val="9"/>
                    <w:keepNext w:val="0"/>
                    <w:keepLines w:val="0"/>
                    <w:suppressLineNumbers w:val="0"/>
                    <w:spacing w:before="0" w:beforeAutospacing="0" w:afterAutospacing="0" w:line="240" w:lineRule="auto"/>
                    <w:ind w:left="0" w:right="0"/>
                    <w:jc w:val="center"/>
                    <w:rPr>
                      <w:rFonts w:hint="default" w:ascii="Times New Roman" w:hAnsi="Times New Roman" w:eastAsia="宋体" w:cs="Times New Roman"/>
                      <w:color w:val="auto"/>
                      <w:kern w:val="0"/>
                      <w:sz w:val="18"/>
                      <w:szCs w:val="18"/>
                      <w:lang w:val="en-US" w:eastAsia="zh-CN" w:bidi="ar"/>
                    </w:rPr>
                  </w:pPr>
                </w:p>
              </w:tc>
            </w:tr>
          </w:tbl>
          <w:p w14:paraId="4B10C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eastAsiaTheme="minorEastAsia"/>
                <w:b/>
                <w:color w:val="auto"/>
                <w:sz w:val="21"/>
                <w:szCs w:val="21"/>
                <w:lang w:val="en-US" w:eastAsia="zh-CN"/>
              </w:rPr>
            </w:pPr>
            <w:r>
              <w:rPr>
                <w:rFonts w:hint="eastAsia" w:ascii="Times New Roman" w:hAnsi="Times New Roman" w:cs="Times New Roman" w:eastAsiaTheme="minorEastAsia"/>
                <w:b/>
                <w:color w:val="auto"/>
                <w:sz w:val="21"/>
                <w:szCs w:val="21"/>
                <w:lang w:val="en-US" w:eastAsia="zh-CN"/>
              </w:rPr>
              <w:t>表4-6   废水污染源强核算结果及相关参数一览表</w:t>
            </w:r>
          </w:p>
          <w:p w14:paraId="76E443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default" w:ascii="Times New Roman" w:hAnsi="Times New Roman" w:cs="Times New Roman" w:eastAsiaTheme="minorEastAsia"/>
                <w:b/>
                <w:color w:val="auto"/>
                <w:sz w:val="21"/>
                <w:szCs w:val="21"/>
                <w:lang w:val="en-US" w:eastAsia="zh-CN"/>
              </w:rPr>
            </w:pPr>
            <w:r>
              <w:rPr>
                <w:rFonts w:hint="eastAsia" w:ascii="Times New Roman" w:hAnsi="Times New Roman" w:cs="Times New Roman" w:eastAsiaTheme="minorEastAsia"/>
                <w:b/>
                <w:color w:val="auto"/>
                <w:sz w:val="21"/>
                <w:szCs w:val="21"/>
                <w:lang w:val="en-US" w:eastAsia="zh-CN"/>
              </w:rPr>
              <w:t>注：粪大肠菌群 单位：MPN/L</w:t>
            </w:r>
          </w:p>
          <w:tbl>
            <w:tblPr>
              <w:tblStyle w:val="24"/>
              <w:tblW w:w="79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00"/>
              <w:gridCol w:w="997"/>
              <w:gridCol w:w="997"/>
              <w:gridCol w:w="997"/>
              <w:gridCol w:w="997"/>
              <w:gridCol w:w="999"/>
            </w:tblGrid>
            <w:tr w14:paraId="261E93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29" w:type="dxa"/>
                  <w:tcBorders>
                    <w:bottom w:val="single" w:color="auto" w:sz="12" w:space="0"/>
                  </w:tcBorders>
                  <w:vAlign w:val="center"/>
                </w:tcPr>
                <w:p w14:paraId="4532DE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废水类别</w:t>
                  </w:r>
                </w:p>
              </w:tc>
              <w:tc>
                <w:tcPr>
                  <w:tcW w:w="1800" w:type="dxa"/>
                  <w:tcBorders>
                    <w:bottom w:val="single" w:color="auto" w:sz="12" w:space="0"/>
                  </w:tcBorders>
                  <w:vAlign w:val="center"/>
                </w:tcPr>
                <w:p w14:paraId="0FAE1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污染物</w:t>
                  </w:r>
                </w:p>
              </w:tc>
              <w:tc>
                <w:tcPr>
                  <w:tcW w:w="997" w:type="dxa"/>
                  <w:tcBorders>
                    <w:bottom w:val="single" w:color="auto" w:sz="12" w:space="0"/>
                  </w:tcBorders>
                  <w:vAlign w:val="center"/>
                </w:tcPr>
                <w:p w14:paraId="6E9A2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CODcr</w:t>
                  </w:r>
                </w:p>
              </w:tc>
              <w:tc>
                <w:tcPr>
                  <w:tcW w:w="997" w:type="dxa"/>
                  <w:tcBorders>
                    <w:bottom w:val="single" w:color="auto" w:sz="12" w:space="0"/>
                  </w:tcBorders>
                  <w:vAlign w:val="center"/>
                </w:tcPr>
                <w:p w14:paraId="28F58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BOD</w:t>
                  </w:r>
                  <w:r>
                    <w:rPr>
                      <w:rFonts w:hint="default" w:ascii="Times New Roman" w:hAnsi="Times New Roman" w:cs="Times New Roman" w:eastAsiaTheme="minorEastAsia"/>
                      <w:b w:val="0"/>
                      <w:bCs/>
                      <w:color w:val="auto"/>
                      <w:sz w:val="21"/>
                      <w:szCs w:val="21"/>
                      <w:vertAlign w:val="subscript"/>
                      <w:lang w:val="en-US" w:eastAsia="zh-CN"/>
                    </w:rPr>
                    <w:t>5</w:t>
                  </w:r>
                </w:p>
              </w:tc>
              <w:tc>
                <w:tcPr>
                  <w:tcW w:w="997" w:type="dxa"/>
                  <w:tcBorders>
                    <w:bottom w:val="single" w:color="auto" w:sz="12" w:space="0"/>
                  </w:tcBorders>
                  <w:vAlign w:val="center"/>
                </w:tcPr>
                <w:p w14:paraId="59269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SS</w:t>
                  </w:r>
                </w:p>
              </w:tc>
              <w:tc>
                <w:tcPr>
                  <w:tcW w:w="997" w:type="dxa"/>
                  <w:tcBorders>
                    <w:bottom w:val="single" w:color="auto" w:sz="12" w:space="0"/>
                  </w:tcBorders>
                  <w:vAlign w:val="center"/>
                </w:tcPr>
                <w:p w14:paraId="346151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NH</w:t>
                  </w:r>
                  <w:r>
                    <w:rPr>
                      <w:rFonts w:hint="default" w:ascii="Times New Roman" w:hAnsi="Times New Roman" w:cs="Times New Roman" w:eastAsiaTheme="minorEastAsia"/>
                      <w:b w:val="0"/>
                      <w:bCs/>
                      <w:color w:val="auto"/>
                      <w:sz w:val="21"/>
                      <w:szCs w:val="21"/>
                      <w:vertAlign w:val="subscript"/>
                      <w:lang w:val="en-US" w:eastAsia="zh-CN"/>
                    </w:rPr>
                    <w:t>3</w:t>
                  </w:r>
                  <w:r>
                    <w:rPr>
                      <w:rFonts w:hint="default" w:ascii="Times New Roman" w:hAnsi="Times New Roman" w:cs="Times New Roman" w:eastAsiaTheme="minorEastAsia"/>
                      <w:b w:val="0"/>
                      <w:bCs/>
                      <w:color w:val="auto"/>
                      <w:sz w:val="21"/>
                      <w:szCs w:val="21"/>
                      <w:lang w:val="en-US" w:eastAsia="zh-CN"/>
                    </w:rPr>
                    <w:t>-N</w:t>
                  </w:r>
                </w:p>
              </w:tc>
              <w:tc>
                <w:tcPr>
                  <w:tcW w:w="999" w:type="dxa"/>
                  <w:tcBorders>
                    <w:bottom w:val="single" w:color="auto" w:sz="12" w:space="0"/>
                  </w:tcBorders>
                  <w:vAlign w:val="center"/>
                </w:tcPr>
                <w:p w14:paraId="60967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粪大肠菌群</w:t>
                  </w:r>
                </w:p>
              </w:tc>
            </w:tr>
            <w:tr w14:paraId="4AE727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29" w:type="dxa"/>
                  <w:vMerge w:val="restart"/>
                  <w:tcBorders>
                    <w:top w:val="single" w:color="auto" w:sz="12" w:space="0"/>
                    <w:tl2br w:val="nil"/>
                    <w:tr2bl w:val="nil"/>
                  </w:tcBorders>
                  <w:vAlign w:val="center"/>
                </w:tcPr>
                <w:p w14:paraId="5A934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动物美容废水</w:t>
                  </w:r>
                </w:p>
              </w:tc>
              <w:tc>
                <w:tcPr>
                  <w:tcW w:w="1800" w:type="dxa"/>
                  <w:tcBorders>
                    <w:top w:val="single" w:color="auto" w:sz="12" w:space="0"/>
                    <w:tl2br w:val="nil"/>
                    <w:tr2bl w:val="nil"/>
                  </w:tcBorders>
                  <w:vAlign w:val="center"/>
                </w:tcPr>
                <w:p w14:paraId="30592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产生浓度（mg/L）</w:t>
                  </w:r>
                </w:p>
              </w:tc>
              <w:tc>
                <w:tcPr>
                  <w:tcW w:w="997" w:type="dxa"/>
                  <w:tcBorders>
                    <w:top w:val="single" w:color="auto" w:sz="12" w:space="0"/>
                    <w:tl2br w:val="nil"/>
                    <w:tr2bl w:val="nil"/>
                  </w:tcBorders>
                  <w:vAlign w:val="center"/>
                </w:tcPr>
                <w:p w14:paraId="3B4AB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300</w:t>
                  </w:r>
                </w:p>
              </w:tc>
              <w:tc>
                <w:tcPr>
                  <w:tcW w:w="997" w:type="dxa"/>
                  <w:tcBorders>
                    <w:top w:val="single" w:color="auto" w:sz="12" w:space="0"/>
                    <w:tl2br w:val="nil"/>
                    <w:tr2bl w:val="nil"/>
                  </w:tcBorders>
                  <w:vAlign w:val="center"/>
                </w:tcPr>
                <w:p w14:paraId="30158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180</w:t>
                  </w:r>
                </w:p>
              </w:tc>
              <w:tc>
                <w:tcPr>
                  <w:tcW w:w="997" w:type="dxa"/>
                  <w:tcBorders>
                    <w:top w:val="single" w:color="auto" w:sz="12" w:space="0"/>
                    <w:tl2br w:val="nil"/>
                    <w:tr2bl w:val="nil"/>
                  </w:tcBorders>
                  <w:vAlign w:val="center"/>
                </w:tcPr>
                <w:p w14:paraId="7BCDA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300</w:t>
                  </w:r>
                </w:p>
              </w:tc>
              <w:tc>
                <w:tcPr>
                  <w:tcW w:w="997" w:type="dxa"/>
                  <w:tcBorders>
                    <w:top w:val="single" w:color="auto" w:sz="12" w:space="0"/>
                    <w:tl2br w:val="nil"/>
                    <w:tr2bl w:val="nil"/>
                  </w:tcBorders>
                  <w:vAlign w:val="center"/>
                </w:tcPr>
                <w:p w14:paraId="4A2B1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25</w:t>
                  </w:r>
                </w:p>
              </w:tc>
              <w:tc>
                <w:tcPr>
                  <w:tcW w:w="999" w:type="dxa"/>
                  <w:tcBorders>
                    <w:top w:val="single" w:color="auto" w:sz="12" w:space="0"/>
                    <w:tl2br w:val="nil"/>
                    <w:tr2bl w:val="nil"/>
                  </w:tcBorders>
                  <w:vAlign w:val="center"/>
                </w:tcPr>
                <w:p w14:paraId="08038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r>
            <w:tr w14:paraId="7D5C48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29" w:type="dxa"/>
                  <w:vMerge w:val="continue"/>
                  <w:tcBorders>
                    <w:tl2br w:val="nil"/>
                    <w:tr2bl w:val="nil"/>
                  </w:tcBorders>
                  <w:vAlign w:val="center"/>
                </w:tcPr>
                <w:p w14:paraId="51FF72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p>
              </w:tc>
              <w:tc>
                <w:tcPr>
                  <w:tcW w:w="1800" w:type="dxa"/>
                  <w:tcBorders>
                    <w:tl2br w:val="nil"/>
                    <w:tr2bl w:val="nil"/>
                  </w:tcBorders>
                  <w:vAlign w:val="center"/>
                </w:tcPr>
                <w:p w14:paraId="08B16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产生量（t/a）</w:t>
                  </w:r>
                </w:p>
              </w:tc>
              <w:tc>
                <w:tcPr>
                  <w:tcW w:w="997" w:type="dxa"/>
                  <w:tcBorders>
                    <w:tl2br w:val="nil"/>
                    <w:tr2bl w:val="nil"/>
                  </w:tcBorders>
                  <w:vAlign w:val="center"/>
                </w:tcPr>
                <w:p w14:paraId="10B81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0.0032</w:t>
                  </w:r>
                </w:p>
              </w:tc>
              <w:tc>
                <w:tcPr>
                  <w:tcW w:w="997" w:type="dxa"/>
                  <w:tcBorders>
                    <w:tl2br w:val="nil"/>
                    <w:tr2bl w:val="nil"/>
                  </w:tcBorders>
                  <w:vAlign w:val="center"/>
                </w:tcPr>
                <w:p w14:paraId="64945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0.0019</w:t>
                  </w:r>
                </w:p>
              </w:tc>
              <w:tc>
                <w:tcPr>
                  <w:tcW w:w="997" w:type="dxa"/>
                  <w:tcBorders>
                    <w:tl2br w:val="nil"/>
                    <w:tr2bl w:val="nil"/>
                  </w:tcBorders>
                  <w:vAlign w:val="center"/>
                </w:tcPr>
                <w:p w14:paraId="25E30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0.0032</w:t>
                  </w:r>
                </w:p>
              </w:tc>
              <w:tc>
                <w:tcPr>
                  <w:tcW w:w="997" w:type="dxa"/>
                  <w:tcBorders>
                    <w:tl2br w:val="nil"/>
                    <w:tr2bl w:val="nil"/>
                  </w:tcBorders>
                  <w:vAlign w:val="center"/>
                </w:tcPr>
                <w:p w14:paraId="134FC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0.0003</w:t>
                  </w:r>
                </w:p>
              </w:tc>
              <w:tc>
                <w:tcPr>
                  <w:tcW w:w="999" w:type="dxa"/>
                  <w:tcBorders>
                    <w:tl2br w:val="nil"/>
                    <w:tr2bl w:val="nil"/>
                  </w:tcBorders>
                  <w:vAlign w:val="center"/>
                </w:tcPr>
                <w:p w14:paraId="065CF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r>
            <w:tr w14:paraId="0DCB2B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29" w:type="dxa"/>
                  <w:vMerge w:val="restart"/>
                  <w:tcBorders>
                    <w:top w:val="single" w:color="auto" w:sz="12" w:space="0"/>
                    <w:tl2br w:val="nil"/>
                    <w:tr2bl w:val="nil"/>
                  </w:tcBorders>
                  <w:vAlign w:val="center"/>
                </w:tcPr>
                <w:p w14:paraId="30094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诊疗废水+宠物笼清洗废水</w:t>
                  </w:r>
                </w:p>
              </w:tc>
              <w:tc>
                <w:tcPr>
                  <w:tcW w:w="1800" w:type="dxa"/>
                  <w:tcBorders>
                    <w:top w:val="single" w:color="auto" w:sz="12" w:space="0"/>
                    <w:tl2br w:val="nil"/>
                    <w:tr2bl w:val="nil"/>
                  </w:tcBorders>
                  <w:vAlign w:val="center"/>
                </w:tcPr>
                <w:p w14:paraId="07B8A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产生浓度（mg/L）</w:t>
                  </w:r>
                </w:p>
              </w:tc>
              <w:tc>
                <w:tcPr>
                  <w:tcW w:w="997" w:type="dxa"/>
                  <w:tcBorders>
                    <w:top w:val="single" w:color="auto" w:sz="12" w:space="0"/>
                    <w:tl2br w:val="nil"/>
                    <w:tr2bl w:val="nil"/>
                  </w:tcBorders>
                  <w:vAlign w:val="center"/>
                </w:tcPr>
                <w:p w14:paraId="4E8CD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46</w:t>
                  </w:r>
                </w:p>
              </w:tc>
              <w:tc>
                <w:tcPr>
                  <w:tcW w:w="997" w:type="dxa"/>
                  <w:tcBorders>
                    <w:top w:val="single" w:color="auto" w:sz="12" w:space="0"/>
                    <w:tl2br w:val="nil"/>
                    <w:tr2bl w:val="nil"/>
                  </w:tcBorders>
                  <w:vAlign w:val="center"/>
                </w:tcPr>
                <w:p w14:paraId="68205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13.5</w:t>
                  </w:r>
                </w:p>
              </w:tc>
              <w:tc>
                <w:tcPr>
                  <w:tcW w:w="997" w:type="dxa"/>
                  <w:tcBorders>
                    <w:top w:val="single" w:color="auto" w:sz="12" w:space="0"/>
                    <w:tl2br w:val="nil"/>
                    <w:tr2bl w:val="nil"/>
                  </w:tcBorders>
                  <w:vAlign w:val="center"/>
                </w:tcPr>
                <w:p w14:paraId="742B2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12</w:t>
                  </w:r>
                </w:p>
              </w:tc>
              <w:tc>
                <w:tcPr>
                  <w:tcW w:w="997" w:type="dxa"/>
                  <w:tcBorders>
                    <w:top w:val="single" w:color="auto" w:sz="12" w:space="0"/>
                    <w:tl2br w:val="nil"/>
                    <w:tr2bl w:val="nil"/>
                  </w:tcBorders>
                  <w:vAlign w:val="center"/>
                </w:tcPr>
                <w:p w14:paraId="27B8F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3.06</w:t>
                  </w:r>
                </w:p>
              </w:tc>
              <w:tc>
                <w:tcPr>
                  <w:tcW w:w="999" w:type="dxa"/>
                  <w:tcBorders>
                    <w:top w:val="single" w:color="auto" w:sz="12" w:space="0"/>
                    <w:tl2br w:val="nil"/>
                    <w:tr2bl w:val="nil"/>
                  </w:tcBorders>
                  <w:vAlign w:val="center"/>
                </w:tcPr>
                <w:p w14:paraId="7D045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170</w:t>
                  </w:r>
                </w:p>
              </w:tc>
            </w:tr>
            <w:tr w14:paraId="0EF883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9" w:type="dxa"/>
                  <w:vMerge w:val="continue"/>
                  <w:tcBorders>
                    <w:tl2br w:val="nil"/>
                    <w:tr2bl w:val="nil"/>
                  </w:tcBorders>
                  <w:vAlign w:val="center"/>
                </w:tcPr>
                <w:p w14:paraId="1F0F9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p>
              </w:tc>
              <w:tc>
                <w:tcPr>
                  <w:tcW w:w="1800" w:type="dxa"/>
                  <w:tcBorders>
                    <w:tl2br w:val="nil"/>
                    <w:tr2bl w:val="nil"/>
                  </w:tcBorders>
                  <w:vAlign w:val="center"/>
                </w:tcPr>
                <w:p w14:paraId="3B0D6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产生量（t/a）</w:t>
                  </w:r>
                </w:p>
              </w:tc>
              <w:tc>
                <w:tcPr>
                  <w:tcW w:w="997" w:type="dxa"/>
                  <w:tcBorders>
                    <w:tl2br w:val="nil"/>
                    <w:tr2bl w:val="nil"/>
                  </w:tcBorders>
                  <w:vAlign w:val="center"/>
                </w:tcPr>
                <w:p w14:paraId="3D57D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0.00112</w:t>
                  </w:r>
                </w:p>
              </w:tc>
              <w:tc>
                <w:tcPr>
                  <w:tcW w:w="997" w:type="dxa"/>
                  <w:tcBorders>
                    <w:tl2br w:val="nil"/>
                    <w:tr2bl w:val="nil"/>
                  </w:tcBorders>
                  <w:vAlign w:val="center"/>
                </w:tcPr>
                <w:p w14:paraId="013C6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0.00033</w:t>
                  </w:r>
                </w:p>
              </w:tc>
              <w:tc>
                <w:tcPr>
                  <w:tcW w:w="997" w:type="dxa"/>
                  <w:tcBorders>
                    <w:tl2br w:val="nil"/>
                    <w:tr2bl w:val="nil"/>
                  </w:tcBorders>
                  <w:vAlign w:val="center"/>
                </w:tcPr>
                <w:p w14:paraId="02FB7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0.00029</w:t>
                  </w:r>
                </w:p>
              </w:tc>
              <w:tc>
                <w:tcPr>
                  <w:tcW w:w="997" w:type="dxa"/>
                  <w:tcBorders>
                    <w:tl2br w:val="nil"/>
                    <w:tr2bl w:val="nil"/>
                  </w:tcBorders>
                  <w:vAlign w:val="center"/>
                </w:tcPr>
                <w:p w14:paraId="7B041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0.00007</w:t>
                  </w:r>
                </w:p>
              </w:tc>
              <w:tc>
                <w:tcPr>
                  <w:tcW w:w="999" w:type="dxa"/>
                  <w:tcBorders>
                    <w:tl2br w:val="nil"/>
                    <w:tr2bl w:val="nil"/>
                  </w:tcBorders>
                  <w:vAlign w:val="center"/>
                </w:tcPr>
                <w:p w14:paraId="6646C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r>
            <w:tr w14:paraId="1917AF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9" w:type="dxa"/>
                  <w:vMerge w:val="continue"/>
                  <w:tcBorders>
                    <w:tl2br w:val="nil"/>
                    <w:tr2bl w:val="nil"/>
                  </w:tcBorders>
                  <w:vAlign w:val="center"/>
                </w:tcPr>
                <w:p w14:paraId="18BF2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p>
              </w:tc>
              <w:tc>
                <w:tcPr>
                  <w:tcW w:w="1800" w:type="dxa"/>
                  <w:tcBorders>
                    <w:tl2br w:val="nil"/>
                    <w:tr2bl w:val="nil"/>
                  </w:tcBorders>
                  <w:vAlign w:val="center"/>
                </w:tcPr>
                <w:p w14:paraId="674DD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处理效率（%）</w:t>
                  </w:r>
                </w:p>
              </w:tc>
              <w:tc>
                <w:tcPr>
                  <w:tcW w:w="997" w:type="dxa"/>
                  <w:tcBorders>
                    <w:tl2br w:val="nil"/>
                    <w:tr2bl w:val="nil"/>
                  </w:tcBorders>
                  <w:vAlign w:val="center"/>
                </w:tcPr>
                <w:p w14:paraId="0A98A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2.17</w:t>
                  </w:r>
                </w:p>
              </w:tc>
              <w:tc>
                <w:tcPr>
                  <w:tcW w:w="997" w:type="dxa"/>
                  <w:tcBorders>
                    <w:tl2br w:val="nil"/>
                    <w:tr2bl w:val="nil"/>
                  </w:tcBorders>
                  <w:vAlign w:val="center"/>
                </w:tcPr>
                <w:p w14:paraId="30431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2.22</w:t>
                  </w:r>
                </w:p>
              </w:tc>
              <w:tc>
                <w:tcPr>
                  <w:tcW w:w="997" w:type="dxa"/>
                  <w:tcBorders>
                    <w:tl2br w:val="nil"/>
                    <w:tr2bl w:val="nil"/>
                  </w:tcBorders>
                  <w:vAlign w:val="center"/>
                </w:tcPr>
                <w:p w14:paraId="12B90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8.33</w:t>
                  </w:r>
                </w:p>
              </w:tc>
              <w:tc>
                <w:tcPr>
                  <w:tcW w:w="997" w:type="dxa"/>
                  <w:tcBorders>
                    <w:tl2br w:val="nil"/>
                    <w:tr2bl w:val="nil"/>
                  </w:tcBorders>
                  <w:vAlign w:val="center"/>
                </w:tcPr>
                <w:p w14:paraId="270EB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w:t>
                  </w:r>
                </w:p>
              </w:tc>
              <w:tc>
                <w:tcPr>
                  <w:tcW w:w="999" w:type="dxa"/>
                  <w:tcBorders>
                    <w:tl2br w:val="nil"/>
                    <w:tr2bl w:val="nil"/>
                  </w:tcBorders>
                  <w:vAlign w:val="center"/>
                </w:tcPr>
                <w:p w14:paraId="56B00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23.53</w:t>
                  </w:r>
                </w:p>
              </w:tc>
            </w:tr>
            <w:tr w14:paraId="6CED27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9" w:type="dxa"/>
                  <w:vMerge w:val="continue"/>
                  <w:tcBorders>
                    <w:tl2br w:val="nil"/>
                    <w:tr2bl w:val="nil"/>
                  </w:tcBorders>
                  <w:vAlign w:val="center"/>
                </w:tcPr>
                <w:p w14:paraId="633EF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p>
              </w:tc>
              <w:tc>
                <w:tcPr>
                  <w:tcW w:w="1800" w:type="dxa"/>
                  <w:tcBorders>
                    <w:tl2br w:val="nil"/>
                    <w:tr2bl w:val="nil"/>
                  </w:tcBorders>
                  <w:vAlign w:val="center"/>
                </w:tcPr>
                <w:p w14:paraId="6782C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排放浓度（mg/L）</w:t>
                  </w:r>
                </w:p>
              </w:tc>
              <w:tc>
                <w:tcPr>
                  <w:tcW w:w="997" w:type="dxa"/>
                  <w:tcBorders>
                    <w:tl2br w:val="nil"/>
                    <w:tr2bl w:val="nil"/>
                  </w:tcBorders>
                  <w:vAlign w:val="center"/>
                </w:tcPr>
                <w:p w14:paraId="37571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45</w:t>
                  </w:r>
                </w:p>
              </w:tc>
              <w:tc>
                <w:tcPr>
                  <w:tcW w:w="997" w:type="dxa"/>
                  <w:tcBorders>
                    <w:tl2br w:val="nil"/>
                    <w:tr2bl w:val="nil"/>
                  </w:tcBorders>
                  <w:vAlign w:val="center"/>
                </w:tcPr>
                <w:p w14:paraId="7E172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13.2</w:t>
                  </w:r>
                </w:p>
              </w:tc>
              <w:tc>
                <w:tcPr>
                  <w:tcW w:w="997" w:type="dxa"/>
                  <w:tcBorders>
                    <w:tl2br w:val="nil"/>
                    <w:tr2bl w:val="nil"/>
                  </w:tcBorders>
                  <w:vAlign w:val="center"/>
                </w:tcPr>
                <w:p w14:paraId="4832A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11</w:t>
                  </w:r>
                </w:p>
              </w:tc>
              <w:tc>
                <w:tcPr>
                  <w:tcW w:w="997" w:type="dxa"/>
                  <w:tcBorders>
                    <w:tl2br w:val="nil"/>
                    <w:tr2bl w:val="nil"/>
                  </w:tcBorders>
                  <w:vAlign w:val="center"/>
                </w:tcPr>
                <w:p w14:paraId="15220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3.06</w:t>
                  </w:r>
                </w:p>
              </w:tc>
              <w:tc>
                <w:tcPr>
                  <w:tcW w:w="999" w:type="dxa"/>
                  <w:tcBorders>
                    <w:tl2br w:val="nil"/>
                    <w:tr2bl w:val="nil"/>
                  </w:tcBorders>
                  <w:vAlign w:val="center"/>
                </w:tcPr>
                <w:p w14:paraId="415C8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130</w:t>
                  </w:r>
                </w:p>
              </w:tc>
            </w:tr>
            <w:tr w14:paraId="6756A6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9" w:type="dxa"/>
                  <w:vMerge w:val="continue"/>
                  <w:tcBorders>
                    <w:tl2br w:val="nil"/>
                    <w:tr2bl w:val="nil"/>
                  </w:tcBorders>
                  <w:vAlign w:val="center"/>
                </w:tcPr>
                <w:p w14:paraId="6410A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p>
              </w:tc>
              <w:tc>
                <w:tcPr>
                  <w:tcW w:w="1800" w:type="dxa"/>
                  <w:tcBorders>
                    <w:tl2br w:val="nil"/>
                    <w:tr2bl w:val="nil"/>
                  </w:tcBorders>
                  <w:vAlign w:val="center"/>
                </w:tcPr>
                <w:p w14:paraId="0DC8B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vertAlign w:val="baseline"/>
                      <w:lang w:val="en-US" w:eastAsia="zh-CN"/>
                    </w:rPr>
                    <w:t>排放量（t/a）</w:t>
                  </w:r>
                </w:p>
              </w:tc>
              <w:tc>
                <w:tcPr>
                  <w:tcW w:w="997" w:type="dxa"/>
                  <w:tcBorders>
                    <w:tl2br w:val="nil"/>
                    <w:tr2bl w:val="nil"/>
                  </w:tcBorders>
                  <w:vAlign w:val="center"/>
                </w:tcPr>
                <w:p w14:paraId="4B311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0.0011</w:t>
                  </w:r>
                </w:p>
              </w:tc>
              <w:tc>
                <w:tcPr>
                  <w:tcW w:w="997" w:type="dxa"/>
                  <w:tcBorders>
                    <w:tl2br w:val="nil"/>
                    <w:tr2bl w:val="nil"/>
                  </w:tcBorders>
                  <w:vAlign w:val="center"/>
                </w:tcPr>
                <w:p w14:paraId="7DBDD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0.00032</w:t>
                  </w:r>
                </w:p>
              </w:tc>
              <w:tc>
                <w:tcPr>
                  <w:tcW w:w="997" w:type="dxa"/>
                  <w:tcBorders>
                    <w:tl2br w:val="nil"/>
                    <w:tr2bl w:val="nil"/>
                  </w:tcBorders>
                  <w:vAlign w:val="center"/>
                </w:tcPr>
                <w:p w14:paraId="78D82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0.00027</w:t>
                  </w:r>
                </w:p>
              </w:tc>
              <w:tc>
                <w:tcPr>
                  <w:tcW w:w="997" w:type="dxa"/>
                  <w:tcBorders>
                    <w:tl2br w:val="nil"/>
                    <w:tr2bl w:val="nil"/>
                  </w:tcBorders>
                  <w:vAlign w:val="center"/>
                </w:tcPr>
                <w:p w14:paraId="556EB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0.00007</w:t>
                  </w:r>
                </w:p>
              </w:tc>
              <w:tc>
                <w:tcPr>
                  <w:tcW w:w="999" w:type="dxa"/>
                  <w:tcBorders>
                    <w:tl2br w:val="nil"/>
                    <w:tr2bl w:val="nil"/>
                  </w:tcBorders>
                  <w:vAlign w:val="center"/>
                </w:tcPr>
                <w:p w14:paraId="2EA1E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r>
            <w:tr w14:paraId="1F8AC9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29" w:type="dxa"/>
                  <w:gridSpan w:val="2"/>
                  <w:tcBorders>
                    <w:tl2br w:val="nil"/>
                    <w:tr2bl w:val="nil"/>
                  </w:tcBorders>
                  <w:vAlign w:val="center"/>
                </w:tcPr>
                <w:p w14:paraId="322050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《医疗机构水污染物排放标准》（GB18466-2005）表2中的预处理标准限值</w:t>
                  </w:r>
                </w:p>
              </w:tc>
              <w:tc>
                <w:tcPr>
                  <w:tcW w:w="997" w:type="dxa"/>
                  <w:tcBorders>
                    <w:tl2br w:val="nil"/>
                    <w:tr2bl w:val="nil"/>
                  </w:tcBorders>
                  <w:vAlign w:val="center"/>
                </w:tcPr>
                <w:p w14:paraId="38C4E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250</w:t>
                  </w:r>
                </w:p>
              </w:tc>
              <w:tc>
                <w:tcPr>
                  <w:tcW w:w="997" w:type="dxa"/>
                  <w:tcBorders>
                    <w:tl2br w:val="nil"/>
                    <w:tr2bl w:val="nil"/>
                  </w:tcBorders>
                  <w:vAlign w:val="center"/>
                </w:tcPr>
                <w:p w14:paraId="35C21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100</w:t>
                  </w:r>
                </w:p>
              </w:tc>
              <w:tc>
                <w:tcPr>
                  <w:tcW w:w="997" w:type="dxa"/>
                  <w:tcBorders>
                    <w:tl2br w:val="nil"/>
                    <w:tr2bl w:val="nil"/>
                  </w:tcBorders>
                  <w:vAlign w:val="center"/>
                </w:tcPr>
                <w:p w14:paraId="0DBF8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60</w:t>
                  </w:r>
                </w:p>
              </w:tc>
              <w:tc>
                <w:tcPr>
                  <w:tcW w:w="997" w:type="dxa"/>
                  <w:tcBorders>
                    <w:tl2br w:val="nil"/>
                    <w:tr2bl w:val="nil"/>
                  </w:tcBorders>
                  <w:vAlign w:val="center"/>
                </w:tcPr>
                <w:p w14:paraId="5ED6E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c>
                <w:tcPr>
                  <w:tcW w:w="999" w:type="dxa"/>
                  <w:tcBorders>
                    <w:tl2br w:val="nil"/>
                    <w:tr2bl w:val="nil"/>
                  </w:tcBorders>
                  <w:vAlign w:val="center"/>
                </w:tcPr>
                <w:p w14:paraId="769CE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5000</w:t>
                  </w:r>
                </w:p>
              </w:tc>
            </w:tr>
            <w:tr w14:paraId="2C207B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29" w:type="dxa"/>
                  <w:vMerge w:val="restart"/>
                  <w:tcBorders>
                    <w:top w:val="single" w:color="auto" w:sz="12" w:space="0"/>
                    <w:tl2br w:val="nil"/>
                    <w:tr2bl w:val="nil"/>
                  </w:tcBorders>
                  <w:vAlign w:val="center"/>
                </w:tcPr>
                <w:p w14:paraId="305F4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生活污水</w:t>
                  </w:r>
                </w:p>
              </w:tc>
              <w:tc>
                <w:tcPr>
                  <w:tcW w:w="1800" w:type="dxa"/>
                  <w:tcBorders>
                    <w:top w:val="single" w:color="auto" w:sz="12" w:space="0"/>
                    <w:tl2br w:val="nil"/>
                    <w:tr2bl w:val="nil"/>
                  </w:tcBorders>
                  <w:vAlign w:val="center"/>
                </w:tcPr>
                <w:p w14:paraId="3C8F6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lang w:val="en-US" w:eastAsia="zh-CN"/>
                    </w:rPr>
                    <w:t>产生浓度（mg/L）</w:t>
                  </w:r>
                </w:p>
              </w:tc>
              <w:tc>
                <w:tcPr>
                  <w:tcW w:w="997" w:type="dxa"/>
                  <w:tcBorders>
                    <w:top w:val="single" w:color="auto" w:sz="12" w:space="0"/>
                    <w:tl2br w:val="nil"/>
                    <w:tr2bl w:val="nil"/>
                  </w:tcBorders>
                  <w:vAlign w:val="center"/>
                </w:tcPr>
                <w:p w14:paraId="72805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460</w:t>
                  </w:r>
                </w:p>
              </w:tc>
              <w:tc>
                <w:tcPr>
                  <w:tcW w:w="997" w:type="dxa"/>
                  <w:tcBorders>
                    <w:top w:val="single" w:color="auto" w:sz="12" w:space="0"/>
                    <w:tl2br w:val="nil"/>
                    <w:tr2bl w:val="nil"/>
                  </w:tcBorders>
                  <w:vAlign w:val="center"/>
                </w:tcPr>
                <w:p w14:paraId="1FD40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c>
                <w:tcPr>
                  <w:tcW w:w="997" w:type="dxa"/>
                  <w:tcBorders>
                    <w:top w:val="single" w:color="auto" w:sz="12" w:space="0"/>
                    <w:tl2br w:val="nil"/>
                    <w:tr2bl w:val="nil"/>
                  </w:tcBorders>
                  <w:vAlign w:val="center"/>
                </w:tcPr>
                <w:p w14:paraId="31A35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c>
                <w:tcPr>
                  <w:tcW w:w="997" w:type="dxa"/>
                  <w:tcBorders>
                    <w:top w:val="single" w:color="auto" w:sz="12" w:space="0"/>
                    <w:tl2br w:val="nil"/>
                    <w:tr2bl w:val="nil"/>
                  </w:tcBorders>
                  <w:vAlign w:val="center"/>
                </w:tcPr>
                <w:p w14:paraId="6F033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52.2</w:t>
                  </w:r>
                </w:p>
              </w:tc>
              <w:tc>
                <w:tcPr>
                  <w:tcW w:w="999" w:type="dxa"/>
                  <w:tcBorders>
                    <w:top w:val="single" w:color="auto" w:sz="12" w:space="0"/>
                    <w:tl2br w:val="nil"/>
                    <w:tr2bl w:val="nil"/>
                  </w:tcBorders>
                  <w:vAlign w:val="center"/>
                </w:tcPr>
                <w:p w14:paraId="1BA7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r>
            <w:tr w14:paraId="47B6C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9" w:type="dxa"/>
                  <w:vMerge w:val="continue"/>
                  <w:tcBorders>
                    <w:tl2br w:val="nil"/>
                    <w:tr2bl w:val="nil"/>
                  </w:tcBorders>
                  <w:vAlign w:val="center"/>
                </w:tcPr>
                <w:p w14:paraId="7D58A1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p>
              </w:tc>
              <w:tc>
                <w:tcPr>
                  <w:tcW w:w="1800" w:type="dxa"/>
                  <w:tcBorders>
                    <w:tl2br w:val="nil"/>
                    <w:tr2bl w:val="nil"/>
                  </w:tcBorders>
                  <w:vAlign w:val="center"/>
                </w:tcPr>
                <w:p w14:paraId="331D7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产生量（t/a）</w:t>
                  </w:r>
                </w:p>
              </w:tc>
              <w:tc>
                <w:tcPr>
                  <w:tcW w:w="997" w:type="dxa"/>
                  <w:tcBorders>
                    <w:tl2br w:val="nil"/>
                    <w:tr2bl w:val="nil"/>
                  </w:tcBorders>
                  <w:vAlign w:val="center"/>
                </w:tcPr>
                <w:p w14:paraId="00DAC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0.0832</w:t>
                  </w:r>
                </w:p>
              </w:tc>
              <w:tc>
                <w:tcPr>
                  <w:tcW w:w="997" w:type="dxa"/>
                  <w:tcBorders>
                    <w:tl2br w:val="nil"/>
                    <w:tr2bl w:val="nil"/>
                  </w:tcBorders>
                  <w:vAlign w:val="center"/>
                </w:tcPr>
                <w:p w14:paraId="7563FF9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cs="Times New Roman" w:eastAsiaTheme="minorEastAsia"/>
                      <w:b w:val="0"/>
                      <w:bCs/>
                      <w:color w:val="auto"/>
                      <w:sz w:val="21"/>
                      <w:szCs w:val="21"/>
                      <w:vertAlign w:val="baseline"/>
                      <w:lang w:val="en-US" w:eastAsia="zh-CN"/>
                    </w:rPr>
                  </w:pPr>
                </w:p>
              </w:tc>
              <w:tc>
                <w:tcPr>
                  <w:tcW w:w="997" w:type="dxa"/>
                  <w:tcBorders>
                    <w:tl2br w:val="nil"/>
                    <w:tr2bl w:val="nil"/>
                  </w:tcBorders>
                  <w:vAlign w:val="center"/>
                </w:tcPr>
                <w:p w14:paraId="5596DBA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cs="Times New Roman" w:eastAsiaTheme="minorEastAsia"/>
                      <w:b w:val="0"/>
                      <w:bCs/>
                      <w:color w:val="auto"/>
                      <w:sz w:val="21"/>
                      <w:szCs w:val="21"/>
                      <w:vertAlign w:val="baseline"/>
                      <w:lang w:val="en-US" w:eastAsia="zh-CN"/>
                    </w:rPr>
                  </w:pPr>
                </w:p>
              </w:tc>
              <w:tc>
                <w:tcPr>
                  <w:tcW w:w="997" w:type="dxa"/>
                  <w:tcBorders>
                    <w:tl2br w:val="nil"/>
                    <w:tr2bl w:val="nil"/>
                  </w:tcBorders>
                  <w:vAlign w:val="center"/>
                </w:tcPr>
                <w:p w14:paraId="2AAD9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0.0094</w:t>
                  </w:r>
                </w:p>
              </w:tc>
              <w:tc>
                <w:tcPr>
                  <w:tcW w:w="999" w:type="dxa"/>
                  <w:tcBorders>
                    <w:tl2br w:val="nil"/>
                    <w:tr2bl w:val="nil"/>
                  </w:tcBorders>
                  <w:vAlign w:val="center"/>
                </w:tcPr>
                <w:p w14:paraId="4EBBFD1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cs="Times New Roman" w:eastAsiaTheme="minorEastAsia"/>
                      <w:b w:val="0"/>
                      <w:bCs/>
                      <w:color w:val="auto"/>
                      <w:sz w:val="21"/>
                      <w:szCs w:val="21"/>
                      <w:vertAlign w:val="baseline"/>
                      <w:lang w:val="en-US" w:eastAsia="zh-CN"/>
                    </w:rPr>
                  </w:pPr>
                </w:p>
              </w:tc>
            </w:tr>
            <w:tr w14:paraId="3EE9EC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9" w:type="dxa"/>
                  <w:vMerge w:val="restart"/>
                  <w:tcBorders>
                    <w:tl2br w:val="nil"/>
                    <w:tr2bl w:val="nil"/>
                  </w:tcBorders>
                  <w:vAlign w:val="center"/>
                </w:tcPr>
                <w:p w14:paraId="619E7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综合废水</w:t>
                  </w:r>
                </w:p>
              </w:tc>
              <w:tc>
                <w:tcPr>
                  <w:tcW w:w="1800" w:type="dxa"/>
                  <w:tcBorders>
                    <w:tl2br w:val="nil"/>
                    <w:tr2bl w:val="nil"/>
                  </w:tcBorders>
                  <w:vAlign w:val="center"/>
                </w:tcPr>
                <w:p w14:paraId="28949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排放浓度</w:t>
                  </w:r>
                </w:p>
              </w:tc>
              <w:tc>
                <w:tcPr>
                  <w:tcW w:w="997" w:type="dxa"/>
                  <w:tcBorders>
                    <w:tl2br w:val="nil"/>
                    <w:tr2bl w:val="nil"/>
                  </w:tcBorders>
                  <w:vAlign w:val="center"/>
                </w:tcPr>
                <w:p w14:paraId="43C59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i w:val="0"/>
                      <w:iCs w:val="0"/>
                      <w:color w:val="000000"/>
                      <w:kern w:val="0"/>
                      <w:sz w:val="21"/>
                      <w:szCs w:val="21"/>
                      <w:u w:val="none"/>
                      <w:lang w:val="en-US" w:eastAsia="zh-CN" w:bidi="ar"/>
                    </w:rPr>
                  </w:pPr>
                  <w:r>
                    <w:rPr>
                      <w:rFonts w:hint="default" w:ascii="Times New Roman" w:hAnsi="Times New Roman" w:cs="Times New Roman" w:eastAsiaTheme="minorEastAsia"/>
                      <w:b w:val="0"/>
                      <w:bCs/>
                      <w:i w:val="0"/>
                      <w:iCs w:val="0"/>
                      <w:color w:val="000000"/>
                      <w:kern w:val="0"/>
                      <w:sz w:val="21"/>
                      <w:szCs w:val="21"/>
                      <w:u w:val="none"/>
                      <w:lang w:val="en-US" w:eastAsia="zh-CN" w:bidi="ar"/>
                    </w:rPr>
                    <w:t>405</w:t>
                  </w:r>
                </w:p>
              </w:tc>
              <w:tc>
                <w:tcPr>
                  <w:tcW w:w="997" w:type="dxa"/>
                  <w:tcBorders>
                    <w:tl2br w:val="nil"/>
                    <w:tr2bl w:val="nil"/>
                  </w:tcBorders>
                  <w:vAlign w:val="center"/>
                </w:tcPr>
                <w:p w14:paraId="73BB1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10</w:t>
                  </w:r>
                </w:p>
              </w:tc>
              <w:tc>
                <w:tcPr>
                  <w:tcW w:w="997" w:type="dxa"/>
                  <w:tcBorders>
                    <w:tl2br w:val="nil"/>
                    <w:tr2bl w:val="nil"/>
                  </w:tcBorders>
                  <w:vAlign w:val="center"/>
                </w:tcPr>
                <w:p w14:paraId="3BD17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16</w:t>
                  </w:r>
                </w:p>
              </w:tc>
              <w:tc>
                <w:tcPr>
                  <w:tcW w:w="997" w:type="dxa"/>
                  <w:tcBorders>
                    <w:tl2br w:val="nil"/>
                    <w:tr2bl w:val="nil"/>
                  </w:tcBorders>
                  <w:vAlign w:val="center"/>
                </w:tcPr>
                <w:p w14:paraId="1A5B3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45</w:t>
                  </w:r>
                </w:p>
              </w:tc>
              <w:tc>
                <w:tcPr>
                  <w:tcW w:w="999" w:type="dxa"/>
                  <w:tcBorders>
                    <w:tl2br w:val="nil"/>
                    <w:tr2bl w:val="nil"/>
                  </w:tcBorders>
                  <w:vAlign w:val="center"/>
                </w:tcPr>
                <w:p w14:paraId="72A2C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i w:val="0"/>
                      <w:iCs w:val="0"/>
                      <w:color w:val="000000"/>
                      <w:kern w:val="0"/>
                      <w:sz w:val="21"/>
                      <w:szCs w:val="21"/>
                      <w:u w:val="none"/>
                      <w:lang w:val="en-US" w:eastAsia="zh-CN" w:bidi="ar"/>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r>
            <w:tr w14:paraId="3C84CA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9" w:type="dxa"/>
                  <w:vMerge w:val="continue"/>
                  <w:tcBorders>
                    <w:tl2br w:val="nil"/>
                    <w:tr2bl w:val="nil"/>
                  </w:tcBorders>
                  <w:vAlign w:val="center"/>
                </w:tcPr>
                <w:p w14:paraId="3A0416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p>
              </w:tc>
              <w:tc>
                <w:tcPr>
                  <w:tcW w:w="1800" w:type="dxa"/>
                  <w:tcBorders>
                    <w:tl2br w:val="nil"/>
                    <w:tr2bl w:val="nil"/>
                  </w:tcBorders>
                  <w:vAlign w:val="center"/>
                </w:tcPr>
                <w:p w14:paraId="5ACEF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排放量</w:t>
                  </w:r>
                </w:p>
              </w:tc>
              <w:tc>
                <w:tcPr>
                  <w:tcW w:w="997" w:type="dxa"/>
                  <w:tcBorders>
                    <w:tl2br w:val="nil"/>
                    <w:tr2bl w:val="nil"/>
                  </w:tcBorders>
                  <w:vAlign w:val="center"/>
                </w:tcPr>
                <w:p w14:paraId="31F3A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i w:val="0"/>
                      <w:iCs w:val="0"/>
                      <w:color w:val="000000"/>
                      <w:kern w:val="0"/>
                      <w:sz w:val="21"/>
                      <w:szCs w:val="21"/>
                      <w:u w:val="none"/>
                      <w:lang w:val="en-US" w:eastAsia="zh-CN" w:bidi="ar"/>
                    </w:rPr>
                  </w:pPr>
                  <w:r>
                    <w:rPr>
                      <w:rFonts w:hint="default" w:ascii="Times New Roman" w:hAnsi="Times New Roman" w:cs="Times New Roman" w:eastAsiaTheme="minorEastAsia"/>
                      <w:b w:val="0"/>
                      <w:bCs/>
                      <w:i w:val="0"/>
                      <w:iCs w:val="0"/>
                      <w:color w:val="000000"/>
                      <w:kern w:val="0"/>
                      <w:sz w:val="21"/>
                      <w:szCs w:val="21"/>
                      <w:u w:val="none"/>
                      <w:lang w:val="en-US" w:eastAsia="zh-CN" w:bidi="ar"/>
                    </w:rPr>
                    <w:t>0.0875</w:t>
                  </w:r>
                </w:p>
              </w:tc>
              <w:tc>
                <w:tcPr>
                  <w:tcW w:w="997" w:type="dxa"/>
                  <w:tcBorders>
                    <w:tl2br w:val="nil"/>
                    <w:tr2bl w:val="nil"/>
                  </w:tcBorders>
                  <w:vAlign w:val="center"/>
                </w:tcPr>
                <w:p w14:paraId="390BB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0.00222</w:t>
                  </w:r>
                </w:p>
              </w:tc>
              <w:tc>
                <w:tcPr>
                  <w:tcW w:w="997" w:type="dxa"/>
                  <w:tcBorders>
                    <w:tl2br w:val="nil"/>
                    <w:tr2bl w:val="nil"/>
                  </w:tcBorders>
                  <w:vAlign w:val="center"/>
                </w:tcPr>
                <w:p w14:paraId="090F2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0.00347</w:t>
                  </w:r>
                </w:p>
              </w:tc>
              <w:tc>
                <w:tcPr>
                  <w:tcW w:w="997" w:type="dxa"/>
                  <w:tcBorders>
                    <w:tl2br w:val="nil"/>
                    <w:tr2bl w:val="nil"/>
                  </w:tcBorders>
                  <w:vAlign w:val="center"/>
                </w:tcPr>
                <w:p w14:paraId="6904C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0.00977</w:t>
                  </w:r>
                </w:p>
              </w:tc>
              <w:tc>
                <w:tcPr>
                  <w:tcW w:w="999" w:type="dxa"/>
                  <w:tcBorders>
                    <w:tl2br w:val="nil"/>
                    <w:tr2bl w:val="nil"/>
                  </w:tcBorders>
                  <w:vAlign w:val="center"/>
                </w:tcPr>
                <w:p w14:paraId="173D6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i w:val="0"/>
                      <w:iCs w:val="0"/>
                      <w:color w:val="000000"/>
                      <w:kern w:val="0"/>
                      <w:sz w:val="21"/>
                      <w:szCs w:val="21"/>
                      <w:u w:val="none"/>
                      <w:lang w:val="en-US" w:eastAsia="zh-CN" w:bidi="ar"/>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r>
            <w:tr w14:paraId="32FF6B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29" w:type="dxa"/>
                  <w:gridSpan w:val="2"/>
                  <w:tcBorders>
                    <w:tl2br w:val="nil"/>
                    <w:tr2bl w:val="nil"/>
                  </w:tcBorders>
                  <w:vAlign w:val="center"/>
                </w:tcPr>
                <w:p w14:paraId="298CB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综合废水执行标准限值</w:t>
                  </w:r>
                </w:p>
              </w:tc>
              <w:tc>
                <w:tcPr>
                  <w:tcW w:w="997" w:type="dxa"/>
                  <w:tcBorders>
                    <w:tl2br w:val="nil"/>
                    <w:tr2bl w:val="nil"/>
                  </w:tcBorders>
                  <w:vAlign w:val="center"/>
                </w:tcPr>
                <w:p w14:paraId="2D171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i w:val="0"/>
                      <w:iCs w:val="0"/>
                      <w:color w:val="000000"/>
                      <w:kern w:val="0"/>
                      <w:sz w:val="21"/>
                      <w:szCs w:val="21"/>
                      <w:u w:val="none"/>
                      <w:lang w:val="en-US" w:eastAsia="zh-CN" w:bidi="ar"/>
                    </w:rPr>
                  </w:pPr>
                  <w:r>
                    <w:rPr>
                      <w:rFonts w:hint="default" w:ascii="Times New Roman" w:hAnsi="Times New Roman" w:cs="Times New Roman" w:eastAsiaTheme="minorEastAsia"/>
                      <w:b w:val="0"/>
                      <w:bCs/>
                      <w:i w:val="0"/>
                      <w:iCs w:val="0"/>
                      <w:color w:val="000000"/>
                      <w:kern w:val="0"/>
                      <w:sz w:val="21"/>
                      <w:szCs w:val="21"/>
                      <w:u w:val="none"/>
                      <w:lang w:val="en-US" w:eastAsia="zh-CN" w:bidi="ar"/>
                    </w:rPr>
                    <w:t>300</w:t>
                  </w:r>
                </w:p>
              </w:tc>
              <w:tc>
                <w:tcPr>
                  <w:tcW w:w="997" w:type="dxa"/>
                  <w:tcBorders>
                    <w:tl2br w:val="nil"/>
                    <w:tr2bl w:val="nil"/>
                  </w:tcBorders>
                  <w:vAlign w:val="center"/>
                </w:tcPr>
                <w:p w14:paraId="1B70F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150</w:t>
                  </w:r>
                </w:p>
              </w:tc>
              <w:tc>
                <w:tcPr>
                  <w:tcW w:w="997" w:type="dxa"/>
                  <w:tcBorders>
                    <w:tl2br w:val="nil"/>
                    <w:tr2bl w:val="nil"/>
                  </w:tcBorders>
                  <w:vAlign w:val="center"/>
                </w:tcPr>
                <w:p w14:paraId="1ABE2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250</w:t>
                  </w:r>
                </w:p>
              </w:tc>
              <w:tc>
                <w:tcPr>
                  <w:tcW w:w="997" w:type="dxa"/>
                  <w:tcBorders>
                    <w:tl2br w:val="nil"/>
                    <w:tr2bl w:val="nil"/>
                  </w:tcBorders>
                  <w:vAlign w:val="center"/>
                </w:tcPr>
                <w:p w14:paraId="61B79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i w:val="0"/>
                      <w:iCs w:val="0"/>
                      <w:color w:val="000000"/>
                      <w:kern w:val="0"/>
                      <w:sz w:val="21"/>
                      <w:szCs w:val="21"/>
                      <w:u w:val="none"/>
                      <w:lang w:val="en-US" w:eastAsia="zh-CN" w:bidi="ar"/>
                    </w:rPr>
                    <w:t>25</w:t>
                  </w:r>
                </w:p>
              </w:tc>
              <w:tc>
                <w:tcPr>
                  <w:tcW w:w="999" w:type="dxa"/>
                  <w:tcBorders>
                    <w:tl2br w:val="nil"/>
                    <w:tr2bl w:val="nil"/>
                  </w:tcBorders>
                  <w:vAlign w:val="center"/>
                </w:tcPr>
                <w:p w14:paraId="5033D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cs="Times New Roman" w:eastAsiaTheme="minorEastAsia"/>
                      <w:b w:val="0"/>
                      <w:bCs/>
                      <w:i w:val="0"/>
                      <w:iCs w:val="0"/>
                      <w:color w:val="000000"/>
                      <w:kern w:val="0"/>
                      <w:sz w:val="21"/>
                      <w:szCs w:val="21"/>
                      <w:u w:val="none"/>
                      <w:lang w:val="en-US" w:eastAsia="zh-CN" w:bidi="ar"/>
                    </w:rPr>
                  </w:pPr>
                  <w:r>
                    <w:rPr>
                      <w:rFonts w:hint="default" w:ascii="Times New Roman" w:hAnsi="Times New Roman" w:cs="Times New Roman" w:eastAsiaTheme="minorEastAsia"/>
                      <w:b w:val="0"/>
                      <w:bCs/>
                      <w:i w:val="0"/>
                      <w:iCs w:val="0"/>
                      <w:color w:val="000000"/>
                      <w:kern w:val="0"/>
                      <w:sz w:val="21"/>
                      <w:szCs w:val="21"/>
                      <w:u w:val="none"/>
                      <w:lang w:val="en-US" w:eastAsia="zh-CN" w:bidi="ar"/>
                    </w:rPr>
                    <w:t>/</w:t>
                  </w:r>
                </w:p>
              </w:tc>
            </w:tr>
          </w:tbl>
          <w:p w14:paraId="64FA81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2.</w:t>
            </w:r>
            <w:r>
              <w:rPr>
                <w:rFonts w:hint="eastAsia" w:ascii="Times New Roman" w:hAnsi="Times New Roman" w:cs="Times New Roman" w:eastAsiaTheme="minorEastAsia"/>
                <w:b/>
                <w:bCs/>
                <w:color w:val="auto"/>
                <w:sz w:val="24"/>
                <w:lang w:val="en-US" w:eastAsia="zh-CN"/>
              </w:rPr>
              <w:t>4</w:t>
            </w:r>
            <w:r>
              <w:rPr>
                <w:rFonts w:hint="default" w:ascii="Times New Roman" w:hAnsi="Times New Roman" w:cs="Times New Roman" w:eastAsiaTheme="minorEastAsia"/>
                <w:b/>
                <w:bCs/>
                <w:color w:val="auto"/>
                <w:sz w:val="24"/>
                <w:lang w:val="en-US" w:eastAsia="zh-CN"/>
              </w:rPr>
              <w:t>监测计划</w:t>
            </w:r>
          </w:p>
          <w:p w14:paraId="4129B2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参照《排污单位自行监测技术指南 总则》(HJ819-2017)，项目废水监测点位、监测因子及监测频次见下表。</w:t>
            </w:r>
          </w:p>
          <w:p w14:paraId="17E137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lang w:val="en-US" w:eastAsia="zh-CN"/>
              </w:rPr>
            </w:pPr>
            <w:r>
              <w:rPr>
                <w:rFonts w:hint="eastAsia" w:ascii="Times New Roman" w:hAnsi="Times New Roman" w:cs="Times New Roman" w:eastAsiaTheme="minorEastAsia"/>
                <w:b/>
                <w:color w:val="auto"/>
                <w:sz w:val="21"/>
                <w:szCs w:val="21"/>
                <w:lang w:val="en-US" w:eastAsia="zh-CN"/>
              </w:rPr>
              <w:t>表4-</w:t>
            </w:r>
            <w:r>
              <w:rPr>
                <w:rFonts w:hint="eastAsia" w:cs="Times New Roman" w:eastAsiaTheme="minorEastAsia"/>
                <w:b/>
                <w:color w:val="auto"/>
                <w:sz w:val="21"/>
                <w:szCs w:val="21"/>
                <w:lang w:val="en-US" w:eastAsia="zh-CN"/>
              </w:rPr>
              <w:t>7</w:t>
            </w:r>
            <w:r>
              <w:rPr>
                <w:rFonts w:hint="eastAsia" w:ascii="Times New Roman" w:hAnsi="Times New Roman" w:cs="Times New Roman" w:eastAsiaTheme="minorEastAsia"/>
                <w:b/>
                <w:color w:val="auto"/>
                <w:sz w:val="21"/>
                <w:szCs w:val="21"/>
                <w:lang w:val="en-US" w:eastAsia="zh-CN"/>
              </w:rPr>
              <w:t xml:space="preserve">   废水自行监测计划一览表</w:t>
            </w:r>
          </w:p>
          <w:tbl>
            <w:tblPr>
              <w:tblStyle w:val="23"/>
              <w:tblW w:w="4912"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366"/>
              <w:gridCol w:w="2111"/>
              <w:gridCol w:w="1201"/>
              <w:gridCol w:w="3131"/>
            </w:tblGrid>
            <w:tr w14:paraId="32F5C7F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59" w:hRule="atLeast"/>
                <w:jc w:val="center"/>
              </w:trPr>
              <w:tc>
                <w:tcPr>
                  <w:tcW w:w="874" w:type="pct"/>
                  <w:tcBorders>
                    <w:bottom w:val="single" w:color="auto" w:sz="12" w:space="0"/>
                  </w:tcBorders>
                  <w:shd w:val="clear" w:color="auto" w:fill="auto"/>
                  <w:tcMar>
                    <w:left w:w="0" w:type="dxa"/>
                    <w:right w:w="0" w:type="dxa"/>
                  </w:tcMar>
                  <w:vAlign w:val="center"/>
                </w:tcPr>
                <w:p w14:paraId="67146AA5">
                  <w:pPr>
                    <w:pStyle w:val="99"/>
                    <w:keepNext w:val="0"/>
                    <w:keepLines w:val="0"/>
                    <w:pageBreakBefore w:val="0"/>
                    <w:widowControl/>
                    <w:kinsoku/>
                    <w:wordWrap/>
                    <w:overflowPunct/>
                    <w:topLinePunct w:val="0"/>
                    <w:bidi w:val="0"/>
                    <w:adjustRightInd/>
                    <w:snapToGrid/>
                    <w:jc w:val="center"/>
                    <w:rPr>
                      <w:rFonts w:hint="default" w:ascii="Times New Roman" w:hAnsi="Times New Roman" w:cs="Times New Roman" w:eastAsiaTheme="minorEastAsia"/>
                      <w:b/>
                      <w:bCs/>
                      <w:kern w:val="0"/>
                      <w:sz w:val="21"/>
                      <w:szCs w:val="21"/>
                      <w:lang w:eastAsia="zh-CN"/>
                    </w:rPr>
                  </w:pPr>
                  <w:r>
                    <w:rPr>
                      <w:rFonts w:hint="default" w:ascii="Times New Roman" w:hAnsi="Times New Roman" w:cs="Times New Roman" w:eastAsiaTheme="minorEastAsia"/>
                      <w:b/>
                      <w:bCs/>
                      <w:kern w:val="0"/>
                      <w:sz w:val="21"/>
                      <w:szCs w:val="21"/>
                      <w:lang w:val="en-US" w:eastAsia="zh-CN"/>
                    </w:rPr>
                    <w:t>监测点位</w:t>
                  </w:r>
                </w:p>
              </w:tc>
              <w:tc>
                <w:tcPr>
                  <w:tcW w:w="1351" w:type="pct"/>
                  <w:tcBorders>
                    <w:bottom w:val="single" w:color="auto" w:sz="12" w:space="0"/>
                  </w:tcBorders>
                  <w:shd w:val="clear" w:color="auto" w:fill="auto"/>
                  <w:tcMar>
                    <w:left w:w="0" w:type="dxa"/>
                    <w:right w:w="0" w:type="dxa"/>
                  </w:tcMar>
                  <w:vAlign w:val="center"/>
                </w:tcPr>
                <w:p w14:paraId="6983336D">
                  <w:pPr>
                    <w:pStyle w:val="99"/>
                    <w:keepNext w:val="0"/>
                    <w:keepLines w:val="0"/>
                    <w:pageBreakBefore w:val="0"/>
                    <w:widowControl/>
                    <w:kinsoku/>
                    <w:wordWrap/>
                    <w:overflowPunct/>
                    <w:topLinePunct w:val="0"/>
                    <w:bidi w:val="0"/>
                    <w:adjustRightInd/>
                    <w:snapToGrid/>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监测指标</w:t>
                  </w:r>
                </w:p>
              </w:tc>
              <w:tc>
                <w:tcPr>
                  <w:tcW w:w="768" w:type="pct"/>
                  <w:tcBorders>
                    <w:bottom w:val="single" w:color="auto" w:sz="12" w:space="0"/>
                  </w:tcBorders>
                  <w:shd w:val="clear" w:color="auto" w:fill="auto"/>
                  <w:tcMar>
                    <w:left w:w="0" w:type="dxa"/>
                    <w:right w:w="0" w:type="dxa"/>
                  </w:tcMar>
                  <w:vAlign w:val="center"/>
                </w:tcPr>
                <w:p w14:paraId="7715F4B5">
                  <w:pPr>
                    <w:pStyle w:val="99"/>
                    <w:keepNext w:val="0"/>
                    <w:keepLines w:val="0"/>
                    <w:pageBreakBefore w:val="0"/>
                    <w:widowControl/>
                    <w:kinsoku/>
                    <w:wordWrap/>
                    <w:overflowPunct/>
                    <w:topLinePunct w:val="0"/>
                    <w:bidi w:val="0"/>
                    <w:adjustRightInd/>
                    <w:snapToGrid/>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监测频次</w:t>
                  </w:r>
                </w:p>
              </w:tc>
              <w:tc>
                <w:tcPr>
                  <w:tcW w:w="2005" w:type="pct"/>
                  <w:tcBorders>
                    <w:bottom w:val="single" w:color="auto" w:sz="12" w:space="0"/>
                  </w:tcBorders>
                  <w:shd w:val="clear" w:color="auto" w:fill="auto"/>
                  <w:tcMar>
                    <w:left w:w="0" w:type="dxa"/>
                    <w:right w:w="0" w:type="dxa"/>
                  </w:tcMar>
                  <w:vAlign w:val="center"/>
                </w:tcPr>
                <w:p w14:paraId="59D013F5">
                  <w:pPr>
                    <w:pStyle w:val="99"/>
                    <w:keepNext w:val="0"/>
                    <w:keepLines w:val="0"/>
                    <w:pageBreakBefore w:val="0"/>
                    <w:widowControl/>
                    <w:kinsoku/>
                    <w:wordWrap/>
                    <w:overflowPunct/>
                    <w:topLinePunct w:val="0"/>
                    <w:bidi w:val="0"/>
                    <w:adjustRightInd/>
                    <w:snapToGrid/>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执行标准</w:t>
                  </w:r>
                </w:p>
              </w:tc>
            </w:tr>
            <w:tr w14:paraId="62A612E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874" w:type="pct"/>
                  <w:tcBorders>
                    <w:top w:val="single" w:color="auto" w:sz="12" w:space="0"/>
                    <w:tl2br w:val="nil"/>
                    <w:tr2bl w:val="nil"/>
                  </w:tcBorders>
                  <w:shd w:val="clear" w:color="auto" w:fill="auto"/>
                  <w:tcMar>
                    <w:left w:w="0" w:type="dxa"/>
                    <w:right w:w="0" w:type="dxa"/>
                  </w:tcMar>
                  <w:vAlign w:val="center"/>
                </w:tcPr>
                <w:p w14:paraId="4BD458FE">
                  <w:pPr>
                    <w:pStyle w:val="99"/>
                    <w:keepNext w:val="0"/>
                    <w:keepLines w:val="0"/>
                    <w:pageBreakBefore w:val="0"/>
                    <w:widowControl/>
                    <w:kinsoku/>
                    <w:wordWrap/>
                    <w:overflowPunct/>
                    <w:topLinePunct w:val="0"/>
                    <w:bidi w:val="0"/>
                    <w:adjustRightInd/>
                    <w:snapToGrid/>
                    <w:jc w:val="center"/>
                    <w:rPr>
                      <w:rFonts w:hint="default" w:ascii="Times New Roman" w:hAnsi="Times New Roman" w:cs="Times New Roman" w:eastAsiaTheme="minorEastAsia"/>
                      <w:kern w:val="0"/>
                      <w:sz w:val="21"/>
                      <w:szCs w:val="21"/>
                      <w:lang w:val="en-US"/>
                    </w:rPr>
                  </w:pPr>
                  <w:r>
                    <w:rPr>
                      <w:rFonts w:hint="default" w:ascii="Times New Roman" w:hAnsi="Times New Roman" w:cs="Times New Roman" w:eastAsiaTheme="minorEastAsia"/>
                      <w:kern w:val="0"/>
                      <w:sz w:val="21"/>
                      <w:szCs w:val="21"/>
                      <w:lang w:val="en-US" w:eastAsia="zh-CN"/>
                    </w:rPr>
                    <w:t>医疗</w:t>
                  </w:r>
                  <w:r>
                    <w:rPr>
                      <w:rFonts w:hint="default" w:ascii="Times New Roman" w:hAnsi="Times New Roman" w:cs="Times New Roman" w:eastAsiaTheme="minorEastAsia"/>
                      <w:kern w:val="0"/>
                      <w:sz w:val="21"/>
                      <w:szCs w:val="21"/>
                    </w:rPr>
                    <w:t>废水</w:t>
                  </w:r>
                  <w:r>
                    <w:rPr>
                      <w:rFonts w:hint="default" w:ascii="Times New Roman" w:hAnsi="Times New Roman" w:cs="Times New Roman" w:eastAsiaTheme="minorEastAsia"/>
                      <w:kern w:val="0"/>
                      <w:sz w:val="21"/>
                      <w:szCs w:val="21"/>
                      <w:lang w:val="en-US" w:eastAsia="zh-CN"/>
                    </w:rPr>
                    <w:t>处理设施排放口DW001</w:t>
                  </w:r>
                </w:p>
              </w:tc>
              <w:tc>
                <w:tcPr>
                  <w:tcW w:w="1351" w:type="pct"/>
                  <w:tcBorders>
                    <w:top w:val="single" w:color="auto" w:sz="12" w:space="0"/>
                    <w:tl2br w:val="nil"/>
                    <w:tr2bl w:val="nil"/>
                  </w:tcBorders>
                  <w:shd w:val="clear" w:color="auto" w:fill="auto"/>
                  <w:tcMar>
                    <w:left w:w="0" w:type="dxa"/>
                    <w:right w:w="0" w:type="dxa"/>
                  </w:tcMar>
                  <w:vAlign w:val="center"/>
                </w:tcPr>
                <w:p w14:paraId="6CBBA1F3">
                  <w:pPr>
                    <w:keepNext w:val="0"/>
                    <w:keepLines w:val="0"/>
                    <w:pageBreakBefore w:val="0"/>
                    <w:suppressLineNumbers w:val="0"/>
                    <w:kinsoku/>
                    <w:wordWrap/>
                    <w:overflowPunct/>
                    <w:topLinePunct w:val="0"/>
                    <w:bidi w:val="0"/>
                    <w:adjustRightInd/>
                    <w:snapToGrid/>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lang w:val="en-US" w:eastAsia="zh-CN"/>
                    </w:rPr>
                    <w:t>pH、CODcr、BOD</w:t>
                  </w:r>
                  <w:r>
                    <w:rPr>
                      <w:rFonts w:hint="default" w:ascii="Times New Roman" w:hAnsi="Times New Roman" w:cs="Times New Roman" w:eastAsiaTheme="minorEastAsia"/>
                      <w:sz w:val="21"/>
                      <w:szCs w:val="21"/>
                      <w:vertAlign w:val="subscript"/>
                      <w:lang w:val="en-US" w:eastAsia="zh-CN"/>
                    </w:rPr>
                    <w:t>5</w:t>
                  </w:r>
                  <w:r>
                    <w:rPr>
                      <w:rFonts w:hint="default" w:ascii="Times New Roman" w:hAnsi="Times New Roman" w:cs="Times New Roman" w:eastAsiaTheme="minorEastAsia"/>
                      <w:sz w:val="21"/>
                      <w:szCs w:val="21"/>
                      <w:lang w:val="en-US" w:eastAsia="zh-CN"/>
                    </w:rPr>
                    <w:t>、NH</w:t>
                  </w:r>
                  <w:r>
                    <w:rPr>
                      <w:rFonts w:hint="default" w:ascii="Times New Roman" w:hAnsi="Times New Roman" w:cs="Times New Roman" w:eastAsiaTheme="minorEastAsia"/>
                      <w:sz w:val="21"/>
                      <w:szCs w:val="21"/>
                      <w:vertAlign w:val="subscript"/>
                      <w:lang w:val="en-US" w:eastAsia="zh-CN"/>
                    </w:rPr>
                    <w:t>3</w:t>
                  </w:r>
                  <w:r>
                    <w:rPr>
                      <w:rFonts w:hint="default" w:ascii="Times New Roman" w:hAnsi="Times New Roman" w:cs="Times New Roman" w:eastAsiaTheme="minorEastAsia"/>
                      <w:sz w:val="21"/>
                      <w:szCs w:val="21"/>
                      <w:lang w:val="en-US" w:eastAsia="zh-CN"/>
                    </w:rPr>
                    <w:t>-N、SS、LAS、粪大肠菌群</w:t>
                  </w:r>
                </w:p>
              </w:tc>
              <w:tc>
                <w:tcPr>
                  <w:tcW w:w="768" w:type="pct"/>
                  <w:tcBorders>
                    <w:top w:val="single" w:color="auto" w:sz="12" w:space="0"/>
                    <w:tl2br w:val="nil"/>
                    <w:tr2bl w:val="nil"/>
                  </w:tcBorders>
                  <w:shd w:val="clear" w:color="auto" w:fill="auto"/>
                  <w:tcMar>
                    <w:left w:w="0" w:type="dxa"/>
                    <w:right w:w="0" w:type="dxa"/>
                  </w:tcMar>
                  <w:vAlign w:val="center"/>
                </w:tcPr>
                <w:p w14:paraId="0DE12C99">
                  <w:pPr>
                    <w:pStyle w:val="99"/>
                    <w:keepNext w:val="0"/>
                    <w:keepLines w:val="0"/>
                    <w:pageBreakBefore w:val="0"/>
                    <w:widowControl/>
                    <w:kinsoku/>
                    <w:wordWrap/>
                    <w:overflowPunct/>
                    <w:topLinePunct w:val="0"/>
                    <w:bidi w:val="0"/>
                    <w:adjustRightInd/>
                    <w:snapToGrid/>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1次/年</w:t>
                  </w:r>
                </w:p>
              </w:tc>
              <w:tc>
                <w:tcPr>
                  <w:tcW w:w="2005" w:type="pct"/>
                  <w:vMerge w:val="restart"/>
                  <w:tcBorders>
                    <w:top w:val="single" w:color="auto" w:sz="12" w:space="0"/>
                    <w:tl2br w:val="nil"/>
                    <w:tr2bl w:val="nil"/>
                  </w:tcBorders>
                  <w:shd w:val="clear" w:color="auto" w:fill="auto"/>
                  <w:tcMar>
                    <w:left w:w="0" w:type="dxa"/>
                    <w:right w:w="0" w:type="dxa"/>
                  </w:tcMar>
                  <w:vAlign w:val="center"/>
                </w:tcPr>
                <w:p w14:paraId="213180A8">
                  <w:pPr>
                    <w:pStyle w:val="99"/>
                    <w:keepNext w:val="0"/>
                    <w:keepLines w:val="0"/>
                    <w:pageBreakBefore w:val="0"/>
                    <w:widowControl/>
                    <w:kinsoku/>
                    <w:wordWrap/>
                    <w:overflowPunct/>
                    <w:topLinePunct w:val="0"/>
                    <w:bidi w:val="0"/>
                    <w:adjustRightInd/>
                    <w:snapToGrid/>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《医疗机构水污染物排放标准》（GB18466-2005）表2中的预处理标准</w:t>
                  </w:r>
                </w:p>
              </w:tc>
            </w:tr>
            <w:tr w14:paraId="6F4352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35" w:hRule="atLeast"/>
                <w:jc w:val="center"/>
              </w:trPr>
              <w:tc>
                <w:tcPr>
                  <w:tcW w:w="874" w:type="pct"/>
                  <w:tcBorders>
                    <w:tl2br w:val="nil"/>
                    <w:tr2bl w:val="nil"/>
                  </w:tcBorders>
                  <w:shd w:val="clear" w:color="auto" w:fill="auto"/>
                  <w:tcMar>
                    <w:left w:w="0" w:type="dxa"/>
                    <w:right w:w="0" w:type="dxa"/>
                  </w:tcMar>
                  <w:vAlign w:val="center"/>
                </w:tcPr>
                <w:p w14:paraId="54B68247">
                  <w:pPr>
                    <w:keepNext w:val="0"/>
                    <w:keepLines w:val="0"/>
                    <w:pageBreakBefore w:val="0"/>
                    <w:suppressLineNumbers w:val="0"/>
                    <w:kinsoku/>
                    <w:wordWrap/>
                    <w:overflowPunct/>
                    <w:topLinePunct w:val="0"/>
                    <w:bidi w:val="0"/>
                    <w:adjustRightInd/>
                    <w:snapToGrid/>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val="en-US" w:eastAsia="zh-CN"/>
                    </w:rPr>
                    <w:t>综合废水</w:t>
                  </w:r>
                  <w:r>
                    <w:rPr>
                      <w:rFonts w:hint="default" w:ascii="Times New Roman" w:hAnsi="Times New Roman" w:cs="Times New Roman" w:eastAsiaTheme="minorEastAsia"/>
                      <w:kern w:val="0"/>
                      <w:sz w:val="21"/>
                      <w:szCs w:val="21"/>
                    </w:rPr>
                    <w:t>总排放口</w:t>
                  </w:r>
                  <w:r>
                    <w:rPr>
                      <w:rFonts w:hint="default" w:ascii="Times New Roman" w:hAnsi="Times New Roman" w:cs="Times New Roman" w:eastAsiaTheme="minorEastAsia"/>
                      <w:kern w:val="0"/>
                      <w:sz w:val="21"/>
                      <w:szCs w:val="21"/>
                      <w:lang w:val="en-US" w:eastAsia="zh-CN"/>
                    </w:rPr>
                    <w:t>DW002</w:t>
                  </w:r>
                </w:p>
              </w:tc>
              <w:tc>
                <w:tcPr>
                  <w:tcW w:w="1351" w:type="pct"/>
                  <w:tcBorders>
                    <w:tl2br w:val="nil"/>
                    <w:tr2bl w:val="nil"/>
                  </w:tcBorders>
                  <w:shd w:val="clear" w:color="auto" w:fill="auto"/>
                  <w:tcMar>
                    <w:left w:w="0" w:type="dxa"/>
                    <w:right w:w="0" w:type="dxa"/>
                  </w:tcMar>
                  <w:vAlign w:val="center"/>
                </w:tcPr>
                <w:p w14:paraId="40054888">
                  <w:pPr>
                    <w:keepNext w:val="0"/>
                    <w:keepLines w:val="0"/>
                    <w:pageBreakBefore w:val="0"/>
                    <w:suppressLineNumbers w:val="0"/>
                    <w:kinsoku/>
                    <w:wordWrap/>
                    <w:overflowPunct/>
                    <w:topLinePunct w:val="0"/>
                    <w:bidi w:val="0"/>
                    <w:adjustRightInd/>
                    <w:snapToGrid/>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lang w:val="en-US" w:eastAsia="zh-CN"/>
                    </w:rPr>
                    <w:t>pH、CODcr、BOD</w:t>
                  </w:r>
                  <w:r>
                    <w:rPr>
                      <w:rFonts w:hint="default" w:ascii="Times New Roman" w:hAnsi="Times New Roman" w:cs="Times New Roman" w:eastAsiaTheme="minorEastAsia"/>
                      <w:sz w:val="21"/>
                      <w:szCs w:val="21"/>
                      <w:vertAlign w:val="subscript"/>
                      <w:lang w:val="en-US" w:eastAsia="zh-CN"/>
                    </w:rPr>
                    <w:t>5</w:t>
                  </w:r>
                  <w:r>
                    <w:rPr>
                      <w:rFonts w:hint="default" w:ascii="Times New Roman" w:hAnsi="Times New Roman" w:cs="Times New Roman" w:eastAsiaTheme="minorEastAsia"/>
                      <w:sz w:val="21"/>
                      <w:szCs w:val="21"/>
                      <w:lang w:val="en-US" w:eastAsia="zh-CN"/>
                    </w:rPr>
                    <w:t>、NH</w:t>
                  </w:r>
                  <w:r>
                    <w:rPr>
                      <w:rFonts w:hint="default" w:ascii="Times New Roman" w:hAnsi="Times New Roman" w:cs="Times New Roman" w:eastAsiaTheme="minorEastAsia"/>
                      <w:sz w:val="21"/>
                      <w:szCs w:val="21"/>
                      <w:vertAlign w:val="subscript"/>
                      <w:lang w:val="en-US" w:eastAsia="zh-CN"/>
                    </w:rPr>
                    <w:t>3</w:t>
                  </w:r>
                  <w:r>
                    <w:rPr>
                      <w:rFonts w:hint="default" w:ascii="Times New Roman" w:hAnsi="Times New Roman" w:cs="Times New Roman" w:eastAsiaTheme="minorEastAsia"/>
                      <w:sz w:val="21"/>
                      <w:szCs w:val="21"/>
                      <w:lang w:val="en-US" w:eastAsia="zh-CN"/>
                    </w:rPr>
                    <w:t>-N、SS、LAS、粪大肠菌群</w:t>
                  </w:r>
                </w:p>
              </w:tc>
              <w:tc>
                <w:tcPr>
                  <w:tcW w:w="768" w:type="pct"/>
                  <w:tcBorders>
                    <w:tl2br w:val="nil"/>
                    <w:tr2bl w:val="nil"/>
                  </w:tcBorders>
                  <w:shd w:val="clear" w:color="auto" w:fill="auto"/>
                  <w:tcMar>
                    <w:left w:w="0" w:type="dxa"/>
                    <w:right w:w="0" w:type="dxa"/>
                  </w:tcMar>
                  <w:vAlign w:val="center"/>
                </w:tcPr>
                <w:p w14:paraId="089504D5">
                  <w:pPr>
                    <w:pStyle w:val="99"/>
                    <w:keepNext w:val="0"/>
                    <w:keepLines w:val="0"/>
                    <w:pageBreakBefore w:val="0"/>
                    <w:widowControl/>
                    <w:kinsoku/>
                    <w:wordWrap/>
                    <w:overflowPunct/>
                    <w:topLinePunct w:val="0"/>
                    <w:bidi w:val="0"/>
                    <w:adjustRightInd/>
                    <w:snapToGrid/>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1次/年</w:t>
                  </w:r>
                </w:p>
              </w:tc>
              <w:tc>
                <w:tcPr>
                  <w:tcW w:w="2005" w:type="pct"/>
                  <w:vMerge w:val="continue"/>
                  <w:tcBorders>
                    <w:tl2br w:val="nil"/>
                    <w:tr2bl w:val="nil"/>
                  </w:tcBorders>
                  <w:shd w:val="clear" w:color="auto" w:fill="auto"/>
                  <w:tcMar>
                    <w:left w:w="0" w:type="dxa"/>
                    <w:right w:w="0" w:type="dxa"/>
                  </w:tcMar>
                  <w:vAlign w:val="center"/>
                </w:tcPr>
                <w:p w14:paraId="22CF8276">
                  <w:pPr>
                    <w:keepNext w:val="0"/>
                    <w:keepLines w:val="0"/>
                    <w:pageBreakBefore w:val="0"/>
                    <w:suppressLineNumbers w:val="0"/>
                    <w:kinsoku/>
                    <w:wordWrap/>
                    <w:overflowPunct/>
                    <w:topLinePunct w:val="0"/>
                    <w:bidi w:val="0"/>
                    <w:adjustRightInd/>
                    <w:snapToGrid/>
                    <w:spacing w:before="0" w:beforeAutospacing="0" w:after="0" w:afterAutospacing="0"/>
                    <w:ind w:left="0" w:right="0"/>
                    <w:jc w:val="center"/>
                    <w:rPr>
                      <w:rFonts w:hint="default" w:ascii="Times New Roman" w:hAnsi="Times New Roman" w:cs="Times New Roman" w:eastAsiaTheme="minorEastAsia"/>
                      <w:sz w:val="21"/>
                      <w:szCs w:val="21"/>
                    </w:rPr>
                  </w:pPr>
                </w:p>
              </w:tc>
            </w:tr>
          </w:tbl>
          <w:p w14:paraId="285CE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2.</w:t>
            </w:r>
            <w:r>
              <w:rPr>
                <w:rFonts w:hint="eastAsia" w:cs="Times New Roman" w:eastAsiaTheme="minorEastAsia"/>
                <w:b/>
                <w:bCs/>
                <w:color w:val="auto"/>
                <w:sz w:val="24"/>
                <w:lang w:val="en-US" w:eastAsia="zh-CN"/>
              </w:rPr>
              <w:t>5</w:t>
            </w:r>
            <w:r>
              <w:rPr>
                <w:rFonts w:hint="default" w:ascii="Times New Roman" w:hAnsi="Times New Roman" w:cs="Times New Roman" w:eastAsiaTheme="minorEastAsia"/>
                <w:b/>
                <w:bCs/>
                <w:color w:val="auto"/>
                <w:sz w:val="24"/>
                <w:lang w:val="en-US" w:eastAsia="zh-CN"/>
              </w:rPr>
              <w:t>依托可行性分析</w:t>
            </w:r>
          </w:p>
          <w:p w14:paraId="4C5CBD5B">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阜西区污水处理厂于2016年6月6日取得《关于阜康市西部城区污水处理厂及配套管网工程环境影响报告书的批复》（新环函</w:t>
            </w:r>
            <w:r>
              <w:rPr>
                <w:rFonts w:hint="eastAsia" w:ascii="Times New Roman" w:hAnsi="Times New Roman" w:cs="Times New Roman" w:eastAsiaTheme="minorEastAsia"/>
                <w:b w:val="0"/>
                <w:color w:val="auto"/>
                <w:kern w:val="2"/>
                <w:sz w:val="24"/>
                <w:szCs w:val="24"/>
                <w:lang w:val="en-US" w:eastAsia="zh-CN" w:bidi="ar-SA"/>
              </w:rPr>
              <w:t>〔2016〕680号</w:t>
            </w:r>
            <w:r>
              <w:rPr>
                <w:rFonts w:hint="default" w:ascii="Times New Roman" w:hAnsi="Times New Roman" w:cs="Times New Roman" w:eastAsiaTheme="minorEastAsia"/>
                <w:b w:val="0"/>
                <w:color w:val="auto"/>
                <w:kern w:val="2"/>
                <w:sz w:val="24"/>
                <w:szCs w:val="24"/>
                <w:lang w:val="en-US" w:eastAsia="zh-CN" w:bidi="ar-SA"/>
              </w:rPr>
              <w:t>），于2016年建成，2018年5月31日完成验收，阜西区污水处理厂采用较为先进的污水处理工艺水解酸化+A2/0+MBR膜池，其设计规模为10万</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/d</w:t>
            </w:r>
            <w:r>
              <w:rPr>
                <w:rFonts w:hint="default" w:ascii="Times New Roman" w:hAnsi="Times New Roman" w:cs="Times New Roman" w:eastAsiaTheme="minorEastAsia"/>
                <w:b w:val="0"/>
                <w:color w:val="auto"/>
                <w:kern w:val="2"/>
                <w:sz w:val="24"/>
                <w:szCs w:val="24"/>
                <w:lang w:val="en-US" w:eastAsia="zh-CN" w:bidi="ar-SA"/>
              </w:rPr>
              <w:t>，目前日处理规模达到2万</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/d</w:t>
            </w:r>
            <w:r>
              <w:rPr>
                <w:rFonts w:hint="default" w:ascii="Times New Roman" w:hAnsi="Times New Roman" w:cs="Times New Roman" w:eastAsiaTheme="minorEastAsia"/>
                <w:b w:val="0"/>
                <w:color w:val="auto"/>
                <w:kern w:val="2"/>
                <w:sz w:val="24"/>
                <w:szCs w:val="24"/>
                <w:lang w:val="en-US" w:eastAsia="zh-CN" w:bidi="ar-SA"/>
              </w:rPr>
              <w:t>，排水管网与城区主下水管网接通后即可排水。</w:t>
            </w:r>
          </w:p>
          <w:p w14:paraId="621CBE96">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目前，污水处理厂处理量约为1.6万</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/d</w:t>
            </w:r>
            <w:r>
              <w:rPr>
                <w:rFonts w:hint="default" w:ascii="Times New Roman" w:hAnsi="Times New Roman" w:cs="Times New Roman" w:eastAsiaTheme="minorEastAsia"/>
                <w:b w:val="0"/>
                <w:color w:val="auto"/>
                <w:kern w:val="2"/>
                <w:sz w:val="24"/>
                <w:szCs w:val="24"/>
                <w:lang w:val="en-US" w:eastAsia="zh-CN" w:bidi="ar-SA"/>
              </w:rPr>
              <w:t>，本项目废水排放量0.</w:t>
            </w:r>
            <w:r>
              <w:rPr>
                <w:rFonts w:hint="eastAsia" w:ascii="Times New Roman" w:hAnsi="Times New Roman" w:cs="Times New Roman" w:eastAsiaTheme="minorEastAsia"/>
                <w:b w:val="0"/>
                <w:color w:val="auto"/>
                <w:kern w:val="2"/>
                <w:sz w:val="24"/>
                <w:szCs w:val="24"/>
                <w:lang w:val="en-US" w:eastAsia="zh-CN" w:bidi="ar-SA"/>
              </w:rPr>
              <w:t>66</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/d</w:t>
            </w:r>
            <w:r>
              <w:rPr>
                <w:rFonts w:hint="default" w:ascii="Times New Roman" w:hAnsi="Times New Roman" w:cs="Times New Roman" w:eastAsiaTheme="minorEastAsia"/>
                <w:b w:val="0"/>
                <w:color w:val="auto"/>
                <w:kern w:val="2"/>
                <w:sz w:val="24"/>
                <w:szCs w:val="24"/>
                <w:lang w:val="en-US" w:eastAsia="zh-CN" w:bidi="ar-SA"/>
              </w:rPr>
              <w:t>，阜西区污水处理厂完全有能力消纳本项目产生的污水。</w:t>
            </w:r>
          </w:p>
          <w:p w14:paraId="0A3E7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3.</w:t>
            </w:r>
            <w:r>
              <w:rPr>
                <w:rFonts w:hint="default" w:ascii="Times New Roman" w:hAnsi="Times New Roman" w:cs="Times New Roman" w:eastAsiaTheme="minorEastAsia"/>
                <w:b/>
                <w:bCs/>
                <w:color w:val="auto"/>
                <w:sz w:val="24"/>
                <w:lang w:val="en-US" w:eastAsia="zh-CN"/>
              </w:rPr>
              <w:t>噪</w:t>
            </w:r>
            <w:r>
              <w:rPr>
                <w:rFonts w:hint="default" w:ascii="Times New Roman" w:hAnsi="Times New Roman" w:cs="Times New Roman" w:eastAsiaTheme="minorEastAsia"/>
                <w:b/>
                <w:bCs/>
                <w:color w:val="auto"/>
                <w:sz w:val="24"/>
              </w:rPr>
              <w:t>声环境影响及保护措施</w:t>
            </w:r>
          </w:p>
          <w:p w14:paraId="079AB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3.1噪声源</w:t>
            </w:r>
          </w:p>
          <w:p w14:paraId="71D5DE18">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本项目运营过程中噪声源主要来自宠物的叫声、医疗设备的噪声等，具有不定时性和突发性。动物的叫声最高强度一般为60~75dB（A）</w:t>
            </w:r>
            <w:r>
              <w:rPr>
                <w:rFonts w:hint="eastAsia" w:ascii="Times New Roman" w:hAnsi="Times New Roman" w:cs="Times New Roman" w:eastAsiaTheme="minorEastAsia"/>
                <w:color w:val="auto"/>
                <w:sz w:val="24"/>
                <w:lang w:val="en-US" w:eastAsia="zh-CN"/>
              </w:rPr>
              <w:t>，宠物叫声采取隔声、合理喂食、加强管理、宠物嘴套等降噪措施</w:t>
            </w:r>
            <w:r>
              <w:rPr>
                <w:rFonts w:hint="default" w:ascii="Times New Roman" w:hAnsi="Times New Roman" w:cs="Times New Roman" w:eastAsiaTheme="minorEastAsia"/>
                <w:color w:val="auto"/>
                <w:sz w:val="24"/>
                <w:lang w:val="en-US" w:eastAsia="zh-CN"/>
              </w:rPr>
              <w:t>；医疗设备噪声源强一般为60~70dB（A），医疗设备采取</w:t>
            </w:r>
            <w:r>
              <w:rPr>
                <w:rFonts w:hint="eastAsia" w:ascii="Times New Roman" w:hAnsi="Times New Roman" w:cs="Times New Roman" w:eastAsiaTheme="minorEastAsia"/>
                <w:color w:val="auto"/>
                <w:sz w:val="24"/>
                <w:lang w:val="en-US" w:eastAsia="zh-CN"/>
              </w:rPr>
              <w:t>墙体隔声、吸声等</w:t>
            </w:r>
            <w:r>
              <w:rPr>
                <w:rFonts w:hint="default" w:ascii="Times New Roman" w:hAnsi="Times New Roman" w:cs="Times New Roman" w:eastAsiaTheme="minorEastAsia"/>
                <w:color w:val="auto"/>
                <w:sz w:val="24"/>
                <w:lang w:val="en-US" w:eastAsia="zh-CN"/>
              </w:rPr>
              <w:t>降噪措施。</w:t>
            </w:r>
          </w:p>
          <w:p w14:paraId="2224C00D">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项目各设备噪声及治理措施见表4-</w:t>
            </w:r>
            <w:r>
              <w:rPr>
                <w:rFonts w:hint="eastAsia" w:cs="Times New Roman" w:eastAsiaTheme="minorEastAsia"/>
                <w:color w:val="auto"/>
                <w:sz w:val="24"/>
                <w:lang w:val="en-US" w:eastAsia="zh-CN"/>
              </w:rPr>
              <w:t>8</w:t>
            </w:r>
            <w:r>
              <w:rPr>
                <w:rFonts w:hint="default" w:ascii="Times New Roman" w:hAnsi="Times New Roman" w:cs="Times New Roman" w:eastAsiaTheme="minorEastAsia"/>
                <w:color w:val="auto"/>
                <w:sz w:val="24"/>
                <w:lang w:val="en-US" w:eastAsia="zh-CN"/>
              </w:rPr>
              <w:t>。</w:t>
            </w:r>
          </w:p>
          <w:p w14:paraId="36C73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表</w:t>
            </w:r>
            <w:r>
              <w:rPr>
                <w:rFonts w:hint="default" w:ascii="Times New Roman" w:hAnsi="Times New Roman" w:cs="Times New Roman" w:eastAsiaTheme="minorEastAsia"/>
                <w:b/>
                <w:color w:val="auto"/>
                <w:sz w:val="21"/>
                <w:szCs w:val="21"/>
                <w:lang w:val="en-US" w:eastAsia="zh-CN"/>
              </w:rPr>
              <w:t>4-</w:t>
            </w:r>
            <w:r>
              <w:rPr>
                <w:rFonts w:hint="eastAsia" w:cs="Times New Roman" w:eastAsiaTheme="minorEastAsia"/>
                <w:b/>
                <w:color w:val="auto"/>
                <w:sz w:val="21"/>
                <w:szCs w:val="21"/>
                <w:lang w:val="en-US" w:eastAsia="zh-CN"/>
              </w:rPr>
              <w:t>8</w:t>
            </w:r>
            <w:r>
              <w:rPr>
                <w:rFonts w:hint="default" w:ascii="Times New Roman" w:hAnsi="Times New Roman" w:cs="Times New Roman" w:eastAsiaTheme="minorEastAsia"/>
                <w:b/>
                <w:color w:val="auto"/>
                <w:sz w:val="21"/>
                <w:szCs w:val="21"/>
                <w:lang w:val="en-US" w:eastAsia="zh-CN"/>
              </w:rPr>
              <w:t xml:space="preserve"> </w:t>
            </w:r>
            <w:r>
              <w:rPr>
                <w:rFonts w:hint="default" w:ascii="Times New Roman" w:hAnsi="Times New Roman" w:cs="Times New Roman" w:eastAsiaTheme="minorEastAsia"/>
                <w:b/>
                <w:color w:val="auto"/>
                <w:sz w:val="21"/>
                <w:szCs w:val="21"/>
              </w:rPr>
              <w:t xml:space="preserve">  本项目噪声源强一览表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134"/>
              <w:gridCol w:w="1404"/>
              <w:gridCol w:w="781"/>
              <w:gridCol w:w="1884"/>
              <w:gridCol w:w="1397"/>
            </w:tblGrid>
            <w:tr w14:paraId="24F7B0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pct"/>
                  <w:tcBorders>
                    <w:bottom w:val="single" w:color="000000" w:sz="12" w:space="0"/>
                    <w:tl2br w:val="nil"/>
                    <w:tr2bl w:val="nil"/>
                  </w:tcBorders>
                  <w:noWrap w:val="0"/>
                  <w:vAlign w:val="center"/>
                </w:tcPr>
                <w:p w14:paraId="70906933">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建筑物名称</w:t>
                  </w:r>
                </w:p>
              </w:tc>
              <w:tc>
                <w:tcPr>
                  <w:tcW w:w="713" w:type="pct"/>
                  <w:tcBorders>
                    <w:bottom w:val="single" w:color="000000" w:sz="12" w:space="0"/>
                    <w:tl2br w:val="nil"/>
                    <w:tr2bl w:val="nil"/>
                  </w:tcBorders>
                  <w:noWrap w:val="0"/>
                  <w:vAlign w:val="center"/>
                </w:tcPr>
                <w:p w14:paraId="5FDFF54D">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en-US" w:eastAsia="zh-CN"/>
                    </w:rPr>
                    <w:t>声源</w:t>
                  </w:r>
                  <w:r>
                    <w:rPr>
                      <w:rFonts w:hint="default" w:ascii="Times New Roman" w:hAnsi="Times New Roman" w:cs="Times New Roman" w:eastAsiaTheme="minorEastAsia"/>
                      <w:b/>
                      <w:bCs/>
                      <w:color w:val="auto"/>
                    </w:rPr>
                    <w:t>名称</w:t>
                  </w:r>
                </w:p>
              </w:tc>
              <w:tc>
                <w:tcPr>
                  <w:tcW w:w="883" w:type="pct"/>
                  <w:tcBorders>
                    <w:bottom w:val="single" w:color="000000" w:sz="12" w:space="0"/>
                    <w:tl2br w:val="nil"/>
                    <w:tr2bl w:val="nil"/>
                  </w:tcBorders>
                  <w:noWrap w:val="0"/>
                  <w:vAlign w:val="center"/>
                </w:tcPr>
                <w:p w14:paraId="618E068A">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源强dB（A）</w:t>
                  </w:r>
                </w:p>
              </w:tc>
              <w:tc>
                <w:tcPr>
                  <w:tcW w:w="491" w:type="pct"/>
                  <w:tcBorders>
                    <w:bottom w:val="single" w:color="000000" w:sz="12" w:space="0"/>
                    <w:tl2br w:val="nil"/>
                    <w:tr2bl w:val="nil"/>
                  </w:tcBorders>
                  <w:noWrap w:val="0"/>
                  <w:vAlign w:val="center"/>
                </w:tcPr>
                <w:p w14:paraId="253EA75F">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数量</w:t>
                  </w:r>
                </w:p>
              </w:tc>
              <w:tc>
                <w:tcPr>
                  <w:tcW w:w="1185" w:type="pct"/>
                  <w:tcBorders>
                    <w:bottom w:val="single" w:color="000000" w:sz="12" w:space="0"/>
                    <w:tl2br w:val="nil"/>
                    <w:tr2bl w:val="nil"/>
                  </w:tcBorders>
                  <w:noWrap w:val="0"/>
                  <w:vAlign w:val="center"/>
                </w:tcPr>
                <w:p w14:paraId="3B875E7D">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en-US" w:eastAsia="zh-CN"/>
                    </w:rPr>
                    <w:t>声源控制</w:t>
                  </w:r>
                  <w:r>
                    <w:rPr>
                      <w:rFonts w:hint="default" w:ascii="Times New Roman" w:hAnsi="Times New Roman" w:cs="Times New Roman" w:eastAsiaTheme="minorEastAsia"/>
                      <w:b/>
                      <w:bCs/>
                      <w:color w:val="auto"/>
                    </w:rPr>
                    <w:t>措施</w:t>
                  </w:r>
                </w:p>
              </w:tc>
              <w:tc>
                <w:tcPr>
                  <w:tcW w:w="879" w:type="pct"/>
                  <w:tcBorders>
                    <w:bottom w:val="single" w:color="000000" w:sz="12" w:space="0"/>
                    <w:tl2br w:val="nil"/>
                    <w:tr2bl w:val="nil"/>
                  </w:tcBorders>
                  <w:noWrap w:val="0"/>
                  <w:vAlign w:val="center"/>
                </w:tcPr>
                <w:p w14:paraId="40831B7E">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治理后噪声级dB（A）</w:t>
                  </w:r>
                </w:p>
              </w:tc>
            </w:tr>
            <w:tr w14:paraId="0A578E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46" w:type="pct"/>
                  <w:vMerge w:val="restart"/>
                  <w:tcBorders>
                    <w:top w:val="single" w:color="000000" w:sz="12" w:space="0"/>
                    <w:tl2br w:val="nil"/>
                    <w:tr2bl w:val="nil"/>
                  </w:tcBorders>
                  <w:noWrap w:val="0"/>
                  <w:vAlign w:val="center"/>
                </w:tcPr>
                <w:p w14:paraId="2324B7EA">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动物医院</w:t>
                  </w:r>
                </w:p>
              </w:tc>
              <w:tc>
                <w:tcPr>
                  <w:tcW w:w="713" w:type="pct"/>
                  <w:tcBorders>
                    <w:top w:val="single" w:color="000000" w:sz="12" w:space="0"/>
                    <w:tl2br w:val="nil"/>
                    <w:tr2bl w:val="nil"/>
                  </w:tcBorders>
                  <w:noWrap w:val="0"/>
                  <w:vAlign w:val="center"/>
                </w:tcPr>
                <w:p w14:paraId="62509265">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cs="Times New Roman" w:eastAsiaTheme="minorEastAsia"/>
                      <w:color w:val="auto"/>
                      <w:lang w:val="en-US" w:eastAsia="zh-CN"/>
                    </w:rPr>
                    <w:t>宠物</w:t>
                  </w:r>
                  <w:r>
                    <w:rPr>
                      <w:rFonts w:hint="default" w:ascii="Times New Roman" w:hAnsi="Times New Roman" w:cs="Times New Roman" w:eastAsiaTheme="minorEastAsia"/>
                      <w:color w:val="auto"/>
                      <w:lang w:val="en-US" w:eastAsia="zh-CN"/>
                    </w:rPr>
                    <w:t>叫声</w:t>
                  </w:r>
                </w:p>
              </w:tc>
              <w:tc>
                <w:tcPr>
                  <w:tcW w:w="883" w:type="pct"/>
                  <w:tcBorders>
                    <w:top w:val="single" w:color="000000" w:sz="12" w:space="0"/>
                    <w:tl2br w:val="nil"/>
                    <w:tr2bl w:val="nil"/>
                  </w:tcBorders>
                  <w:noWrap w:val="0"/>
                  <w:vAlign w:val="center"/>
                </w:tcPr>
                <w:p w14:paraId="4FFEEA6F">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highlight w:val="none"/>
                      <w:lang w:val="en-US" w:eastAsia="zh-CN"/>
                    </w:rPr>
                    <w:t>65</w:t>
                  </w:r>
                </w:p>
              </w:tc>
              <w:tc>
                <w:tcPr>
                  <w:tcW w:w="491" w:type="pct"/>
                  <w:tcBorders>
                    <w:top w:val="single" w:color="000000" w:sz="12" w:space="0"/>
                    <w:tl2br w:val="nil"/>
                    <w:tr2bl w:val="nil"/>
                  </w:tcBorders>
                  <w:noWrap w:val="0"/>
                  <w:vAlign w:val="center"/>
                </w:tcPr>
                <w:p w14:paraId="0ACFBEAC">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w:t>
                  </w:r>
                </w:p>
              </w:tc>
              <w:tc>
                <w:tcPr>
                  <w:tcW w:w="1185" w:type="pct"/>
                  <w:tcBorders>
                    <w:top w:val="single" w:color="000000" w:sz="12" w:space="0"/>
                    <w:tl2br w:val="nil"/>
                    <w:tr2bl w:val="nil"/>
                  </w:tcBorders>
                  <w:noWrap w:val="0"/>
                  <w:vAlign w:val="center"/>
                </w:tcPr>
                <w:p w14:paraId="2C9C2DD8">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cs="Times New Roman" w:eastAsiaTheme="minorEastAsia"/>
                      <w:color w:val="auto"/>
                      <w:lang w:val="en-US" w:eastAsia="zh-CN"/>
                    </w:rPr>
                    <w:t>隔声、合理喂食、加强管理、宠物嘴套等</w:t>
                  </w:r>
                </w:p>
              </w:tc>
              <w:tc>
                <w:tcPr>
                  <w:tcW w:w="879" w:type="pct"/>
                  <w:tcBorders>
                    <w:top w:val="single" w:color="000000" w:sz="12" w:space="0"/>
                    <w:tl2br w:val="nil"/>
                    <w:tr2bl w:val="nil"/>
                  </w:tcBorders>
                  <w:noWrap w:val="0"/>
                  <w:vAlign w:val="center"/>
                </w:tcPr>
                <w:p w14:paraId="6B37D4C1">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55</w:t>
                  </w:r>
                </w:p>
              </w:tc>
            </w:tr>
            <w:tr w14:paraId="04E865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846" w:type="pct"/>
                  <w:vMerge w:val="continue"/>
                  <w:tcBorders>
                    <w:tl2br w:val="nil"/>
                    <w:tr2bl w:val="nil"/>
                  </w:tcBorders>
                  <w:noWrap w:val="0"/>
                  <w:vAlign w:val="center"/>
                </w:tcPr>
                <w:p w14:paraId="208AD51D">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p>
              </w:tc>
              <w:tc>
                <w:tcPr>
                  <w:tcW w:w="713" w:type="pct"/>
                  <w:tcBorders>
                    <w:tl2br w:val="nil"/>
                    <w:tr2bl w:val="nil"/>
                  </w:tcBorders>
                  <w:noWrap w:val="0"/>
                  <w:vAlign w:val="center"/>
                </w:tcPr>
                <w:p w14:paraId="631DF340">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医疗设备</w:t>
                  </w:r>
                </w:p>
              </w:tc>
              <w:tc>
                <w:tcPr>
                  <w:tcW w:w="883" w:type="pct"/>
                  <w:tcBorders>
                    <w:tl2br w:val="nil"/>
                    <w:tr2bl w:val="nil"/>
                  </w:tcBorders>
                  <w:noWrap w:val="0"/>
                  <w:vAlign w:val="center"/>
                </w:tcPr>
                <w:p w14:paraId="09CC12A5">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highlight w:val="none"/>
                      <w:lang w:val="en-US"/>
                    </w:rPr>
                  </w:pPr>
                  <w:r>
                    <w:rPr>
                      <w:rFonts w:hint="default" w:ascii="Times New Roman" w:hAnsi="Times New Roman" w:cs="Times New Roman" w:eastAsiaTheme="minorEastAsia"/>
                      <w:color w:val="auto"/>
                      <w:highlight w:val="none"/>
                      <w:lang w:val="en-US" w:eastAsia="zh-CN"/>
                    </w:rPr>
                    <w:t>65</w:t>
                  </w:r>
                </w:p>
              </w:tc>
              <w:tc>
                <w:tcPr>
                  <w:tcW w:w="491" w:type="pct"/>
                  <w:tcBorders>
                    <w:tl2br w:val="nil"/>
                    <w:tr2bl w:val="nil"/>
                  </w:tcBorders>
                  <w:noWrap w:val="0"/>
                  <w:vAlign w:val="center"/>
                </w:tcPr>
                <w:p w14:paraId="7FF55A66">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cs="Times New Roman" w:eastAsiaTheme="minorEastAsia"/>
                      <w:color w:val="auto"/>
                      <w:lang w:val="en-US" w:eastAsia="zh-CN"/>
                    </w:rPr>
                    <w:t>4</w:t>
                  </w:r>
                  <w:r>
                    <w:rPr>
                      <w:rFonts w:hint="default" w:ascii="Times New Roman" w:hAnsi="Times New Roman" w:cs="Times New Roman" w:eastAsiaTheme="minorEastAsia"/>
                      <w:color w:val="auto"/>
                      <w:lang w:val="en-US" w:eastAsia="zh-CN"/>
                    </w:rPr>
                    <w:t>台</w:t>
                  </w:r>
                </w:p>
              </w:tc>
              <w:tc>
                <w:tcPr>
                  <w:tcW w:w="1185" w:type="pct"/>
                  <w:tcBorders>
                    <w:tl2br w:val="nil"/>
                    <w:tr2bl w:val="nil"/>
                  </w:tcBorders>
                  <w:noWrap w:val="0"/>
                  <w:vAlign w:val="center"/>
                </w:tcPr>
                <w:p w14:paraId="687B97D1">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eastAsia" w:cs="Times New Roman" w:eastAsiaTheme="minorEastAsia"/>
                      <w:color w:val="auto"/>
                      <w:lang w:val="en-US" w:eastAsia="zh-CN"/>
                    </w:rPr>
                    <w:t>墙体隔声、吸声等</w:t>
                  </w:r>
                </w:p>
              </w:tc>
              <w:tc>
                <w:tcPr>
                  <w:tcW w:w="879" w:type="pct"/>
                  <w:tcBorders>
                    <w:tl2br w:val="nil"/>
                    <w:tr2bl w:val="nil"/>
                  </w:tcBorders>
                  <w:noWrap w:val="0"/>
                  <w:vAlign w:val="center"/>
                </w:tcPr>
                <w:p w14:paraId="0C379356">
                  <w:pPr>
                    <w:pStyle w:val="64"/>
                    <w:keepNext w:val="0"/>
                    <w:keepLines w:val="0"/>
                    <w:suppressLineNumbers w:val="0"/>
                    <w:bidi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55</w:t>
                  </w:r>
                </w:p>
              </w:tc>
            </w:tr>
          </w:tbl>
          <w:p w14:paraId="2A64E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3.2预测方法</w:t>
            </w:r>
          </w:p>
          <w:p w14:paraId="1FB4F80D">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噪声源布置较为集中，其对厂界及声环境敏感目标的声环境影响采取《环境影响评价技术导则 声环境》（HJ2.4-2021）中的噪声预测模式。</w:t>
            </w:r>
          </w:p>
          <w:p w14:paraId="16601B56">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由于在声波传播的过程中，通过距离衰减到达厂界外，故实际衰减量要低于其预测衰减量，即实际噪声值将略低于其预测值。</w:t>
            </w:r>
          </w:p>
          <w:p w14:paraId="4AA5A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3.3噪声影响预测模式</w:t>
            </w:r>
          </w:p>
          <w:p w14:paraId="17E8AC5B">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（1）预测模型</w:t>
            </w:r>
          </w:p>
          <w:p w14:paraId="56B8EAFB">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本次评价采用《环境影响评价技术导则 声环境》（HJ2.4-2021）中推荐的模式进行预测，用 A声级计算，模式如下：</w:t>
            </w:r>
          </w:p>
          <w:p w14:paraId="25EB0972">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①按照无指向性点声源几何发散衰减进行计算</w:t>
            </w:r>
            <w:r>
              <w:rPr>
                <w:rFonts w:hint="eastAsia" w:ascii="Times New Roman" w:hAnsi="Times New Roman" w:cs="Times New Roman" w:eastAsiaTheme="minorEastAsia"/>
                <w:b w:val="0"/>
                <w:color w:val="auto"/>
                <w:kern w:val="2"/>
                <w:sz w:val="24"/>
                <w:szCs w:val="24"/>
                <w:lang w:val="en-US" w:eastAsia="zh-CN" w:bidi="ar-SA"/>
              </w:rPr>
              <w:t>：</w:t>
            </w:r>
          </w:p>
          <w:p w14:paraId="3E7B8C09">
            <w:pPr>
              <w:keepNext w:val="0"/>
              <w:keepLines w:val="0"/>
              <w:pageBreakBefore w:val="0"/>
              <w:widowControl w:val="0"/>
              <w:numPr>
                <w:ilvl w:val="0"/>
                <w:numId w:val="0"/>
              </w:numPr>
              <w:suppressLineNumbers w:val="0"/>
              <w:shd w:val="clear" w:color="auto" w:fill="auto"/>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cs="Times New Roman" w:eastAsiaTheme="minorEastAsia"/>
                <w:b w:val="0"/>
                <w:bCs/>
                <w:color w:val="auto"/>
                <w:sz w:val="24"/>
                <w:szCs w:val="24"/>
                <w:highlight w:val="none"/>
                <w:lang w:eastAsia="zh-CN"/>
              </w:rPr>
            </w:pPr>
            <w:r>
              <w:rPr>
                <w:rFonts w:hint="default" w:ascii="Times New Roman" w:hAnsi="Times New Roman" w:cs="Times New Roman" w:eastAsiaTheme="minorEastAsia"/>
                <w:color w:val="auto"/>
              </w:rPr>
              <w:drawing>
                <wp:inline distT="0" distB="0" distL="114300" distR="114300">
                  <wp:extent cx="2718435" cy="401320"/>
                  <wp:effectExtent l="0" t="0" r="5715" b="17780"/>
                  <wp:docPr id="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
                          <pic:cNvPicPr>
                            <a:picLocks noChangeAspect="1"/>
                          </pic:cNvPicPr>
                        </pic:nvPicPr>
                        <pic:blipFill>
                          <a:blip r:embed="rId8"/>
                          <a:stretch>
                            <a:fillRect/>
                          </a:stretch>
                        </pic:blipFill>
                        <pic:spPr>
                          <a:xfrm>
                            <a:off x="0" y="0"/>
                            <a:ext cx="2718435" cy="401320"/>
                          </a:xfrm>
                          <a:prstGeom prst="rect">
                            <a:avLst/>
                          </a:prstGeom>
                          <a:noFill/>
                          <a:ln>
                            <a:noFill/>
                          </a:ln>
                        </pic:spPr>
                      </pic:pic>
                    </a:graphicData>
                  </a:graphic>
                </wp:inline>
              </w:drawing>
            </w:r>
          </w:p>
          <w:p w14:paraId="7B937BC5">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式中：Lp（r）——预测点处声压级，dB（A）；</w:t>
            </w:r>
          </w:p>
          <w:p w14:paraId="68EB293A">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 xml:space="preserve">      Lp（r0）——参考位置r0处的声压级，dB（A）；</w:t>
            </w:r>
          </w:p>
          <w:p w14:paraId="3FE98493">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 xml:space="preserve">      r ——预测点距声源的距离，m；</w:t>
            </w:r>
          </w:p>
          <w:p w14:paraId="4F59FC3A">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 xml:space="preserve">      r0——参考位置距声源的距离，m。</w:t>
            </w:r>
          </w:p>
          <w:p w14:paraId="7F2CEF2A">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②由建设项目自身声源在预测点产生的声级，噪声贡献值（Leqg）计算公式：</w:t>
            </w:r>
          </w:p>
          <w:p w14:paraId="6CA247A8">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eastAsiaTheme="minorEastAsia"/>
                <w:b w:val="0"/>
                <w:bCs/>
                <w:color w:val="auto"/>
                <w:spacing w:val="-8"/>
                <w:sz w:val="24"/>
                <w:szCs w:val="24"/>
              </w:rPr>
            </w:pPr>
          </w:p>
          <w:p w14:paraId="7AC65E35">
            <w:pPr>
              <w:keepNext w:val="0"/>
              <w:keepLines w:val="0"/>
              <w:suppressLineNumbers w:val="0"/>
              <w:spacing w:before="69" w:beforeAutospacing="0" w:after="0" w:afterAutospacing="0" w:line="495" w:lineRule="exact"/>
              <w:ind w:left="0" w:right="0"/>
              <w:jc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position w:val="-9"/>
              </w:rPr>
              <w:drawing>
                <wp:inline distT="0" distB="0" distL="0" distR="0">
                  <wp:extent cx="2636520" cy="396875"/>
                  <wp:effectExtent l="0" t="0" r="11430" b="31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2636520" cy="396875"/>
                          </a:xfrm>
                          <a:prstGeom prst="rect">
                            <a:avLst/>
                          </a:prstGeom>
                        </pic:spPr>
                      </pic:pic>
                    </a:graphicData>
                  </a:graphic>
                </wp:inline>
              </w:drawing>
            </w:r>
          </w:p>
          <w:p w14:paraId="21B6397D">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式中：Leqg——噪声贡献值，dB；</w:t>
            </w:r>
          </w:p>
          <w:p w14:paraId="64571350">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T——预测计算的时间段，秒；</w:t>
            </w:r>
          </w:p>
          <w:p w14:paraId="7F7B3E02">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ti——i声源在 T时段内的运行时间，秒；</w:t>
            </w:r>
          </w:p>
          <w:p w14:paraId="34556004">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LAi——i 声源在预测点产生的等效连续 A 声级，dB。</w:t>
            </w:r>
          </w:p>
          <w:p w14:paraId="106603B1">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③预测点的贡献值和背景值按能量叠加方法计算得到的声级。噪声预测值（Leq）计算公式：</w:t>
            </w:r>
          </w:p>
          <w:p w14:paraId="6FEB76A2">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714"/>
              <w:jc w:val="both"/>
              <w:textAlignment w:val="auto"/>
              <w:rPr>
                <w:rFonts w:hint="default" w:ascii="Times New Roman" w:hAnsi="Times New Roman" w:cs="Times New Roman" w:eastAsiaTheme="minorEastAsia"/>
                <w:b w:val="0"/>
                <w:bCs/>
                <w:color w:val="auto"/>
                <w:spacing w:val="-1"/>
                <w:sz w:val="24"/>
                <w:szCs w:val="24"/>
              </w:rPr>
            </w:pPr>
          </w:p>
          <w:p w14:paraId="71A65D4E">
            <w:pPr>
              <w:keepNext w:val="0"/>
              <w:keepLines w:val="0"/>
              <w:suppressLineNumbers w:val="0"/>
              <w:spacing w:before="23" w:beforeAutospacing="0" w:after="0" w:afterAutospacing="0" w:line="511" w:lineRule="exact"/>
              <w:ind w:left="0" w:right="0"/>
              <w:jc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position w:val="-10"/>
              </w:rPr>
              <w:drawing>
                <wp:inline distT="0" distB="0" distL="0" distR="0">
                  <wp:extent cx="2387600" cy="408305"/>
                  <wp:effectExtent l="0" t="0" r="12700" b="10795"/>
                  <wp:docPr id="32" name="IM 4"/>
                  <wp:cNvGraphicFramePr/>
                  <a:graphic xmlns:a="http://schemas.openxmlformats.org/drawingml/2006/main">
                    <a:graphicData uri="http://schemas.openxmlformats.org/drawingml/2006/picture">
                      <pic:pic xmlns:pic="http://schemas.openxmlformats.org/drawingml/2006/picture">
                        <pic:nvPicPr>
                          <pic:cNvPr id="32" name="IM 4"/>
                          <pic:cNvPicPr/>
                        </pic:nvPicPr>
                        <pic:blipFill>
                          <a:blip r:embed="rId10"/>
                          <a:stretch>
                            <a:fillRect/>
                          </a:stretch>
                        </pic:blipFill>
                        <pic:spPr>
                          <a:xfrm>
                            <a:off x="0" y="0"/>
                            <a:ext cx="2387600" cy="408305"/>
                          </a:xfrm>
                          <a:prstGeom prst="rect">
                            <a:avLst/>
                          </a:prstGeom>
                        </pic:spPr>
                      </pic:pic>
                    </a:graphicData>
                  </a:graphic>
                </wp:inline>
              </w:drawing>
            </w:r>
          </w:p>
          <w:p w14:paraId="743566F8">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式中：Leq——预测点的噪声预测值，dB；</w:t>
            </w:r>
          </w:p>
          <w:p w14:paraId="2B58D705">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Leqg——建设项目声源在预测点产生的噪声贡献值，dB；Leqb——预测点的背景噪声值，dB。</w:t>
            </w:r>
          </w:p>
          <w:p w14:paraId="252BBE49">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各噪声源距离厂界的距离如下表：</w:t>
            </w:r>
          </w:p>
          <w:p w14:paraId="6938F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表4-</w:t>
            </w:r>
            <w:r>
              <w:rPr>
                <w:rFonts w:hint="eastAsia" w:cs="Times New Roman" w:eastAsiaTheme="minorEastAsia"/>
                <w:b/>
                <w:color w:val="auto"/>
                <w:sz w:val="21"/>
                <w:szCs w:val="21"/>
                <w:lang w:val="en-US" w:eastAsia="zh-CN"/>
              </w:rPr>
              <w:t>9</w:t>
            </w:r>
            <w:r>
              <w:rPr>
                <w:rFonts w:hint="default" w:ascii="Times New Roman" w:hAnsi="Times New Roman" w:cs="Times New Roman" w:eastAsiaTheme="minorEastAsia"/>
                <w:b/>
                <w:color w:val="auto"/>
                <w:sz w:val="21"/>
                <w:szCs w:val="21"/>
              </w:rPr>
              <w:t xml:space="preserve">   本项目主要噪声源距离厂界及环境保护目标的距离</w:t>
            </w:r>
          </w:p>
          <w:tbl>
            <w:tblPr>
              <w:tblStyle w:val="94"/>
              <w:tblW w:w="4998" w:type="pct"/>
              <w:tblInd w:w="0" w:type="dxa"/>
              <w:tblBorders>
                <w:top w:val="single" w:color="000000" w:sz="18" w:space="0"/>
                <w:left w:val="none" w:color="auto" w:sz="0" w:space="0"/>
                <w:bottom w:val="single" w:color="000000" w:sz="18"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888"/>
              <w:gridCol w:w="2536"/>
              <w:gridCol w:w="2072"/>
              <w:gridCol w:w="2450"/>
            </w:tblGrid>
            <w:tr w14:paraId="51F72302">
              <w:tblPrEx>
                <w:tblBorders>
                  <w:top w:val="single" w:color="000000" w:sz="18" w:space="0"/>
                  <w:left w:val="none" w:color="auto" w:sz="0" w:space="0"/>
                  <w:bottom w:val="single" w:color="000000" w:sz="18"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59" w:type="pct"/>
                  <w:tcBorders>
                    <w:top w:val="single" w:color="000000" w:sz="12" w:space="0"/>
                    <w:bottom w:val="single" w:color="000000" w:sz="12" w:space="0"/>
                  </w:tcBorders>
                  <w:vAlign w:val="center"/>
                </w:tcPr>
                <w:p w14:paraId="4BE1EE1E">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pacing w:val="5"/>
                      <w:sz w:val="21"/>
                      <w:szCs w:val="21"/>
                    </w:rPr>
                    <w:t>序号</w:t>
                  </w:r>
                </w:p>
              </w:tc>
              <w:tc>
                <w:tcPr>
                  <w:tcW w:w="1595" w:type="pct"/>
                  <w:tcBorders>
                    <w:top w:val="single" w:color="000000" w:sz="12" w:space="0"/>
                    <w:bottom w:val="single" w:color="000000" w:sz="12" w:space="0"/>
                  </w:tcBorders>
                  <w:vAlign w:val="center"/>
                </w:tcPr>
                <w:p w14:paraId="44B4AE5F">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pacing w:val="3"/>
                      <w:sz w:val="21"/>
                      <w:szCs w:val="21"/>
                    </w:rPr>
                    <w:t>噪声源</w:t>
                  </w:r>
                </w:p>
              </w:tc>
              <w:tc>
                <w:tcPr>
                  <w:tcW w:w="1303" w:type="pct"/>
                  <w:tcBorders>
                    <w:top w:val="single" w:color="000000" w:sz="12" w:space="0"/>
                    <w:bottom w:val="single" w:color="000000" w:sz="12" w:space="0"/>
                  </w:tcBorders>
                  <w:vAlign w:val="center"/>
                </w:tcPr>
                <w:p w14:paraId="2166FA01">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lang w:eastAsia="zh-CN"/>
                    </w:rPr>
                  </w:pPr>
                  <w:r>
                    <w:rPr>
                      <w:rFonts w:hint="default" w:ascii="Times New Roman" w:hAnsi="Times New Roman" w:cs="Times New Roman" w:eastAsiaTheme="minorEastAsia"/>
                      <w:b/>
                      <w:bCs w:val="0"/>
                      <w:color w:val="auto"/>
                      <w:spacing w:val="5"/>
                      <w:position w:val="2"/>
                      <w:sz w:val="21"/>
                      <w:szCs w:val="21"/>
                    </w:rPr>
                    <w:t>厂界</w:t>
                  </w:r>
                  <w:r>
                    <w:rPr>
                      <w:rFonts w:hint="default" w:ascii="Times New Roman" w:hAnsi="Times New Roman" w:cs="Times New Roman" w:eastAsiaTheme="minorEastAsia"/>
                      <w:b/>
                      <w:bCs w:val="0"/>
                      <w:color w:val="auto"/>
                      <w:spacing w:val="5"/>
                      <w:position w:val="2"/>
                      <w:sz w:val="21"/>
                      <w:szCs w:val="21"/>
                      <w:lang w:eastAsia="zh-CN"/>
                    </w:rPr>
                    <w:t>（</w:t>
                  </w:r>
                  <w:r>
                    <w:rPr>
                      <w:rFonts w:hint="eastAsia" w:ascii="Times New Roman" w:hAnsi="Times New Roman" w:cs="Times New Roman" w:eastAsiaTheme="minorEastAsia"/>
                      <w:b/>
                      <w:bCs w:val="0"/>
                      <w:color w:val="auto"/>
                      <w:spacing w:val="5"/>
                      <w:position w:val="2"/>
                      <w:sz w:val="21"/>
                      <w:szCs w:val="21"/>
                      <w:lang w:val="en-US" w:eastAsia="zh-CN"/>
                    </w:rPr>
                    <w:t>m</w:t>
                  </w:r>
                  <w:r>
                    <w:rPr>
                      <w:rFonts w:hint="default" w:ascii="Times New Roman" w:hAnsi="Times New Roman" w:cs="Times New Roman" w:eastAsiaTheme="minorEastAsia"/>
                      <w:b/>
                      <w:bCs w:val="0"/>
                      <w:color w:val="auto"/>
                      <w:spacing w:val="5"/>
                      <w:position w:val="2"/>
                      <w:sz w:val="21"/>
                      <w:szCs w:val="21"/>
                      <w:lang w:eastAsia="zh-CN"/>
                    </w:rPr>
                    <w:t>）</w:t>
                  </w:r>
                </w:p>
              </w:tc>
              <w:tc>
                <w:tcPr>
                  <w:tcW w:w="1541" w:type="pct"/>
                  <w:tcBorders>
                    <w:top w:val="single" w:color="000000" w:sz="12" w:space="0"/>
                    <w:bottom w:val="single" w:color="000000" w:sz="12" w:space="0"/>
                  </w:tcBorders>
                  <w:vAlign w:val="center"/>
                </w:tcPr>
                <w:p w14:paraId="682BF789">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lang w:eastAsia="zh-CN"/>
                    </w:rPr>
                  </w:pPr>
                  <w:r>
                    <w:rPr>
                      <w:rFonts w:hint="default" w:ascii="Times New Roman" w:hAnsi="Times New Roman" w:cs="Times New Roman" w:eastAsiaTheme="minorEastAsia"/>
                      <w:b/>
                      <w:bCs w:val="0"/>
                      <w:color w:val="auto"/>
                      <w:sz w:val="21"/>
                      <w:szCs w:val="21"/>
                      <w:vertAlign w:val="baseline"/>
                      <w:lang w:val="en-US" w:eastAsia="zh-CN"/>
                    </w:rPr>
                    <w:t>世纪花园住宅楼（</w:t>
                  </w:r>
                  <w:r>
                    <w:rPr>
                      <w:rFonts w:hint="eastAsia" w:ascii="Times New Roman" w:hAnsi="Times New Roman" w:cs="Times New Roman" w:eastAsiaTheme="minorEastAsia"/>
                      <w:b/>
                      <w:bCs w:val="0"/>
                      <w:color w:val="auto"/>
                      <w:sz w:val="21"/>
                      <w:szCs w:val="21"/>
                      <w:vertAlign w:val="baseline"/>
                      <w:lang w:val="en-US" w:eastAsia="zh-CN"/>
                    </w:rPr>
                    <w:t>m</w:t>
                  </w:r>
                  <w:r>
                    <w:rPr>
                      <w:rFonts w:hint="default" w:ascii="Times New Roman" w:hAnsi="Times New Roman" w:cs="Times New Roman" w:eastAsiaTheme="minorEastAsia"/>
                      <w:b/>
                      <w:bCs w:val="0"/>
                      <w:color w:val="auto"/>
                      <w:sz w:val="21"/>
                      <w:szCs w:val="21"/>
                      <w:vertAlign w:val="baseline"/>
                      <w:lang w:val="en-US" w:eastAsia="zh-CN"/>
                    </w:rPr>
                    <w:t>）</w:t>
                  </w:r>
                </w:p>
              </w:tc>
            </w:tr>
            <w:tr w14:paraId="08C20F95">
              <w:tblPrEx>
                <w:tblBorders>
                  <w:top w:val="single" w:color="000000" w:sz="18" w:space="0"/>
                  <w:left w:val="none" w:color="auto" w:sz="0" w:space="0"/>
                  <w:bottom w:val="single" w:color="000000" w:sz="18"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9" w:type="pct"/>
                  <w:tcBorders>
                    <w:top w:val="single" w:color="000000" w:sz="12" w:space="0"/>
                    <w:bottom w:val="single" w:color="000000" w:sz="4" w:space="0"/>
                  </w:tcBorders>
                  <w:vAlign w:val="center"/>
                </w:tcPr>
                <w:p w14:paraId="2F24B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1</w:t>
                  </w:r>
                </w:p>
              </w:tc>
              <w:tc>
                <w:tcPr>
                  <w:tcW w:w="1595" w:type="pct"/>
                  <w:tcBorders>
                    <w:top w:val="single" w:color="000000" w:sz="12" w:space="0"/>
                    <w:bottom w:val="single" w:color="000000" w:sz="4" w:space="0"/>
                  </w:tcBorders>
                  <w:vAlign w:val="center"/>
                </w:tcPr>
                <w:p w14:paraId="4317235C">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rPr>
                  </w:pPr>
                  <w:r>
                    <w:rPr>
                      <w:rFonts w:hint="eastAsia" w:ascii="Times New Roman" w:hAnsi="Times New Roman" w:cs="Times New Roman" w:eastAsiaTheme="minorEastAsia"/>
                      <w:b w:val="0"/>
                      <w:bCs/>
                      <w:color w:val="auto"/>
                      <w:spacing w:val="7"/>
                      <w:sz w:val="21"/>
                      <w:szCs w:val="21"/>
                      <w:lang w:val="en-US" w:eastAsia="zh-CN"/>
                    </w:rPr>
                    <w:t>宠物</w:t>
                  </w:r>
                  <w:r>
                    <w:rPr>
                      <w:rFonts w:hint="default" w:ascii="Times New Roman" w:hAnsi="Times New Roman" w:cs="Times New Roman" w:eastAsiaTheme="minorEastAsia"/>
                      <w:b w:val="0"/>
                      <w:bCs/>
                      <w:color w:val="auto"/>
                      <w:spacing w:val="7"/>
                      <w:sz w:val="21"/>
                      <w:szCs w:val="21"/>
                    </w:rPr>
                    <w:t>叫声</w:t>
                  </w:r>
                </w:p>
              </w:tc>
              <w:tc>
                <w:tcPr>
                  <w:tcW w:w="1303" w:type="pct"/>
                  <w:tcBorders>
                    <w:top w:val="single" w:color="000000" w:sz="12" w:space="0"/>
                    <w:bottom w:val="single" w:color="000000" w:sz="4" w:space="0"/>
                  </w:tcBorders>
                  <w:vAlign w:val="center"/>
                </w:tcPr>
                <w:p w14:paraId="74A48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pacing w:val="3"/>
                      <w:sz w:val="21"/>
                      <w:szCs w:val="21"/>
                      <w:lang w:val="en-US" w:eastAsia="zh-CN"/>
                    </w:rPr>
                    <w:t>3</w:t>
                  </w:r>
                </w:p>
              </w:tc>
              <w:tc>
                <w:tcPr>
                  <w:tcW w:w="1541" w:type="pct"/>
                  <w:tcBorders>
                    <w:top w:val="single" w:color="000000" w:sz="12" w:space="0"/>
                    <w:bottom w:val="single" w:color="000000" w:sz="4" w:space="0"/>
                  </w:tcBorders>
                  <w:vAlign w:val="center"/>
                </w:tcPr>
                <w:p w14:paraId="187FEB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eastAsiaTheme="minorEastAsia"/>
                      <w:b w:val="0"/>
                      <w:bCs/>
                      <w:color w:val="auto"/>
                      <w:spacing w:val="-4"/>
                      <w:sz w:val="21"/>
                      <w:szCs w:val="21"/>
                      <w:lang w:val="en-US" w:eastAsia="zh-CN"/>
                    </w:rPr>
                    <w:t>40</w:t>
                  </w:r>
                </w:p>
              </w:tc>
            </w:tr>
            <w:tr w14:paraId="6E42E762">
              <w:tblPrEx>
                <w:tblBorders>
                  <w:top w:val="single" w:color="000000" w:sz="18" w:space="0"/>
                  <w:left w:val="none" w:color="auto" w:sz="0" w:space="0"/>
                  <w:bottom w:val="single" w:color="000000" w:sz="18"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9" w:type="pct"/>
                  <w:tcBorders>
                    <w:top w:val="single" w:color="000000" w:sz="4" w:space="0"/>
                    <w:bottom w:val="single" w:color="000000" w:sz="12" w:space="0"/>
                  </w:tcBorders>
                  <w:vAlign w:val="center"/>
                </w:tcPr>
                <w:p w14:paraId="20824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2</w:t>
                  </w:r>
                </w:p>
              </w:tc>
              <w:tc>
                <w:tcPr>
                  <w:tcW w:w="1595" w:type="pct"/>
                  <w:tcBorders>
                    <w:top w:val="single" w:color="000000" w:sz="4" w:space="0"/>
                    <w:bottom w:val="single" w:color="000000" w:sz="12" w:space="0"/>
                  </w:tcBorders>
                  <w:vAlign w:val="center"/>
                </w:tcPr>
                <w:p w14:paraId="6A48FB21">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医疗设备</w:t>
                  </w:r>
                </w:p>
              </w:tc>
              <w:tc>
                <w:tcPr>
                  <w:tcW w:w="1303" w:type="pct"/>
                  <w:tcBorders>
                    <w:top w:val="single" w:color="000000" w:sz="4" w:space="0"/>
                    <w:bottom w:val="single" w:color="000000" w:sz="12" w:space="0"/>
                  </w:tcBorders>
                  <w:vAlign w:val="center"/>
                </w:tcPr>
                <w:p w14:paraId="2A6F7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val="en-US" w:eastAsia="zh-CN"/>
                    </w:rPr>
                    <w:t>3</w:t>
                  </w:r>
                </w:p>
              </w:tc>
              <w:tc>
                <w:tcPr>
                  <w:tcW w:w="1541" w:type="pct"/>
                  <w:tcBorders>
                    <w:top w:val="single" w:color="000000" w:sz="4" w:space="0"/>
                    <w:bottom w:val="single" w:color="000000" w:sz="12" w:space="0"/>
                  </w:tcBorders>
                  <w:vAlign w:val="center"/>
                </w:tcPr>
                <w:p w14:paraId="7F661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eastAsiaTheme="minorEastAsia"/>
                      <w:b w:val="0"/>
                      <w:bCs/>
                      <w:color w:val="auto"/>
                      <w:spacing w:val="1"/>
                      <w:sz w:val="21"/>
                      <w:szCs w:val="21"/>
                      <w:lang w:val="en-US" w:eastAsia="zh-CN"/>
                    </w:rPr>
                    <w:t>40</w:t>
                  </w:r>
                </w:p>
              </w:tc>
            </w:tr>
          </w:tbl>
          <w:p w14:paraId="288AFEB2">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（2）预测结果</w:t>
            </w:r>
          </w:p>
          <w:p w14:paraId="7013CE5E">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结合项目主要噪声源分布情况，项目夜间不营业，采用上述预测模式计算得到项目各厂界及声环境保护目标噪声预测结果见下表：</w:t>
            </w:r>
          </w:p>
          <w:p w14:paraId="5FA33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rPr>
              <w:t>表4-</w:t>
            </w:r>
            <w:r>
              <w:rPr>
                <w:rFonts w:hint="eastAsia" w:cs="Times New Roman" w:eastAsiaTheme="minorEastAsia"/>
                <w:b/>
                <w:color w:val="auto"/>
                <w:sz w:val="21"/>
                <w:szCs w:val="21"/>
                <w:lang w:val="en-US" w:eastAsia="zh-CN"/>
              </w:rPr>
              <w:t>10</w:t>
            </w:r>
            <w:r>
              <w:rPr>
                <w:rFonts w:hint="default" w:ascii="Times New Roman" w:hAnsi="Times New Roman" w:cs="Times New Roman" w:eastAsiaTheme="minorEastAsia"/>
                <w:b/>
                <w:color w:val="auto"/>
                <w:sz w:val="21"/>
                <w:szCs w:val="21"/>
              </w:rPr>
              <w:t xml:space="preserve">   项目厂界噪声排放预测结果   单位：dB</w:t>
            </w:r>
            <w:r>
              <w:rPr>
                <w:rFonts w:hint="default" w:ascii="Times New Roman" w:hAnsi="Times New Roman" w:cs="Times New Roman" w:eastAsiaTheme="minorEastAsia"/>
                <w:b/>
                <w:color w:val="auto"/>
                <w:sz w:val="21"/>
                <w:szCs w:val="21"/>
                <w:lang w:eastAsia="zh-CN"/>
              </w:rPr>
              <w:t>（</w:t>
            </w:r>
            <w:r>
              <w:rPr>
                <w:rFonts w:hint="default" w:ascii="Times New Roman" w:hAnsi="Times New Roman" w:cs="Times New Roman" w:eastAsiaTheme="minorEastAsia"/>
                <w:b/>
                <w:color w:val="auto"/>
                <w:sz w:val="21"/>
                <w:szCs w:val="21"/>
              </w:rPr>
              <w:t>A</w:t>
            </w:r>
            <w:r>
              <w:rPr>
                <w:rFonts w:hint="default" w:ascii="Times New Roman" w:hAnsi="Times New Roman" w:cs="Times New Roman" w:eastAsiaTheme="minorEastAsia"/>
                <w:b/>
                <w:color w:val="auto"/>
                <w:sz w:val="21"/>
                <w:szCs w:val="21"/>
                <w:lang w:eastAsia="zh-CN"/>
              </w:rPr>
              <w:t>）</w:t>
            </w:r>
          </w:p>
          <w:tbl>
            <w:tblPr>
              <w:tblStyle w:val="24"/>
              <w:tblW w:w="794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872"/>
              <w:gridCol w:w="1285"/>
              <w:gridCol w:w="1972"/>
              <w:gridCol w:w="1243"/>
              <w:gridCol w:w="1253"/>
            </w:tblGrid>
            <w:tr w14:paraId="55720C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bottom w:val="single" w:color="auto" w:sz="12" w:space="0"/>
                  </w:tcBorders>
                  <w:vAlign w:val="center"/>
                </w:tcPr>
                <w:p w14:paraId="316809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声源名称</w:t>
                  </w:r>
                </w:p>
              </w:tc>
              <w:tc>
                <w:tcPr>
                  <w:tcW w:w="872" w:type="dxa"/>
                  <w:tcBorders>
                    <w:bottom w:val="single" w:color="auto" w:sz="12" w:space="0"/>
                  </w:tcBorders>
                  <w:vAlign w:val="center"/>
                </w:tcPr>
                <w:p w14:paraId="1727E1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源强</w:t>
                  </w:r>
                </w:p>
              </w:tc>
              <w:tc>
                <w:tcPr>
                  <w:tcW w:w="1285" w:type="dxa"/>
                  <w:tcBorders>
                    <w:bottom w:val="single" w:color="auto" w:sz="12" w:space="0"/>
                  </w:tcBorders>
                  <w:vAlign w:val="center"/>
                </w:tcPr>
                <w:p w14:paraId="2BD47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隔声、吸声、减振量</w:t>
                  </w:r>
                </w:p>
              </w:tc>
              <w:tc>
                <w:tcPr>
                  <w:tcW w:w="1972" w:type="dxa"/>
                  <w:tcBorders>
                    <w:bottom w:val="single" w:color="auto" w:sz="12" w:space="0"/>
                  </w:tcBorders>
                  <w:vAlign w:val="center"/>
                </w:tcPr>
                <w:p w14:paraId="61E00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点位</w:t>
                  </w:r>
                </w:p>
              </w:tc>
              <w:tc>
                <w:tcPr>
                  <w:tcW w:w="1243" w:type="dxa"/>
                  <w:tcBorders>
                    <w:bottom w:val="single" w:color="auto" w:sz="12" w:space="0"/>
                  </w:tcBorders>
                  <w:vAlign w:val="center"/>
                </w:tcPr>
                <w:p w14:paraId="6405A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贡献值</w:t>
                  </w:r>
                </w:p>
              </w:tc>
              <w:tc>
                <w:tcPr>
                  <w:tcW w:w="1253" w:type="dxa"/>
                  <w:tcBorders>
                    <w:bottom w:val="single" w:color="auto" w:sz="12" w:space="0"/>
                  </w:tcBorders>
                  <w:vAlign w:val="center"/>
                </w:tcPr>
                <w:p w14:paraId="2E6449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标准</w:t>
                  </w:r>
                  <w:r>
                    <w:rPr>
                      <w:rFonts w:hint="eastAsia" w:ascii="Times New Roman" w:hAnsi="Times New Roman" w:cs="Times New Roman" w:eastAsiaTheme="minorEastAsia"/>
                      <w:b/>
                      <w:bCs w:val="0"/>
                      <w:color w:val="auto"/>
                      <w:sz w:val="21"/>
                      <w:szCs w:val="21"/>
                      <w:lang w:val="en-US" w:eastAsia="zh-CN"/>
                    </w:rPr>
                    <w:t>值</w:t>
                  </w:r>
                </w:p>
              </w:tc>
            </w:tr>
            <w:tr w14:paraId="75ECB5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restart"/>
                  <w:tcBorders>
                    <w:top w:val="single" w:color="auto" w:sz="12" w:space="0"/>
                    <w:tl2br w:val="nil"/>
                    <w:tr2bl w:val="nil"/>
                  </w:tcBorders>
                  <w:vAlign w:val="center"/>
                </w:tcPr>
                <w:p w14:paraId="5A00E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动物医院</w:t>
                  </w:r>
                </w:p>
              </w:tc>
              <w:tc>
                <w:tcPr>
                  <w:tcW w:w="872" w:type="dxa"/>
                  <w:vMerge w:val="restart"/>
                  <w:tcBorders>
                    <w:top w:val="single" w:color="auto" w:sz="12" w:space="0"/>
                    <w:tl2br w:val="nil"/>
                    <w:tr2bl w:val="nil"/>
                  </w:tcBorders>
                  <w:vAlign w:val="center"/>
                </w:tcPr>
                <w:p w14:paraId="40B6C6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65</w:t>
                  </w:r>
                </w:p>
              </w:tc>
              <w:tc>
                <w:tcPr>
                  <w:tcW w:w="1285" w:type="dxa"/>
                  <w:vMerge w:val="restart"/>
                  <w:tcBorders>
                    <w:top w:val="single" w:color="auto" w:sz="12" w:space="0"/>
                    <w:tl2br w:val="nil"/>
                    <w:tr2bl w:val="nil"/>
                  </w:tcBorders>
                  <w:vAlign w:val="center"/>
                </w:tcPr>
                <w:p w14:paraId="28D11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10</w:t>
                  </w:r>
                </w:p>
              </w:tc>
              <w:tc>
                <w:tcPr>
                  <w:tcW w:w="1972" w:type="dxa"/>
                  <w:tcBorders>
                    <w:top w:val="single" w:color="auto" w:sz="12" w:space="0"/>
                    <w:tl2br w:val="nil"/>
                    <w:tr2bl w:val="nil"/>
                  </w:tcBorders>
                  <w:vAlign w:val="center"/>
                </w:tcPr>
                <w:p w14:paraId="7125AE7D">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eastAsiaTheme="minorEastAsia"/>
                      <w:b w:val="0"/>
                      <w:bCs/>
                      <w:color w:val="auto"/>
                      <w:sz w:val="21"/>
                      <w:szCs w:val="21"/>
                      <w:vertAlign w:val="baseline"/>
                    </w:rPr>
                  </w:pPr>
                  <w:r>
                    <w:rPr>
                      <w:rFonts w:hint="default" w:ascii="Times New Roman" w:hAnsi="Times New Roman" w:cs="Times New Roman" w:eastAsiaTheme="minorEastAsia"/>
                      <w:b w:val="0"/>
                      <w:bCs/>
                      <w:color w:val="auto"/>
                      <w:sz w:val="21"/>
                      <w:szCs w:val="21"/>
                      <w:lang w:val="en-US" w:eastAsia="zh-CN"/>
                    </w:rPr>
                    <w:t>医院东南侧1</w:t>
                  </w:r>
                  <w:r>
                    <w:rPr>
                      <w:rFonts w:hint="eastAsia" w:cs="Times New Roman" w:eastAsiaTheme="minorEastAsia"/>
                      <w:b w:val="0"/>
                      <w:bCs/>
                      <w:color w:val="auto"/>
                      <w:sz w:val="21"/>
                      <w:szCs w:val="21"/>
                      <w:lang w:val="en-US" w:eastAsia="zh-CN"/>
                    </w:rPr>
                    <w:t>m</w:t>
                  </w:r>
                  <w:r>
                    <w:rPr>
                      <w:rFonts w:hint="default" w:ascii="Times New Roman" w:hAnsi="Times New Roman" w:cs="Times New Roman" w:eastAsiaTheme="minorEastAsia"/>
                      <w:b w:val="0"/>
                      <w:bCs/>
                      <w:color w:val="auto"/>
                      <w:sz w:val="21"/>
                      <w:szCs w:val="21"/>
                      <w:lang w:val="en-US" w:eastAsia="zh-CN"/>
                    </w:rPr>
                    <w:t>处</w:t>
                  </w:r>
                </w:p>
              </w:tc>
              <w:tc>
                <w:tcPr>
                  <w:tcW w:w="1243" w:type="dxa"/>
                  <w:tcBorders>
                    <w:top w:val="single" w:color="auto" w:sz="12" w:space="0"/>
                    <w:tl2br w:val="nil"/>
                    <w:tr2bl w:val="nil"/>
                  </w:tcBorders>
                  <w:vAlign w:val="center"/>
                </w:tcPr>
                <w:p w14:paraId="1EED6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47.2</w:t>
                  </w:r>
                </w:p>
              </w:tc>
              <w:tc>
                <w:tcPr>
                  <w:tcW w:w="1253" w:type="dxa"/>
                  <w:tcBorders>
                    <w:top w:val="single" w:color="auto" w:sz="12" w:space="0"/>
                    <w:tl2br w:val="nil"/>
                    <w:tr2bl w:val="nil"/>
                  </w:tcBorders>
                  <w:vAlign w:val="center"/>
                </w:tcPr>
                <w:p w14:paraId="6E8A8D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60</w:t>
                  </w:r>
                </w:p>
              </w:tc>
            </w:tr>
            <w:tr w14:paraId="2344E5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continue"/>
                  <w:tcBorders>
                    <w:tl2br w:val="nil"/>
                    <w:tr2bl w:val="nil"/>
                  </w:tcBorders>
                  <w:vAlign w:val="center"/>
                </w:tcPr>
                <w:p w14:paraId="030926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p>
              </w:tc>
              <w:tc>
                <w:tcPr>
                  <w:tcW w:w="872" w:type="dxa"/>
                  <w:vMerge w:val="continue"/>
                  <w:tcBorders>
                    <w:tl2br w:val="nil"/>
                    <w:tr2bl w:val="nil"/>
                  </w:tcBorders>
                  <w:vAlign w:val="center"/>
                </w:tcPr>
                <w:p w14:paraId="3C20A4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p>
              </w:tc>
              <w:tc>
                <w:tcPr>
                  <w:tcW w:w="1285" w:type="dxa"/>
                  <w:vMerge w:val="continue"/>
                  <w:tcBorders>
                    <w:tl2br w:val="nil"/>
                    <w:tr2bl w:val="nil"/>
                  </w:tcBorders>
                  <w:vAlign w:val="center"/>
                </w:tcPr>
                <w:p w14:paraId="28BDF2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p>
              </w:tc>
              <w:tc>
                <w:tcPr>
                  <w:tcW w:w="1972" w:type="dxa"/>
                  <w:tcBorders>
                    <w:tl2br w:val="nil"/>
                    <w:tr2bl w:val="nil"/>
                  </w:tcBorders>
                  <w:vAlign w:val="center"/>
                </w:tcPr>
                <w:p w14:paraId="36B331E4">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eastAsiaTheme="minorEastAsia"/>
                      <w:b w:val="0"/>
                      <w:bCs/>
                      <w:color w:val="auto"/>
                      <w:sz w:val="21"/>
                      <w:szCs w:val="21"/>
                      <w:vertAlign w:val="baseline"/>
                    </w:rPr>
                  </w:pPr>
                  <w:r>
                    <w:rPr>
                      <w:rFonts w:hint="default" w:ascii="Times New Roman" w:hAnsi="Times New Roman" w:cs="Times New Roman" w:eastAsiaTheme="minorEastAsia"/>
                      <w:b w:val="0"/>
                      <w:bCs/>
                      <w:color w:val="auto"/>
                      <w:sz w:val="21"/>
                      <w:szCs w:val="21"/>
                      <w:lang w:val="en-US" w:eastAsia="zh-CN"/>
                    </w:rPr>
                    <w:t>医院西南侧1</w:t>
                  </w:r>
                  <w:r>
                    <w:rPr>
                      <w:rFonts w:hint="eastAsia" w:cs="Times New Roman" w:eastAsiaTheme="minorEastAsia"/>
                      <w:b w:val="0"/>
                      <w:bCs/>
                      <w:color w:val="auto"/>
                      <w:sz w:val="21"/>
                      <w:szCs w:val="21"/>
                      <w:lang w:val="en-US" w:eastAsia="zh-CN"/>
                    </w:rPr>
                    <w:t>m</w:t>
                  </w:r>
                  <w:r>
                    <w:rPr>
                      <w:rFonts w:hint="default" w:ascii="Times New Roman" w:hAnsi="Times New Roman" w:cs="Times New Roman" w:eastAsiaTheme="minorEastAsia"/>
                      <w:b w:val="0"/>
                      <w:bCs/>
                      <w:color w:val="auto"/>
                      <w:sz w:val="21"/>
                      <w:szCs w:val="21"/>
                      <w:lang w:val="en-US" w:eastAsia="zh-CN"/>
                    </w:rPr>
                    <w:t>处</w:t>
                  </w:r>
                </w:p>
              </w:tc>
              <w:tc>
                <w:tcPr>
                  <w:tcW w:w="1243" w:type="dxa"/>
                  <w:tcBorders>
                    <w:tl2br w:val="nil"/>
                    <w:tr2bl w:val="nil"/>
                  </w:tcBorders>
                  <w:vAlign w:val="center"/>
                </w:tcPr>
                <w:p w14:paraId="3B713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49.2</w:t>
                  </w:r>
                </w:p>
              </w:tc>
              <w:tc>
                <w:tcPr>
                  <w:tcW w:w="1253" w:type="dxa"/>
                  <w:tcBorders>
                    <w:tl2br w:val="nil"/>
                    <w:tr2bl w:val="nil"/>
                  </w:tcBorders>
                  <w:vAlign w:val="center"/>
                </w:tcPr>
                <w:p w14:paraId="0914E9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r>
                    <w:rPr>
                      <w:rFonts w:hint="default" w:ascii="Times New Roman" w:hAnsi="Times New Roman" w:cs="Times New Roman" w:eastAsiaTheme="minorEastAsia"/>
                      <w:b w:val="0"/>
                      <w:bCs/>
                      <w:color w:val="auto"/>
                      <w:sz w:val="21"/>
                      <w:szCs w:val="21"/>
                      <w:vertAlign w:val="baseline"/>
                      <w:lang w:val="en-US" w:eastAsia="zh-CN"/>
                    </w:rPr>
                    <w:t>60</w:t>
                  </w:r>
                </w:p>
              </w:tc>
            </w:tr>
            <w:tr w14:paraId="61F7B3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continue"/>
                  <w:tcBorders>
                    <w:tl2br w:val="nil"/>
                    <w:tr2bl w:val="nil"/>
                  </w:tcBorders>
                  <w:vAlign w:val="center"/>
                </w:tcPr>
                <w:p w14:paraId="7C614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p>
              </w:tc>
              <w:tc>
                <w:tcPr>
                  <w:tcW w:w="872" w:type="dxa"/>
                  <w:vMerge w:val="continue"/>
                  <w:tcBorders>
                    <w:tl2br w:val="nil"/>
                    <w:tr2bl w:val="nil"/>
                  </w:tcBorders>
                  <w:vAlign w:val="center"/>
                </w:tcPr>
                <w:p w14:paraId="7ED45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p>
              </w:tc>
              <w:tc>
                <w:tcPr>
                  <w:tcW w:w="1285" w:type="dxa"/>
                  <w:vMerge w:val="continue"/>
                  <w:tcBorders>
                    <w:tl2br w:val="nil"/>
                    <w:tr2bl w:val="nil"/>
                  </w:tcBorders>
                  <w:vAlign w:val="center"/>
                </w:tcPr>
                <w:p w14:paraId="145CB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p>
              </w:tc>
              <w:tc>
                <w:tcPr>
                  <w:tcW w:w="1972" w:type="dxa"/>
                  <w:tcBorders>
                    <w:tl2br w:val="nil"/>
                    <w:tr2bl w:val="nil"/>
                  </w:tcBorders>
                  <w:vAlign w:val="center"/>
                </w:tcPr>
                <w:p w14:paraId="6D74707A">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eastAsiaTheme="minorEastAsia"/>
                      <w:b w:val="0"/>
                      <w:bCs/>
                      <w:color w:val="auto"/>
                      <w:sz w:val="21"/>
                      <w:szCs w:val="21"/>
                      <w:vertAlign w:val="baseline"/>
                    </w:rPr>
                  </w:pPr>
                  <w:r>
                    <w:rPr>
                      <w:rFonts w:hint="default" w:ascii="Times New Roman" w:hAnsi="Times New Roman" w:cs="Times New Roman" w:eastAsiaTheme="minorEastAsia"/>
                      <w:b w:val="0"/>
                      <w:bCs/>
                      <w:color w:val="auto"/>
                      <w:sz w:val="21"/>
                      <w:szCs w:val="21"/>
                      <w:lang w:val="en-US" w:eastAsia="zh-CN"/>
                    </w:rPr>
                    <w:t>医院西北侧1</w:t>
                  </w:r>
                  <w:r>
                    <w:rPr>
                      <w:rFonts w:hint="eastAsia" w:cs="Times New Roman" w:eastAsiaTheme="minorEastAsia"/>
                      <w:b w:val="0"/>
                      <w:bCs/>
                      <w:color w:val="auto"/>
                      <w:sz w:val="21"/>
                      <w:szCs w:val="21"/>
                      <w:lang w:val="en-US" w:eastAsia="zh-CN"/>
                    </w:rPr>
                    <w:t>m</w:t>
                  </w:r>
                  <w:r>
                    <w:rPr>
                      <w:rFonts w:hint="default" w:ascii="Times New Roman" w:hAnsi="Times New Roman" w:cs="Times New Roman" w:eastAsiaTheme="minorEastAsia"/>
                      <w:b w:val="0"/>
                      <w:bCs/>
                      <w:color w:val="auto"/>
                      <w:sz w:val="21"/>
                      <w:szCs w:val="21"/>
                      <w:lang w:val="en-US" w:eastAsia="zh-CN"/>
                    </w:rPr>
                    <w:t>处</w:t>
                  </w:r>
                </w:p>
              </w:tc>
              <w:tc>
                <w:tcPr>
                  <w:tcW w:w="1243" w:type="dxa"/>
                  <w:tcBorders>
                    <w:tl2br w:val="nil"/>
                    <w:tr2bl w:val="nil"/>
                  </w:tcBorders>
                  <w:vAlign w:val="center"/>
                </w:tcPr>
                <w:p w14:paraId="51E4E9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48.4</w:t>
                  </w:r>
                </w:p>
              </w:tc>
              <w:tc>
                <w:tcPr>
                  <w:tcW w:w="1253" w:type="dxa"/>
                  <w:tcBorders>
                    <w:tl2br w:val="nil"/>
                    <w:tr2bl w:val="nil"/>
                  </w:tcBorders>
                  <w:vAlign w:val="center"/>
                </w:tcPr>
                <w:p w14:paraId="7074BC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r>
                    <w:rPr>
                      <w:rFonts w:hint="default" w:ascii="Times New Roman" w:hAnsi="Times New Roman" w:cs="Times New Roman" w:eastAsiaTheme="minorEastAsia"/>
                      <w:b w:val="0"/>
                      <w:bCs/>
                      <w:color w:val="auto"/>
                      <w:sz w:val="21"/>
                      <w:szCs w:val="21"/>
                      <w:vertAlign w:val="baseline"/>
                      <w:lang w:val="en-US" w:eastAsia="zh-CN"/>
                    </w:rPr>
                    <w:t>60</w:t>
                  </w:r>
                </w:p>
              </w:tc>
            </w:tr>
            <w:tr w14:paraId="5B5F53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continue"/>
                  <w:tcBorders>
                    <w:tl2br w:val="nil"/>
                    <w:tr2bl w:val="nil"/>
                  </w:tcBorders>
                  <w:vAlign w:val="center"/>
                </w:tcPr>
                <w:p w14:paraId="2DC5E1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p>
              </w:tc>
              <w:tc>
                <w:tcPr>
                  <w:tcW w:w="872" w:type="dxa"/>
                  <w:vMerge w:val="continue"/>
                  <w:tcBorders>
                    <w:tl2br w:val="nil"/>
                    <w:tr2bl w:val="nil"/>
                  </w:tcBorders>
                  <w:vAlign w:val="center"/>
                </w:tcPr>
                <w:p w14:paraId="5BB08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p>
              </w:tc>
              <w:tc>
                <w:tcPr>
                  <w:tcW w:w="1285" w:type="dxa"/>
                  <w:vMerge w:val="continue"/>
                  <w:tcBorders>
                    <w:tl2br w:val="nil"/>
                    <w:tr2bl w:val="nil"/>
                  </w:tcBorders>
                  <w:vAlign w:val="center"/>
                </w:tcPr>
                <w:p w14:paraId="1208D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p>
              </w:tc>
              <w:tc>
                <w:tcPr>
                  <w:tcW w:w="1972" w:type="dxa"/>
                  <w:tcBorders>
                    <w:tl2br w:val="nil"/>
                    <w:tr2bl w:val="nil"/>
                  </w:tcBorders>
                  <w:vAlign w:val="center"/>
                </w:tcPr>
                <w:p w14:paraId="7264F894">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eastAsiaTheme="minorEastAsia"/>
                      <w:b w:val="0"/>
                      <w:bCs/>
                      <w:color w:val="auto"/>
                      <w:sz w:val="21"/>
                      <w:szCs w:val="21"/>
                      <w:vertAlign w:val="baseline"/>
                    </w:rPr>
                  </w:pPr>
                  <w:r>
                    <w:rPr>
                      <w:rFonts w:hint="default" w:ascii="Times New Roman" w:hAnsi="Times New Roman" w:cs="Times New Roman" w:eastAsiaTheme="minorEastAsia"/>
                      <w:b w:val="0"/>
                      <w:bCs/>
                      <w:color w:val="auto"/>
                      <w:sz w:val="21"/>
                      <w:szCs w:val="21"/>
                      <w:lang w:val="en-US" w:eastAsia="zh-CN"/>
                    </w:rPr>
                    <w:t>医院东北侧1</w:t>
                  </w:r>
                  <w:r>
                    <w:rPr>
                      <w:rFonts w:hint="eastAsia" w:cs="Times New Roman" w:eastAsiaTheme="minorEastAsia"/>
                      <w:b w:val="0"/>
                      <w:bCs/>
                      <w:color w:val="auto"/>
                      <w:sz w:val="21"/>
                      <w:szCs w:val="21"/>
                      <w:lang w:val="en-US" w:eastAsia="zh-CN"/>
                    </w:rPr>
                    <w:t>m</w:t>
                  </w:r>
                  <w:r>
                    <w:rPr>
                      <w:rFonts w:hint="default" w:ascii="Times New Roman" w:hAnsi="Times New Roman" w:cs="Times New Roman" w:eastAsiaTheme="minorEastAsia"/>
                      <w:b w:val="0"/>
                      <w:bCs/>
                      <w:color w:val="auto"/>
                      <w:sz w:val="21"/>
                      <w:szCs w:val="21"/>
                      <w:lang w:val="en-US" w:eastAsia="zh-CN"/>
                    </w:rPr>
                    <w:t>处</w:t>
                  </w:r>
                </w:p>
              </w:tc>
              <w:tc>
                <w:tcPr>
                  <w:tcW w:w="1243" w:type="dxa"/>
                  <w:tcBorders>
                    <w:tl2br w:val="nil"/>
                    <w:tr2bl w:val="nil"/>
                  </w:tcBorders>
                  <w:vAlign w:val="center"/>
                </w:tcPr>
                <w:p w14:paraId="2BD77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48.3</w:t>
                  </w:r>
                </w:p>
              </w:tc>
              <w:tc>
                <w:tcPr>
                  <w:tcW w:w="1253" w:type="dxa"/>
                  <w:tcBorders>
                    <w:tl2br w:val="nil"/>
                    <w:tr2bl w:val="nil"/>
                  </w:tcBorders>
                  <w:vAlign w:val="center"/>
                </w:tcPr>
                <w:p w14:paraId="459CC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r>
                    <w:rPr>
                      <w:rFonts w:hint="default" w:ascii="Times New Roman" w:hAnsi="Times New Roman" w:cs="Times New Roman" w:eastAsiaTheme="minorEastAsia"/>
                      <w:b w:val="0"/>
                      <w:bCs/>
                      <w:color w:val="auto"/>
                      <w:sz w:val="21"/>
                      <w:szCs w:val="21"/>
                      <w:vertAlign w:val="baseline"/>
                      <w:lang w:val="en-US" w:eastAsia="zh-CN"/>
                    </w:rPr>
                    <w:t>60</w:t>
                  </w:r>
                </w:p>
              </w:tc>
            </w:tr>
          </w:tbl>
          <w:p w14:paraId="53693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rPr>
            </w:pPr>
          </w:p>
          <w:p w14:paraId="5A90B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rPr>
            </w:pPr>
          </w:p>
          <w:p w14:paraId="271634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rPr>
            </w:pPr>
          </w:p>
          <w:p w14:paraId="4C95FB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rPr>
            </w:pPr>
          </w:p>
          <w:p w14:paraId="37A09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表4-</w:t>
            </w:r>
            <w:r>
              <w:rPr>
                <w:rFonts w:hint="eastAsia" w:cs="Times New Roman" w:eastAsiaTheme="minorEastAsia"/>
                <w:b/>
                <w:color w:val="auto"/>
                <w:sz w:val="21"/>
                <w:szCs w:val="21"/>
                <w:lang w:val="en-US" w:eastAsia="zh-CN"/>
              </w:rPr>
              <w:t>11</w:t>
            </w:r>
            <w:r>
              <w:rPr>
                <w:rFonts w:hint="default" w:ascii="Times New Roman" w:hAnsi="Times New Roman" w:cs="Times New Roman" w:eastAsiaTheme="minorEastAsia"/>
                <w:b/>
                <w:color w:val="auto"/>
                <w:sz w:val="21"/>
                <w:szCs w:val="21"/>
              </w:rPr>
              <w:t xml:space="preserve">   声环境保护目标噪声</w:t>
            </w:r>
            <w:r>
              <w:rPr>
                <w:rFonts w:hint="default" w:ascii="Times New Roman" w:hAnsi="Times New Roman" w:cs="Times New Roman" w:eastAsiaTheme="minorEastAsia"/>
                <w:b/>
                <w:color w:val="auto"/>
                <w:sz w:val="21"/>
                <w:szCs w:val="21"/>
                <w:lang w:val="en-US" w:eastAsia="zh-CN"/>
              </w:rPr>
              <w:t>预测</w:t>
            </w:r>
            <w:r>
              <w:rPr>
                <w:rFonts w:hint="default" w:ascii="Times New Roman" w:hAnsi="Times New Roman" w:cs="Times New Roman" w:eastAsiaTheme="minorEastAsia"/>
                <w:b/>
                <w:color w:val="auto"/>
                <w:sz w:val="21"/>
                <w:szCs w:val="21"/>
              </w:rPr>
              <w:t>结果   单位：dB</w:t>
            </w:r>
            <w:r>
              <w:rPr>
                <w:rFonts w:hint="default" w:ascii="Times New Roman" w:hAnsi="Times New Roman" w:cs="Times New Roman" w:eastAsiaTheme="minorEastAsia"/>
                <w:b/>
                <w:color w:val="auto"/>
                <w:sz w:val="21"/>
                <w:szCs w:val="21"/>
                <w:lang w:eastAsia="zh-CN"/>
              </w:rPr>
              <w:t>（</w:t>
            </w:r>
            <w:r>
              <w:rPr>
                <w:rFonts w:hint="default" w:ascii="Times New Roman" w:hAnsi="Times New Roman" w:cs="Times New Roman" w:eastAsiaTheme="minorEastAsia"/>
                <w:b/>
                <w:color w:val="auto"/>
                <w:sz w:val="21"/>
                <w:szCs w:val="21"/>
              </w:rPr>
              <w:t>A</w:t>
            </w:r>
            <w:r>
              <w:rPr>
                <w:rFonts w:hint="default" w:ascii="Times New Roman" w:hAnsi="Times New Roman" w:cs="Times New Roman" w:eastAsiaTheme="minorEastAsia"/>
                <w:b/>
                <w:color w:val="auto"/>
                <w:sz w:val="21"/>
                <w:szCs w:val="21"/>
                <w:lang w:eastAsia="zh-CN"/>
              </w:rPr>
              <w:t>）</w:t>
            </w:r>
          </w:p>
          <w:tbl>
            <w:tblPr>
              <w:tblStyle w:val="24"/>
              <w:tblW w:w="794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44"/>
              <w:gridCol w:w="1292"/>
              <w:gridCol w:w="979"/>
              <w:gridCol w:w="1136"/>
              <w:gridCol w:w="1136"/>
              <w:gridCol w:w="1136"/>
            </w:tblGrid>
            <w:tr w14:paraId="301A70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tcBorders>
                    <w:bottom w:val="single" w:color="auto" w:sz="12" w:space="0"/>
                  </w:tcBorders>
                  <w:vAlign w:val="center"/>
                </w:tcPr>
                <w:p w14:paraId="5E149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环境保护目标</w:t>
                  </w:r>
                </w:p>
              </w:tc>
              <w:tc>
                <w:tcPr>
                  <w:tcW w:w="744" w:type="dxa"/>
                  <w:tcBorders>
                    <w:bottom w:val="single" w:color="auto" w:sz="12" w:space="0"/>
                  </w:tcBorders>
                  <w:vAlign w:val="center"/>
                </w:tcPr>
                <w:p w14:paraId="38DDCE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rPr>
                  </w:pPr>
                  <w:r>
                    <w:rPr>
                      <w:rFonts w:hint="default" w:ascii="Times New Roman" w:hAnsi="Times New Roman" w:cs="Times New Roman" w:eastAsiaTheme="minorEastAsia"/>
                      <w:b/>
                      <w:bCs w:val="0"/>
                      <w:color w:val="auto"/>
                      <w:sz w:val="21"/>
                      <w:szCs w:val="21"/>
                      <w:vertAlign w:val="baseline"/>
                      <w:lang w:val="en-US" w:eastAsia="zh-CN"/>
                    </w:rPr>
                    <w:t>源强</w:t>
                  </w:r>
                </w:p>
              </w:tc>
              <w:tc>
                <w:tcPr>
                  <w:tcW w:w="1292" w:type="dxa"/>
                  <w:tcBorders>
                    <w:bottom w:val="single" w:color="auto" w:sz="12" w:space="0"/>
                  </w:tcBorders>
                  <w:vAlign w:val="center"/>
                </w:tcPr>
                <w:p w14:paraId="26553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rPr>
                  </w:pPr>
                  <w:r>
                    <w:rPr>
                      <w:rFonts w:hint="default" w:ascii="Times New Roman" w:hAnsi="Times New Roman" w:cs="Times New Roman" w:eastAsiaTheme="minorEastAsia"/>
                      <w:b/>
                      <w:bCs w:val="0"/>
                      <w:color w:val="auto"/>
                      <w:sz w:val="21"/>
                      <w:szCs w:val="21"/>
                      <w:vertAlign w:val="baseline"/>
                      <w:lang w:val="en-US" w:eastAsia="zh-CN"/>
                    </w:rPr>
                    <w:t>隔声、吸声、减振量</w:t>
                  </w:r>
                </w:p>
              </w:tc>
              <w:tc>
                <w:tcPr>
                  <w:tcW w:w="979" w:type="dxa"/>
                  <w:tcBorders>
                    <w:bottom w:val="single" w:color="auto" w:sz="12" w:space="0"/>
                  </w:tcBorders>
                  <w:vAlign w:val="center"/>
                </w:tcPr>
                <w:p w14:paraId="53895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背景值</w:t>
                  </w:r>
                </w:p>
              </w:tc>
              <w:tc>
                <w:tcPr>
                  <w:tcW w:w="1136" w:type="dxa"/>
                  <w:tcBorders>
                    <w:bottom w:val="single" w:color="auto" w:sz="12" w:space="0"/>
                  </w:tcBorders>
                  <w:vAlign w:val="center"/>
                </w:tcPr>
                <w:p w14:paraId="321A9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贡献值</w:t>
                  </w:r>
                </w:p>
              </w:tc>
              <w:tc>
                <w:tcPr>
                  <w:tcW w:w="1136" w:type="dxa"/>
                  <w:tcBorders>
                    <w:bottom w:val="single" w:color="auto" w:sz="12" w:space="0"/>
                  </w:tcBorders>
                  <w:vAlign w:val="center"/>
                </w:tcPr>
                <w:p w14:paraId="23349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预测值</w:t>
                  </w:r>
                </w:p>
              </w:tc>
              <w:tc>
                <w:tcPr>
                  <w:tcW w:w="1136" w:type="dxa"/>
                  <w:tcBorders>
                    <w:bottom w:val="single" w:color="auto" w:sz="12" w:space="0"/>
                  </w:tcBorders>
                  <w:vAlign w:val="center"/>
                </w:tcPr>
                <w:p w14:paraId="191C5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标准值</w:t>
                  </w:r>
                </w:p>
              </w:tc>
            </w:tr>
            <w:tr w14:paraId="645D15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12" w:space="0"/>
                    <w:tl2br w:val="nil"/>
                    <w:tr2bl w:val="nil"/>
                  </w:tcBorders>
                  <w:vAlign w:val="center"/>
                </w:tcPr>
                <w:p w14:paraId="13219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rPr>
                  </w:pPr>
                  <w:r>
                    <w:rPr>
                      <w:rFonts w:hint="default" w:ascii="Times New Roman" w:hAnsi="Times New Roman" w:cs="Times New Roman" w:eastAsiaTheme="minorEastAsia"/>
                      <w:b w:val="0"/>
                      <w:bCs/>
                      <w:color w:val="auto"/>
                      <w:sz w:val="21"/>
                      <w:szCs w:val="21"/>
                      <w:lang w:val="en-US" w:eastAsia="zh-CN"/>
                    </w:rPr>
                    <w:t>世纪花园住宅楼（北侧）</w:t>
                  </w:r>
                </w:p>
              </w:tc>
              <w:tc>
                <w:tcPr>
                  <w:tcW w:w="744" w:type="dxa"/>
                  <w:tcBorders>
                    <w:top w:val="single" w:color="auto" w:sz="12" w:space="0"/>
                    <w:tl2br w:val="nil"/>
                    <w:tr2bl w:val="nil"/>
                  </w:tcBorders>
                  <w:vAlign w:val="center"/>
                </w:tcPr>
                <w:p w14:paraId="5CC62D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65</w:t>
                  </w:r>
                </w:p>
              </w:tc>
              <w:tc>
                <w:tcPr>
                  <w:tcW w:w="1292" w:type="dxa"/>
                  <w:tcBorders>
                    <w:top w:val="single" w:color="auto" w:sz="12" w:space="0"/>
                    <w:tl2br w:val="nil"/>
                    <w:tr2bl w:val="nil"/>
                  </w:tcBorders>
                  <w:vAlign w:val="center"/>
                </w:tcPr>
                <w:p w14:paraId="1A923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10</w:t>
                  </w:r>
                </w:p>
              </w:tc>
              <w:tc>
                <w:tcPr>
                  <w:tcW w:w="979" w:type="dxa"/>
                  <w:tcBorders>
                    <w:top w:val="single" w:color="auto" w:sz="12" w:space="0"/>
                    <w:tl2br w:val="nil"/>
                    <w:tr2bl w:val="nil"/>
                  </w:tcBorders>
                  <w:vAlign w:val="center"/>
                </w:tcPr>
                <w:p w14:paraId="626A5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57</w:t>
                  </w:r>
                  <w:r>
                    <w:rPr>
                      <w:rFonts w:hint="eastAsia" w:ascii="Times New Roman" w:hAnsi="Times New Roman" w:cs="Times New Roman" w:eastAsiaTheme="minorEastAsia"/>
                      <w:b w:val="0"/>
                      <w:bCs/>
                      <w:color w:val="auto"/>
                      <w:sz w:val="21"/>
                      <w:szCs w:val="21"/>
                      <w:vertAlign w:val="baseline"/>
                      <w:lang w:val="en-US" w:eastAsia="zh-CN"/>
                    </w:rPr>
                    <w:t>.0</w:t>
                  </w:r>
                </w:p>
              </w:tc>
              <w:tc>
                <w:tcPr>
                  <w:tcW w:w="1136" w:type="dxa"/>
                  <w:tcBorders>
                    <w:top w:val="single" w:color="auto" w:sz="12" w:space="0"/>
                    <w:tl2br w:val="nil"/>
                    <w:tr2bl w:val="nil"/>
                  </w:tcBorders>
                  <w:vAlign w:val="center"/>
                </w:tcPr>
                <w:p w14:paraId="080D73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23.0</w:t>
                  </w:r>
                </w:p>
              </w:tc>
              <w:tc>
                <w:tcPr>
                  <w:tcW w:w="1136" w:type="dxa"/>
                  <w:tcBorders>
                    <w:top w:val="single" w:color="auto" w:sz="12" w:space="0"/>
                    <w:tl2br w:val="nil"/>
                    <w:tr2bl w:val="nil"/>
                  </w:tcBorders>
                  <w:vAlign w:val="center"/>
                </w:tcPr>
                <w:p w14:paraId="3B52D8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57</w:t>
                  </w:r>
                  <w:r>
                    <w:rPr>
                      <w:rFonts w:hint="eastAsia" w:ascii="Times New Roman" w:hAnsi="Times New Roman" w:cs="Times New Roman" w:eastAsiaTheme="minorEastAsia"/>
                      <w:b w:val="0"/>
                      <w:bCs/>
                      <w:color w:val="auto"/>
                      <w:sz w:val="21"/>
                      <w:szCs w:val="21"/>
                      <w:vertAlign w:val="baseline"/>
                      <w:lang w:val="en-US" w:eastAsia="zh-CN"/>
                    </w:rPr>
                    <w:t>.0</w:t>
                  </w:r>
                </w:p>
              </w:tc>
              <w:tc>
                <w:tcPr>
                  <w:tcW w:w="1136" w:type="dxa"/>
                  <w:tcBorders>
                    <w:top w:val="single" w:color="auto" w:sz="12" w:space="0"/>
                    <w:tl2br w:val="nil"/>
                    <w:tr2bl w:val="nil"/>
                  </w:tcBorders>
                  <w:vAlign w:val="center"/>
                </w:tcPr>
                <w:p w14:paraId="5C791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60</w:t>
                  </w:r>
                </w:p>
              </w:tc>
            </w:tr>
          </w:tbl>
          <w:p w14:paraId="1D0DAC1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根据上表预测结果可知，项目对厂界噪声的贡献值满足《工业企业厂界环境噪声排放标准》（GB12348-2008）2类标准，对声环境保护目标处的噪声贡献值及预测值均满足《声环境质量标准》（GB3096-2008）2类标准，项目噪声对周边环境影响较小。</w:t>
            </w:r>
          </w:p>
          <w:p w14:paraId="630FAA3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（3）外环境对本项目的声环境影响</w:t>
            </w:r>
          </w:p>
          <w:p w14:paraId="1CCA862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本项目位于</w:t>
            </w:r>
            <w:r>
              <w:rPr>
                <w:rFonts w:hint="eastAsia" w:ascii="Times New Roman" w:hAnsi="Times New Roman" w:cs="Times New Roman" w:eastAsiaTheme="minorEastAsia"/>
                <w:b w:val="0"/>
                <w:color w:val="auto"/>
                <w:kern w:val="2"/>
                <w:sz w:val="24"/>
                <w:szCs w:val="24"/>
                <w:lang w:val="en-US" w:eastAsia="zh-CN" w:bidi="ar-SA"/>
              </w:rPr>
              <w:t>新疆昌吉州阜康市准噶尔路394号</w:t>
            </w:r>
            <w:r>
              <w:rPr>
                <w:rFonts w:hint="default" w:ascii="Times New Roman" w:hAnsi="Times New Roman" w:cs="Times New Roman" w:eastAsiaTheme="minorEastAsia"/>
                <w:b w:val="0"/>
                <w:color w:val="auto"/>
                <w:kern w:val="2"/>
                <w:sz w:val="24"/>
                <w:szCs w:val="24"/>
                <w:lang w:val="en-US" w:eastAsia="zh-CN" w:bidi="ar-SA"/>
              </w:rPr>
              <w:t>，项目区外环境对本项目的声环境影响主要体现为项目区</w:t>
            </w:r>
            <w:r>
              <w:rPr>
                <w:rFonts w:hint="eastAsia" w:cs="Times New Roman" w:eastAsiaTheme="minorEastAsia"/>
                <w:b w:val="0"/>
                <w:color w:val="auto"/>
                <w:kern w:val="2"/>
                <w:sz w:val="24"/>
                <w:szCs w:val="24"/>
                <w:lang w:val="en-US" w:eastAsia="zh-CN" w:bidi="ar-SA"/>
              </w:rPr>
              <w:t>南</w:t>
            </w:r>
            <w:r>
              <w:rPr>
                <w:rFonts w:hint="default" w:ascii="Times New Roman" w:hAnsi="Times New Roman" w:cs="Times New Roman" w:eastAsiaTheme="minorEastAsia"/>
                <w:b w:val="0"/>
                <w:color w:val="auto"/>
                <w:kern w:val="2"/>
                <w:sz w:val="24"/>
                <w:szCs w:val="24"/>
                <w:lang w:val="en-US" w:eastAsia="zh-CN" w:bidi="ar-SA"/>
              </w:rPr>
              <w:t>侧</w:t>
            </w:r>
            <w:r>
              <w:rPr>
                <w:rFonts w:hint="eastAsia" w:cs="Times New Roman" w:eastAsiaTheme="minorEastAsia"/>
                <w:color w:val="auto"/>
                <w:kern w:val="0"/>
                <w:sz w:val="24"/>
                <w:szCs w:val="24"/>
                <w:lang w:val="en-US" w:eastAsia="zh-CN" w:bidi="ar"/>
              </w:rPr>
              <w:t>准噶尔路</w:t>
            </w:r>
            <w:r>
              <w:rPr>
                <w:rFonts w:hint="default" w:ascii="Times New Roman" w:hAnsi="Times New Roman" w:cs="Times New Roman" w:eastAsiaTheme="minorEastAsia"/>
                <w:b w:val="0"/>
                <w:color w:val="auto"/>
                <w:kern w:val="2"/>
                <w:sz w:val="24"/>
                <w:szCs w:val="24"/>
                <w:lang w:val="en-US" w:eastAsia="zh-CN" w:bidi="ar-SA"/>
              </w:rPr>
              <w:t>交通噪声对本项目的影响，项目为房屋建筑，通过距离衰减、建筑物隔声等，对项目的影响在可控范围内。</w:t>
            </w:r>
          </w:p>
          <w:p w14:paraId="151BB2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3.4减缓措施</w:t>
            </w:r>
          </w:p>
          <w:p w14:paraId="0031C96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①加强对宠物的管理，避免宠物因饥饿或口渴而发声，拒绝</w:t>
            </w:r>
            <w:r>
              <w:rPr>
                <w:rFonts w:hint="eastAsia" w:cs="Times New Roman" w:eastAsiaTheme="minorEastAsia"/>
                <w:b w:val="0"/>
                <w:color w:val="auto"/>
                <w:kern w:val="2"/>
                <w:sz w:val="24"/>
                <w:szCs w:val="24"/>
                <w:lang w:val="en-US" w:eastAsia="zh-CN" w:bidi="ar-SA"/>
              </w:rPr>
              <w:t>嚎叫</w:t>
            </w:r>
            <w:r>
              <w:rPr>
                <w:rFonts w:hint="default" w:ascii="Times New Roman" w:hAnsi="Times New Roman" w:cs="Times New Roman" w:eastAsiaTheme="minorEastAsia"/>
                <w:b w:val="0"/>
                <w:color w:val="auto"/>
                <w:kern w:val="2"/>
                <w:sz w:val="24"/>
                <w:szCs w:val="24"/>
                <w:lang w:val="en-US" w:eastAsia="zh-CN" w:bidi="ar-SA"/>
              </w:rPr>
              <w:t>宠物留宿，必要时，给嚎叫宠物戴上宠物嘴套，减少宠物叫声。</w:t>
            </w:r>
          </w:p>
          <w:p w14:paraId="20B5AF2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②加强医院营业期间管理，合理安排人流物流通道，合理安排营业时间。</w:t>
            </w:r>
          </w:p>
          <w:p w14:paraId="5507C4D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left"/>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③设备放置于室内，合理布置设备，尽量远离敏感点，选取低噪声设备并安装减震垫，管道设计采取弹性连接、消声，通风口内壁采用吸声材料等措施。同时定期对设备进行维护，保持其良好运行效果。</w:t>
            </w:r>
          </w:p>
          <w:p w14:paraId="78CA8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3.5监测计划</w:t>
            </w:r>
          </w:p>
          <w:p w14:paraId="7FB5FF9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建设单位应定期或不定期委托有检测资质单位对噪声进行监测。根据《排污单位自行监测技术指南 总则》（HJ 819-2017）、《排污许可证申请与核发技术规范 工业噪声》（HJ 1301-2023），运营期污染源监测计划见表4-</w:t>
            </w:r>
            <w:r>
              <w:rPr>
                <w:rFonts w:hint="eastAsia" w:cs="Times New Roman" w:eastAsiaTheme="minorEastAsia"/>
                <w:b w:val="0"/>
                <w:color w:val="auto"/>
                <w:kern w:val="2"/>
                <w:sz w:val="24"/>
                <w:szCs w:val="24"/>
                <w:lang w:val="en-US" w:eastAsia="zh-CN" w:bidi="ar-SA"/>
              </w:rPr>
              <w:t>12</w:t>
            </w:r>
            <w:r>
              <w:rPr>
                <w:rFonts w:hint="default" w:ascii="Times New Roman" w:hAnsi="Times New Roman" w:cs="Times New Roman" w:eastAsiaTheme="minorEastAsia"/>
                <w:b w:val="0"/>
                <w:color w:val="auto"/>
                <w:kern w:val="2"/>
                <w:sz w:val="24"/>
                <w:szCs w:val="24"/>
                <w:lang w:val="en-US" w:eastAsia="zh-CN" w:bidi="ar-SA"/>
              </w:rPr>
              <w:t>。</w:t>
            </w:r>
          </w:p>
          <w:p w14:paraId="32943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表4-</w:t>
            </w:r>
            <w:r>
              <w:rPr>
                <w:rFonts w:hint="eastAsia" w:cs="Times New Roman" w:eastAsiaTheme="minorEastAsia"/>
                <w:b/>
                <w:color w:val="auto"/>
                <w:sz w:val="21"/>
                <w:szCs w:val="21"/>
                <w:lang w:val="en-US" w:eastAsia="zh-CN"/>
              </w:rPr>
              <w:t>12</w:t>
            </w:r>
            <w:r>
              <w:rPr>
                <w:rFonts w:hint="default" w:ascii="Times New Roman" w:hAnsi="Times New Roman" w:cs="Times New Roman" w:eastAsiaTheme="minorEastAsia"/>
                <w:b/>
                <w:color w:val="auto"/>
                <w:sz w:val="21"/>
                <w:szCs w:val="21"/>
              </w:rPr>
              <w:t xml:space="preserve">  </w:t>
            </w:r>
            <w:r>
              <w:rPr>
                <w:rFonts w:hint="default" w:ascii="Times New Roman" w:hAnsi="Times New Roman" w:cs="Times New Roman" w:eastAsiaTheme="minorEastAsia"/>
                <w:b/>
                <w:color w:val="auto"/>
                <w:sz w:val="21"/>
                <w:szCs w:val="21"/>
                <w:lang w:val="en-US" w:eastAsia="zh-CN"/>
              </w:rPr>
              <w:t xml:space="preserve"> </w:t>
            </w:r>
            <w:r>
              <w:rPr>
                <w:rFonts w:hint="default" w:ascii="Times New Roman" w:hAnsi="Times New Roman" w:cs="Times New Roman" w:eastAsiaTheme="minorEastAsia"/>
                <w:b/>
                <w:color w:val="auto"/>
                <w:sz w:val="21"/>
                <w:szCs w:val="21"/>
              </w:rPr>
              <w:t>本项目运营期噪声环境监测计划一览表</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51"/>
              <w:gridCol w:w="768"/>
              <w:gridCol w:w="1279"/>
              <w:gridCol w:w="3395"/>
              <w:gridCol w:w="678"/>
            </w:tblGrid>
            <w:tr w14:paraId="4473F7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tcBorders>
                    <w:bottom w:val="single" w:color="000000" w:sz="12" w:space="0"/>
                    <w:tl2br w:val="nil"/>
                    <w:tr2bl w:val="nil"/>
                  </w:tcBorders>
                  <w:vAlign w:val="center"/>
                </w:tcPr>
                <w:p w14:paraId="7A5E809D">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因素</w:t>
                  </w:r>
                </w:p>
              </w:tc>
              <w:tc>
                <w:tcPr>
                  <w:tcW w:w="724" w:type="pct"/>
                  <w:tcBorders>
                    <w:bottom w:val="single" w:color="000000" w:sz="12" w:space="0"/>
                    <w:tl2br w:val="nil"/>
                    <w:tr2bl w:val="nil"/>
                  </w:tcBorders>
                  <w:vAlign w:val="center"/>
                </w:tcPr>
                <w:p w14:paraId="1037A1EF">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监测位置</w:t>
                  </w:r>
                </w:p>
              </w:tc>
              <w:tc>
                <w:tcPr>
                  <w:tcW w:w="483" w:type="pct"/>
                  <w:tcBorders>
                    <w:bottom w:val="single" w:color="000000" w:sz="12" w:space="0"/>
                    <w:tl2br w:val="nil"/>
                    <w:tr2bl w:val="nil"/>
                  </w:tcBorders>
                  <w:vAlign w:val="center"/>
                </w:tcPr>
                <w:p w14:paraId="195E6E71">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监测指标</w:t>
                  </w:r>
                </w:p>
              </w:tc>
              <w:tc>
                <w:tcPr>
                  <w:tcW w:w="805" w:type="pct"/>
                  <w:tcBorders>
                    <w:bottom w:val="single" w:color="000000" w:sz="12" w:space="0"/>
                    <w:tl2br w:val="nil"/>
                    <w:tr2bl w:val="nil"/>
                  </w:tcBorders>
                  <w:vAlign w:val="center"/>
                </w:tcPr>
                <w:p w14:paraId="4FA0C9D8">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监测频次</w:t>
                  </w:r>
                </w:p>
              </w:tc>
              <w:tc>
                <w:tcPr>
                  <w:tcW w:w="2137" w:type="pct"/>
                  <w:tcBorders>
                    <w:bottom w:val="single" w:color="000000" w:sz="12" w:space="0"/>
                    <w:tl2br w:val="nil"/>
                    <w:tr2bl w:val="nil"/>
                  </w:tcBorders>
                  <w:vAlign w:val="center"/>
                </w:tcPr>
                <w:p w14:paraId="24031C88">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执行标准</w:t>
                  </w:r>
                </w:p>
              </w:tc>
              <w:tc>
                <w:tcPr>
                  <w:tcW w:w="426" w:type="pct"/>
                  <w:tcBorders>
                    <w:bottom w:val="single" w:color="000000" w:sz="12" w:space="0"/>
                    <w:tl2br w:val="nil"/>
                    <w:tr2bl w:val="nil"/>
                  </w:tcBorders>
                  <w:vAlign w:val="center"/>
                </w:tcPr>
                <w:p w14:paraId="28AB3E92">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备注</w:t>
                  </w:r>
                </w:p>
              </w:tc>
            </w:tr>
            <w:tr w14:paraId="3E2FC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tcBorders>
                    <w:top w:val="single" w:color="000000" w:sz="12" w:space="0"/>
                    <w:tl2br w:val="nil"/>
                    <w:tr2bl w:val="nil"/>
                  </w:tcBorders>
                  <w:vAlign w:val="center"/>
                </w:tcPr>
                <w:p w14:paraId="365317D7">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噪声</w:t>
                  </w:r>
                </w:p>
              </w:tc>
              <w:tc>
                <w:tcPr>
                  <w:tcW w:w="724" w:type="pct"/>
                  <w:tcBorders>
                    <w:top w:val="single" w:color="000000" w:sz="12" w:space="0"/>
                    <w:tl2br w:val="nil"/>
                    <w:tr2bl w:val="nil"/>
                  </w:tcBorders>
                  <w:vAlign w:val="center"/>
                </w:tcPr>
                <w:p w14:paraId="1EEE3EA4">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厂界四周</w:t>
                  </w:r>
                </w:p>
              </w:tc>
              <w:tc>
                <w:tcPr>
                  <w:tcW w:w="483" w:type="pct"/>
                  <w:tcBorders>
                    <w:top w:val="single" w:color="000000" w:sz="12" w:space="0"/>
                    <w:tl2br w:val="nil"/>
                    <w:tr2bl w:val="nil"/>
                  </w:tcBorders>
                  <w:vAlign w:val="center"/>
                </w:tcPr>
                <w:p w14:paraId="4C501444">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LAeq</w:t>
                  </w:r>
                </w:p>
              </w:tc>
              <w:tc>
                <w:tcPr>
                  <w:tcW w:w="805" w:type="pct"/>
                  <w:tcBorders>
                    <w:top w:val="single" w:color="000000" w:sz="12" w:space="0"/>
                    <w:tl2br w:val="nil"/>
                    <w:tr2bl w:val="nil"/>
                  </w:tcBorders>
                  <w:vAlign w:val="center"/>
                </w:tcPr>
                <w:p w14:paraId="43C406B5">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1次/季度</w:t>
                  </w:r>
                </w:p>
                <w:p w14:paraId="4E62C55A">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昼夜监测</w:t>
                  </w:r>
                </w:p>
              </w:tc>
              <w:tc>
                <w:tcPr>
                  <w:tcW w:w="2137" w:type="pct"/>
                  <w:tcBorders>
                    <w:top w:val="single" w:color="000000" w:sz="12" w:space="0"/>
                    <w:tl2br w:val="nil"/>
                    <w:tr2bl w:val="nil"/>
                  </w:tcBorders>
                  <w:vAlign w:val="center"/>
                </w:tcPr>
                <w:p w14:paraId="44B2A9AB">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《工业企业厂界环境噪声排放标准》（GB12348-2008）中</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类标准</w:t>
                  </w:r>
                </w:p>
              </w:tc>
              <w:tc>
                <w:tcPr>
                  <w:tcW w:w="426" w:type="pct"/>
                  <w:tcBorders>
                    <w:top w:val="single" w:color="000000" w:sz="12" w:space="0"/>
                    <w:tl2br w:val="nil"/>
                    <w:tr2bl w:val="nil"/>
                  </w:tcBorders>
                  <w:vAlign w:val="center"/>
                </w:tcPr>
                <w:p w14:paraId="54631BBC">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w:t>
                  </w:r>
                </w:p>
              </w:tc>
            </w:tr>
          </w:tbl>
          <w:p w14:paraId="6716B8C2">
            <w:pPr>
              <w:pStyle w:val="67"/>
              <w:keepNext w:val="0"/>
              <w:keepLines w:val="0"/>
              <w:suppressLineNumbers w:val="0"/>
              <w:adjustRightInd/>
              <w:snapToGrid/>
              <w:spacing w:before="0" w:beforeAutospacing="0" w:after="0" w:afterAutospacing="0" w:line="520" w:lineRule="exact"/>
              <w:ind w:left="0" w:right="0" w:firstLine="0" w:firstLineChars="0"/>
              <w:rPr>
                <w:rFonts w:hint="default" w:ascii="Times New Roman" w:hAnsi="Times New Roman" w:cs="Times New Roman" w:eastAsiaTheme="minorEastAsia"/>
                <w:b/>
                <w:bCs/>
                <w:color w:val="auto"/>
              </w:rPr>
            </w:pPr>
            <w:r>
              <w:rPr>
                <w:rFonts w:hint="eastAsia" w:cs="Times New Roman" w:eastAsiaTheme="minorEastAsia"/>
                <w:b/>
                <w:bCs/>
                <w:color w:val="auto"/>
                <w:lang w:val="en-US" w:eastAsia="zh-CN"/>
              </w:rPr>
              <w:t>4.</w:t>
            </w:r>
            <w:r>
              <w:rPr>
                <w:rFonts w:hint="default" w:ascii="Times New Roman" w:hAnsi="Times New Roman" w:cs="Times New Roman" w:eastAsiaTheme="minorEastAsia"/>
                <w:b/>
                <w:bCs/>
                <w:color w:val="auto"/>
              </w:rPr>
              <w:t>固体废物环境影响及保护措施</w:t>
            </w:r>
          </w:p>
          <w:p w14:paraId="7099B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4.1项目产生的固体废物情况</w:t>
            </w:r>
          </w:p>
          <w:p w14:paraId="4EBD52F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本项目固体废物为宠物排泄物、宠物毛发、医疗废物、废紫外灯管、生活垃圾。</w:t>
            </w:r>
          </w:p>
          <w:p w14:paraId="0D3CB87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（1）宠物排泄物</w:t>
            </w:r>
          </w:p>
          <w:p w14:paraId="341EC9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宠物在诊疗、住院过程会有日常的排泄物产生，住院宠物排泄物产生量按0.05kg/只计，不住院宠物排泄物产生量按0.025kg/只计。根据建设单位提供资料，门诊宠物年接待量</w:t>
            </w:r>
            <w:r>
              <w:rPr>
                <w:rFonts w:hint="eastAsia" w:cs="Times New Roman" w:eastAsiaTheme="minorEastAsia"/>
                <w:b w:val="0"/>
                <w:color w:val="auto"/>
                <w:kern w:val="2"/>
                <w:sz w:val="24"/>
                <w:szCs w:val="24"/>
                <w:lang w:val="en-US" w:eastAsia="zh-CN" w:bidi="ar-SA"/>
              </w:rPr>
              <w:t>6</w:t>
            </w:r>
            <w:r>
              <w:rPr>
                <w:rFonts w:hint="default" w:ascii="Times New Roman" w:hAnsi="Times New Roman" w:cs="Times New Roman" w:eastAsiaTheme="minorEastAsia"/>
                <w:b w:val="0"/>
                <w:color w:val="auto"/>
                <w:kern w:val="2"/>
                <w:sz w:val="24"/>
                <w:szCs w:val="24"/>
                <w:lang w:val="en-US" w:eastAsia="zh-CN" w:bidi="ar-SA"/>
              </w:rPr>
              <w:t>00只，宠物美容年接待量为400只，宠物年住院量</w:t>
            </w:r>
            <w:r>
              <w:rPr>
                <w:rFonts w:hint="eastAsia" w:cs="Times New Roman" w:eastAsiaTheme="minorEastAsia"/>
                <w:b w:val="0"/>
                <w:color w:val="auto"/>
                <w:kern w:val="2"/>
                <w:sz w:val="24"/>
                <w:szCs w:val="24"/>
                <w:lang w:val="en-US" w:eastAsia="zh-CN" w:bidi="ar-SA"/>
              </w:rPr>
              <w:t>2</w:t>
            </w:r>
            <w:r>
              <w:rPr>
                <w:rFonts w:hint="default" w:ascii="Times New Roman" w:hAnsi="Times New Roman" w:cs="Times New Roman" w:eastAsiaTheme="minorEastAsia"/>
                <w:b w:val="0"/>
                <w:color w:val="auto"/>
                <w:kern w:val="2"/>
                <w:sz w:val="24"/>
                <w:szCs w:val="24"/>
                <w:lang w:val="en-US" w:eastAsia="zh-CN" w:bidi="ar-SA"/>
              </w:rPr>
              <w:t>00只，则排泄物产生量为0.1</w:t>
            </w:r>
            <w:r>
              <w:rPr>
                <w:rFonts w:hint="eastAsia" w:cs="Times New Roman" w:eastAsiaTheme="minorEastAsia"/>
                <w:b w:val="0"/>
                <w:color w:val="auto"/>
                <w:kern w:val="2"/>
                <w:sz w:val="24"/>
                <w:szCs w:val="24"/>
                <w:lang w:val="en-US" w:eastAsia="zh-CN" w:bidi="ar-SA"/>
              </w:rPr>
              <w:t>06</w:t>
            </w:r>
            <w:r>
              <w:rPr>
                <w:rFonts w:hint="default" w:ascii="Times New Roman" w:hAnsi="Times New Roman" w:cs="Times New Roman" w:eastAsiaTheme="minorEastAsia"/>
                <w:b w:val="0"/>
                <w:color w:val="auto"/>
                <w:kern w:val="2"/>
                <w:sz w:val="24"/>
                <w:szCs w:val="24"/>
                <w:lang w:val="en-US" w:eastAsia="zh-CN" w:bidi="ar-SA"/>
              </w:rPr>
              <w:t>kg/d（0.03</w:t>
            </w:r>
            <w:r>
              <w:rPr>
                <w:rFonts w:hint="eastAsia" w:cs="Times New Roman" w:eastAsiaTheme="minorEastAsia"/>
                <w:b w:val="0"/>
                <w:color w:val="auto"/>
                <w:kern w:val="2"/>
                <w:sz w:val="24"/>
                <w:szCs w:val="24"/>
                <w:lang w:val="en-US" w:eastAsia="zh-CN" w:bidi="ar-SA"/>
              </w:rPr>
              <w:t>5</w:t>
            </w:r>
            <w:r>
              <w:rPr>
                <w:rFonts w:hint="default" w:ascii="Times New Roman" w:hAnsi="Times New Roman" w:cs="Times New Roman" w:eastAsiaTheme="minorEastAsia"/>
                <w:b w:val="0"/>
                <w:color w:val="auto"/>
                <w:kern w:val="2"/>
                <w:sz w:val="24"/>
                <w:szCs w:val="24"/>
                <w:lang w:val="en-US" w:eastAsia="zh-CN" w:bidi="ar-SA"/>
              </w:rPr>
              <w:t>t/a）。宠物排泄物经清理消毒后袋装收集，由环卫部门清理处理。</w:t>
            </w:r>
          </w:p>
          <w:p w14:paraId="77DE230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（2）宠物废毛</w:t>
            </w:r>
          </w:p>
          <w:p w14:paraId="73B9ED5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项目在进行美容服务剪毛时会产生宠物废毛发，产生量按0.1kg/只计，每年接待美容宠物400只，则产生量约0.04t/a，集中收集后由环卫部门统一清理处理。</w:t>
            </w:r>
          </w:p>
          <w:p w14:paraId="010CDC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（3）生活垃圾</w:t>
            </w:r>
          </w:p>
          <w:p w14:paraId="2F50DB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项目劳动定员5人，均不在院内食宿，生活垃圾排放系数按0.5kg/d·人计，则生活垃圾产生量约0.</w:t>
            </w:r>
            <w:r>
              <w:rPr>
                <w:rFonts w:hint="eastAsia" w:cs="Times New Roman" w:eastAsiaTheme="minorEastAsia"/>
                <w:b w:val="0"/>
                <w:color w:val="auto"/>
                <w:kern w:val="2"/>
                <w:sz w:val="24"/>
                <w:szCs w:val="24"/>
                <w:lang w:val="en-US" w:eastAsia="zh-CN" w:bidi="ar-SA"/>
              </w:rPr>
              <w:t>82</w:t>
            </w:r>
            <w:r>
              <w:rPr>
                <w:rFonts w:hint="default" w:ascii="Times New Roman" w:hAnsi="Times New Roman" w:cs="Times New Roman" w:eastAsiaTheme="minorEastAsia"/>
                <w:b w:val="0"/>
                <w:color w:val="auto"/>
                <w:kern w:val="2"/>
                <w:sz w:val="24"/>
                <w:szCs w:val="24"/>
                <w:lang w:val="en-US" w:eastAsia="zh-CN" w:bidi="ar-SA"/>
              </w:rPr>
              <w:t>5t/a，生活垃圾定期由环卫部门清运处置。</w:t>
            </w:r>
          </w:p>
          <w:p w14:paraId="23CBBD6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（4）医疗废物</w:t>
            </w:r>
          </w:p>
          <w:p w14:paraId="62B75F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根据《国家危险废物名录》（2025年版）及《医疗废物分类名录（2021年版），医疗废物属于危险废物，废物类别为HW01。本项目运营过程产生的医疗废物主要包括：①纱布、注射器、输液器和容器等感染性废物（废物代码：841-001-01），其中棉签、棉球、输液贴属于豁免的医疗废物；②针头、缝合针、手术刀等损伤性废物（废物代码：841-002-01）；③动物软组织、器官等病理性废物（废物代码：841-003-01）；④废弃的检测板、化验药品等化学性废物（废物代码：841-004-01）；⑤废弃或过期药品等药物性废物（废物代码：841-005-01）。</w:t>
            </w:r>
          </w:p>
          <w:p w14:paraId="0E53E23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根据建设单位提供资料，住院宠物产生的医疗废物按0.1kg/只·d计，则住院宠物医疗废物产生量为0.06kg/d（0.020t/a）；门诊宠物产生的医疗废物按0.5kg/只·d计，则门诊宠物医疗废物产生量为1.52kg/d（0.500t/a)。故项目医疗废物产生量为1.58kg/d（0.52t/a)。项目产生的感染性废物、病理性废物、损伤性废物、化学性废物、药物性废物等医疗废物</w:t>
            </w:r>
            <w:r>
              <w:rPr>
                <w:rFonts w:hint="eastAsia" w:cs="Times New Roman" w:eastAsiaTheme="minorEastAsia"/>
                <w:b w:val="0"/>
                <w:color w:val="auto"/>
                <w:kern w:val="2"/>
                <w:sz w:val="24"/>
                <w:szCs w:val="24"/>
                <w:lang w:val="en-US" w:eastAsia="zh-CN" w:bidi="ar-SA"/>
              </w:rPr>
              <w:t>分类</w:t>
            </w:r>
            <w:r>
              <w:rPr>
                <w:rFonts w:hint="default" w:ascii="Times New Roman" w:hAnsi="Times New Roman" w:cs="Times New Roman" w:eastAsiaTheme="minorEastAsia"/>
                <w:b w:val="0"/>
                <w:color w:val="auto"/>
                <w:kern w:val="2"/>
                <w:sz w:val="24"/>
                <w:szCs w:val="24"/>
                <w:lang w:val="en-US" w:eastAsia="zh-CN" w:bidi="ar-SA"/>
              </w:rPr>
              <w:t>收集于医疗废弃物专用收集箱，暂存于医疗废物暂存间</w:t>
            </w:r>
            <w:r>
              <w:rPr>
                <w:rFonts w:hint="eastAsia" w:cs="Times New Roman" w:eastAsiaTheme="minorEastAsia"/>
                <w:b w:val="0"/>
                <w:color w:val="auto"/>
                <w:kern w:val="2"/>
                <w:sz w:val="24"/>
                <w:szCs w:val="24"/>
                <w:lang w:val="en-US" w:eastAsia="zh-CN" w:bidi="ar-SA"/>
              </w:rPr>
              <w:t>（3m</w:t>
            </w:r>
            <w:r>
              <w:rPr>
                <w:rFonts w:hint="eastAsia" w:cs="Times New Roman" w:eastAsiaTheme="minorEastAsia"/>
                <w:b w:val="0"/>
                <w:color w:val="auto"/>
                <w:kern w:val="2"/>
                <w:sz w:val="24"/>
                <w:szCs w:val="24"/>
                <w:vertAlign w:val="superscript"/>
                <w:lang w:val="en-US" w:eastAsia="zh-CN" w:bidi="ar-SA"/>
              </w:rPr>
              <w:t>2</w:t>
            </w:r>
            <w:r>
              <w:rPr>
                <w:rFonts w:hint="eastAsia" w:cs="Times New Roman" w:eastAsiaTheme="minorEastAsia"/>
                <w:b w:val="0"/>
                <w:color w:val="auto"/>
                <w:kern w:val="2"/>
                <w:sz w:val="24"/>
                <w:szCs w:val="24"/>
                <w:lang w:val="en-US" w:eastAsia="zh-CN" w:bidi="ar-SA"/>
              </w:rPr>
              <w:t>）</w:t>
            </w:r>
            <w:r>
              <w:rPr>
                <w:rFonts w:hint="default" w:ascii="Times New Roman" w:hAnsi="Times New Roman" w:cs="Times New Roman" w:eastAsiaTheme="minorEastAsia"/>
                <w:b w:val="0"/>
                <w:color w:val="auto"/>
                <w:kern w:val="2"/>
                <w:sz w:val="24"/>
                <w:szCs w:val="24"/>
                <w:lang w:val="en-US" w:eastAsia="zh-CN" w:bidi="ar-SA"/>
              </w:rPr>
              <w:t>，</w:t>
            </w:r>
            <w:r>
              <w:rPr>
                <w:rFonts w:hint="eastAsia" w:cs="Times New Roman" w:eastAsiaTheme="minorEastAsia"/>
                <w:b w:val="0"/>
                <w:color w:val="auto"/>
                <w:kern w:val="2"/>
                <w:sz w:val="24"/>
                <w:szCs w:val="24"/>
                <w:lang w:val="en-US" w:eastAsia="zh-CN" w:bidi="ar-SA"/>
              </w:rPr>
              <w:t>定期</w:t>
            </w:r>
            <w:r>
              <w:rPr>
                <w:rFonts w:hint="default" w:ascii="Times New Roman" w:hAnsi="Times New Roman" w:cs="Times New Roman" w:eastAsiaTheme="minorEastAsia"/>
                <w:b w:val="0"/>
                <w:color w:val="auto"/>
                <w:kern w:val="2"/>
                <w:sz w:val="24"/>
                <w:szCs w:val="24"/>
                <w:lang w:val="en-US" w:eastAsia="zh-CN" w:bidi="ar-SA"/>
              </w:rPr>
              <w:t>委托有危险废物资质单位处置；棉签、棉球、输液贴经喷洒消毒剂后，由环卫部门统一清运。</w:t>
            </w:r>
          </w:p>
          <w:p w14:paraId="6195616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（5）污泥</w:t>
            </w:r>
          </w:p>
          <w:p w14:paraId="6FB0607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本项目污水处理设施采取“一体化污水处理设施”处理工艺，会产生少量的感染性污泥，根据《国家危险废物名录（202</w:t>
            </w:r>
            <w:r>
              <w:rPr>
                <w:rFonts w:hint="eastAsia" w:cs="Times New Roman" w:eastAsiaTheme="minorEastAsia"/>
                <w:b w:val="0"/>
                <w:color w:val="auto"/>
                <w:kern w:val="2"/>
                <w:sz w:val="24"/>
                <w:szCs w:val="24"/>
                <w:lang w:val="en-US" w:eastAsia="zh-CN" w:bidi="ar-SA"/>
              </w:rPr>
              <w:t>5</w:t>
            </w:r>
            <w:r>
              <w:rPr>
                <w:rFonts w:hint="default" w:ascii="Times New Roman" w:hAnsi="Times New Roman" w:cs="Times New Roman" w:eastAsiaTheme="minorEastAsia"/>
                <w:b w:val="0"/>
                <w:color w:val="auto"/>
                <w:kern w:val="2"/>
                <w:sz w:val="24"/>
                <w:szCs w:val="24"/>
                <w:lang w:val="en-US" w:eastAsia="zh-CN" w:bidi="ar-SA"/>
              </w:rPr>
              <w:t>版）》，属于HW01，危险废物代码841-00</w:t>
            </w:r>
            <w:r>
              <w:rPr>
                <w:rFonts w:hint="eastAsia" w:cs="Times New Roman" w:eastAsiaTheme="minorEastAsia"/>
                <w:b w:val="0"/>
                <w:color w:val="auto"/>
                <w:kern w:val="2"/>
                <w:sz w:val="24"/>
                <w:szCs w:val="24"/>
                <w:lang w:val="en-US" w:eastAsia="zh-CN" w:bidi="ar-SA"/>
              </w:rPr>
              <w:t>1</w:t>
            </w:r>
            <w:r>
              <w:rPr>
                <w:rFonts w:hint="default" w:ascii="Times New Roman" w:hAnsi="Times New Roman" w:cs="Times New Roman" w:eastAsiaTheme="minorEastAsia"/>
                <w:b w:val="0"/>
                <w:color w:val="auto"/>
                <w:kern w:val="2"/>
                <w:sz w:val="24"/>
                <w:szCs w:val="24"/>
                <w:lang w:val="en-US" w:eastAsia="zh-CN" w:bidi="ar-SA"/>
              </w:rPr>
              <w:t>-01。根据建设单位提供资料，污水处理设施产生的感染性污泥量约为0.01t/a，</w:t>
            </w:r>
            <w:r>
              <w:rPr>
                <w:rFonts w:hint="eastAsia" w:cs="Times New Roman" w:eastAsiaTheme="minorEastAsia"/>
                <w:b w:val="0"/>
                <w:color w:val="auto"/>
                <w:kern w:val="2"/>
                <w:sz w:val="24"/>
                <w:szCs w:val="24"/>
                <w:lang w:val="en-US" w:eastAsia="zh-CN" w:bidi="ar-SA"/>
              </w:rPr>
              <w:t>分类收集消毒后暂存在医疗废物暂存间</w:t>
            </w:r>
            <w:r>
              <w:rPr>
                <w:rFonts w:hint="default" w:ascii="Times New Roman" w:hAnsi="Times New Roman" w:cs="Times New Roman" w:eastAsiaTheme="minorEastAsia"/>
                <w:b w:val="0"/>
                <w:color w:val="auto"/>
                <w:kern w:val="2"/>
                <w:sz w:val="24"/>
                <w:szCs w:val="24"/>
                <w:lang w:val="en-US" w:eastAsia="zh-CN" w:bidi="ar-SA"/>
              </w:rPr>
              <w:t>（</w:t>
            </w:r>
            <w:r>
              <w:rPr>
                <w:rFonts w:hint="eastAsia" w:cs="Times New Roman" w:eastAsiaTheme="minorEastAsia"/>
                <w:b w:val="0"/>
                <w:color w:val="auto"/>
                <w:kern w:val="2"/>
                <w:sz w:val="24"/>
                <w:szCs w:val="24"/>
                <w:lang w:val="en-US" w:eastAsia="zh-CN" w:bidi="ar-SA"/>
              </w:rPr>
              <w:t>3</w:t>
            </w:r>
            <w:r>
              <w:rPr>
                <w:rFonts w:hint="default" w:ascii="Times New Roman" w:hAnsi="Times New Roman" w:cs="Times New Roman" w:eastAsiaTheme="minorEastAsia"/>
                <w:b w:val="0"/>
                <w:color w:val="auto"/>
                <w:kern w:val="2"/>
                <w:sz w:val="24"/>
                <w:szCs w:val="24"/>
                <w:lang w:val="en-US" w:eastAsia="zh-CN" w:bidi="ar-SA"/>
              </w:rPr>
              <w:t>m</w:t>
            </w:r>
            <w:r>
              <w:rPr>
                <w:rFonts w:hint="default" w:ascii="Times New Roman" w:hAnsi="Times New Roman" w:cs="Times New Roman" w:eastAsiaTheme="minorEastAsia"/>
                <w:b w:val="0"/>
                <w:color w:val="auto"/>
                <w:kern w:val="2"/>
                <w:sz w:val="24"/>
                <w:szCs w:val="24"/>
                <w:vertAlign w:val="superscript"/>
                <w:lang w:val="en-US" w:eastAsia="zh-CN" w:bidi="ar-SA"/>
              </w:rPr>
              <w:t>2</w:t>
            </w:r>
            <w:r>
              <w:rPr>
                <w:rFonts w:hint="default" w:ascii="Times New Roman" w:hAnsi="Times New Roman" w:cs="Times New Roman" w:eastAsiaTheme="minorEastAsia"/>
                <w:b w:val="0"/>
                <w:color w:val="auto"/>
                <w:kern w:val="2"/>
                <w:sz w:val="24"/>
                <w:szCs w:val="24"/>
                <w:lang w:val="en-US" w:eastAsia="zh-CN" w:bidi="ar-SA"/>
              </w:rPr>
              <w:t>），</w:t>
            </w:r>
            <w:r>
              <w:rPr>
                <w:rFonts w:hint="eastAsia" w:cs="Times New Roman" w:eastAsiaTheme="minorEastAsia"/>
                <w:b w:val="0"/>
                <w:color w:val="auto"/>
                <w:kern w:val="2"/>
                <w:sz w:val="24"/>
                <w:szCs w:val="24"/>
                <w:lang w:val="en-US" w:eastAsia="zh-CN" w:bidi="ar-SA"/>
              </w:rPr>
              <w:t>定期</w:t>
            </w:r>
            <w:r>
              <w:rPr>
                <w:rFonts w:hint="default" w:ascii="Times New Roman" w:hAnsi="Times New Roman" w:cs="Times New Roman" w:eastAsiaTheme="minorEastAsia"/>
                <w:b w:val="0"/>
                <w:color w:val="auto"/>
                <w:kern w:val="2"/>
                <w:sz w:val="24"/>
                <w:szCs w:val="24"/>
                <w:lang w:val="en-US" w:eastAsia="zh-CN" w:bidi="ar-SA"/>
              </w:rPr>
              <w:t>委托有危险废物资质单位处置。</w:t>
            </w:r>
          </w:p>
          <w:p w14:paraId="7D0F752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（6）废紫外线灯管</w:t>
            </w:r>
          </w:p>
          <w:p w14:paraId="5618BA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本项目手术室、B超室及美容室安装紫外线灯对空气进行消毒，会产生少量的废紫外灯管，根据《国家危险废物名录（202</w:t>
            </w:r>
            <w:r>
              <w:rPr>
                <w:rFonts w:hint="eastAsia" w:cs="Times New Roman" w:eastAsiaTheme="minorEastAsia"/>
                <w:b w:val="0"/>
                <w:color w:val="auto"/>
                <w:kern w:val="2"/>
                <w:sz w:val="24"/>
                <w:szCs w:val="24"/>
                <w:lang w:val="en-US" w:eastAsia="zh-CN" w:bidi="ar-SA"/>
              </w:rPr>
              <w:t>5</w:t>
            </w:r>
            <w:r>
              <w:rPr>
                <w:rFonts w:hint="default" w:ascii="Times New Roman" w:hAnsi="Times New Roman" w:cs="Times New Roman" w:eastAsiaTheme="minorEastAsia"/>
                <w:b w:val="0"/>
                <w:color w:val="auto"/>
                <w:kern w:val="2"/>
                <w:sz w:val="24"/>
                <w:szCs w:val="24"/>
                <w:lang w:val="en-US" w:eastAsia="zh-CN" w:bidi="ar-SA"/>
              </w:rPr>
              <w:t>版）》，属于HW49，危险废物代码900-041-49。根据建设单位提供资料，废紫外线灯管产生量为0.005t/3a，</w:t>
            </w:r>
            <w:r>
              <w:rPr>
                <w:rFonts w:hint="eastAsia" w:cs="Times New Roman" w:eastAsiaTheme="minorEastAsia"/>
                <w:b w:val="0"/>
                <w:color w:val="auto"/>
                <w:kern w:val="2"/>
                <w:sz w:val="24"/>
                <w:szCs w:val="24"/>
                <w:lang w:val="en-US" w:eastAsia="zh-CN" w:bidi="ar-SA"/>
              </w:rPr>
              <w:t>分类收集消毒后暂存在医疗废物暂存间</w:t>
            </w:r>
            <w:r>
              <w:rPr>
                <w:rFonts w:hint="default" w:ascii="Times New Roman" w:hAnsi="Times New Roman" w:cs="Times New Roman" w:eastAsiaTheme="minorEastAsia"/>
                <w:b w:val="0"/>
                <w:color w:val="auto"/>
                <w:kern w:val="2"/>
                <w:sz w:val="24"/>
                <w:szCs w:val="24"/>
                <w:lang w:val="en-US" w:eastAsia="zh-CN" w:bidi="ar-SA"/>
              </w:rPr>
              <w:t>（</w:t>
            </w:r>
            <w:r>
              <w:rPr>
                <w:rFonts w:hint="eastAsia" w:cs="Times New Roman" w:eastAsiaTheme="minorEastAsia"/>
                <w:b w:val="0"/>
                <w:color w:val="auto"/>
                <w:kern w:val="2"/>
                <w:sz w:val="24"/>
                <w:szCs w:val="24"/>
                <w:lang w:val="en-US" w:eastAsia="zh-CN" w:bidi="ar-SA"/>
              </w:rPr>
              <w:t>3</w:t>
            </w:r>
            <w:r>
              <w:rPr>
                <w:rFonts w:hint="default" w:ascii="Times New Roman" w:hAnsi="Times New Roman" w:cs="Times New Roman" w:eastAsiaTheme="minorEastAsia"/>
                <w:b w:val="0"/>
                <w:color w:val="auto"/>
                <w:kern w:val="2"/>
                <w:sz w:val="24"/>
                <w:szCs w:val="24"/>
                <w:lang w:val="en-US" w:eastAsia="zh-CN" w:bidi="ar-SA"/>
              </w:rPr>
              <w:t>m</w:t>
            </w:r>
            <w:r>
              <w:rPr>
                <w:rFonts w:hint="default" w:ascii="Times New Roman" w:hAnsi="Times New Roman" w:cs="Times New Roman" w:eastAsiaTheme="minorEastAsia"/>
                <w:b w:val="0"/>
                <w:color w:val="auto"/>
                <w:kern w:val="2"/>
                <w:sz w:val="24"/>
                <w:szCs w:val="24"/>
                <w:vertAlign w:val="superscript"/>
                <w:lang w:val="en-US" w:eastAsia="zh-CN" w:bidi="ar-SA"/>
              </w:rPr>
              <w:t>2</w:t>
            </w:r>
            <w:r>
              <w:rPr>
                <w:rFonts w:hint="default" w:ascii="Times New Roman" w:hAnsi="Times New Roman" w:cs="Times New Roman" w:eastAsiaTheme="minorEastAsia"/>
                <w:b w:val="0"/>
                <w:color w:val="auto"/>
                <w:kern w:val="2"/>
                <w:sz w:val="24"/>
                <w:szCs w:val="24"/>
                <w:lang w:val="en-US" w:eastAsia="zh-CN" w:bidi="ar-SA"/>
              </w:rPr>
              <w:t>），</w:t>
            </w:r>
            <w:r>
              <w:rPr>
                <w:rFonts w:hint="eastAsia" w:cs="Times New Roman" w:eastAsiaTheme="minorEastAsia"/>
                <w:b w:val="0"/>
                <w:color w:val="auto"/>
                <w:kern w:val="2"/>
                <w:sz w:val="24"/>
                <w:szCs w:val="24"/>
                <w:lang w:val="en-US" w:eastAsia="zh-CN" w:bidi="ar-SA"/>
              </w:rPr>
              <w:t>定期</w:t>
            </w:r>
            <w:r>
              <w:rPr>
                <w:rFonts w:hint="default" w:ascii="Times New Roman" w:hAnsi="Times New Roman" w:cs="Times New Roman" w:eastAsiaTheme="minorEastAsia"/>
                <w:b w:val="0"/>
                <w:color w:val="auto"/>
                <w:kern w:val="2"/>
                <w:sz w:val="24"/>
                <w:szCs w:val="24"/>
                <w:lang w:val="en-US" w:eastAsia="zh-CN" w:bidi="ar-SA"/>
              </w:rPr>
              <w:t>委托有危险废物资质单位处置。</w:t>
            </w:r>
          </w:p>
          <w:p w14:paraId="64227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表4-1</w:t>
            </w:r>
            <w:r>
              <w:rPr>
                <w:rFonts w:hint="eastAsia" w:cs="Times New Roman" w:eastAsiaTheme="minorEastAsia"/>
                <w:b/>
                <w:color w:val="auto"/>
                <w:sz w:val="21"/>
                <w:szCs w:val="21"/>
                <w:lang w:val="en-US" w:eastAsia="zh-CN"/>
              </w:rPr>
              <w:t>3</w:t>
            </w:r>
            <w:r>
              <w:rPr>
                <w:rFonts w:hint="default" w:ascii="Times New Roman" w:hAnsi="Times New Roman" w:cs="Times New Roman" w:eastAsiaTheme="minorEastAsia"/>
                <w:b/>
                <w:color w:val="auto"/>
                <w:sz w:val="21"/>
                <w:szCs w:val="21"/>
                <w:lang w:val="en-US" w:eastAsia="zh-CN"/>
              </w:rPr>
              <w:t xml:space="preserve">   营运期固废产排情况一览表</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42"/>
              <w:gridCol w:w="1528"/>
              <w:gridCol w:w="1321"/>
              <w:gridCol w:w="683"/>
              <w:gridCol w:w="1050"/>
              <w:gridCol w:w="1313"/>
              <w:gridCol w:w="879"/>
            </w:tblGrid>
            <w:tr w14:paraId="031380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8" w:type="pct"/>
                  <w:tcBorders>
                    <w:bottom w:val="single" w:color="auto" w:sz="12" w:space="0"/>
                  </w:tcBorders>
                  <w:noWrap w:val="0"/>
                  <w:vAlign w:val="center"/>
                </w:tcPr>
                <w:p w14:paraId="44DE8D8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序号</w:t>
                  </w:r>
                </w:p>
              </w:tc>
              <w:tc>
                <w:tcPr>
                  <w:tcW w:w="467" w:type="pct"/>
                  <w:tcBorders>
                    <w:bottom w:val="single" w:color="auto" w:sz="12" w:space="0"/>
                  </w:tcBorders>
                  <w:noWrap w:val="0"/>
                  <w:vAlign w:val="center"/>
                </w:tcPr>
                <w:p w14:paraId="4D7754F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类别</w:t>
                  </w:r>
                </w:p>
              </w:tc>
              <w:tc>
                <w:tcPr>
                  <w:tcW w:w="961" w:type="pct"/>
                  <w:tcBorders>
                    <w:bottom w:val="single" w:color="auto" w:sz="12" w:space="0"/>
                  </w:tcBorders>
                  <w:noWrap w:val="0"/>
                  <w:vAlign w:val="center"/>
                </w:tcPr>
                <w:p w14:paraId="4FB06EB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名称</w:t>
                  </w:r>
                </w:p>
              </w:tc>
              <w:tc>
                <w:tcPr>
                  <w:tcW w:w="831" w:type="pct"/>
                  <w:tcBorders>
                    <w:bottom w:val="single" w:color="auto" w:sz="12" w:space="0"/>
                  </w:tcBorders>
                  <w:noWrap w:val="0"/>
                  <w:vAlign w:val="center"/>
                </w:tcPr>
                <w:p w14:paraId="6099BB7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废物代码</w:t>
                  </w:r>
                </w:p>
              </w:tc>
              <w:tc>
                <w:tcPr>
                  <w:tcW w:w="429" w:type="pct"/>
                  <w:tcBorders>
                    <w:bottom w:val="single" w:color="auto" w:sz="12" w:space="0"/>
                  </w:tcBorders>
                  <w:noWrap w:val="0"/>
                  <w:vAlign w:val="center"/>
                </w:tcPr>
                <w:p w14:paraId="7EB22E7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物理性状</w:t>
                  </w:r>
                </w:p>
              </w:tc>
              <w:tc>
                <w:tcPr>
                  <w:tcW w:w="660" w:type="pct"/>
                  <w:tcBorders>
                    <w:bottom w:val="single" w:color="auto" w:sz="12" w:space="0"/>
                  </w:tcBorders>
                  <w:noWrap w:val="0"/>
                  <w:vAlign w:val="center"/>
                </w:tcPr>
                <w:p w14:paraId="5691608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年产生量（t/a）</w:t>
                  </w:r>
                </w:p>
              </w:tc>
              <w:tc>
                <w:tcPr>
                  <w:tcW w:w="826" w:type="pct"/>
                  <w:tcBorders>
                    <w:bottom w:val="single" w:color="auto" w:sz="12" w:space="0"/>
                  </w:tcBorders>
                  <w:noWrap w:val="0"/>
                  <w:vAlign w:val="center"/>
                </w:tcPr>
                <w:p w14:paraId="3C0E04B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处理方式</w:t>
                  </w:r>
                </w:p>
              </w:tc>
              <w:tc>
                <w:tcPr>
                  <w:tcW w:w="553" w:type="pct"/>
                  <w:tcBorders>
                    <w:bottom w:val="single" w:color="auto" w:sz="12" w:space="0"/>
                  </w:tcBorders>
                  <w:noWrap w:val="0"/>
                  <w:vAlign w:val="center"/>
                </w:tcPr>
                <w:p w14:paraId="150FB35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年排放量（t/a）</w:t>
                  </w:r>
                </w:p>
              </w:tc>
            </w:tr>
            <w:tr w14:paraId="71150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8" w:type="pct"/>
                  <w:tcBorders>
                    <w:top w:val="single" w:color="auto" w:sz="12" w:space="0"/>
                  </w:tcBorders>
                  <w:noWrap w:val="0"/>
                  <w:vAlign w:val="center"/>
                </w:tcPr>
                <w:p w14:paraId="59AA2B1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1</w:t>
                  </w:r>
                </w:p>
              </w:tc>
              <w:tc>
                <w:tcPr>
                  <w:tcW w:w="467" w:type="pct"/>
                  <w:tcBorders>
                    <w:top w:val="single" w:color="auto" w:sz="12" w:space="0"/>
                  </w:tcBorders>
                  <w:noWrap w:val="0"/>
                  <w:vAlign w:val="center"/>
                </w:tcPr>
                <w:p w14:paraId="0D6C866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rPr>
                    <w:t>生活垃圾</w:t>
                  </w:r>
                </w:p>
              </w:tc>
              <w:tc>
                <w:tcPr>
                  <w:tcW w:w="961" w:type="pct"/>
                  <w:tcBorders>
                    <w:top w:val="single" w:color="auto" w:sz="12" w:space="0"/>
                  </w:tcBorders>
                  <w:noWrap w:val="0"/>
                  <w:vAlign w:val="center"/>
                </w:tcPr>
                <w:p w14:paraId="6BDFDEE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生活垃圾</w:t>
                  </w:r>
                </w:p>
              </w:tc>
              <w:tc>
                <w:tcPr>
                  <w:tcW w:w="831" w:type="pct"/>
                  <w:tcBorders>
                    <w:top w:val="single" w:color="auto" w:sz="12" w:space="0"/>
                  </w:tcBorders>
                  <w:noWrap w:val="0"/>
                  <w:vAlign w:val="center"/>
                </w:tcPr>
                <w:p w14:paraId="02B20CC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w:t>
                  </w:r>
                </w:p>
              </w:tc>
              <w:tc>
                <w:tcPr>
                  <w:tcW w:w="429" w:type="pct"/>
                  <w:tcBorders>
                    <w:top w:val="single" w:color="auto" w:sz="12" w:space="0"/>
                  </w:tcBorders>
                  <w:noWrap w:val="0"/>
                  <w:vAlign w:val="center"/>
                </w:tcPr>
                <w:p w14:paraId="2BFD428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kern w:val="0"/>
                      <w:sz w:val="21"/>
                      <w:szCs w:val="21"/>
                      <w:lang w:bidi="ar"/>
                    </w:rPr>
                    <w:t>固态</w:t>
                  </w:r>
                </w:p>
              </w:tc>
              <w:tc>
                <w:tcPr>
                  <w:tcW w:w="660" w:type="pct"/>
                  <w:tcBorders>
                    <w:top w:val="single" w:color="auto" w:sz="12" w:space="0"/>
                  </w:tcBorders>
                  <w:noWrap w:val="0"/>
                  <w:vAlign w:val="center"/>
                </w:tcPr>
                <w:p w14:paraId="2F7F9E4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eastAsia" w:cs="Times New Roman" w:eastAsiaTheme="minorEastAsia"/>
                      <w:b w:val="0"/>
                      <w:bCs/>
                      <w:color w:val="auto"/>
                      <w:sz w:val="21"/>
                      <w:szCs w:val="21"/>
                      <w:lang w:val="en-US" w:eastAsia="zh-CN"/>
                    </w:rPr>
                    <w:t>0.825</w:t>
                  </w:r>
                </w:p>
              </w:tc>
              <w:tc>
                <w:tcPr>
                  <w:tcW w:w="826" w:type="pct"/>
                  <w:vMerge w:val="restart"/>
                  <w:tcBorders>
                    <w:top w:val="single" w:color="auto" w:sz="12" w:space="0"/>
                  </w:tcBorders>
                  <w:noWrap w:val="0"/>
                  <w:vAlign w:val="center"/>
                </w:tcPr>
                <w:p w14:paraId="109207E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kern w:val="0"/>
                      <w:sz w:val="21"/>
                      <w:szCs w:val="21"/>
                      <w:lang w:bidi="ar"/>
                    </w:rPr>
                    <w:t>统一收集</w:t>
                  </w:r>
                  <w:r>
                    <w:rPr>
                      <w:rFonts w:hint="default" w:ascii="Times New Roman" w:hAnsi="Times New Roman" w:cs="Times New Roman" w:eastAsiaTheme="minorEastAsia"/>
                      <w:b w:val="0"/>
                      <w:bCs/>
                      <w:color w:val="auto"/>
                      <w:kern w:val="0"/>
                      <w:sz w:val="21"/>
                      <w:szCs w:val="21"/>
                      <w:lang w:val="en-US" w:eastAsia="zh-CN" w:bidi="ar"/>
                    </w:rPr>
                    <w:t>交由环卫部门清运处置</w:t>
                  </w:r>
                </w:p>
              </w:tc>
              <w:tc>
                <w:tcPr>
                  <w:tcW w:w="553" w:type="pct"/>
                  <w:tcBorders>
                    <w:top w:val="single" w:color="auto" w:sz="12" w:space="0"/>
                  </w:tcBorders>
                  <w:noWrap w:val="0"/>
                  <w:vAlign w:val="center"/>
                </w:tcPr>
                <w:p w14:paraId="4B046DD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eastAsia" w:cs="Times New Roman" w:eastAsiaTheme="minorEastAsia"/>
                      <w:b w:val="0"/>
                      <w:bCs/>
                      <w:color w:val="auto"/>
                      <w:sz w:val="21"/>
                      <w:szCs w:val="21"/>
                      <w:lang w:val="en-US" w:eastAsia="zh-CN"/>
                    </w:rPr>
                    <w:t>0.825</w:t>
                  </w:r>
                </w:p>
              </w:tc>
            </w:tr>
            <w:tr w14:paraId="711E2A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8" w:type="pct"/>
                  <w:noWrap w:val="0"/>
                  <w:vAlign w:val="center"/>
                </w:tcPr>
                <w:p w14:paraId="4842469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2</w:t>
                  </w:r>
                </w:p>
              </w:tc>
              <w:tc>
                <w:tcPr>
                  <w:tcW w:w="467" w:type="pct"/>
                  <w:vMerge w:val="restart"/>
                  <w:noWrap w:val="0"/>
                  <w:vAlign w:val="center"/>
                </w:tcPr>
                <w:p w14:paraId="3786DFC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一般工业固废</w:t>
                  </w:r>
                </w:p>
              </w:tc>
              <w:tc>
                <w:tcPr>
                  <w:tcW w:w="961" w:type="pct"/>
                  <w:noWrap w:val="0"/>
                  <w:vAlign w:val="center"/>
                </w:tcPr>
                <w:p w14:paraId="3441571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宠物排泄物</w:t>
                  </w:r>
                </w:p>
              </w:tc>
              <w:tc>
                <w:tcPr>
                  <w:tcW w:w="831" w:type="pct"/>
                  <w:noWrap w:val="0"/>
                  <w:vAlign w:val="center"/>
                </w:tcPr>
                <w:p w14:paraId="6D3CFEF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highlight w:val="none"/>
                      <w:lang w:val="en-US" w:eastAsia="zh-CN" w:bidi="ar"/>
                    </w:rPr>
                  </w:pPr>
                  <w:r>
                    <w:rPr>
                      <w:rFonts w:hint="default" w:ascii="Times New Roman" w:hAnsi="Times New Roman" w:cs="Times New Roman" w:eastAsiaTheme="minorEastAsia"/>
                      <w:b w:val="0"/>
                      <w:bCs/>
                      <w:color w:val="auto"/>
                      <w:kern w:val="0"/>
                      <w:sz w:val="21"/>
                      <w:szCs w:val="21"/>
                      <w:highlight w:val="none"/>
                      <w:lang w:val="en-US" w:eastAsia="zh-CN" w:bidi="ar"/>
                    </w:rPr>
                    <w:t>/</w:t>
                  </w:r>
                </w:p>
              </w:tc>
              <w:tc>
                <w:tcPr>
                  <w:tcW w:w="429" w:type="pct"/>
                  <w:noWrap w:val="0"/>
                  <w:vAlign w:val="center"/>
                </w:tcPr>
                <w:p w14:paraId="7F0B593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highlight w:val="none"/>
                      <w:lang w:bidi="ar"/>
                    </w:rPr>
                  </w:pPr>
                  <w:r>
                    <w:rPr>
                      <w:rFonts w:hint="default" w:ascii="Times New Roman" w:hAnsi="Times New Roman" w:cs="Times New Roman" w:eastAsiaTheme="minorEastAsia"/>
                      <w:b w:val="0"/>
                      <w:bCs/>
                      <w:color w:val="auto"/>
                      <w:kern w:val="0"/>
                      <w:sz w:val="21"/>
                      <w:szCs w:val="21"/>
                      <w:highlight w:val="none"/>
                      <w:lang w:bidi="ar"/>
                    </w:rPr>
                    <w:t>固态</w:t>
                  </w:r>
                </w:p>
              </w:tc>
              <w:tc>
                <w:tcPr>
                  <w:tcW w:w="660" w:type="pct"/>
                  <w:noWrap w:val="0"/>
                  <w:vAlign w:val="center"/>
                </w:tcPr>
                <w:p w14:paraId="40B0A8F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0.03</w:t>
                  </w:r>
                  <w:r>
                    <w:rPr>
                      <w:rFonts w:hint="eastAsia" w:cs="Times New Roman" w:eastAsiaTheme="minorEastAsia"/>
                      <w:b w:val="0"/>
                      <w:bCs/>
                      <w:color w:val="auto"/>
                      <w:sz w:val="21"/>
                      <w:szCs w:val="21"/>
                      <w:highlight w:val="none"/>
                      <w:lang w:val="en-US" w:eastAsia="zh-CN"/>
                    </w:rPr>
                    <w:t>5</w:t>
                  </w:r>
                </w:p>
              </w:tc>
              <w:tc>
                <w:tcPr>
                  <w:tcW w:w="826" w:type="pct"/>
                  <w:vMerge w:val="continue"/>
                  <w:noWrap w:val="0"/>
                  <w:vAlign w:val="center"/>
                </w:tcPr>
                <w:p w14:paraId="6F971F2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highlight w:val="none"/>
                      <w:lang w:val="en-US" w:eastAsia="zh-CN" w:bidi="ar"/>
                    </w:rPr>
                  </w:pPr>
                </w:p>
              </w:tc>
              <w:tc>
                <w:tcPr>
                  <w:tcW w:w="553" w:type="pct"/>
                  <w:noWrap w:val="0"/>
                  <w:vAlign w:val="center"/>
                </w:tcPr>
                <w:p w14:paraId="261CB15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0.03</w:t>
                  </w:r>
                  <w:r>
                    <w:rPr>
                      <w:rFonts w:hint="eastAsia" w:cs="Times New Roman" w:eastAsiaTheme="minorEastAsia"/>
                      <w:b w:val="0"/>
                      <w:bCs/>
                      <w:color w:val="auto"/>
                      <w:sz w:val="21"/>
                      <w:szCs w:val="21"/>
                      <w:highlight w:val="none"/>
                      <w:lang w:val="en-US" w:eastAsia="zh-CN"/>
                    </w:rPr>
                    <w:t>5</w:t>
                  </w:r>
                </w:p>
              </w:tc>
            </w:tr>
            <w:tr w14:paraId="7BBD92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68" w:type="pct"/>
                  <w:noWrap w:val="0"/>
                  <w:vAlign w:val="center"/>
                </w:tcPr>
                <w:p w14:paraId="47AA9AA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w:t>
                  </w:r>
                </w:p>
              </w:tc>
              <w:tc>
                <w:tcPr>
                  <w:tcW w:w="467" w:type="pct"/>
                  <w:vMerge w:val="continue"/>
                  <w:noWrap w:val="0"/>
                  <w:vAlign w:val="center"/>
                </w:tcPr>
                <w:p w14:paraId="19CF599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p>
              </w:tc>
              <w:tc>
                <w:tcPr>
                  <w:tcW w:w="961" w:type="pct"/>
                  <w:noWrap w:val="0"/>
                  <w:vAlign w:val="center"/>
                </w:tcPr>
                <w:p w14:paraId="16D32BF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highlight w:val="none"/>
                      <w:lang w:val="en-US" w:eastAsia="zh-CN" w:bidi="ar"/>
                    </w:rPr>
                  </w:pPr>
                  <w:r>
                    <w:rPr>
                      <w:rFonts w:hint="default" w:ascii="Times New Roman" w:hAnsi="Times New Roman" w:cs="Times New Roman" w:eastAsiaTheme="minorEastAsia"/>
                      <w:b w:val="0"/>
                      <w:bCs/>
                      <w:color w:val="auto"/>
                      <w:kern w:val="0"/>
                      <w:sz w:val="21"/>
                      <w:szCs w:val="21"/>
                      <w:highlight w:val="none"/>
                      <w:lang w:val="en-US" w:eastAsia="zh-CN" w:bidi="ar"/>
                    </w:rPr>
                    <w:t>宠物废毛</w:t>
                  </w:r>
                </w:p>
              </w:tc>
              <w:tc>
                <w:tcPr>
                  <w:tcW w:w="831" w:type="pct"/>
                  <w:noWrap w:val="0"/>
                  <w:vAlign w:val="center"/>
                </w:tcPr>
                <w:p w14:paraId="24C9D4A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highlight w:val="none"/>
                      <w:lang w:val="en-US" w:eastAsia="zh-CN" w:bidi="ar"/>
                    </w:rPr>
                  </w:pPr>
                  <w:r>
                    <w:rPr>
                      <w:rFonts w:hint="default" w:ascii="Times New Roman" w:hAnsi="Times New Roman" w:cs="Times New Roman" w:eastAsiaTheme="minorEastAsia"/>
                      <w:b w:val="0"/>
                      <w:bCs/>
                      <w:color w:val="auto"/>
                      <w:kern w:val="0"/>
                      <w:sz w:val="21"/>
                      <w:szCs w:val="21"/>
                      <w:highlight w:val="none"/>
                      <w:lang w:val="en-US" w:eastAsia="zh-CN" w:bidi="ar"/>
                    </w:rPr>
                    <w:t>/</w:t>
                  </w:r>
                </w:p>
              </w:tc>
              <w:tc>
                <w:tcPr>
                  <w:tcW w:w="429" w:type="pct"/>
                  <w:noWrap w:val="0"/>
                  <w:vAlign w:val="center"/>
                </w:tcPr>
                <w:p w14:paraId="26CB07F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highlight w:val="none"/>
                      <w:lang w:bidi="ar"/>
                    </w:rPr>
                  </w:pPr>
                  <w:r>
                    <w:rPr>
                      <w:rFonts w:hint="default" w:ascii="Times New Roman" w:hAnsi="Times New Roman" w:cs="Times New Roman" w:eastAsiaTheme="minorEastAsia"/>
                      <w:b w:val="0"/>
                      <w:bCs/>
                      <w:color w:val="auto"/>
                      <w:kern w:val="0"/>
                      <w:sz w:val="21"/>
                      <w:szCs w:val="21"/>
                      <w:highlight w:val="none"/>
                      <w:lang w:bidi="ar"/>
                    </w:rPr>
                    <w:t>固态</w:t>
                  </w:r>
                </w:p>
              </w:tc>
              <w:tc>
                <w:tcPr>
                  <w:tcW w:w="660" w:type="pct"/>
                  <w:noWrap w:val="0"/>
                  <w:vAlign w:val="center"/>
                </w:tcPr>
                <w:p w14:paraId="3D06E41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highlight w:val="none"/>
                      <w:lang w:val="en-US" w:eastAsia="zh-CN" w:bidi="ar"/>
                    </w:rPr>
                  </w:pPr>
                  <w:r>
                    <w:rPr>
                      <w:rFonts w:hint="default" w:ascii="Times New Roman" w:hAnsi="Times New Roman" w:cs="Times New Roman" w:eastAsiaTheme="minorEastAsia"/>
                      <w:b w:val="0"/>
                      <w:bCs/>
                      <w:color w:val="auto"/>
                      <w:kern w:val="0"/>
                      <w:sz w:val="21"/>
                      <w:szCs w:val="21"/>
                      <w:highlight w:val="none"/>
                      <w:lang w:val="en-US" w:eastAsia="zh-CN" w:bidi="ar"/>
                    </w:rPr>
                    <w:t>0.04</w:t>
                  </w:r>
                </w:p>
              </w:tc>
              <w:tc>
                <w:tcPr>
                  <w:tcW w:w="826" w:type="pct"/>
                  <w:vMerge w:val="continue"/>
                  <w:noWrap w:val="0"/>
                  <w:vAlign w:val="center"/>
                </w:tcPr>
                <w:p w14:paraId="4A1A797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highlight w:val="none"/>
                      <w:lang w:val="en-US" w:eastAsia="zh-CN" w:bidi="ar"/>
                    </w:rPr>
                  </w:pPr>
                </w:p>
              </w:tc>
              <w:tc>
                <w:tcPr>
                  <w:tcW w:w="553" w:type="pct"/>
                  <w:noWrap w:val="0"/>
                  <w:vAlign w:val="center"/>
                </w:tcPr>
                <w:p w14:paraId="3D1B3B5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0.04</w:t>
                  </w:r>
                </w:p>
              </w:tc>
            </w:tr>
            <w:tr w14:paraId="1C89BC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68" w:type="pct"/>
                  <w:vMerge w:val="restart"/>
                  <w:noWrap w:val="0"/>
                  <w:vAlign w:val="center"/>
                </w:tcPr>
                <w:p w14:paraId="3F11B33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4</w:t>
                  </w:r>
                </w:p>
              </w:tc>
              <w:tc>
                <w:tcPr>
                  <w:tcW w:w="467" w:type="pct"/>
                  <w:vMerge w:val="restart"/>
                  <w:noWrap w:val="0"/>
                  <w:vAlign w:val="center"/>
                </w:tcPr>
                <w:p w14:paraId="54524C2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危险废物</w:t>
                  </w:r>
                </w:p>
              </w:tc>
              <w:tc>
                <w:tcPr>
                  <w:tcW w:w="961" w:type="pct"/>
                  <w:noWrap w:val="0"/>
                  <w:vAlign w:val="center"/>
                </w:tcPr>
                <w:p w14:paraId="5014E6A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纱布、注射器、输液器和容器等感染性废物</w:t>
                  </w:r>
                </w:p>
              </w:tc>
              <w:tc>
                <w:tcPr>
                  <w:tcW w:w="831" w:type="pct"/>
                  <w:noWrap w:val="0"/>
                  <w:vAlign w:val="center"/>
                </w:tcPr>
                <w:p w14:paraId="0AC8072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HW01</w:t>
                  </w:r>
                </w:p>
                <w:p w14:paraId="6A52B18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bidi="ar"/>
                    </w:rPr>
                  </w:pPr>
                  <w:r>
                    <w:rPr>
                      <w:rFonts w:hint="default" w:ascii="Times New Roman" w:hAnsi="Times New Roman" w:cs="Times New Roman" w:eastAsiaTheme="minorEastAsia"/>
                      <w:b w:val="0"/>
                      <w:bCs/>
                      <w:color w:val="auto"/>
                      <w:kern w:val="0"/>
                      <w:sz w:val="21"/>
                      <w:szCs w:val="21"/>
                      <w:lang w:val="en-US" w:eastAsia="zh-CN" w:bidi="ar"/>
                    </w:rPr>
                    <w:t>841-00</w:t>
                  </w:r>
                  <w:r>
                    <w:rPr>
                      <w:rFonts w:hint="eastAsia" w:cs="Times New Roman" w:eastAsiaTheme="minorEastAsia"/>
                      <w:b w:val="0"/>
                      <w:bCs/>
                      <w:color w:val="auto"/>
                      <w:kern w:val="0"/>
                      <w:sz w:val="21"/>
                      <w:szCs w:val="21"/>
                      <w:lang w:val="en-US" w:eastAsia="zh-CN" w:bidi="ar"/>
                    </w:rPr>
                    <w:t>1</w:t>
                  </w:r>
                  <w:r>
                    <w:rPr>
                      <w:rFonts w:hint="default" w:ascii="Times New Roman" w:hAnsi="Times New Roman" w:cs="Times New Roman" w:eastAsiaTheme="minorEastAsia"/>
                      <w:b w:val="0"/>
                      <w:bCs/>
                      <w:color w:val="auto"/>
                      <w:kern w:val="0"/>
                      <w:sz w:val="21"/>
                      <w:szCs w:val="21"/>
                      <w:lang w:val="en-US" w:eastAsia="zh-CN" w:bidi="ar"/>
                    </w:rPr>
                    <w:t>-01</w:t>
                  </w:r>
                </w:p>
              </w:tc>
              <w:tc>
                <w:tcPr>
                  <w:tcW w:w="429" w:type="pct"/>
                  <w:noWrap w:val="0"/>
                  <w:vAlign w:val="center"/>
                </w:tcPr>
                <w:p w14:paraId="627ECE1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kern w:val="0"/>
                      <w:sz w:val="21"/>
                      <w:szCs w:val="21"/>
                      <w:lang w:bidi="ar"/>
                    </w:rPr>
                    <w:t>固态</w:t>
                  </w:r>
                </w:p>
              </w:tc>
              <w:tc>
                <w:tcPr>
                  <w:tcW w:w="660" w:type="pct"/>
                  <w:vMerge w:val="restart"/>
                  <w:noWrap w:val="0"/>
                  <w:vAlign w:val="center"/>
                </w:tcPr>
                <w:p w14:paraId="219EE26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w:t>
                  </w:r>
                  <w:r>
                    <w:rPr>
                      <w:rFonts w:hint="eastAsia" w:cs="Times New Roman" w:eastAsiaTheme="minorEastAsia"/>
                      <w:b w:val="0"/>
                      <w:bCs/>
                      <w:color w:val="auto"/>
                      <w:sz w:val="21"/>
                      <w:szCs w:val="21"/>
                      <w:lang w:val="en-US" w:eastAsia="zh-CN"/>
                    </w:rPr>
                    <w:t>52</w:t>
                  </w:r>
                </w:p>
              </w:tc>
              <w:tc>
                <w:tcPr>
                  <w:tcW w:w="826" w:type="pct"/>
                  <w:vMerge w:val="restart"/>
                  <w:noWrap w:val="0"/>
                  <w:vAlign w:val="center"/>
                </w:tcPr>
                <w:p w14:paraId="2A9D53E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eastAsia" w:cs="Times New Roman" w:eastAsiaTheme="minorEastAsia"/>
                      <w:b w:val="0"/>
                      <w:bCs/>
                      <w:color w:val="auto"/>
                      <w:sz w:val="21"/>
                      <w:szCs w:val="21"/>
                      <w:lang w:eastAsia="zh-CN"/>
                    </w:rPr>
                    <w:t>分类收集于医疗废弃物专用收集箱，暂存于医疗废物暂存间，定期委托有危险废物资质单位处置；棉签、棉球、输液贴经喷洒消毒剂后，由环卫部门统一清运</w:t>
                  </w:r>
                </w:p>
              </w:tc>
              <w:tc>
                <w:tcPr>
                  <w:tcW w:w="553" w:type="pct"/>
                  <w:vMerge w:val="restart"/>
                  <w:noWrap w:val="0"/>
                  <w:vAlign w:val="center"/>
                </w:tcPr>
                <w:p w14:paraId="68D31C6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w:t>
                  </w:r>
                  <w:r>
                    <w:rPr>
                      <w:rFonts w:hint="eastAsia" w:cs="Times New Roman" w:eastAsiaTheme="minorEastAsia"/>
                      <w:b w:val="0"/>
                      <w:bCs/>
                      <w:color w:val="auto"/>
                      <w:sz w:val="21"/>
                      <w:szCs w:val="21"/>
                      <w:lang w:val="en-US" w:eastAsia="zh-CN"/>
                    </w:rPr>
                    <w:t>52</w:t>
                  </w:r>
                </w:p>
              </w:tc>
            </w:tr>
            <w:tr w14:paraId="6938B9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68" w:type="pct"/>
                  <w:vMerge w:val="continue"/>
                  <w:noWrap w:val="0"/>
                  <w:vAlign w:val="center"/>
                </w:tcPr>
                <w:p w14:paraId="12DECEA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467" w:type="pct"/>
                  <w:vMerge w:val="continue"/>
                  <w:noWrap w:val="0"/>
                  <w:vAlign w:val="center"/>
                </w:tcPr>
                <w:p w14:paraId="47C0A0D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961" w:type="pct"/>
                  <w:noWrap w:val="0"/>
                  <w:vAlign w:val="center"/>
                </w:tcPr>
                <w:p w14:paraId="0292BEB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针头、缝合针、手术刀等损伤性废物</w:t>
                  </w:r>
                </w:p>
              </w:tc>
              <w:tc>
                <w:tcPr>
                  <w:tcW w:w="831" w:type="pct"/>
                  <w:noWrap w:val="0"/>
                  <w:vAlign w:val="center"/>
                </w:tcPr>
                <w:p w14:paraId="6F75D3F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HW01</w:t>
                  </w:r>
                </w:p>
                <w:p w14:paraId="7304EA3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bidi="ar"/>
                    </w:rPr>
                  </w:pPr>
                  <w:r>
                    <w:rPr>
                      <w:rFonts w:hint="default" w:ascii="Times New Roman" w:hAnsi="Times New Roman" w:cs="Times New Roman" w:eastAsiaTheme="minorEastAsia"/>
                      <w:b w:val="0"/>
                      <w:bCs/>
                      <w:color w:val="auto"/>
                      <w:kern w:val="0"/>
                      <w:sz w:val="21"/>
                      <w:szCs w:val="21"/>
                      <w:lang w:val="en-US" w:eastAsia="zh-CN" w:bidi="ar"/>
                    </w:rPr>
                    <w:t>841-00</w:t>
                  </w:r>
                  <w:r>
                    <w:rPr>
                      <w:rFonts w:hint="eastAsia" w:cs="Times New Roman" w:eastAsiaTheme="minorEastAsia"/>
                      <w:b w:val="0"/>
                      <w:bCs/>
                      <w:color w:val="auto"/>
                      <w:kern w:val="0"/>
                      <w:sz w:val="21"/>
                      <w:szCs w:val="21"/>
                      <w:lang w:val="en-US" w:eastAsia="zh-CN" w:bidi="ar"/>
                    </w:rPr>
                    <w:t>2</w:t>
                  </w:r>
                  <w:r>
                    <w:rPr>
                      <w:rFonts w:hint="default" w:ascii="Times New Roman" w:hAnsi="Times New Roman" w:cs="Times New Roman" w:eastAsiaTheme="minorEastAsia"/>
                      <w:b w:val="0"/>
                      <w:bCs/>
                      <w:color w:val="auto"/>
                      <w:kern w:val="0"/>
                      <w:sz w:val="21"/>
                      <w:szCs w:val="21"/>
                      <w:lang w:val="en-US" w:eastAsia="zh-CN" w:bidi="ar"/>
                    </w:rPr>
                    <w:t>-01</w:t>
                  </w:r>
                </w:p>
              </w:tc>
              <w:tc>
                <w:tcPr>
                  <w:tcW w:w="429" w:type="pct"/>
                  <w:noWrap w:val="0"/>
                  <w:vAlign w:val="center"/>
                </w:tcPr>
                <w:p w14:paraId="19FD6E0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bidi="ar"/>
                    </w:rPr>
                  </w:pPr>
                  <w:r>
                    <w:rPr>
                      <w:rFonts w:hint="default" w:ascii="Times New Roman" w:hAnsi="Times New Roman" w:cs="Times New Roman" w:eastAsiaTheme="minorEastAsia"/>
                      <w:b w:val="0"/>
                      <w:bCs/>
                      <w:color w:val="auto"/>
                      <w:kern w:val="0"/>
                      <w:sz w:val="21"/>
                      <w:szCs w:val="21"/>
                      <w:lang w:bidi="ar"/>
                    </w:rPr>
                    <w:t>固态</w:t>
                  </w:r>
                </w:p>
              </w:tc>
              <w:tc>
                <w:tcPr>
                  <w:tcW w:w="660" w:type="pct"/>
                  <w:vMerge w:val="continue"/>
                  <w:noWrap w:val="0"/>
                  <w:vAlign w:val="center"/>
                </w:tcPr>
                <w:p w14:paraId="5D30EF6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826" w:type="pct"/>
                  <w:vMerge w:val="continue"/>
                  <w:noWrap w:val="0"/>
                  <w:vAlign w:val="center"/>
                </w:tcPr>
                <w:p w14:paraId="42A935E4">
                  <w:pPr>
                    <w:keepNext w:val="0"/>
                    <w:keepLines w:val="0"/>
                    <w:widowControl/>
                    <w:suppressLineNumbers w:val="0"/>
                    <w:spacing w:before="0" w:beforeAutospacing="0" w:after="0" w:afterAutospacing="0"/>
                    <w:ind w:left="0" w:right="0"/>
                    <w:jc w:val="center"/>
                    <w:rPr>
                      <w:rFonts w:hint="eastAsia" w:cs="Times New Roman" w:eastAsiaTheme="minorEastAsia"/>
                      <w:b w:val="0"/>
                      <w:bCs/>
                      <w:color w:val="auto"/>
                      <w:sz w:val="21"/>
                      <w:szCs w:val="21"/>
                      <w:lang w:eastAsia="zh-CN"/>
                    </w:rPr>
                  </w:pPr>
                </w:p>
              </w:tc>
              <w:tc>
                <w:tcPr>
                  <w:tcW w:w="553" w:type="pct"/>
                  <w:vMerge w:val="continue"/>
                  <w:noWrap w:val="0"/>
                  <w:vAlign w:val="center"/>
                </w:tcPr>
                <w:p w14:paraId="6B6B82D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r>
            <w:tr w14:paraId="5A6B3B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68" w:type="pct"/>
                  <w:vMerge w:val="continue"/>
                  <w:noWrap w:val="0"/>
                  <w:vAlign w:val="center"/>
                </w:tcPr>
                <w:p w14:paraId="1A64067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467" w:type="pct"/>
                  <w:vMerge w:val="continue"/>
                  <w:noWrap w:val="0"/>
                  <w:vAlign w:val="center"/>
                </w:tcPr>
                <w:p w14:paraId="11CFF77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961" w:type="pct"/>
                  <w:noWrap w:val="0"/>
                  <w:vAlign w:val="center"/>
                </w:tcPr>
                <w:p w14:paraId="36F1092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动物软组织、器官等病理性废物</w:t>
                  </w:r>
                </w:p>
              </w:tc>
              <w:tc>
                <w:tcPr>
                  <w:tcW w:w="831" w:type="pct"/>
                  <w:noWrap w:val="0"/>
                  <w:vAlign w:val="center"/>
                </w:tcPr>
                <w:p w14:paraId="238C535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HW01</w:t>
                  </w:r>
                </w:p>
                <w:p w14:paraId="15A1613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bidi="ar"/>
                    </w:rPr>
                  </w:pPr>
                  <w:r>
                    <w:rPr>
                      <w:rFonts w:hint="default" w:ascii="Times New Roman" w:hAnsi="Times New Roman" w:cs="Times New Roman" w:eastAsiaTheme="minorEastAsia"/>
                      <w:b w:val="0"/>
                      <w:bCs/>
                      <w:color w:val="auto"/>
                      <w:kern w:val="0"/>
                      <w:sz w:val="21"/>
                      <w:szCs w:val="21"/>
                      <w:lang w:val="en-US" w:eastAsia="zh-CN" w:bidi="ar"/>
                    </w:rPr>
                    <w:t>841-00</w:t>
                  </w:r>
                  <w:r>
                    <w:rPr>
                      <w:rFonts w:hint="eastAsia" w:cs="Times New Roman" w:eastAsiaTheme="minorEastAsia"/>
                      <w:b w:val="0"/>
                      <w:bCs/>
                      <w:color w:val="auto"/>
                      <w:kern w:val="0"/>
                      <w:sz w:val="21"/>
                      <w:szCs w:val="21"/>
                      <w:lang w:val="en-US" w:eastAsia="zh-CN" w:bidi="ar"/>
                    </w:rPr>
                    <w:t>3</w:t>
                  </w:r>
                  <w:r>
                    <w:rPr>
                      <w:rFonts w:hint="default" w:ascii="Times New Roman" w:hAnsi="Times New Roman" w:cs="Times New Roman" w:eastAsiaTheme="minorEastAsia"/>
                      <w:b w:val="0"/>
                      <w:bCs/>
                      <w:color w:val="auto"/>
                      <w:kern w:val="0"/>
                      <w:sz w:val="21"/>
                      <w:szCs w:val="21"/>
                      <w:lang w:val="en-US" w:eastAsia="zh-CN" w:bidi="ar"/>
                    </w:rPr>
                    <w:t>-01</w:t>
                  </w:r>
                </w:p>
              </w:tc>
              <w:tc>
                <w:tcPr>
                  <w:tcW w:w="429" w:type="pct"/>
                  <w:noWrap w:val="0"/>
                  <w:vAlign w:val="center"/>
                </w:tcPr>
                <w:p w14:paraId="3906109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bidi="ar"/>
                    </w:rPr>
                  </w:pPr>
                  <w:r>
                    <w:rPr>
                      <w:rFonts w:hint="default" w:ascii="Times New Roman" w:hAnsi="Times New Roman" w:cs="Times New Roman" w:eastAsiaTheme="minorEastAsia"/>
                      <w:b w:val="0"/>
                      <w:bCs/>
                      <w:color w:val="auto"/>
                      <w:kern w:val="0"/>
                      <w:sz w:val="21"/>
                      <w:szCs w:val="21"/>
                      <w:lang w:bidi="ar"/>
                    </w:rPr>
                    <w:t>固态</w:t>
                  </w:r>
                </w:p>
              </w:tc>
              <w:tc>
                <w:tcPr>
                  <w:tcW w:w="660" w:type="pct"/>
                  <w:vMerge w:val="continue"/>
                  <w:noWrap w:val="0"/>
                  <w:vAlign w:val="center"/>
                </w:tcPr>
                <w:p w14:paraId="25F326C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826" w:type="pct"/>
                  <w:vMerge w:val="continue"/>
                  <w:noWrap w:val="0"/>
                  <w:vAlign w:val="center"/>
                </w:tcPr>
                <w:p w14:paraId="0309261D">
                  <w:pPr>
                    <w:keepNext w:val="0"/>
                    <w:keepLines w:val="0"/>
                    <w:widowControl/>
                    <w:suppressLineNumbers w:val="0"/>
                    <w:spacing w:before="0" w:beforeAutospacing="0" w:after="0" w:afterAutospacing="0"/>
                    <w:ind w:left="0" w:right="0"/>
                    <w:jc w:val="center"/>
                    <w:rPr>
                      <w:rFonts w:hint="eastAsia" w:cs="Times New Roman" w:eastAsiaTheme="minorEastAsia"/>
                      <w:b w:val="0"/>
                      <w:bCs/>
                      <w:color w:val="auto"/>
                      <w:sz w:val="21"/>
                      <w:szCs w:val="21"/>
                      <w:lang w:eastAsia="zh-CN"/>
                    </w:rPr>
                  </w:pPr>
                </w:p>
              </w:tc>
              <w:tc>
                <w:tcPr>
                  <w:tcW w:w="553" w:type="pct"/>
                  <w:vMerge w:val="continue"/>
                  <w:noWrap w:val="0"/>
                  <w:vAlign w:val="center"/>
                </w:tcPr>
                <w:p w14:paraId="1A9A7DC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r>
            <w:tr w14:paraId="4C538C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68" w:type="pct"/>
                  <w:vMerge w:val="continue"/>
                  <w:noWrap w:val="0"/>
                  <w:vAlign w:val="center"/>
                </w:tcPr>
                <w:p w14:paraId="0F1CA14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467" w:type="pct"/>
                  <w:vMerge w:val="continue"/>
                  <w:noWrap w:val="0"/>
                  <w:vAlign w:val="center"/>
                </w:tcPr>
                <w:p w14:paraId="602D907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961" w:type="pct"/>
                  <w:noWrap w:val="0"/>
                  <w:vAlign w:val="center"/>
                </w:tcPr>
                <w:p w14:paraId="721C680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eastAsiaTheme="minorEastAsia"/>
                      <w:b w:val="0"/>
                      <w:bCs/>
                      <w:color w:val="auto"/>
                      <w:sz w:val="21"/>
                      <w:szCs w:val="21"/>
                      <w:lang w:val="en-US" w:eastAsia="zh-CN"/>
                    </w:rPr>
                    <w:t>废</w:t>
                  </w:r>
                  <w:r>
                    <w:rPr>
                      <w:rFonts w:hint="default" w:ascii="Times New Roman" w:hAnsi="Times New Roman" w:cs="Times New Roman" w:eastAsiaTheme="minorEastAsia"/>
                      <w:b w:val="0"/>
                      <w:bCs/>
                      <w:color w:val="auto"/>
                      <w:sz w:val="21"/>
                      <w:szCs w:val="21"/>
                      <w:lang w:val="en-US" w:eastAsia="zh-CN"/>
                    </w:rPr>
                    <w:t>弃的检测板、化验药品等化学性废物</w:t>
                  </w:r>
                </w:p>
              </w:tc>
              <w:tc>
                <w:tcPr>
                  <w:tcW w:w="831" w:type="pct"/>
                  <w:noWrap w:val="0"/>
                  <w:vAlign w:val="center"/>
                </w:tcPr>
                <w:p w14:paraId="0BB2C8E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HW01</w:t>
                  </w:r>
                </w:p>
                <w:p w14:paraId="01645F1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bidi="ar"/>
                    </w:rPr>
                  </w:pPr>
                  <w:r>
                    <w:rPr>
                      <w:rFonts w:hint="default" w:ascii="Times New Roman" w:hAnsi="Times New Roman" w:cs="Times New Roman" w:eastAsiaTheme="minorEastAsia"/>
                      <w:b w:val="0"/>
                      <w:bCs/>
                      <w:color w:val="auto"/>
                      <w:kern w:val="0"/>
                      <w:sz w:val="21"/>
                      <w:szCs w:val="21"/>
                      <w:lang w:val="en-US" w:eastAsia="zh-CN" w:bidi="ar"/>
                    </w:rPr>
                    <w:t>841-00</w:t>
                  </w:r>
                  <w:r>
                    <w:rPr>
                      <w:rFonts w:hint="eastAsia" w:cs="Times New Roman" w:eastAsiaTheme="minorEastAsia"/>
                      <w:b w:val="0"/>
                      <w:bCs/>
                      <w:color w:val="auto"/>
                      <w:kern w:val="0"/>
                      <w:sz w:val="21"/>
                      <w:szCs w:val="21"/>
                      <w:lang w:val="en-US" w:eastAsia="zh-CN" w:bidi="ar"/>
                    </w:rPr>
                    <w:t>4</w:t>
                  </w:r>
                  <w:r>
                    <w:rPr>
                      <w:rFonts w:hint="default" w:ascii="Times New Roman" w:hAnsi="Times New Roman" w:cs="Times New Roman" w:eastAsiaTheme="minorEastAsia"/>
                      <w:b w:val="0"/>
                      <w:bCs/>
                      <w:color w:val="auto"/>
                      <w:kern w:val="0"/>
                      <w:sz w:val="21"/>
                      <w:szCs w:val="21"/>
                      <w:lang w:val="en-US" w:eastAsia="zh-CN" w:bidi="ar"/>
                    </w:rPr>
                    <w:t>-01</w:t>
                  </w:r>
                </w:p>
              </w:tc>
              <w:tc>
                <w:tcPr>
                  <w:tcW w:w="429" w:type="pct"/>
                  <w:noWrap w:val="0"/>
                  <w:vAlign w:val="center"/>
                </w:tcPr>
                <w:p w14:paraId="6096521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bidi="ar"/>
                    </w:rPr>
                  </w:pPr>
                  <w:r>
                    <w:rPr>
                      <w:rFonts w:hint="default" w:ascii="Times New Roman" w:hAnsi="Times New Roman" w:cs="Times New Roman" w:eastAsiaTheme="minorEastAsia"/>
                      <w:b w:val="0"/>
                      <w:bCs/>
                      <w:color w:val="auto"/>
                      <w:kern w:val="0"/>
                      <w:sz w:val="21"/>
                      <w:szCs w:val="21"/>
                      <w:lang w:bidi="ar"/>
                    </w:rPr>
                    <w:t>固态</w:t>
                  </w:r>
                </w:p>
              </w:tc>
              <w:tc>
                <w:tcPr>
                  <w:tcW w:w="660" w:type="pct"/>
                  <w:vMerge w:val="continue"/>
                  <w:noWrap w:val="0"/>
                  <w:vAlign w:val="center"/>
                </w:tcPr>
                <w:p w14:paraId="0A7081D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826" w:type="pct"/>
                  <w:vMerge w:val="continue"/>
                  <w:noWrap w:val="0"/>
                  <w:vAlign w:val="center"/>
                </w:tcPr>
                <w:p w14:paraId="096A799C">
                  <w:pPr>
                    <w:keepNext w:val="0"/>
                    <w:keepLines w:val="0"/>
                    <w:widowControl/>
                    <w:suppressLineNumbers w:val="0"/>
                    <w:spacing w:before="0" w:beforeAutospacing="0" w:after="0" w:afterAutospacing="0"/>
                    <w:ind w:left="0" w:right="0"/>
                    <w:jc w:val="center"/>
                    <w:rPr>
                      <w:rFonts w:hint="eastAsia" w:cs="Times New Roman" w:eastAsiaTheme="minorEastAsia"/>
                      <w:b w:val="0"/>
                      <w:bCs/>
                      <w:color w:val="auto"/>
                      <w:sz w:val="21"/>
                      <w:szCs w:val="21"/>
                      <w:lang w:eastAsia="zh-CN"/>
                    </w:rPr>
                  </w:pPr>
                </w:p>
              </w:tc>
              <w:tc>
                <w:tcPr>
                  <w:tcW w:w="553" w:type="pct"/>
                  <w:vMerge w:val="continue"/>
                  <w:noWrap w:val="0"/>
                  <w:vAlign w:val="center"/>
                </w:tcPr>
                <w:p w14:paraId="476C197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r>
            <w:tr w14:paraId="43B406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8" w:type="pct"/>
                  <w:vMerge w:val="continue"/>
                  <w:noWrap w:val="0"/>
                  <w:vAlign w:val="center"/>
                </w:tcPr>
                <w:p w14:paraId="418A2DC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467" w:type="pct"/>
                  <w:vMerge w:val="continue"/>
                  <w:noWrap w:val="0"/>
                  <w:vAlign w:val="center"/>
                </w:tcPr>
                <w:p w14:paraId="6E5D36A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961" w:type="pct"/>
                  <w:noWrap w:val="0"/>
                  <w:vAlign w:val="center"/>
                </w:tcPr>
                <w:p w14:paraId="36571D9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废弃或过期药品等药物性废物</w:t>
                  </w:r>
                </w:p>
              </w:tc>
              <w:tc>
                <w:tcPr>
                  <w:tcW w:w="831" w:type="pct"/>
                  <w:noWrap w:val="0"/>
                  <w:vAlign w:val="center"/>
                </w:tcPr>
                <w:p w14:paraId="10D4936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HW01</w:t>
                  </w:r>
                </w:p>
                <w:p w14:paraId="3EE61B2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bidi="ar"/>
                    </w:rPr>
                  </w:pPr>
                  <w:r>
                    <w:rPr>
                      <w:rFonts w:hint="default" w:ascii="Times New Roman" w:hAnsi="Times New Roman" w:cs="Times New Roman" w:eastAsiaTheme="minorEastAsia"/>
                      <w:b w:val="0"/>
                      <w:bCs/>
                      <w:color w:val="auto"/>
                      <w:kern w:val="0"/>
                      <w:sz w:val="21"/>
                      <w:szCs w:val="21"/>
                      <w:lang w:val="en-US" w:eastAsia="zh-CN" w:bidi="ar"/>
                    </w:rPr>
                    <w:t>841-00</w:t>
                  </w:r>
                  <w:r>
                    <w:rPr>
                      <w:rFonts w:hint="eastAsia" w:cs="Times New Roman" w:eastAsiaTheme="minorEastAsia"/>
                      <w:b w:val="0"/>
                      <w:bCs/>
                      <w:color w:val="auto"/>
                      <w:kern w:val="0"/>
                      <w:sz w:val="21"/>
                      <w:szCs w:val="21"/>
                      <w:lang w:val="en-US" w:eastAsia="zh-CN" w:bidi="ar"/>
                    </w:rPr>
                    <w:t>5</w:t>
                  </w:r>
                  <w:r>
                    <w:rPr>
                      <w:rFonts w:hint="default" w:ascii="Times New Roman" w:hAnsi="Times New Roman" w:cs="Times New Roman" w:eastAsiaTheme="minorEastAsia"/>
                      <w:b w:val="0"/>
                      <w:bCs/>
                      <w:color w:val="auto"/>
                      <w:kern w:val="0"/>
                      <w:sz w:val="21"/>
                      <w:szCs w:val="21"/>
                      <w:lang w:val="en-US" w:eastAsia="zh-CN" w:bidi="ar"/>
                    </w:rPr>
                    <w:t>-01</w:t>
                  </w:r>
                </w:p>
              </w:tc>
              <w:tc>
                <w:tcPr>
                  <w:tcW w:w="429" w:type="pct"/>
                  <w:noWrap w:val="0"/>
                  <w:vAlign w:val="center"/>
                </w:tcPr>
                <w:p w14:paraId="3E256D0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bidi="ar"/>
                    </w:rPr>
                  </w:pPr>
                  <w:r>
                    <w:rPr>
                      <w:rFonts w:hint="default" w:ascii="Times New Roman" w:hAnsi="Times New Roman" w:cs="Times New Roman" w:eastAsiaTheme="minorEastAsia"/>
                      <w:b w:val="0"/>
                      <w:bCs/>
                      <w:color w:val="auto"/>
                      <w:kern w:val="0"/>
                      <w:sz w:val="21"/>
                      <w:szCs w:val="21"/>
                      <w:lang w:bidi="ar"/>
                    </w:rPr>
                    <w:t>固态</w:t>
                  </w:r>
                </w:p>
              </w:tc>
              <w:tc>
                <w:tcPr>
                  <w:tcW w:w="660" w:type="pct"/>
                  <w:vMerge w:val="continue"/>
                  <w:noWrap w:val="0"/>
                  <w:vAlign w:val="center"/>
                </w:tcPr>
                <w:p w14:paraId="64B55E8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826" w:type="pct"/>
                  <w:vMerge w:val="continue"/>
                  <w:noWrap w:val="0"/>
                  <w:vAlign w:val="center"/>
                </w:tcPr>
                <w:p w14:paraId="463C59B3">
                  <w:pPr>
                    <w:keepNext w:val="0"/>
                    <w:keepLines w:val="0"/>
                    <w:widowControl/>
                    <w:suppressLineNumbers w:val="0"/>
                    <w:spacing w:before="0" w:beforeAutospacing="0" w:after="0" w:afterAutospacing="0"/>
                    <w:ind w:left="0" w:right="0"/>
                    <w:jc w:val="center"/>
                    <w:rPr>
                      <w:rFonts w:hint="eastAsia" w:cs="Times New Roman" w:eastAsiaTheme="minorEastAsia"/>
                      <w:b w:val="0"/>
                      <w:bCs/>
                      <w:color w:val="auto"/>
                      <w:sz w:val="21"/>
                      <w:szCs w:val="21"/>
                      <w:lang w:eastAsia="zh-CN"/>
                    </w:rPr>
                  </w:pPr>
                </w:p>
              </w:tc>
              <w:tc>
                <w:tcPr>
                  <w:tcW w:w="553" w:type="pct"/>
                  <w:vMerge w:val="continue"/>
                  <w:noWrap w:val="0"/>
                  <w:vAlign w:val="center"/>
                </w:tcPr>
                <w:p w14:paraId="55C8C25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r>
            <w:tr w14:paraId="360593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68" w:type="pct"/>
                  <w:noWrap w:val="0"/>
                  <w:vAlign w:val="center"/>
                </w:tcPr>
                <w:p w14:paraId="0818602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5</w:t>
                  </w:r>
                </w:p>
              </w:tc>
              <w:tc>
                <w:tcPr>
                  <w:tcW w:w="467" w:type="pct"/>
                  <w:vMerge w:val="continue"/>
                  <w:noWrap w:val="0"/>
                  <w:vAlign w:val="center"/>
                </w:tcPr>
                <w:p w14:paraId="06E10E3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961" w:type="pct"/>
                  <w:noWrap w:val="0"/>
                  <w:vAlign w:val="center"/>
                </w:tcPr>
                <w:p w14:paraId="77075BA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污泥</w:t>
                  </w:r>
                </w:p>
              </w:tc>
              <w:tc>
                <w:tcPr>
                  <w:tcW w:w="831" w:type="pct"/>
                  <w:noWrap w:val="0"/>
                  <w:vAlign w:val="center"/>
                </w:tcPr>
                <w:p w14:paraId="7A9703D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HW01</w:t>
                  </w:r>
                </w:p>
                <w:p w14:paraId="7544F22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bidi="ar"/>
                    </w:rPr>
                  </w:pPr>
                  <w:r>
                    <w:rPr>
                      <w:rFonts w:hint="default" w:ascii="Times New Roman" w:hAnsi="Times New Roman" w:cs="Times New Roman" w:eastAsiaTheme="minorEastAsia"/>
                      <w:b w:val="0"/>
                      <w:bCs/>
                      <w:color w:val="auto"/>
                      <w:kern w:val="0"/>
                      <w:sz w:val="21"/>
                      <w:szCs w:val="21"/>
                      <w:lang w:val="en-US" w:eastAsia="zh-CN" w:bidi="ar"/>
                    </w:rPr>
                    <w:t>841-00</w:t>
                  </w:r>
                  <w:r>
                    <w:rPr>
                      <w:rFonts w:hint="eastAsia" w:cs="Times New Roman" w:eastAsiaTheme="minorEastAsia"/>
                      <w:b w:val="0"/>
                      <w:bCs/>
                      <w:color w:val="auto"/>
                      <w:kern w:val="0"/>
                      <w:sz w:val="21"/>
                      <w:szCs w:val="21"/>
                      <w:lang w:val="en-US" w:eastAsia="zh-CN" w:bidi="ar"/>
                    </w:rPr>
                    <w:t>1</w:t>
                  </w:r>
                  <w:r>
                    <w:rPr>
                      <w:rFonts w:hint="default" w:ascii="Times New Roman" w:hAnsi="Times New Roman" w:cs="Times New Roman" w:eastAsiaTheme="minorEastAsia"/>
                      <w:b w:val="0"/>
                      <w:bCs/>
                      <w:color w:val="auto"/>
                      <w:kern w:val="0"/>
                      <w:sz w:val="21"/>
                      <w:szCs w:val="21"/>
                      <w:lang w:val="en-US" w:eastAsia="zh-CN" w:bidi="ar"/>
                    </w:rPr>
                    <w:t>-01</w:t>
                  </w:r>
                </w:p>
              </w:tc>
              <w:tc>
                <w:tcPr>
                  <w:tcW w:w="429" w:type="pct"/>
                  <w:noWrap w:val="0"/>
                  <w:vAlign w:val="center"/>
                </w:tcPr>
                <w:p w14:paraId="461F9C9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固态</w:t>
                  </w:r>
                </w:p>
              </w:tc>
              <w:tc>
                <w:tcPr>
                  <w:tcW w:w="660" w:type="pct"/>
                  <w:noWrap w:val="0"/>
                  <w:vAlign w:val="center"/>
                </w:tcPr>
                <w:p w14:paraId="2E61ECA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0.01</w:t>
                  </w:r>
                </w:p>
              </w:tc>
              <w:tc>
                <w:tcPr>
                  <w:tcW w:w="826" w:type="pct"/>
                  <w:vMerge w:val="restart"/>
                  <w:noWrap w:val="0"/>
                  <w:vAlign w:val="center"/>
                </w:tcPr>
                <w:p w14:paraId="461AB2E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r>
                    <w:rPr>
                      <w:rFonts w:hint="eastAsia" w:cs="Times New Roman" w:eastAsiaTheme="minorEastAsia"/>
                      <w:b w:val="0"/>
                      <w:bCs/>
                      <w:color w:val="auto"/>
                      <w:sz w:val="21"/>
                      <w:szCs w:val="21"/>
                      <w:lang w:eastAsia="zh-CN"/>
                    </w:rPr>
                    <w:t>分类收集消毒后暂存在医疗废物暂存间</w:t>
                  </w:r>
                  <w:r>
                    <w:rPr>
                      <w:rFonts w:hint="default" w:ascii="Times New Roman" w:hAnsi="Times New Roman" w:cs="Times New Roman" w:eastAsiaTheme="minorEastAsia"/>
                      <w:b w:val="0"/>
                      <w:bCs/>
                      <w:color w:val="auto"/>
                      <w:sz w:val="21"/>
                      <w:szCs w:val="21"/>
                    </w:rPr>
                    <w:t>，</w:t>
                  </w:r>
                  <w:r>
                    <w:rPr>
                      <w:rFonts w:hint="eastAsia" w:cs="Times New Roman" w:eastAsiaTheme="minorEastAsia"/>
                      <w:b w:val="0"/>
                      <w:bCs/>
                      <w:color w:val="auto"/>
                      <w:sz w:val="21"/>
                      <w:szCs w:val="21"/>
                      <w:lang w:eastAsia="zh-CN"/>
                    </w:rPr>
                    <w:t>定期委托有危险废物资质单位处置</w:t>
                  </w:r>
                </w:p>
              </w:tc>
              <w:tc>
                <w:tcPr>
                  <w:tcW w:w="553" w:type="pct"/>
                  <w:noWrap w:val="0"/>
                  <w:vAlign w:val="center"/>
                </w:tcPr>
                <w:p w14:paraId="6C17DA1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0.01</w:t>
                  </w:r>
                </w:p>
              </w:tc>
            </w:tr>
            <w:tr w14:paraId="75A2C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 w:type="pct"/>
                  <w:noWrap w:val="0"/>
                  <w:vAlign w:val="center"/>
                </w:tcPr>
                <w:p w14:paraId="0DAE8D0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6</w:t>
                  </w:r>
                </w:p>
              </w:tc>
              <w:tc>
                <w:tcPr>
                  <w:tcW w:w="467" w:type="pct"/>
                  <w:vMerge w:val="continue"/>
                  <w:noWrap w:val="0"/>
                  <w:vAlign w:val="center"/>
                </w:tcPr>
                <w:p w14:paraId="53F1E1A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p>
              </w:tc>
              <w:tc>
                <w:tcPr>
                  <w:tcW w:w="961" w:type="pct"/>
                  <w:noWrap w:val="0"/>
                  <w:vAlign w:val="center"/>
                </w:tcPr>
                <w:p w14:paraId="4394EDA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废紫外线灯管</w:t>
                  </w:r>
                </w:p>
              </w:tc>
              <w:tc>
                <w:tcPr>
                  <w:tcW w:w="831" w:type="pct"/>
                  <w:noWrap w:val="0"/>
                  <w:vAlign w:val="center"/>
                </w:tcPr>
                <w:p w14:paraId="4DE8872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HW49</w:t>
                  </w:r>
                </w:p>
                <w:p w14:paraId="68CB0D8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900-041-49</w:t>
                  </w:r>
                </w:p>
              </w:tc>
              <w:tc>
                <w:tcPr>
                  <w:tcW w:w="429" w:type="pct"/>
                  <w:noWrap w:val="0"/>
                  <w:vAlign w:val="center"/>
                </w:tcPr>
                <w:p w14:paraId="74FBA71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kern w:val="0"/>
                      <w:sz w:val="21"/>
                      <w:szCs w:val="21"/>
                      <w:lang w:val="en-US" w:eastAsia="zh-CN" w:bidi="ar"/>
                    </w:rPr>
                  </w:pPr>
                  <w:r>
                    <w:rPr>
                      <w:rFonts w:hint="default" w:ascii="Times New Roman" w:hAnsi="Times New Roman" w:cs="Times New Roman" w:eastAsiaTheme="minorEastAsia"/>
                      <w:b w:val="0"/>
                      <w:bCs/>
                      <w:color w:val="auto"/>
                      <w:kern w:val="0"/>
                      <w:sz w:val="21"/>
                      <w:szCs w:val="21"/>
                      <w:lang w:val="en-US" w:eastAsia="zh-CN" w:bidi="ar"/>
                    </w:rPr>
                    <w:t>固态</w:t>
                  </w:r>
                </w:p>
              </w:tc>
              <w:tc>
                <w:tcPr>
                  <w:tcW w:w="660" w:type="pct"/>
                  <w:noWrap w:val="0"/>
                  <w:vAlign w:val="center"/>
                </w:tcPr>
                <w:p w14:paraId="4295595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0.005t/3a</w:t>
                  </w:r>
                </w:p>
              </w:tc>
              <w:tc>
                <w:tcPr>
                  <w:tcW w:w="826" w:type="pct"/>
                  <w:vMerge w:val="continue"/>
                  <w:noWrap w:val="0"/>
                  <w:vAlign w:val="center"/>
                </w:tcPr>
                <w:p w14:paraId="19DA835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rPr>
                  </w:pPr>
                </w:p>
              </w:tc>
              <w:tc>
                <w:tcPr>
                  <w:tcW w:w="553" w:type="pct"/>
                  <w:noWrap w:val="0"/>
                  <w:vAlign w:val="center"/>
                </w:tcPr>
                <w:p w14:paraId="0698367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0.005t/3a</w:t>
                  </w:r>
                </w:p>
              </w:tc>
            </w:tr>
          </w:tbl>
          <w:p w14:paraId="3CB26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eastAsia" w:cs="Times New Roman" w:eastAsiaTheme="minorEastAsia"/>
                <w:b/>
                <w:bCs/>
                <w:color w:val="auto"/>
                <w:sz w:val="24"/>
                <w:lang w:val="en-US" w:eastAsia="zh-CN"/>
              </w:rPr>
              <w:t>医疗废物暂存间合理性分析：</w:t>
            </w:r>
          </w:p>
          <w:p w14:paraId="01928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val="0"/>
                <w:bCs w:val="0"/>
                <w:color w:val="auto"/>
                <w:sz w:val="24"/>
                <w:lang w:val="en-US" w:eastAsia="zh-CN"/>
              </w:rPr>
              <w:t>根据工程分析，本项目医疗废物产生量约为0.5317t/a。本项目产生的医疗废物按照容重0.8t/m</w:t>
            </w:r>
            <w:r>
              <w:rPr>
                <w:rFonts w:hint="default" w:ascii="Times New Roman" w:hAnsi="Times New Roman" w:cs="Times New Roman" w:eastAsiaTheme="minorEastAsia"/>
                <w:b w:val="0"/>
                <w:bCs w:val="0"/>
                <w:color w:val="auto"/>
                <w:sz w:val="24"/>
                <w:vertAlign w:val="superscript"/>
                <w:lang w:val="en-US" w:eastAsia="zh-CN"/>
              </w:rPr>
              <w:t>3</w:t>
            </w:r>
            <w:r>
              <w:rPr>
                <w:rFonts w:hint="default" w:ascii="Times New Roman" w:hAnsi="Times New Roman" w:cs="Times New Roman" w:eastAsiaTheme="minorEastAsia"/>
                <w:b w:val="0"/>
                <w:bCs w:val="0"/>
                <w:color w:val="auto"/>
                <w:sz w:val="24"/>
                <w:lang w:val="en-US" w:eastAsia="zh-CN"/>
              </w:rPr>
              <w:t>计算，有效高度按0.8m计，则项目产生的医疗废物容积约0.665m</w:t>
            </w:r>
            <w:r>
              <w:rPr>
                <w:rFonts w:hint="default" w:ascii="Times New Roman" w:hAnsi="Times New Roman" w:cs="Times New Roman" w:eastAsiaTheme="minorEastAsia"/>
                <w:b w:val="0"/>
                <w:bCs w:val="0"/>
                <w:color w:val="auto"/>
                <w:sz w:val="24"/>
                <w:vertAlign w:val="superscript"/>
                <w:lang w:val="en-US" w:eastAsia="zh-CN"/>
              </w:rPr>
              <w:t>3</w:t>
            </w:r>
            <w:r>
              <w:rPr>
                <w:rFonts w:hint="default" w:ascii="Times New Roman" w:hAnsi="Times New Roman" w:cs="Times New Roman" w:eastAsiaTheme="minorEastAsia"/>
                <w:b w:val="0"/>
                <w:bCs w:val="0"/>
                <w:color w:val="auto"/>
                <w:sz w:val="24"/>
                <w:lang w:val="en-US" w:eastAsia="zh-CN"/>
              </w:rPr>
              <w:t>，医疗废物按照日产日清考虑，项目需设置1座0.831m</w:t>
            </w:r>
            <w:r>
              <w:rPr>
                <w:rFonts w:hint="default" w:ascii="Times New Roman" w:hAnsi="Times New Roman" w:cs="Times New Roman" w:eastAsiaTheme="minorEastAsia"/>
                <w:b w:val="0"/>
                <w:bCs w:val="0"/>
                <w:color w:val="auto"/>
                <w:sz w:val="24"/>
                <w:vertAlign w:val="superscript"/>
                <w:lang w:val="en-US" w:eastAsia="zh-CN"/>
              </w:rPr>
              <w:t>2</w:t>
            </w:r>
            <w:r>
              <w:rPr>
                <w:rFonts w:hint="default" w:ascii="Times New Roman" w:hAnsi="Times New Roman" w:cs="Times New Roman" w:eastAsiaTheme="minorEastAsia"/>
                <w:b w:val="0"/>
                <w:bCs w:val="0"/>
                <w:color w:val="auto"/>
                <w:sz w:val="24"/>
                <w:lang w:val="en-US" w:eastAsia="zh-CN"/>
              </w:rPr>
              <w:t>医疗废物暂存间，同时考虑医疗废物暂存间需分类暂存7类危险废物，且需要划分的分类存放危险废物的区域，本环评建议设置3m</w:t>
            </w:r>
            <w:r>
              <w:rPr>
                <w:rFonts w:hint="default" w:ascii="Times New Roman" w:hAnsi="Times New Roman" w:cs="Times New Roman" w:eastAsiaTheme="minorEastAsia"/>
                <w:b w:val="0"/>
                <w:bCs w:val="0"/>
                <w:color w:val="auto"/>
                <w:sz w:val="24"/>
                <w:vertAlign w:val="superscript"/>
                <w:lang w:val="en-US" w:eastAsia="zh-CN"/>
              </w:rPr>
              <w:t>2</w:t>
            </w:r>
            <w:r>
              <w:rPr>
                <w:rFonts w:hint="default" w:ascii="Times New Roman" w:hAnsi="Times New Roman" w:cs="Times New Roman" w:eastAsiaTheme="minorEastAsia"/>
                <w:b w:val="0"/>
                <w:bCs w:val="0"/>
                <w:color w:val="auto"/>
                <w:sz w:val="24"/>
                <w:lang w:val="en-US" w:eastAsia="zh-CN"/>
              </w:rPr>
              <w:t>医疗废物暂存间。</w:t>
            </w:r>
          </w:p>
          <w:p w14:paraId="28878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4.2固废环境管理要求</w:t>
            </w:r>
          </w:p>
          <w:p w14:paraId="7347142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（1）一般固体废物环境管理要求</w:t>
            </w:r>
          </w:p>
          <w:p w14:paraId="1F3631C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本项目宠物排泄物、宠物毛发、生活垃圾定期由环卫部门清运处置。建设单位严格按照《一般工业固体废物贮存和填埋污染控制标准》（GB18599-2020）对固体废物进行处理处置。</w:t>
            </w:r>
          </w:p>
          <w:p w14:paraId="43A6936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根据《一般工业固体废物管理台账制定指南（试行）》对固体废物台账进行以下要求：</w:t>
            </w:r>
          </w:p>
          <w:p w14:paraId="4858CF8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①台账主要用于记录固体废物在产废单位内部的贮存、利用、处置等信息。填写时应确保固体废物的来源信息、流向信息完整准确；根据固体废物产生周期，可按日或按班次，批次填写。</w:t>
            </w:r>
          </w:p>
          <w:p w14:paraId="4E4DB51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②废单位填写台账记录表时，应当根据自身固体废物产生情况，选择本厂对应的固体废物种类和代码，并根据固体废物种类确定固体废物的具体名称。</w:t>
            </w:r>
          </w:p>
          <w:p w14:paraId="50B7EC2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③鼓励产废单位采用国家建立的一般工业固体废物管理电子台账，简化数据填写、台账管理等工作。地方和企业自行开发的电子台账要实现与国家系统对接。建立电子台账的产废单位，可不再记录纸质台账。</w:t>
            </w:r>
          </w:p>
          <w:p w14:paraId="025BCED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④产废单位应当设立专人负责台账的管理与归档，一般工业固体废物管理台账保存期限不少于5年。</w:t>
            </w:r>
          </w:p>
          <w:p w14:paraId="34BC3CF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（2）医疗废物收集、转运、处置过程中的环境管理要求</w:t>
            </w:r>
          </w:p>
          <w:p w14:paraId="039E80A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项目产生的医疗废物</w:t>
            </w:r>
            <w:r>
              <w:rPr>
                <w:rFonts w:hint="eastAsia" w:ascii="Times New Roman" w:hAnsi="Times New Roman" w:cs="Times New Roman" w:eastAsiaTheme="minorEastAsia"/>
                <w:b w:val="0"/>
                <w:color w:val="auto"/>
                <w:kern w:val="2"/>
                <w:sz w:val="24"/>
                <w:szCs w:val="24"/>
                <w:lang w:val="en-US" w:eastAsia="zh-CN" w:bidi="ar-SA"/>
              </w:rPr>
              <w:t>分类收集消毒后暂存在医疗废物暂存间</w:t>
            </w:r>
            <w:r>
              <w:rPr>
                <w:rFonts w:hint="default" w:ascii="Times New Roman" w:hAnsi="Times New Roman" w:cs="Times New Roman" w:eastAsiaTheme="minorEastAsia"/>
                <w:b w:val="0"/>
                <w:color w:val="auto"/>
                <w:kern w:val="2"/>
                <w:sz w:val="24"/>
                <w:szCs w:val="24"/>
                <w:lang w:val="en-US" w:eastAsia="zh-CN" w:bidi="ar-SA"/>
              </w:rPr>
              <w:t>（</w:t>
            </w:r>
            <w:r>
              <w:rPr>
                <w:rFonts w:hint="eastAsia" w:cs="Times New Roman" w:eastAsiaTheme="minorEastAsia"/>
                <w:b w:val="0"/>
                <w:color w:val="auto"/>
                <w:kern w:val="2"/>
                <w:sz w:val="24"/>
                <w:szCs w:val="24"/>
                <w:lang w:val="en-US" w:eastAsia="zh-CN" w:bidi="ar-SA"/>
              </w:rPr>
              <w:t>3</w:t>
            </w:r>
            <w:r>
              <w:rPr>
                <w:rFonts w:hint="default" w:ascii="Times New Roman" w:hAnsi="Times New Roman" w:cs="Times New Roman" w:eastAsiaTheme="minorEastAsia"/>
                <w:b w:val="0"/>
                <w:color w:val="auto"/>
                <w:kern w:val="2"/>
                <w:sz w:val="24"/>
                <w:szCs w:val="24"/>
                <w:lang w:val="en-US" w:eastAsia="zh-CN" w:bidi="ar-SA"/>
              </w:rPr>
              <w:t>m</w:t>
            </w:r>
            <w:r>
              <w:rPr>
                <w:rFonts w:hint="default" w:ascii="Times New Roman" w:hAnsi="Times New Roman" w:cs="Times New Roman" w:eastAsiaTheme="minorEastAsia"/>
                <w:b w:val="0"/>
                <w:color w:val="auto"/>
                <w:kern w:val="2"/>
                <w:sz w:val="24"/>
                <w:szCs w:val="24"/>
                <w:vertAlign w:val="superscript"/>
                <w:lang w:val="en-US" w:eastAsia="zh-CN" w:bidi="ar-SA"/>
              </w:rPr>
              <w:t>2</w:t>
            </w:r>
            <w:r>
              <w:rPr>
                <w:rFonts w:hint="default" w:ascii="Times New Roman" w:hAnsi="Times New Roman" w:cs="Times New Roman" w:eastAsiaTheme="minorEastAsia"/>
                <w:b w:val="0"/>
                <w:color w:val="auto"/>
                <w:kern w:val="2"/>
                <w:sz w:val="24"/>
                <w:szCs w:val="24"/>
                <w:lang w:val="en-US" w:eastAsia="zh-CN" w:bidi="ar-SA"/>
              </w:rPr>
              <w:t>），委托有资质单位收运处置。</w:t>
            </w:r>
          </w:p>
          <w:p w14:paraId="324E60B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医疗废物的收集、转运、处置必须严格执行《医疗废物管理条例》及《医疗卫生机构医疗废物管理办法》的相关规定，具体措施如下：</w:t>
            </w:r>
          </w:p>
          <w:p w14:paraId="4A70220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a.企业应将医疗废物收集桶放置于手术室等旁，产生的医疗废物统一放置于医疗废物收集桶中。</w:t>
            </w:r>
          </w:p>
          <w:p w14:paraId="70CF645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b.企业应用带卡箍盖钢圆桶或塑料桶盛装医疗废物，医疗废物的容器和包装清楚标明内盛物的类别及危害说明，以及数量和装进日期，设置医疗废物识别标志。</w:t>
            </w:r>
          </w:p>
          <w:p w14:paraId="331FE4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c.对医疗废物进行登记，登记内容包括医疗废物的来源、种类、重量或者数量、交接时间、最终去向以及经办人签名等项目。资料至少保存3年。</w:t>
            </w:r>
          </w:p>
          <w:p w14:paraId="09F214D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d.运送医疗废物时，应检查包装物或容器的标识、标签及封口是否符合要求，不得将不符合要求的医疗废物运送至暂时贮存地点。</w:t>
            </w:r>
          </w:p>
          <w:p w14:paraId="6618D31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e.医疗废物应使用防渗漏、防遗撒、无锐利边角、易于装卸和清洁的专用运送工具。每天运送结束后，应及时清洁和消毒运送工具，产生的废水排入医疗废水消毒、处理系统，禁止将产生的废水直接排入外环境。</w:t>
            </w:r>
          </w:p>
          <w:p w14:paraId="36D612D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f.定期对医疗废物暂存场所进行消毒、杀菌。必须定期对所贮存的包装容器及贮存设施进行检查，发现破损，应及时采取措施清理更换。</w:t>
            </w:r>
          </w:p>
          <w:p w14:paraId="2C6C817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（3）医疗废物暂存要求</w:t>
            </w:r>
          </w:p>
          <w:p w14:paraId="36A0A0A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本项目医疗废物暂存间拟建设于</w:t>
            </w:r>
            <w:r>
              <w:rPr>
                <w:rFonts w:hint="eastAsia" w:cs="Times New Roman" w:eastAsiaTheme="minorEastAsia"/>
                <w:b w:val="0"/>
                <w:color w:val="auto"/>
                <w:kern w:val="2"/>
                <w:sz w:val="24"/>
                <w:szCs w:val="24"/>
                <w:lang w:val="en-US" w:eastAsia="zh-CN" w:bidi="ar-SA"/>
              </w:rPr>
              <w:t>储物间内</w:t>
            </w:r>
            <w:r>
              <w:rPr>
                <w:rFonts w:hint="default" w:ascii="Times New Roman" w:hAnsi="Times New Roman" w:cs="Times New Roman" w:eastAsiaTheme="minorEastAsia"/>
                <w:b w:val="0"/>
                <w:color w:val="auto"/>
                <w:kern w:val="2"/>
                <w:sz w:val="24"/>
                <w:szCs w:val="24"/>
                <w:lang w:val="en-US" w:eastAsia="zh-CN" w:bidi="ar-SA"/>
              </w:rPr>
              <w:t>，方便医疗废物集中收集至医疗废物暂存间，医疗废物应进行分类贮存，尤其是对于不能长期贮存的动物尸体、病理组织、检验废液等，应确保日产日清。</w:t>
            </w:r>
          </w:p>
          <w:p w14:paraId="32E62DC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根据《医疗废物集中处置技术规范》（环发</w:t>
            </w:r>
            <w:r>
              <w:rPr>
                <w:rFonts w:hint="eastAsia" w:cs="Times New Roman" w:eastAsiaTheme="minorEastAsia"/>
                <w:b w:val="0"/>
                <w:color w:val="auto"/>
                <w:kern w:val="2"/>
                <w:sz w:val="24"/>
                <w:szCs w:val="24"/>
                <w:lang w:val="en-US" w:eastAsia="zh-CN" w:bidi="ar-SA"/>
              </w:rPr>
              <w:t>〔2003〕206号</w:t>
            </w:r>
            <w:r>
              <w:rPr>
                <w:rFonts w:hint="default" w:ascii="Times New Roman" w:hAnsi="Times New Roman" w:cs="Times New Roman" w:eastAsiaTheme="minorEastAsia"/>
                <w:b w:val="0"/>
                <w:color w:val="auto"/>
                <w:kern w:val="2"/>
                <w:sz w:val="24"/>
                <w:szCs w:val="24"/>
                <w:lang w:val="en-US" w:eastAsia="zh-CN" w:bidi="ar-SA"/>
              </w:rPr>
              <w:t>），医疗废物的暂时贮存点应满足以下条件：①应有严密的封闭措施，设专人管理，避免非工作人员进出，以及防鼠、防蚊蝇、防蟑螂、防盗以及预防儿童接触等安全措施；②应按GB15562.2和卫生、环保部门制定的专用医疗废物警示标识要求，在库房外的明显处同时设置危险废物和医疗废物的警示标识；③贮存间上方设置通风系统，使贮存间内产生的废气通往建筑顶层排放；④医疗废物在医疗废物暂存间暂存，尽量做到日产日清。确实不能做到日产日清，且当地最高气温高于25摄氏度时，应将医疗废物低温暂时贮存温度应低于20摄氏度，时间最长不超过48小时。</w:t>
            </w:r>
          </w:p>
          <w:p w14:paraId="4C26620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（4）医疗废物暂存间建设要求</w:t>
            </w:r>
          </w:p>
          <w:p w14:paraId="4BAD711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医疗废物暂存间地面及墙脚进行防腐防渗处理，采用刚性防渗结构并对地面进行硬化，具体结构型式为水泥基渗透结晶型抗渗混凝土（厚度不小于150mm），水泥基渗透结晶型防渗涂层的结构型式（厚度不小于0.8mm）。防渗结构层渗透系数不大于1.0x10</w:t>
            </w:r>
            <w:r>
              <w:rPr>
                <w:rFonts w:hint="default" w:ascii="Times New Roman" w:hAnsi="Times New Roman" w:cs="Times New Roman" w:eastAsiaTheme="minorEastAsia"/>
                <w:b w:val="0"/>
                <w:color w:val="auto"/>
                <w:kern w:val="2"/>
                <w:sz w:val="24"/>
                <w:szCs w:val="24"/>
                <w:vertAlign w:val="superscript"/>
                <w:lang w:val="en-US" w:eastAsia="zh-CN" w:bidi="ar-SA"/>
              </w:rPr>
              <w:t>-10</w:t>
            </w:r>
            <w:r>
              <w:rPr>
                <w:rFonts w:hint="default" w:ascii="Times New Roman" w:hAnsi="Times New Roman" w:cs="Times New Roman" w:eastAsiaTheme="minorEastAsia"/>
                <w:b w:val="0"/>
                <w:color w:val="auto"/>
                <w:kern w:val="2"/>
                <w:sz w:val="24"/>
                <w:szCs w:val="24"/>
                <w:lang w:val="en-US" w:eastAsia="zh-CN" w:bidi="ar-SA"/>
              </w:rPr>
              <w:t>cm/s，采取分区防渗措施，见</w:t>
            </w:r>
            <w:r>
              <w:rPr>
                <w:rFonts w:hint="default" w:ascii="Times New Roman" w:hAnsi="Times New Roman" w:cs="Times New Roman" w:eastAsiaTheme="minorEastAsia"/>
                <w:b/>
                <w:bCs/>
                <w:color w:val="auto"/>
                <w:kern w:val="2"/>
                <w:sz w:val="24"/>
                <w:szCs w:val="24"/>
                <w:lang w:val="en-US" w:eastAsia="zh-CN" w:bidi="ar-SA"/>
              </w:rPr>
              <w:t>附图7</w:t>
            </w:r>
            <w:r>
              <w:rPr>
                <w:rFonts w:hint="default" w:ascii="Times New Roman" w:hAnsi="Times New Roman" w:cs="Times New Roman" w:eastAsiaTheme="minorEastAsia"/>
                <w:b w:val="0"/>
                <w:color w:val="auto"/>
                <w:kern w:val="2"/>
                <w:sz w:val="24"/>
                <w:szCs w:val="24"/>
                <w:lang w:val="en-US" w:eastAsia="zh-CN" w:bidi="ar-SA"/>
              </w:rPr>
              <w:t>。</w:t>
            </w:r>
          </w:p>
          <w:p w14:paraId="13206073">
            <w:pPr>
              <w:keepNext w:val="0"/>
              <w:keepLines w:val="0"/>
              <w:suppressLineNumbers w:val="0"/>
              <w:tabs>
                <w:tab w:val="left" w:pos="1100"/>
              </w:tabs>
              <w:spacing w:before="0" w:beforeAutospacing="0" w:after="0" w:afterAutospacing="0" w:line="520" w:lineRule="exact"/>
              <w:ind w:left="0" w:right="0"/>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5.</w:t>
            </w:r>
            <w:r>
              <w:rPr>
                <w:rFonts w:hint="default" w:ascii="Times New Roman" w:hAnsi="Times New Roman" w:cs="Times New Roman" w:eastAsiaTheme="minorEastAsia"/>
                <w:b/>
                <w:bCs/>
                <w:color w:val="auto"/>
                <w:sz w:val="24"/>
              </w:rPr>
              <w:t>地下水</w:t>
            </w:r>
            <w:r>
              <w:rPr>
                <w:rFonts w:hint="default" w:ascii="Times New Roman" w:hAnsi="Times New Roman" w:cs="Times New Roman" w:eastAsiaTheme="minorEastAsia"/>
                <w:b/>
                <w:bCs/>
                <w:color w:val="auto"/>
                <w:sz w:val="24"/>
                <w:lang w:eastAsia="zh-CN"/>
              </w:rPr>
              <w:t>、</w:t>
            </w:r>
            <w:r>
              <w:rPr>
                <w:rFonts w:hint="default" w:ascii="Times New Roman" w:hAnsi="Times New Roman" w:cs="Times New Roman" w:eastAsiaTheme="minorEastAsia"/>
                <w:b/>
                <w:bCs/>
                <w:color w:val="auto"/>
                <w:sz w:val="24"/>
                <w:lang w:val="en-US" w:eastAsia="zh-CN"/>
              </w:rPr>
              <w:t>土壤污染影响及防治措施</w:t>
            </w:r>
          </w:p>
          <w:p w14:paraId="40D2143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项目可能对地下水、土壤产生污染的途径主要为：来自医疗废水处理设施、医疗废物暂存间等导致物料中有害成分或废水渗漏到土壤后渗漏到地下含水层，而污染地下水、土壤。本项目医疗废物处理设施地面采取防渗水泥硬化，对地下水、土壤环境基本无影响；医疗废物暂存间地面采用水泥硬化，并采用环氧树脂进行防腐防渗处理，基本从入渗途径阻断了医疗废物泄漏对地下水、土壤的影响。综上，本项目建成运营后基本从入渗途径阻断了项目对地下水、土壤环境的影响。本次评价不再开展土壤、地下水环境影响评价。</w:t>
            </w:r>
          </w:p>
          <w:p w14:paraId="2E9CD5FF">
            <w:pPr>
              <w:keepNext w:val="0"/>
              <w:keepLines w:val="0"/>
              <w:suppressLineNumbers w:val="0"/>
              <w:tabs>
                <w:tab w:val="left" w:pos="1100"/>
              </w:tabs>
              <w:spacing w:before="0" w:beforeAutospacing="0" w:after="0" w:afterAutospacing="0" w:line="520" w:lineRule="exact"/>
              <w:ind w:left="0" w:right="0"/>
              <w:rPr>
                <w:rFonts w:hint="default" w:ascii="Times New Roman" w:hAnsi="Times New Roman" w:cs="Times New Roman" w:eastAsiaTheme="minorEastAsia"/>
                <w:b/>
                <w:bCs/>
                <w:color w:val="auto"/>
                <w:sz w:val="24"/>
              </w:rPr>
            </w:pPr>
            <w:r>
              <w:rPr>
                <w:rFonts w:hint="eastAsia" w:cs="Times New Roman" w:eastAsiaTheme="minorEastAsia"/>
                <w:b/>
                <w:bCs/>
                <w:color w:val="auto"/>
                <w:sz w:val="24"/>
                <w:lang w:val="en-US" w:eastAsia="zh-CN"/>
              </w:rPr>
              <w:t>6.</w:t>
            </w:r>
            <w:r>
              <w:rPr>
                <w:rFonts w:hint="default" w:ascii="Times New Roman" w:hAnsi="Times New Roman" w:cs="Times New Roman" w:eastAsiaTheme="minorEastAsia"/>
                <w:b/>
                <w:bCs/>
                <w:color w:val="auto"/>
                <w:sz w:val="24"/>
              </w:rPr>
              <w:t>环境风险分析</w:t>
            </w:r>
          </w:p>
          <w:p w14:paraId="57D997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6.1 风险物质分布</w:t>
            </w:r>
          </w:p>
          <w:p w14:paraId="04DD9C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根据《建设项目环境风险评价技术导则》（HJ169-2018）中附录 B 中的危险物质，本项目酒精、污泥、医疗废物、废紫外线灯管为环境风险物质。</w:t>
            </w:r>
          </w:p>
          <w:p w14:paraId="2C4421F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项目风险物质最大数量和临界量比值计算见表4-1</w:t>
            </w:r>
            <w:r>
              <w:rPr>
                <w:rFonts w:hint="eastAsia" w:cs="Times New Roman" w:eastAsiaTheme="minorEastAsia"/>
                <w:b w:val="0"/>
                <w:color w:val="auto"/>
                <w:kern w:val="2"/>
                <w:sz w:val="24"/>
                <w:szCs w:val="24"/>
                <w:lang w:val="en-US" w:eastAsia="zh-CN" w:bidi="ar-SA"/>
              </w:rPr>
              <w:t>4</w:t>
            </w:r>
            <w:r>
              <w:rPr>
                <w:rFonts w:hint="default" w:ascii="Times New Roman" w:hAnsi="Times New Roman" w:cs="Times New Roman" w:eastAsiaTheme="minorEastAsia"/>
                <w:b w:val="0"/>
                <w:color w:val="auto"/>
                <w:kern w:val="2"/>
                <w:sz w:val="24"/>
                <w:szCs w:val="24"/>
                <w:lang w:val="en-US" w:eastAsia="zh-CN" w:bidi="ar-SA"/>
              </w:rPr>
              <w:t>。</w:t>
            </w:r>
          </w:p>
          <w:p w14:paraId="1C2D2F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表4-1</w:t>
            </w:r>
            <w:r>
              <w:rPr>
                <w:rFonts w:hint="eastAsia" w:cs="Times New Roman" w:eastAsiaTheme="minorEastAsia"/>
                <w:b/>
                <w:color w:val="auto"/>
                <w:sz w:val="21"/>
                <w:szCs w:val="21"/>
                <w:lang w:val="en-US" w:eastAsia="zh-CN"/>
              </w:rPr>
              <w:t>4</w:t>
            </w:r>
            <w:r>
              <w:rPr>
                <w:rFonts w:hint="default" w:ascii="Times New Roman" w:hAnsi="Times New Roman" w:cs="Times New Roman" w:eastAsiaTheme="minorEastAsia"/>
                <w:b/>
                <w:color w:val="auto"/>
                <w:sz w:val="21"/>
                <w:szCs w:val="21"/>
                <w:lang w:val="en-US" w:eastAsia="zh-CN"/>
              </w:rPr>
              <w:t xml:space="preserve">   本项目危险物质数量与临界量比值</w:t>
            </w:r>
          </w:p>
          <w:tbl>
            <w:tblPr>
              <w:tblStyle w:val="23"/>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538"/>
              <w:gridCol w:w="1447"/>
              <w:gridCol w:w="1908"/>
              <w:gridCol w:w="1180"/>
              <w:gridCol w:w="1253"/>
            </w:tblGrid>
            <w:tr w14:paraId="09BAF0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90" w:type="pct"/>
                  <w:tcBorders>
                    <w:bottom w:val="single" w:color="000000" w:sz="12" w:space="0"/>
                  </w:tcBorders>
                  <w:noWrap w:val="0"/>
                  <w:vAlign w:val="center"/>
                </w:tcPr>
                <w:p w14:paraId="117E3480">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bCs/>
                      <w:color w:val="auto"/>
                      <w:kern w:val="0"/>
                      <w:sz w:val="21"/>
                      <w:szCs w:val="20"/>
                      <w:lang w:val="en-US" w:eastAsia="zh-CN" w:bidi="zh-CN"/>
                    </w:rPr>
                  </w:pPr>
                  <w:r>
                    <w:rPr>
                      <w:rFonts w:hint="default" w:ascii="Times New Roman" w:hAnsi="Times New Roman" w:cs="Times New Roman" w:eastAsiaTheme="minorEastAsia"/>
                      <w:b/>
                      <w:bCs/>
                      <w:color w:val="auto"/>
                      <w:kern w:val="0"/>
                      <w:sz w:val="21"/>
                      <w:szCs w:val="20"/>
                      <w:lang w:val="en-US" w:eastAsia="zh-CN" w:bidi="zh-CN"/>
                    </w:rPr>
                    <w:t>序号</w:t>
                  </w:r>
                </w:p>
              </w:tc>
              <w:tc>
                <w:tcPr>
                  <w:tcW w:w="967" w:type="pct"/>
                  <w:tcBorders>
                    <w:bottom w:val="single" w:color="000000" w:sz="12" w:space="0"/>
                  </w:tcBorders>
                  <w:noWrap w:val="0"/>
                  <w:vAlign w:val="center"/>
                </w:tcPr>
                <w:p w14:paraId="5CA725BE">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bCs/>
                      <w:color w:val="auto"/>
                      <w:kern w:val="0"/>
                      <w:sz w:val="21"/>
                      <w:szCs w:val="20"/>
                      <w:lang w:val="en-US" w:eastAsia="zh-CN" w:bidi="zh-CN"/>
                    </w:rPr>
                  </w:pPr>
                  <w:r>
                    <w:rPr>
                      <w:rFonts w:hint="default" w:ascii="Times New Roman" w:hAnsi="Times New Roman" w:cs="Times New Roman" w:eastAsiaTheme="minorEastAsia"/>
                      <w:b/>
                      <w:bCs/>
                      <w:color w:val="auto"/>
                      <w:kern w:val="0"/>
                      <w:sz w:val="21"/>
                      <w:szCs w:val="20"/>
                      <w:lang w:val="en-US" w:eastAsia="zh-CN" w:bidi="zh-CN"/>
                    </w:rPr>
                    <w:t>危险物质名称</w:t>
                  </w:r>
                </w:p>
              </w:tc>
              <w:tc>
                <w:tcPr>
                  <w:tcW w:w="910" w:type="pct"/>
                  <w:tcBorders>
                    <w:bottom w:val="single" w:color="000000" w:sz="12" w:space="0"/>
                  </w:tcBorders>
                  <w:noWrap w:val="0"/>
                  <w:vAlign w:val="center"/>
                </w:tcPr>
                <w:p w14:paraId="00A6A296">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bCs/>
                      <w:color w:val="auto"/>
                      <w:kern w:val="0"/>
                      <w:sz w:val="21"/>
                      <w:szCs w:val="20"/>
                      <w:lang w:val="en-US" w:eastAsia="zh-CN" w:bidi="zh-CN"/>
                    </w:rPr>
                  </w:pPr>
                  <w:r>
                    <w:rPr>
                      <w:rFonts w:hint="default" w:ascii="Times New Roman" w:hAnsi="Times New Roman" w:cs="Times New Roman" w:eastAsiaTheme="minorEastAsia"/>
                      <w:b/>
                      <w:bCs/>
                      <w:color w:val="auto"/>
                      <w:kern w:val="0"/>
                      <w:sz w:val="21"/>
                      <w:szCs w:val="20"/>
                      <w:lang w:val="en-US" w:eastAsia="zh-CN" w:bidi="zh-CN"/>
                    </w:rPr>
                    <w:t>储存位置</w:t>
                  </w:r>
                </w:p>
              </w:tc>
              <w:tc>
                <w:tcPr>
                  <w:tcW w:w="1200" w:type="pct"/>
                  <w:tcBorders>
                    <w:bottom w:val="single" w:color="000000" w:sz="12" w:space="0"/>
                  </w:tcBorders>
                  <w:noWrap w:val="0"/>
                  <w:vAlign w:val="center"/>
                </w:tcPr>
                <w:p w14:paraId="38031AA1">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bCs/>
                      <w:color w:val="auto"/>
                      <w:kern w:val="0"/>
                      <w:sz w:val="21"/>
                      <w:szCs w:val="20"/>
                      <w:lang w:val="en-US" w:eastAsia="zh-CN" w:bidi="zh-CN"/>
                    </w:rPr>
                  </w:pPr>
                  <w:r>
                    <w:rPr>
                      <w:rFonts w:hint="default" w:ascii="Times New Roman" w:hAnsi="Times New Roman" w:cs="Times New Roman" w:eastAsiaTheme="minorEastAsia"/>
                      <w:b/>
                      <w:bCs/>
                      <w:color w:val="auto"/>
                      <w:kern w:val="0"/>
                      <w:sz w:val="21"/>
                      <w:szCs w:val="20"/>
                      <w:lang w:val="en-US" w:eastAsia="zh-CN" w:bidi="zh-CN"/>
                    </w:rPr>
                    <w:t>最大存在总量qn/t</w:t>
                  </w:r>
                </w:p>
              </w:tc>
              <w:tc>
                <w:tcPr>
                  <w:tcW w:w="742" w:type="pct"/>
                  <w:tcBorders>
                    <w:bottom w:val="single" w:color="000000" w:sz="12" w:space="0"/>
                  </w:tcBorders>
                  <w:noWrap w:val="0"/>
                  <w:vAlign w:val="center"/>
                </w:tcPr>
                <w:p w14:paraId="640EAEB3">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bCs/>
                      <w:color w:val="auto"/>
                      <w:kern w:val="0"/>
                      <w:sz w:val="21"/>
                      <w:szCs w:val="20"/>
                      <w:lang w:val="en-US" w:eastAsia="zh-CN" w:bidi="zh-CN"/>
                    </w:rPr>
                  </w:pPr>
                  <w:r>
                    <w:rPr>
                      <w:rFonts w:hint="default" w:ascii="Times New Roman" w:hAnsi="Times New Roman" w:cs="Times New Roman" w:eastAsiaTheme="minorEastAsia"/>
                      <w:b/>
                      <w:bCs/>
                      <w:color w:val="auto"/>
                      <w:kern w:val="0"/>
                      <w:sz w:val="21"/>
                      <w:szCs w:val="20"/>
                      <w:lang w:val="en-US" w:eastAsia="zh-CN" w:bidi="zh-CN"/>
                    </w:rPr>
                    <w:t>临界量Qn/t</w:t>
                  </w:r>
                </w:p>
              </w:tc>
              <w:tc>
                <w:tcPr>
                  <w:tcW w:w="788" w:type="pct"/>
                  <w:tcBorders>
                    <w:bottom w:val="single" w:color="000000" w:sz="12" w:space="0"/>
                  </w:tcBorders>
                  <w:noWrap w:val="0"/>
                  <w:vAlign w:val="center"/>
                </w:tcPr>
                <w:p w14:paraId="134A4FC1">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bCs/>
                      <w:color w:val="auto"/>
                      <w:kern w:val="0"/>
                      <w:sz w:val="21"/>
                      <w:szCs w:val="20"/>
                      <w:lang w:val="en-US" w:eastAsia="zh-CN" w:bidi="zh-CN"/>
                    </w:rPr>
                  </w:pPr>
                  <w:r>
                    <w:rPr>
                      <w:rFonts w:hint="default" w:ascii="Times New Roman" w:hAnsi="Times New Roman" w:cs="Times New Roman" w:eastAsiaTheme="minorEastAsia"/>
                      <w:b/>
                      <w:bCs/>
                      <w:color w:val="auto"/>
                      <w:kern w:val="0"/>
                      <w:sz w:val="21"/>
                      <w:szCs w:val="20"/>
                      <w:lang w:val="en-US" w:eastAsia="zh-CN" w:bidi="zh-CN"/>
                    </w:rPr>
                    <w:t>危险物质</w:t>
                  </w:r>
                </w:p>
                <w:p w14:paraId="415FDE3D">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bCs/>
                      <w:color w:val="auto"/>
                      <w:kern w:val="0"/>
                      <w:sz w:val="21"/>
                      <w:szCs w:val="20"/>
                      <w:lang w:val="en-US" w:eastAsia="zh-CN" w:bidi="zh-CN"/>
                    </w:rPr>
                  </w:pPr>
                  <w:r>
                    <w:rPr>
                      <w:rFonts w:hint="default" w:ascii="Times New Roman" w:hAnsi="Times New Roman" w:cs="Times New Roman" w:eastAsiaTheme="minorEastAsia"/>
                      <w:b/>
                      <w:bCs/>
                      <w:color w:val="auto"/>
                      <w:kern w:val="0"/>
                      <w:sz w:val="21"/>
                      <w:szCs w:val="20"/>
                      <w:lang w:val="en-US" w:eastAsia="zh-CN" w:bidi="zh-CN"/>
                    </w:rPr>
                    <w:t>Q值</w:t>
                  </w:r>
                </w:p>
              </w:tc>
            </w:tr>
            <w:tr w14:paraId="669A7CD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90" w:type="pct"/>
                  <w:tcBorders>
                    <w:top w:val="single" w:color="000000" w:sz="12" w:space="0"/>
                    <w:tl2br w:val="nil"/>
                    <w:tr2bl w:val="nil"/>
                  </w:tcBorders>
                  <w:noWrap w:val="0"/>
                  <w:vAlign w:val="center"/>
                </w:tcPr>
                <w:p w14:paraId="4C35E529">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1</w:t>
                  </w:r>
                </w:p>
              </w:tc>
              <w:tc>
                <w:tcPr>
                  <w:tcW w:w="967" w:type="pct"/>
                  <w:tcBorders>
                    <w:top w:val="single" w:color="000000" w:sz="12" w:space="0"/>
                    <w:tl2br w:val="nil"/>
                    <w:tr2bl w:val="nil"/>
                  </w:tcBorders>
                  <w:noWrap w:val="0"/>
                  <w:vAlign w:val="center"/>
                </w:tcPr>
                <w:p w14:paraId="4986876A">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酒精</w:t>
                  </w:r>
                </w:p>
              </w:tc>
              <w:tc>
                <w:tcPr>
                  <w:tcW w:w="910" w:type="pct"/>
                  <w:tcBorders>
                    <w:top w:val="single" w:color="000000" w:sz="12" w:space="0"/>
                    <w:tl2br w:val="nil"/>
                    <w:tr2bl w:val="nil"/>
                  </w:tcBorders>
                  <w:noWrap w:val="0"/>
                  <w:vAlign w:val="center"/>
                </w:tcPr>
                <w:p w14:paraId="05C767AE">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储物柜</w:t>
                  </w:r>
                </w:p>
              </w:tc>
              <w:tc>
                <w:tcPr>
                  <w:tcW w:w="1200" w:type="pct"/>
                  <w:tcBorders>
                    <w:top w:val="single" w:color="000000" w:sz="12" w:space="0"/>
                    <w:tl2br w:val="nil"/>
                    <w:tr2bl w:val="nil"/>
                  </w:tcBorders>
                  <w:noWrap w:val="0"/>
                  <w:vAlign w:val="center"/>
                </w:tcPr>
                <w:p w14:paraId="71C7FB8F">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0.00</w:t>
                  </w:r>
                  <w:r>
                    <w:rPr>
                      <w:rFonts w:hint="eastAsia" w:cs="Times New Roman" w:eastAsiaTheme="minorEastAsia"/>
                      <w:b w:val="0"/>
                      <w:bCs w:val="0"/>
                      <w:color w:val="auto"/>
                      <w:kern w:val="0"/>
                      <w:sz w:val="21"/>
                      <w:szCs w:val="20"/>
                      <w:lang w:val="en-US" w:eastAsia="zh-CN" w:bidi="zh-CN"/>
                    </w:rPr>
                    <w:t>1</w:t>
                  </w:r>
                </w:p>
              </w:tc>
              <w:tc>
                <w:tcPr>
                  <w:tcW w:w="742" w:type="pct"/>
                  <w:tcBorders>
                    <w:top w:val="single" w:color="000000" w:sz="12" w:space="0"/>
                    <w:tl2br w:val="nil"/>
                    <w:tr2bl w:val="nil"/>
                  </w:tcBorders>
                  <w:noWrap w:val="0"/>
                  <w:vAlign w:val="center"/>
                </w:tcPr>
                <w:p w14:paraId="70D0D99F">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500</w:t>
                  </w:r>
                </w:p>
              </w:tc>
              <w:tc>
                <w:tcPr>
                  <w:tcW w:w="788" w:type="pct"/>
                  <w:tcBorders>
                    <w:top w:val="single" w:color="000000" w:sz="12" w:space="0"/>
                    <w:tl2br w:val="nil"/>
                    <w:tr2bl w:val="nil"/>
                  </w:tcBorders>
                  <w:noWrap w:val="0"/>
                  <w:vAlign w:val="center"/>
                </w:tcPr>
                <w:p w14:paraId="06EA4C65">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eastAsia" w:cs="Times New Roman" w:eastAsiaTheme="minorEastAsia"/>
                      <w:b w:val="0"/>
                      <w:bCs w:val="0"/>
                      <w:color w:val="auto"/>
                      <w:kern w:val="0"/>
                      <w:sz w:val="21"/>
                      <w:szCs w:val="20"/>
                      <w:lang w:val="en-US" w:eastAsia="zh-CN" w:bidi="zh-CN"/>
                    </w:rPr>
                    <w:t>2.0</w:t>
                  </w:r>
                  <w:r>
                    <w:rPr>
                      <w:rFonts w:hint="default" w:ascii="Times New Roman" w:hAnsi="Times New Roman" w:cs="Times New Roman" w:eastAsiaTheme="minorEastAsia"/>
                      <w:b w:val="0"/>
                      <w:bCs w:val="0"/>
                      <w:color w:val="auto"/>
                      <w:kern w:val="0"/>
                      <w:sz w:val="21"/>
                      <w:szCs w:val="20"/>
                      <w:lang w:val="en-US" w:eastAsia="zh-CN" w:bidi="zh-CN"/>
                    </w:rPr>
                    <w:t>×10</w:t>
                  </w:r>
                  <w:r>
                    <w:rPr>
                      <w:rFonts w:hint="default" w:ascii="Times New Roman" w:hAnsi="Times New Roman" w:cs="Times New Roman" w:eastAsiaTheme="minorEastAsia"/>
                      <w:b w:val="0"/>
                      <w:bCs w:val="0"/>
                      <w:color w:val="auto"/>
                      <w:kern w:val="0"/>
                      <w:sz w:val="21"/>
                      <w:szCs w:val="20"/>
                      <w:vertAlign w:val="superscript"/>
                      <w:lang w:val="en-US" w:eastAsia="zh-CN" w:bidi="zh-CN"/>
                    </w:rPr>
                    <w:t>-6</w:t>
                  </w:r>
                </w:p>
              </w:tc>
            </w:tr>
            <w:tr w14:paraId="0B7F2E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90" w:type="pct"/>
                  <w:tcBorders>
                    <w:tl2br w:val="nil"/>
                    <w:tr2bl w:val="nil"/>
                  </w:tcBorders>
                  <w:noWrap w:val="0"/>
                  <w:vAlign w:val="center"/>
                </w:tcPr>
                <w:p w14:paraId="2D11BF31">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2</w:t>
                  </w:r>
                </w:p>
              </w:tc>
              <w:tc>
                <w:tcPr>
                  <w:tcW w:w="967" w:type="pct"/>
                  <w:tcBorders>
                    <w:tl2br w:val="nil"/>
                    <w:tr2bl w:val="nil"/>
                  </w:tcBorders>
                  <w:noWrap w:val="0"/>
                  <w:vAlign w:val="center"/>
                </w:tcPr>
                <w:p w14:paraId="71B4AC66">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污泥</w:t>
                  </w:r>
                </w:p>
              </w:tc>
              <w:tc>
                <w:tcPr>
                  <w:tcW w:w="910" w:type="pct"/>
                  <w:tcBorders>
                    <w:tl2br w:val="nil"/>
                    <w:tr2bl w:val="nil"/>
                  </w:tcBorders>
                  <w:noWrap w:val="0"/>
                  <w:vAlign w:val="center"/>
                </w:tcPr>
                <w:p w14:paraId="15B0563E">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医疗废水处理设施</w:t>
                  </w:r>
                </w:p>
              </w:tc>
              <w:tc>
                <w:tcPr>
                  <w:tcW w:w="1200" w:type="pct"/>
                  <w:tcBorders>
                    <w:tl2br w:val="nil"/>
                    <w:tr2bl w:val="nil"/>
                  </w:tcBorders>
                  <w:noWrap w:val="0"/>
                  <w:vAlign w:val="center"/>
                </w:tcPr>
                <w:p w14:paraId="61BAB6D4">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0.01</w:t>
                  </w:r>
                </w:p>
              </w:tc>
              <w:tc>
                <w:tcPr>
                  <w:tcW w:w="742" w:type="pct"/>
                  <w:tcBorders>
                    <w:tl2br w:val="nil"/>
                    <w:tr2bl w:val="nil"/>
                  </w:tcBorders>
                  <w:noWrap w:val="0"/>
                  <w:vAlign w:val="center"/>
                </w:tcPr>
                <w:p w14:paraId="2F989957">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w:t>
                  </w:r>
                </w:p>
              </w:tc>
              <w:tc>
                <w:tcPr>
                  <w:tcW w:w="788" w:type="pct"/>
                  <w:tcBorders>
                    <w:tl2br w:val="nil"/>
                    <w:tr2bl w:val="nil"/>
                  </w:tcBorders>
                  <w:noWrap w:val="0"/>
                  <w:vAlign w:val="center"/>
                </w:tcPr>
                <w:p w14:paraId="6D5817F8">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w:t>
                  </w:r>
                </w:p>
              </w:tc>
            </w:tr>
            <w:tr w14:paraId="431D11E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90" w:type="pct"/>
                  <w:tcBorders>
                    <w:tl2br w:val="nil"/>
                    <w:tr2bl w:val="nil"/>
                  </w:tcBorders>
                  <w:noWrap w:val="0"/>
                  <w:vAlign w:val="center"/>
                </w:tcPr>
                <w:p w14:paraId="2E488D6C">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3</w:t>
                  </w:r>
                </w:p>
              </w:tc>
              <w:tc>
                <w:tcPr>
                  <w:tcW w:w="967" w:type="pct"/>
                  <w:tcBorders>
                    <w:tl2br w:val="nil"/>
                    <w:tr2bl w:val="nil"/>
                  </w:tcBorders>
                  <w:noWrap w:val="0"/>
                  <w:vAlign w:val="center"/>
                </w:tcPr>
                <w:p w14:paraId="6442EEFE">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医疗废物</w:t>
                  </w:r>
                </w:p>
              </w:tc>
              <w:tc>
                <w:tcPr>
                  <w:tcW w:w="910" w:type="pct"/>
                  <w:tcBorders>
                    <w:tl2br w:val="nil"/>
                    <w:tr2bl w:val="nil"/>
                  </w:tcBorders>
                  <w:noWrap w:val="0"/>
                  <w:vAlign w:val="center"/>
                </w:tcPr>
                <w:p w14:paraId="42DFE5C7">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医疗废物暂存间</w:t>
                  </w:r>
                </w:p>
              </w:tc>
              <w:tc>
                <w:tcPr>
                  <w:tcW w:w="1200" w:type="pct"/>
                  <w:tcBorders>
                    <w:tl2br w:val="nil"/>
                    <w:tr2bl w:val="nil"/>
                  </w:tcBorders>
                  <w:noWrap w:val="0"/>
                  <w:vAlign w:val="center"/>
                </w:tcPr>
                <w:p w14:paraId="6656FA20">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0.1</w:t>
                  </w:r>
                </w:p>
              </w:tc>
              <w:tc>
                <w:tcPr>
                  <w:tcW w:w="742" w:type="pct"/>
                  <w:tcBorders>
                    <w:tl2br w:val="nil"/>
                    <w:tr2bl w:val="nil"/>
                  </w:tcBorders>
                  <w:noWrap w:val="0"/>
                  <w:vAlign w:val="center"/>
                </w:tcPr>
                <w:p w14:paraId="661D6696">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w:t>
                  </w:r>
                </w:p>
              </w:tc>
              <w:tc>
                <w:tcPr>
                  <w:tcW w:w="788" w:type="pct"/>
                  <w:tcBorders>
                    <w:tl2br w:val="nil"/>
                    <w:tr2bl w:val="nil"/>
                  </w:tcBorders>
                  <w:noWrap w:val="0"/>
                  <w:vAlign w:val="center"/>
                </w:tcPr>
                <w:p w14:paraId="18A88A78">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w:t>
                  </w:r>
                </w:p>
              </w:tc>
            </w:tr>
            <w:tr w14:paraId="645173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90" w:type="pct"/>
                  <w:tcBorders>
                    <w:tl2br w:val="nil"/>
                    <w:tr2bl w:val="nil"/>
                  </w:tcBorders>
                  <w:noWrap w:val="0"/>
                  <w:vAlign w:val="center"/>
                </w:tcPr>
                <w:p w14:paraId="42446AF0">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4</w:t>
                  </w:r>
                </w:p>
              </w:tc>
              <w:tc>
                <w:tcPr>
                  <w:tcW w:w="967" w:type="pct"/>
                  <w:tcBorders>
                    <w:tl2br w:val="nil"/>
                    <w:tr2bl w:val="nil"/>
                  </w:tcBorders>
                  <w:noWrap w:val="0"/>
                  <w:vAlign w:val="center"/>
                </w:tcPr>
                <w:p w14:paraId="4143A8FB">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废紫外线灯管</w:t>
                  </w:r>
                </w:p>
              </w:tc>
              <w:tc>
                <w:tcPr>
                  <w:tcW w:w="910" w:type="pct"/>
                  <w:tcBorders>
                    <w:tl2br w:val="nil"/>
                    <w:tr2bl w:val="nil"/>
                  </w:tcBorders>
                  <w:noWrap w:val="0"/>
                  <w:vAlign w:val="center"/>
                </w:tcPr>
                <w:p w14:paraId="541D5E0B">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医疗废物暂存间</w:t>
                  </w:r>
                </w:p>
              </w:tc>
              <w:tc>
                <w:tcPr>
                  <w:tcW w:w="1200" w:type="pct"/>
                  <w:tcBorders>
                    <w:tl2br w:val="nil"/>
                    <w:tr2bl w:val="nil"/>
                  </w:tcBorders>
                  <w:noWrap w:val="0"/>
                  <w:vAlign w:val="center"/>
                </w:tcPr>
                <w:p w14:paraId="49CA8F46">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0.005</w:t>
                  </w:r>
                </w:p>
              </w:tc>
              <w:tc>
                <w:tcPr>
                  <w:tcW w:w="742" w:type="pct"/>
                  <w:tcBorders>
                    <w:tl2br w:val="nil"/>
                    <w:tr2bl w:val="nil"/>
                  </w:tcBorders>
                  <w:shd w:val="clear" w:color="auto" w:fill="auto"/>
                  <w:noWrap w:val="0"/>
                  <w:vAlign w:val="center"/>
                </w:tcPr>
                <w:p w14:paraId="4FBDA7F4">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w:t>
                  </w:r>
                </w:p>
              </w:tc>
              <w:tc>
                <w:tcPr>
                  <w:tcW w:w="788" w:type="pct"/>
                  <w:tcBorders>
                    <w:tl2br w:val="nil"/>
                    <w:tr2bl w:val="nil"/>
                  </w:tcBorders>
                  <w:shd w:val="clear" w:color="auto" w:fill="auto"/>
                  <w:noWrap w:val="0"/>
                  <w:vAlign w:val="center"/>
                </w:tcPr>
                <w:p w14:paraId="54C00404">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w:t>
                  </w:r>
                </w:p>
              </w:tc>
            </w:tr>
            <w:tr w14:paraId="4D8CBE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357" w:type="pct"/>
                  <w:gridSpan w:val="2"/>
                  <w:tcBorders>
                    <w:tl2br w:val="nil"/>
                    <w:tr2bl w:val="nil"/>
                  </w:tcBorders>
                  <w:noWrap w:val="0"/>
                  <w:vAlign w:val="center"/>
                </w:tcPr>
                <w:p w14:paraId="2C717EDE">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default" w:ascii="Times New Roman" w:hAnsi="Times New Roman" w:cs="Times New Roman" w:eastAsiaTheme="minorEastAsia"/>
                      <w:b w:val="0"/>
                      <w:bCs w:val="0"/>
                      <w:color w:val="auto"/>
                      <w:kern w:val="0"/>
                      <w:sz w:val="21"/>
                      <w:szCs w:val="20"/>
                      <w:lang w:val="en-US" w:eastAsia="zh-CN" w:bidi="zh-CN"/>
                    </w:rPr>
                    <w:t>合计</w:t>
                  </w:r>
                </w:p>
              </w:tc>
              <w:tc>
                <w:tcPr>
                  <w:tcW w:w="910" w:type="pct"/>
                  <w:tcBorders>
                    <w:tl2br w:val="nil"/>
                    <w:tr2bl w:val="nil"/>
                  </w:tcBorders>
                  <w:noWrap w:val="0"/>
                  <w:vAlign w:val="center"/>
                </w:tcPr>
                <w:p w14:paraId="371391E2">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p>
              </w:tc>
              <w:tc>
                <w:tcPr>
                  <w:tcW w:w="1200" w:type="pct"/>
                  <w:tcBorders>
                    <w:tl2br w:val="nil"/>
                    <w:tr2bl w:val="nil"/>
                  </w:tcBorders>
                  <w:noWrap w:val="0"/>
                  <w:vAlign w:val="center"/>
                </w:tcPr>
                <w:p w14:paraId="5D530F20">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p>
              </w:tc>
              <w:tc>
                <w:tcPr>
                  <w:tcW w:w="742" w:type="pct"/>
                  <w:tcBorders>
                    <w:tl2br w:val="nil"/>
                    <w:tr2bl w:val="nil"/>
                  </w:tcBorders>
                  <w:noWrap w:val="0"/>
                  <w:vAlign w:val="center"/>
                </w:tcPr>
                <w:p w14:paraId="18DA217B">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p>
              </w:tc>
              <w:tc>
                <w:tcPr>
                  <w:tcW w:w="788" w:type="pct"/>
                  <w:tcBorders>
                    <w:tl2br w:val="nil"/>
                    <w:tr2bl w:val="nil"/>
                  </w:tcBorders>
                  <w:noWrap w:val="0"/>
                  <w:vAlign w:val="center"/>
                </w:tcPr>
                <w:p w14:paraId="7B924DDD">
                  <w:pPr>
                    <w:keepNext w:val="0"/>
                    <w:keepLines w:val="0"/>
                    <w:widowControl w:val="0"/>
                    <w:suppressLineNumbers w:val="0"/>
                    <w:wordWrap w:val="0"/>
                    <w:autoSpaceDE w:val="0"/>
                    <w:autoSpaceDN w:val="0"/>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b w:val="0"/>
                      <w:bCs w:val="0"/>
                      <w:color w:val="auto"/>
                      <w:kern w:val="0"/>
                      <w:sz w:val="21"/>
                      <w:szCs w:val="20"/>
                      <w:lang w:val="en-US" w:eastAsia="zh-CN" w:bidi="zh-CN"/>
                    </w:rPr>
                  </w:pPr>
                  <w:r>
                    <w:rPr>
                      <w:rFonts w:hint="eastAsia" w:cs="Times New Roman" w:eastAsiaTheme="minorEastAsia"/>
                      <w:b w:val="0"/>
                      <w:bCs w:val="0"/>
                      <w:color w:val="auto"/>
                      <w:kern w:val="0"/>
                      <w:sz w:val="21"/>
                      <w:szCs w:val="20"/>
                      <w:lang w:val="en-US" w:eastAsia="zh-CN" w:bidi="zh-CN"/>
                    </w:rPr>
                    <w:t>2.0</w:t>
                  </w:r>
                  <w:r>
                    <w:rPr>
                      <w:rFonts w:hint="default" w:ascii="Times New Roman" w:hAnsi="Times New Roman" w:cs="Times New Roman" w:eastAsiaTheme="minorEastAsia"/>
                      <w:b w:val="0"/>
                      <w:bCs w:val="0"/>
                      <w:color w:val="auto"/>
                      <w:kern w:val="0"/>
                      <w:sz w:val="21"/>
                      <w:szCs w:val="20"/>
                      <w:lang w:val="en-US" w:eastAsia="zh-CN" w:bidi="zh-CN"/>
                    </w:rPr>
                    <w:t>×10</w:t>
                  </w:r>
                  <w:r>
                    <w:rPr>
                      <w:rFonts w:hint="default" w:ascii="Times New Roman" w:hAnsi="Times New Roman" w:cs="Times New Roman" w:eastAsiaTheme="minorEastAsia"/>
                      <w:b w:val="0"/>
                      <w:bCs w:val="0"/>
                      <w:color w:val="auto"/>
                      <w:kern w:val="0"/>
                      <w:sz w:val="21"/>
                      <w:szCs w:val="20"/>
                      <w:vertAlign w:val="superscript"/>
                      <w:lang w:val="en-US" w:eastAsia="zh-CN" w:bidi="zh-CN"/>
                    </w:rPr>
                    <w:t>-6</w:t>
                  </w:r>
                </w:p>
              </w:tc>
            </w:tr>
          </w:tbl>
          <w:p w14:paraId="6E709DE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bookmarkStart w:id="1" w:name="_Toc43373980"/>
            <w:bookmarkStart w:id="2" w:name="_Toc58589477"/>
            <w:r>
              <w:rPr>
                <w:rFonts w:hint="default" w:ascii="Times New Roman" w:hAnsi="Times New Roman" w:cs="Times New Roman" w:eastAsiaTheme="minorEastAsia"/>
                <w:b w:val="0"/>
                <w:color w:val="auto"/>
                <w:kern w:val="2"/>
                <w:sz w:val="24"/>
                <w:szCs w:val="24"/>
                <w:lang w:val="en-US" w:eastAsia="zh-CN" w:bidi="ar-SA"/>
              </w:rPr>
              <w:t>危险物质数量与临界量比值（Q）</w:t>
            </w:r>
          </w:p>
          <w:p w14:paraId="35B7A96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计算所涉及的每种危险物质在厂界内的最大存在总量与其在《建设项目环境风险评价技术导则》（HJ169-2018）附录B中对应临界量的比值Q。在不同厂区的同一种物质，按其在厂界内的最大存在总量计算。</w:t>
            </w:r>
          </w:p>
          <w:p w14:paraId="650177B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（1）当企业只涉及一种风险物质时，该物质的数量与其临界量比值，即为Q。</w:t>
            </w:r>
          </w:p>
          <w:p w14:paraId="5E7701E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（2）当企业存在多种风险物质时，则按下列式计算：</w:t>
            </w:r>
          </w:p>
          <w:p w14:paraId="578CCDE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default" w:ascii="Times New Roman" w:hAnsi="Times New Roman" w:cs="Times New Roman" w:eastAsiaTheme="minorEastAsia"/>
                <w:b w:val="0"/>
                <w:bCs w:val="0"/>
                <w:iCs/>
                <w:color w:val="auto"/>
                <w:sz w:val="24"/>
                <w:szCs w:val="24"/>
                <w:highlight w:val="none"/>
                <w:lang w:eastAsia="zh-CN"/>
              </w:rPr>
            </w:pPr>
            <w:r>
              <w:rPr>
                <w:rFonts w:hint="default" w:ascii="Times New Roman" w:hAnsi="Times New Roman" w:cs="Times New Roman" w:eastAsiaTheme="minorEastAsia"/>
                <w:b w:val="0"/>
                <w:bCs w:val="0"/>
                <w:color w:val="auto"/>
                <w:sz w:val="24"/>
                <w:szCs w:val="24"/>
                <w:highlight w:val="none"/>
              </w:rPr>
              <mc:AlternateContent>
                <mc:Choice Requires="wpc">
                  <w:drawing>
                    <wp:inline distT="0" distB="0" distL="114300" distR="114300">
                      <wp:extent cx="4930775" cy="554355"/>
                      <wp:effectExtent l="0" t="0" r="0" b="0"/>
                      <wp:docPr id="82" name="画布 82"/>
                      <wp:cNvGraphicFramePr/>
                      <a:graphic xmlns:a="http://schemas.openxmlformats.org/drawingml/2006/main">
                        <a:graphicData uri="http://schemas.microsoft.com/office/word/2010/wordprocessingCanvas">
                          <wpc:wpc>
                            <wpc:bg/>
                            <wpc:whole/>
                            <pic:pic xmlns:pic="http://schemas.openxmlformats.org/drawingml/2006/picture">
                              <pic:nvPicPr>
                                <pic:cNvPr id="151" name="图片 6"/>
                                <pic:cNvPicPr>
                                  <a:picLocks noChangeAspect="1"/>
                                </pic:cNvPicPr>
                              </pic:nvPicPr>
                              <pic:blipFill>
                                <a:blip r:embed="rId11"/>
                                <a:stretch>
                                  <a:fillRect/>
                                </a:stretch>
                              </pic:blipFill>
                              <pic:spPr>
                                <a:xfrm>
                                  <a:off x="1301115" y="48895"/>
                                  <a:ext cx="2490470" cy="414020"/>
                                </a:xfrm>
                                <a:prstGeom prst="rect">
                                  <a:avLst/>
                                </a:prstGeom>
                                <a:noFill/>
                                <a:ln>
                                  <a:noFill/>
                                </a:ln>
                              </pic:spPr>
                            </pic:pic>
                          </wpc:wpc>
                        </a:graphicData>
                      </a:graphic>
                    </wp:inline>
                  </w:drawing>
                </mc:Choice>
                <mc:Fallback>
                  <w:pict>
                    <v:group id="_x0000_s1026" o:spid="_x0000_s1026" o:spt="203" style="height:43.65pt;width:388.25pt;" coordsize="4930775,554355" editas="canvas" o:gfxdata="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">
                      <o:lock v:ext="edit" aspectratio="f"/>
                      <v:shape id="_x0000_s1026" o:spid="_x0000_s1026" style="position:absolute;left:0;top:0;height:554355;width:4930775;" filled="f" stroked="f" coordsize="21600,21600" o:gfxdata="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">
                        <v:fill on="f" focussize="0,0"/>
                        <v:stroke on="f"/>
                        <v:imagedata o:title=""/>
                        <o:lock v:ext="edit" aspectratio="f"/>
                      </v:shape>
                      <v:shape id="图片 6" o:spid="_x0000_s1026" o:spt="75" type="#_x0000_t75" style="position:absolute;left:1301115;top:48895;height:414020;width:2490470;" filled="f" o:preferrelative="t" stroked="f" coordsize="21600,21600" o:gfxdata="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">
                        <v:fill on="f" focussize="0,0"/>
                        <v:stroke on="f"/>
                        <v:imagedata r:id="rId11" o:title=""/>
                        <o:lock v:ext="edit" aspectratio="t"/>
                      </v:shape>
                      <w10:wrap type="none"/>
                      <w10:anchorlock/>
                    </v:group>
                  </w:pict>
                </mc:Fallback>
              </mc:AlternateContent>
            </w:r>
          </w:p>
          <w:p w14:paraId="0547405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式中：w1，w2，...，wn——每种风险物质的存在量，t；</w:t>
            </w:r>
          </w:p>
          <w:p w14:paraId="4125CD1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W1，W2，...，Wn——每种风险物质的临界量，t。</w:t>
            </w:r>
          </w:p>
          <w:p w14:paraId="3786374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当Q＜1，该项目环境风险潜势为Ⅰ；</w:t>
            </w:r>
          </w:p>
          <w:p w14:paraId="1C76A2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当Q＞1时，将Q值分为（1）1≤Q＜10；（2）10≤Q＜100；（3）Q≥100。</w:t>
            </w:r>
          </w:p>
          <w:p w14:paraId="06FEA35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由上式计算得知，本项目Q值为</w:t>
            </w:r>
            <w:r>
              <w:rPr>
                <w:rFonts w:hint="eastAsia" w:cs="Times New Roman" w:eastAsiaTheme="minorEastAsia"/>
                <w:b w:val="0"/>
                <w:color w:val="auto"/>
                <w:kern w:val="2"/>
                <w:sz w:val="24"/>
                <w:szCs w:val="24"/>
                <w:lang w:val="en-US" w:eastAsia="zh-CN" w:bidi="ar-SA"/>
              </w:rPr>
              <w:t>2.0</w:t>
            </w:r>
            <w:r>
              <w:rPr>
                <w:rFonts w:hint="default" w:ascii="Times New Roman" w:hAnsi="Times New Roman" w:cs="Times New Roman" w:eastAsiaTheme="minorEastAsia"/>
                <w:b w:val="0"/>
                <w:color w:val="auto"/>
                <w:kern w:val="2"/>
                <w:sz w:val="24"/>
                <w:szCs w:val="24"/>
                <w:lang w:val="en-US" w:eastAsia="zh-CN" w:bidi="ar-SA"/>
              </w:rPr>
              <w:t>×10</w:t>
            </w:r>
            <w:r>
              <w:rPr>
                <w:rFonts w:hint="default" w:ascii="Times New Roman" w:hAnsi="Times New Roman" w:cs="Times New Roman" w:eastAsiaTheme="minorEastAsia"/>
                <w:b w:val="0"/>
                <w:color w:val="auto"/>
                <w:kern w:val="2"/>
                <w:sz w:val="24"/>
                <w:szCs w:val="24"/>
                <w:vertAlign w:val="superscript"/>
                <w:lang w:val="en-US" w:eastAsia="zh-CN" w:bidi="ar-SA"/>
              </w:rPr>
              <w:t>-6</w:t>
            </w:r>
            <w:r>
              <w:rPr>
                <w:rFonts w:hint="default" w:ascii="Times New Roman" w:hAnsi="Times New Roman" w:cs="Times New Roman" w:eastAsiaTheme="minorEastAsia"/>
                <w:b w:val="0"/>
                <w:color w:val="auto"/>
                <w:kern w:val="2"/>
                <w:sz w:val="24"/>
                <w:szCs w:val="24"/>
                <w:lang w:val="en-US" w:eastAsia="zh-CN" w:bidi="ar-SA"/>
              </w:rPr>
              <w:t>＜1，故可不开展专项分析。</w:t>
            </w:r>
          </w:p>
          <w:p w14:paraId="16EBF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6.2环境风险影响</w:t>
            </w:r>
            <w:bookmarkEnd w:id="1"/>
            <w:bookmarkEnd w:id="2"/>
            <w:r>
              <w:rPr>
                <w:rFonts w:hint="default" w:ascii="Times New Roman" w:hAnsi="Times New Roman" w:cs="Times New Roman" w:eastAsiaTheme="minorEastAsia"/>
                <w:b/>
                <w:bCs/>
                <w:color w:val="auto"/>
                <w:sz w:val="24"/>
                <w:lang w:val="en-US" w:eastAsia="zh-CN"/>
              </w:rPr>
              <w:t>分析</w:t>
            </w:r>
          </w:p>
          <w:p w14:paraId="701A65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项目可能的环境风险为风险物质泄漏、废水事故性排放以及发生火灾事故次伴生环境污染事故。</w:t>
            </w:r>
          </w:p>
          <w:p w14:paraId="36D4DB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（1）风险物质泄漏事故环境影响分析</w:t>
            </w:r>
          </w:p>
          <w:p w14:paraId="490F61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项目涉及的医疗用品（如酒精等）、危险废物（医疗废物、废紫外线灯管）在搬运、装卸过程中可能因容器发生侧翻、损坏容器，造成风险物质泄漏。由于这些风险物质的最大储存量较少，当发生这类事故时，可经由医疗废物暂存间等内部设置的托盘、围堰等将泄漏物料控制在托盘、围堰范围内并将其重新收集至容器内，不会泄漏至外环境影响周边环境质量。通常回收完泄漏的物料后，用沾有稀释剂的抹布擦洗地面，产生的废抹布集中收集，同其他危废委托有资质处置单位处置，不允许出现随意丢弃现卖。</w:t>
            </w:r>
          </w:p>
          <w:p w14:paraId="411BCA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（2）废水事故性排放环境影响分析</w:t>
            </w:r>
          </w:p>
          <w:p w14:paraId="7459E3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bookmarkStart w:id="3" w:name="_Toc58589478"/>
            <w:r>
              <w:rPr>
                <w:rFonts w:hint="default" w:ascii="Times New Roman" w:hAnsi="Times New Roman" w:cs="Times New Roman" w:eastAsiaTheme="minorEastAsia"/>
                <w:b w:val="0"/>
                <w:color w:val="auto"/>
                <w:kern w:val="2"/>
                <w:sz w:val="24"/>
                <w:szCs w:val="24"/>
                <w:lang w:val="en-US" w:eastAsia="zh-CN" w:bidi="ar-SA"/>
              </w:rPr>
              <w:t>项目医疗废水经废水处理设施处理后与其他废水一起通过市政污水管网排入阜西污水处理厂处理。若废水处理设施设备故障、设施管道破损、污水处理设施构筑物发生破裂等均可能导致废水事故性排放，影响周边环境质量或污水超标排放进入阜西污水处理厂，影响其处理污水效率等事故。项目废水处理设施派专人负责并定期维护、巡检，发现问题及时解决，事故废水为短时间且少量地排放，基本可以控制在</w:t>
            </w:r>
            <w:r>
              <w:rPr>
                <w:rFonts w:hint="eastAsia" w:cs="Times New Roman" w:eastAsiaTheme="minorEastAsia"/>
                <w:b w:val="0"/>
                <w:color w:val="auto"/>
                <w:kern w:val="2"/>
                <w:sz w:val="24"/>
                <w:szCs w:val="24"/>
                <w:lang w:val="en-US" w:eastAsia="zh-CN" w:bidi="ar-SA"/>
              </w:rPr>
              <w:t>医</w:t>
            </w:r>
            <w:r>
              <w:rPr>
                <w:rFonts w:hint="default" w:ascii="Times New Roman" w:hAnsi="Times New Roman" w:cs="Times New Roman" w:eastAsiaTheme="minorEastAsia"/>
                <w:b w:val="0"/>
                <w:color w:val="auto"/>
                <w:kern w:val="2"/>
                <w:sz w:val="24"/>
                <w:szCs w:val="24"/>
                <w:lang w:val="en-US" w:eastAsia="zh-CN" w:bidi="ar-SA"/>
              </w:rPr>
              <w:t>院内，不影响周边环境。</w:t>
            </w:r>
          </w:p>
          <w:p w14:paraId="51DC7A11">
            <w:pPr>
              <w:pStyle w:val="2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（3）火灾引发的次生/伴生环境污染事故环境影响分析</w:t>
            </w:r>
          </w:p>
          <w:p w14:paraId="040E49F6">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项目涉及的医疗药品、医疗用品中涉及的可燃、易燃物质很少，如少量的酒精，发生火灾事故的可能性较小，遇电线老化产生火花等可能引发火灾事故，</w:t>
            </w:r>
            <w:r>
              <w:rPr>
                <w:rFonts w:hint="eastAsia" w:cs="Times New Roman" w:eastAsiaTheme="minorEastAsia"/>
                <w:b w:val="0"/>
                <w:color w:val="auto"/>
                <w:kern w:val="2"/>
                <w:sz w:val="24"/>
                <w:szCs w:val="24"/>
                <w:lang w:val="en-US" w:eastAsia="zh-CN" w:bidi="ar-SA"/>
              </w:rPr>
              <w:t>可能</w:t>
            </w:r>
            <w:r>
              <w:rPr>
                <w:rFonts w:hint="default" w:ascii="Times New Roman" w:hAnsi="Times New Roman" w:cs="Times New Roman" w:eastAsiaTheme="minorEastAsia"/>
                <w:b w:val="0"/>
                <w:color w:val="auto"/>
                <w:kern w:val="2"/>
                <w:sz w:val="24"/>
                <w:szCs w:val="24"/>
                <w:lang w:val="en-US" w:eastAsia="zh-CN" w:bidi="ar-SA"/>
              </w:rPr>
              <w:t>伴生有毒废气和消防废水影响周边环境。根据项目特点，基本不含可燃、易燃物质，少量的酒精可采用抗溶性泡沫、干粉、二氧化碳等灭火，因此一般不会造成含有风险物质的消防废水大量排放，故不会对周边地表水环境造成二次污染影响。且贮存区进行防腐防渗处理，一般能将事故控制在院区，不影响周边环境。</w:t>
            </w:r>
          </w:p>
          <w:p w14:paraId="6CBE80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6.3环境风险防范措施</w:t>
            </w:r>
            <w:bookmarkEnd w:id="3"/>
          </w:p>
          <w:p w14:paraId="0D1D56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（1）医疗废物的防范措施</w:t>
            </w:r>
          </w:p>
          <w:p w14:paraId="132C75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①项目设置的医疗废物暂存间必须与生活垃圾分开存放，与人员活动密集区隔开，应确保设施不受雨水冲击或浸泡。</w:t>
            </w:r>
          </w:p>
          <w:p w14:paraId="222F7F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②医疗废物按照类别分别置于防渗、防锐器穿透的包装物或密闭的容器内，在医疗废物暂存间内集中收集，定期清理。</w:t>
            </w:r>
          </w:p>
          <w:p w14:paraId="2C2F17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③医疗废物暂存间应严密封闭，设有专人管理，避免非工作人员进出，采取防盗、防鼠、防蚊蝇、防蟑螂、防渗透、防儿童接触等安全措施。</w:t>
            </w:r>
          </w:p>
          <w:p w14:paraId="186207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④医疗废物暂存间地面及墙脚进行防腐防渗处理，采用刚性防渗结构并对地面进行硬化，具体结构型式为水泥基渗透结晶型抗渗混凝土（厚度不小于150mm），水泥基渗透结晶型防渗涂层的结构型式（厚度不小于0.8mm）。防渗结构层渗透系数不大于1.0×10</w:t>
            </w:r>
            <w:r>
              <w:rPr>
                <w:rFonts w:hint="default" w:ascii="Times New Roman" w:hAnsi="Times New Roman" w:cs="Times New Roman" w:eastAsiaTheme="minorEastAsia"/>
                <w:b w:val="0"/>
                <w:color w:val="auto"/>
                <w:kern w:val="2"/>
                <w:sz w:val="24"/>
                <w:szCs w:val="24"/>
                <w:vertAlign w:val="superscript"/>
                <w:lang w:val="en-US" w:eastAsia="zh-CN" w:bidi="ar-SA"/>
              </w:rPr>
              <w:t>-10</w:t>
            </w:r>
            <w:r>
              <w:rPr>
                <w:rFonts w:hint="default" w:ascii="Times New Roman" w:hAnsi="Times New Roman" w:cs="Times New Roman" w:eastAsiaTheme="minorEastAsia"/>
                <w:b w:val="0"/>
                <w:color w:val="auto"/>
                <w:kern w:val="2"/>
                <w:sz w:val="24"/>
                <w:szCs w:val="24"/>
                <w:lang w:val="en-US" w:eastAsia="zh-CN" w:bidi="ar-SA"/>
              </w:rPr>
              <w:t>cm/s。</w:t>
            </w:r>
          </w:p>
          <w:p w14:paraId="2ACD93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（2）医疗废水的防范措施</w:t>
            </w:r>
          </w:p>
          <w:p w14:paraId="17DB96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①对污水收集管道、医疗污水处理设备等定期检查、维护，避免出现管道堵塞、破损或污水处理设备故障等情况发生，发现问题及时解决，做好检查记录。</w:t>
            </w:r>
          </w:p>
          <w:p w14:paraId="276290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②发现医疗废水泄漏，要立即进行堵漏处理，更换破损管道，同时对现场进行清理。</w:t>
            </w:r>
          </w:p>
          <w:p w14:paraId="22AE4A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③医疗污水处理设备的出水水质标准按照环境管理工作制度的相关要求，定期委托相关单位对废水污染物进行监测，以保证污水稳定达标排放。</w:t>
            </w:r>
          </w:p>
          <w:p w14:paraId="734794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eastAsia" w:ascii="Times New Roman" w:hAnsi="Times New Roman" w:cs="Times New Roman" w:eastAsiaTheme="minorEastAsia"/>
                <w:b w:val="0"/>
                <w:color w:val="auto"/>
                <w:kern w:val="2"/>
                <w:sz w:val="24"/>
                <w:szCs w:val="24"/>
                <w:lang w:val="en-US" w:eastAsia="zh-CN" w:bidi="ar-SA"/>
              </w:rPr>
              <w:t>④</w:t>
            </w:r>
            <w:r>
              <w:rPr>
                <w:rFonts w:hint="eastAsia" w:cs="Times New Roman" w:eastAsiaTheme="minorEastAsia"/>
                <w:b w:val="0"/>
                <w:color w:val="auto"/>
                <w:kern w:val="2"/>
                <w:sz w:val="24"/>
                <w:szCs w:val="24"/>
                <w:lang w:val="en-US" w:eastAsia="zh-CN" w:bidi="ar-SA"/>
              </w:rPr>
              <w:t>建议</w:t>
            </w:r>
            <w:r>
              <w:rPr>
                <w:rFonts w:hint="default" w:ascii="Times New Roman" w:hAnsi="Times New Roman" w:cs="Times New Roman" w:eastAsiaTheme="minorEastAsia"/>
                <w:b w:val="0"/>
                <w:color w:val="auto"/>
                <w:kern w:val="2"/>
                <w:sz w:val="24"/>
                <w:szCs w:val="24"/>
                <w:lang w:val="en-US" w:eastAsia="zh-CN" w:bidi="ar-SA"/>
              </w:rPr>
              <w:t>在</w:t>
            </w:r>
            <w:r>
              <w:rPr>
                <w:rFonts w:hint="eastAsia" w:cs="Times New Roman" w:eastAsiaTheme="minorEastAsia"/>
                <w:b w:val="0"/>
                <w:color w:val="auto"/>
                <w:kern w:val="2"/>
                <w:sz w:val="24"/>
                <w:szCs w:val="24"/>
                <w:lang w:val="en-US" w:eastAsia="zh-CN" w:bidi="ar-SA"/>
              </w:rPr>
              <w:t>宠物医院</w:t>
            </w:r>
            <w:r>
              <w:rPr>
                <w:rFonts w:hint="default" w:ascii="Times New Roman" w:hAnsi="Times New Roman" w:cs="Times New Roman" w:eastAsiaTheme="minorEastAsia"/>
                <w:b w:val="0"/>
                <w:color w:val="auto"/>
                <w:kern w:val="2"/>
                <w:sz w:val="24"/>
                <w:szCs w:val="24"/>
                <w:lang w:val="en-US" w:eastAsia="zh-CN" w:bidi="ar-SA"/>
              </w:rPr>
              <w:t>院区内</w:t>
            </w:r>
            <w:r>
              <w:rPr>
                <w:rFonts w:hint="eastAsia" w:cs="Times New Roman" w:eastAsiaTheme="minorEastAsia"/>
                <w:b w:val="0"/>
                <w:color w:val="auto"/>
                <w:kern w:val="2"/>
                <w:sz w:val="24"/>
                <w:szCs w:val="24"/>
                <w:lang w:val="en-US" w:eastAsia="zh-CN" w:bidi="ar-SA"/>
              </w:rPr>
              <w:t>设置1处容积5L的医疗废水临时收集设施</w:t>
            </w:r>
            <w:r>
              <w:rPr>
                <w:rFonts w:hint="default" w:ascii="Times New Roman" w:hAnsi="Times New Roman" w:cs="Times New Roman" w:eastAsiaTheme="minorEastAsia"/>
                <w:b w:val="0"/>
                <w:color w:val="auto"/>
                <w:kern w:val="2"/>
                <w:sz w:val="24"/>
                <w:szCs w:val="24"/>
                <w:lang w:val="en-US" w:eastAsia="zh-CN" w:bidi="ar-SA"/>
              </w:rPr>
              <w:t>。一旦发生事故，应立即在院区内采取限电限水措施。在进行应急救援之前，必须先关闭污水排放口的应急阀门，确保事故废水不会进入外环境。</w:t>
            </w:r>
          </w:p>
          <w:p w14:paraId="462F1A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（3）火灾事故风险防范措施</w:t>
            </w:r>
          </w:p>
          <w:p w14:paraId="6C1895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项目运营后，由于人员集中，电线密集且设备等属于可燃物，因此存在一定的火灾风险，建设单位要严格按照消防部门所提要求落实消防措施，增强来往人员防火意识，杜绝火灾风险事故的发生。</w:t>
            </w:r>
          </w:p>
          <w:p w14:paraId="7D4F8B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①建立健全消防安全组织，消防安全责任明确；</w:t>
            </w:r>
          </w:p>
          <w:p w14:paraId="12EC38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②建立消防安全管理制度和保障消防安全的操作规程：③员工须经消防安全培训；</w:t>
            </w:r>
          </w:p>
          <w:p w14:paraId="7CAEC1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④建筑消防设施齐全、完好有效；</w:t>
            </w:r>
          </w:p>
          <w:p w14:paraId="14369C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⑤制定灭火和应急疏散预案。</w:t>
            </w:r>
          </w:p>
          <w:p w14:paraId="29688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通过采取以上措施及应急处置，项目环境风险是可防控的。</w:t>
            </w:r>
          </w:p>
          <w:p w14:paraId="121DD9B9">
            <w:pPr>
              <w:keepNext w:val="0"/>
              <w:keepLines w:val="0"/>
              <w:suppressLineNumbers w:val="0"/>
              <w:tabs>
                <w:tab w:val="left" w:pos="1100"/>
              </w:tabs>
              <w:spacing w:before="0" w:beforeAutospacing="0" w:after="0" w:afterAutospacing="0" w:line="520" w:lineRule="exact"/>
              <w:ind w:left="0" w:right="0"/>
              <w:rPr>
                <w:rFonts w:hint="default" w:ascii="Times New Roman" w:hAnsi="Times New Roman" w:cs="Times New Roman" w:eastAsiaTheme="minorEastAsia"/>
                <w:b/>
                <w:bCs/>
                <w:color w:val="auto"/>
                <w:sz w:val="24"/>
                <w:lang w:val="en-US" w:eastAsia="zh-CN"/>
              </w:rPr>
            </w:pPr>
            <w:r>
              <w:rPr>
                <w:rFonts w:hint="eastAsia" w:cs="Times New Roman" w:eastAsiaTheme="minorEastAsia"/>
                <w:b/>
                <w:bCs/>
                <w:color w:val="auto"/>
                <w:sz w:val="24"/>
                <w:lang w:val="en-US" w:eastAsia="zh-CN"/>
              </w:rPr>
              <w:t>7.</w:t>
            </w:r>
            <w:r>
              <w:rPr>
                <w:rFonts w:hint="default" w:ascii="Times New Roman" w:hAnsi="Times New Roman" w:cs="Times New Roman" w:eastAsiaTheme="minorEastAsia"/>
                <w:b/>
                <w:bCs/>
                <w:color w:val="auto"/>
                <w:sz w:val="24"/>
                <w:lang w:val="en-US" w:eastAsia="zh-CN"/>
              </w:rPr>
              <w:t>环保投资估算</w:t>
            </w:r>
          </w:p>
          <w:p w14:paraId="0BFBF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本项目总投资</w:t>
            </w:r>
            <w:r>
              <w:rPr>
                <w:rFonts w:hint="eastAsia" w:cs="Times New Roman" w:eastAsiaTheme="minorEastAsia"/>
                <w:b w:val="0"/>
                <w:color w:val="auto"/>
                <w:kern w:val="2"/>
                <w:sz w:val="24"/>
                <w:szCs w:val="24"/>
                <w:lang w:val="en-US" w:eastAsia="zh-CN" w:bidi="ar-SA"/>
              </w:rPr>
              <w:t>6</w:t>
            </w:r>
            <w:r>
              <w:rPr>
                <w:rFonts w:hint="default" w:ascii="Times New Roman" w:hAnsi="Times New Roman" w:cs="Times New Roman" w:eastAsiaTheme="minorEastAsia"/>
                <w:b w:val="0"/>
                <w:color w:val="auto"/>
                <w:kern w:val="2"/>
                <w:sz w:val="24"/>
                <w:szCs w:val="24"/>
                <w:lang w:val="en-US" w:eastAsia="zh-CN" w:bidi="ar-SA"/>
              </w:rPr>
              <w:t>0.0万元，环保投资</w:t>
            </w:r>
            <w:r>
              <w:rPr>
                <w:rFonts w:hint="eastAsia" w:cs="Times New Roman" w:eastAsiaTheme="minorEastAsia"/>
                <w:b w:val="0"/>
                <w:color w:val="auto"/>
                <w:kern w:val="2"/>
                <w:sz w:val="24"/>
                <w:szCs w:val="24"/>
                <w:lang w:val="en-US" w:eastAsia="zh-CN" w:bidi="ar-SA"/>
              </w:rPr>
              <w:t>6.4</w:t>
            </w:r>
            <w:r>
              <w:rPr>
                <w:rFonts w:hint="default" w:ascii="Times New Roman" w:hAnsi="Times New Roman" w:cs="Times New Roman" w:eastAsiaTheme="minorEastAsia"/>
                <w:b w:val="0"/>
                <w:color w:val="auto"/>
                <w:kern w:val="2"/>
                <w:sz w:val="24"/>
                <w:szCs w:val="24"/>
                <w:lang w:val="en-US" w:eastAsia="zh-CN" w:bidi="ar-SA"/>
              </w:rPr>
              <w:t>万元，占总投资的</w:t>
            </w:r>
            <w:r>
              <w:rPr>
                <w:rFonts w:hint="eastAsia" w:cs="Times New Roman" w:eastAsiaTheme="minorEastAsia"/>
                <w:b w:val="0"/>
                <w:color w:val="auto"/>
                <w:kern w:val="2"/>
                <w:sz w:val="24"/>
                <w:szCs w:val="24"/>
                <w:lang w:val="en-US" w:eastAsia="zh-CN" w:bidi="ar-SA"/>
              </w:rPr>
              <w:t>10.7</w:t>
            </w:r>
            <w:r>
              <w:rPr>
                <w:rFonts w:hint="default" w:ascii="Times New Roman" w:hAnsi="Times New Roman" w:cs="Times New Roman" w:eastAsiaTheme="minorEastAsia"/>
                <w:b w:val="0"/>
                <w:color w:val="auto"/>
                <w:kern w:val="2"/>
                <w:sz w:val="24"/>
                <w:szCs w:val="24"/>
                <w:lang w:val="en-US" w:eastAsia="zh-CN" w:bidi="ar-SA"/>
              </w:rPr>
              <w:t>%。本项目环保工程主要包括废气治理工程、噪声治理工程、废水治理工程、环境监测及管理、运行维护，具体见表4-1</w:t>
            </w:r>
            <w:r>
              <w:rPr>
                <w:rFonts w:hint="eastAsia" w:cs="Times New Roman" w:eastAsiaTheme="minorEastAsia"/>
                <w:b w:val="0"/>
                <w:color w:val="auto"/>
                <w:kern w:val="2"/>
                <w:sz w:val="24"/>
                <w:szCs w:val="24"/>
                <w:lang w:val="en-US" w:eastAsia="zh-CN" w:bidi="ar-SA"/>
              </w:rPr>
              <w:t>5</w:t>
            </w:r>
            <w:r>
              <w:rPr>
                <w:rFonts w:hint="default" w:ascii="Times New Roman" w:hAnsi="Times New Roman" w:cs="Times New Roman" w:eastAsiaTheme="minorEastAsia"/>
                <w:b w:val="0"/>
                <w:color w:val="auto"/>
                <w:kern w:val="2"/>
                <w:sz w:val="24"/>
                <w:szCs w:val="24"/>
                <w:lang w:val="en-US" w:eastAsia="zh-CN" w:bidi="ar-SA"/>
              </w:rPr>
              <w:t>。</w:t>
            </w:r>
          </w:p>
          <w:p w14:paraId="02864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表4-1</w:t>
            </w:r>
            <w:r>
              <w:rPr>
                <w:rFonts w:hint="eastAsia" w:cs="Times New Roman" w:eastAsiaTheme="minorEastAsia"/>
                <w:b/>
                <w:color w:val="auto"/>
                <w:sz w:val="21"/>
                <w:szCs w:val="21"/>
                <w:lang w:val="en-US" w:eastAsia="zh-CN"/>
              </w:rPr>
              <w:t>5</w:t>
            </w:r>
            <w:r>
              <w:rPr>
                <w:rFonts w:hint="default" w:ascii="Times New Roman" w:hAnsi="Times New Roman" w:cs="Times New Roman" w:eastAsiaTheme="minorEastAsia"/>
                <w:b/>
                <w:color w:val="auto"/>
                <w:sz w:val="21"/>
                <w:szCs w:val="21"/>
                <w:lang w:val="en-US" w:eastAsia="zh-CN"/>
              </w:rPr>
              <w:t xml:space="preserve">   环保工程项目及投资估算</w:t>
            </w:r>
          </w:p>
          <w:tbl>
            <w:tblPr>
              <w:tblStyle w:val="23"/>
              <w:tblW w:w="49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14"/>
              <w:gridCol w:w="4088"/>
              <w:gridCol w:w="1551"/>
            </w:tblGrid>
            <w:tr w14:paraId="01457E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pct"/>
                  <w:tcBorders>
                    <w:bottom w:val="single" w:color="auto" w:sz="12" w:space="0"/>
                  </w:tcBorders>
                  <w:vAlign w:val="center"/>
                </w:tcPr>
                <w:p w14:paraId="2A01C68C">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序号</w:t>
                  </w:r>
                </w:p>
              </w:tc>
              <w:tc>
                <w:tcPr>
                  <w:tcW w:w="1017" w:type="pct"/>
                  <w:tcBorders>
                    <w:bottom w:val="single" w:color="auto" w:sz="12" w:space="0"/>
                  </w:tcBorders>
                  <w:vAlign w:val="center"/>
                </w:tcPr>
                <w:p w14:paraId="6F1F643A">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内容</w:t>
                  </w:r>
                </w:p>
              </w:tc>
              <w:tc>
                <w:tcPr>
                  <w:tcW w:w="2573" w:type="pct"/>
                  <w:tcBorders>
                    <w:bottom w:val="single" w:color="auto" w:sz="12" w:space="0"/>
                  </w:tcBorders>
                  <w:vAlign w:val="center"/>
                </w:tcPr>
                <w:p w14:paraId="513B8CE7">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环保设施</w:t>
                  </w:r>
                </w:p>
              </w:tc>
              <w:tc>
                <w:tcPr>
                  <w:tcW w:w="977" w:type="pct"/>
                  <w:tcBorders>
                    <w:bottom w:val="single" w:color="auto" w:sz="12" w:space="0"/>
                  </w:tcBorders>
                  <w:vAlign w:val="center"/>
                </w:tcPr>
                <w:p w14:paraId="1C1F61D5">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投资（万元）</w:t>
                  </w:r>
                </w:p>
              </w:tc>
            </w:tr>
            <w:tr w14:paraId="5C207B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pct"/>
                  <w:tcBorders>
                    <w:top w:val="single" w:color="auto" w:sz="12" w:space="0"/>
                    <w:tl2br w:val="nil"/>
                    <w:tr2bl w:val="nil"/>
                  </w:tcBorders>
                  <w:vAlign w:val="center"/>
                </w:tcPr>
                <w:p w14:paraId="47380A4B">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lang w:val="en-US" w:eastAsia="zh-CN"/>
                    </w:rPr>
                    <w:t>1</w:t>
                  </w:r>
                </w:p>
              </w:tc>
              <w:tc>
                <w:tcPr>
                  <w:tcW w:w="1017" w:type="pct"/>
                  <w:tcBorders>
                    <w:top w:val="single" w:color="auto" w:sz="12" w:space="0"/>
                    <w:tl2br w:val="nil"/>
                    <w:tr2bl w:val="nil"/>
                  </w:tcBorders>
                  <w:vAlign w:val="center"/>
                </w:tcPr>
                <w:p w14:paraId="7590B798">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1"/>
                      <w:lang w:val="zh-TW" w:eastAsia="zh-TW" w:bidi="ar-SA"/>
                    </w:rPr>
                  </w:pPr>
                  <w:r>
                    <w:rPr>
                      <w:rFonts w:hint="default" w:ascii="Times New Roman" w:hAnsi="Times New Roman" w:cs="Times New Roman" w:eastAsiaTheme="minorEastAsia"/>
                      <w:color w:val="auto"/>
                      <w:sz w:val="21"/>
                      <w:szCs w:val="21"/>
                      <w:lang w:val="en-US" w:eastAsia="zh-CN"/>
                    </w:rPr>
                    <w:t>废水</w:t>
                  </w:r>
                  <w:r>
                    <w:rPr>
                      <w:rFonts w:hint="default" w:ascii="Times New Roman" w:hAnsi="Times New Roman" w:cs="Times New Roman" w:eastAsiaTheme="minorEastAsia"/>
                      <w:color w:val="auto"/>
                      <w:sz w:val="21"/>
                      <w:szCs w:val="21"/>
                    </w:rPr>
                    <w:t>治理</w:t>
                  </w:r>
                </w:p>
              </w:tc>
              <w:tc>
                <w:tcPr>
                  <w:tcW w:w="2573" w:type="pct"/>
                  <w:tcBorders>
                    <w:top w:val="single" w:color="auto" w:sz="12" w:space="0"/>
                    <w:tl2br w:val="nil"/>
                    <w:tr2bl w:val="nil"/>
                  </w:tcBorders>
                  <w:vAlign w:val="center"/>
                </w:tcPr>
                <w:p w14:paraId="6283DB4D">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b w:val="0"/>
                      <w:bCs/>
                      <w:color w:val="auto"/>
                      <w:sz w:val="21"/>
                      <w:szCs w:val="21"/>
                      <w:lang w:val="en-US" w:eastAsia="zh-CN"/>
                    </w:rPr>
                    <w:t>一体化污水</w:t>
                  </w:r>
                  <w:r>
                    <w:rPr>
                      <w:rFonts w:hint="default" w:ascii="Times New Roman" w:hAnsi="Times New Roman" w:cs="Times New Roman" w:eastAsiaTheme="minorEastAsia"/>
                      <w:b w:val="0"/>
                      <w:bCs/>
                      <w:color w:val="auto"/>
                      <w:sz w:val="21"/>
                      <w:szCs w:val="21"/>
                      <w:lang w:eastAsia="zh-CN"/>
                    </w:rPr>
                    <w:t>处理设施1套</w:t>
                  </w:r>
                  <w:r>
                    <w:rPr>
                      <w:rFonts w:hint="eastAsia" w:cs="Times New Roman" w:eastAsiaTheme="minorEastAsia"/>
                      <w:b w:val="0"/>
                      <w:bCs/>
                      <w:color w:val="auto"/>
                      <w:sz w:val="21"/>
                      <w:szCs w:val="21"/>
                      <w:lang w:eastAsia="zh-CN"/>
                    </w:rPr>
                    <w:t>，</w:t>
                  </w:r>
                  <w:r>
                    <w:rPr>
                      <w:rFonts w:hint="default" w:ascii="Times New Roman" w:hAnsi="Times New Roman" w:cs="Times New Roman" w:eastAsiaTheme="minorEastAsia"/>
                      <w:b w:val="0"/>
                      <w:bCs/>
                      <w:color w:val="auto"/>
                      <w:sz w:val="21"/>
                      <w:szCs w:val="21"/>
                      <w:lang w:eastAsia="zh-CN"/>
                    </w:rPr>
                    <w:t>处理能力为1.0</w:t>
                  </w:r>
                  <w:r>
                    <w:rPr>
                      <w:rFonts w:hint="eastAsia" w:cs="Times New Roman" w:eastAsiaTheme="minorEastAsia"/>
                      <w:b w:val="0"/>
                      <w:bCs/>
                      <w:color w:val="auto"/>
                      <w:sz w:val="21"/>
                      <w:szCs w:val="21"/>
                      <w:lang w:val="en-US" w:eastAsia="zh-CN"/>
                    </w:rPr>
                    <w:t>m</w:t>
                  </w:r>
                  <w:r>
                    <w:rPr>
                      <w:rFonts w:hint="eastAsia" w:cs="Times New Roman" w:eastAsiaTheme="minorEastAsia"/>
                      <w:b w:val="0"/>
                      <w:bCs/>
                      <w:color w:val="auto"/>
                      <w:sz w:val="21"/>
                      <w:szCs w:val="21"/>
                      <w:vertAlign w:val="superscript"/>
                      <w:lang w:val="en-US" w:eastAsia="zh-CN"/>
                    </w:rPr>
                    <w:t>3</w:t>
                  </w:r>
                  <w:r>
                    <w:rPr>
                      <w:rFonts w:hint="default" w:ascii="Times New Roman" w:hAnsi="Times New Roman" w:cs="Times New Roman" w:eastAsiaTheme="minorEastAsia"/>
                      <w:b w:val="0"/>
                      <w:bCs/>
                      <w:color w:val="auto"/>
                      <w:sz w:val="21"/>
                      <w:szCs w:val="21"/>
                      <w:lang w:val="en-US" w:eastAsia="zh-CN"/>
                    </w:rPr>
                    <w:t>/d</w:t>
                  </w:r>
                </w:p>
              </w:tc>
              <w:tc>
                <w:tcPr>
                  <w:tcW w:w="977" w:type="pct"/>
                  <w:tcBorders>
                    <w:top w:val="single" w:color="auto" w:sz="12" w:space="0"/>
                    <w:tl2br w:val="nil"/>
                    <w:tr2bl w:val="nil"/>
                  </w:tcBorders>
                  <w:vAlign w:val="center"/>
                </w:tcPr>
                <w:p w14:paraId="71431ADE">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w:t>
                  </w:r>
                  <w:r>
                    <w:rPr>
                      <w:rFonts w:hint="eastAsia" w:cs="Times New Roman" w:eastAsiaTheme="minorEastAsia"/>
                      <w:color w:val="auto"/>
                      <w:kern w:val="2"/>
                      <w:sz w:val="21"/>
                      <w:szCs w:val="21"/>
                      <w:lang w:val="en-US" w:eastAsia="zh-CN" w:bidi="ar-SA"/>
                    </w:rPr>
                    <w:t>8</w:t>
                  </w:r>
                </w:p>
              </w:tc>
            </w:tr>
            <w:tr w14:paraId="620A7B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pct"/>
                  <w:tcBorders>
                    <w:tl2br w:val="nil"/>
                    <w:tr2bl w:val="nil"/>
                  </w:tcBorders>
                  <w:vAlign w:val="center"/>
                </w:tcPr>
                <w:p w14:paraId="4DEFD929">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rPr>
                    <w:t>2</w:t>
                  </w:r>
                </w:p>
              </w:tc>
              <w:tc>
                <w:tcPr>
                  <w:tcW w:w="1017" w:type="pct"/>
                  <w:tcBorders>
                    <w:tl2br w:val="nil"/>
                    <w:tr2bl w:val="nil"/>
                  </w:tcBorders>
                  <w:vAlign w:val="center"/>
                </w:tcPr>
                <w:p w14:paraId="15FC082F">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噪声治理</w:t>
                  </w:r>
                </w:p>
              </w:tc>
              <w:tc>
                <w:tcPr>
                  <w:tcW w:w="2573" w:type="pct"/>
                  <w:tcBorders>
                    <w:tl2br w:val="nil"/>
                    <w:tr2bl w:val="nil"/>
                  </w:tcBorders>
                  <w:vAlign w:val="center"/>
                </w:tcPr>
                <w:p w14:paraId="47F909C6">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 w:val="0"/>
                      <w:bCs/>
                      <w:color w:val="auto"/>
                      <w:sz w:val="21"/>
                      <w:szCs w:val="21"/>
                      <w:lang w:val="en-US" w:eastAsia="zh-CN"/>
                    </w:rPr>
                    <w:t>墙体隔声、吸声等</w:t>
                  </w:r>
                </w:p>
              </w:tc>
              <w:tc>
                <w:tcPr>
                  <w:tcW w:w="977" w:type="pct"/>
                  <w:tcBorders>
                    <w:tl2br w:val="nil"/>
                    <w:tr2bl w:val="nil"/>
                  </w:tcBorders>
                  <w:vAlign w:val="center"/>
                </w:tcPr>
                <w:p w14:paraId="6ABFA5D8">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0.5</w:t>
                  </w:r>
                </w:p>
              </w:tc>
            </w:tr>
            <w:tr w14:paraId="75E29F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pct"/>
                  <w:tcBorders>
                    <w:tl2br w:val="nil"/>
                    <w:tr2bl w:val="nil"/>
                  </w:tcBorders>
                  <w:vAlign w:val="center"/>
                </w:tcPr>
                <w:p w14:paraId="3684E1A3">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4"/>
                      <w:lang w:val="zh-TW" w:eastAsia="zh-TW" w:bidi="ar-SA"/>
                    </w:rPr>
                  </w:pPr>
                  <w:r>
                    <w:rPr>
                      <w:rFonts w:hint="default" w:ascii="Times New Roman" w:hAnsi="Times New Roman" w:cs="Times New Roman" w:eastAsiaTheme="minorEastAsia"/>
                      <w:color w:val="auto"/>
                    </w:rPr>
                    <w:t>3</w:t>
                  </w:r>
                </w:p>
              </w:tc>
              <w:tc>
                <w:tcPr>
                  <w:tcW w:w="1017" w:type="pct"/>
                  <w:tcBorders>
                    <w:tl2br w:val="nil"/>
                    <w:tr2bl w:val="nil"/>
                  </w:tcBorders>
                  <w:vAlign w:val="center"/>
                </w:tcPr>
                <w:p w14:paraId="6AEF4606">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废气治理</w:t>
                  </w:r>
                </w:p>
              </w:tc>
              <w:tc>
                <w:tcPr>
                  <w:tcW w:w="2573" w:type="pct"/>
                  <w:tcBorders>
                    <w:tl2br w:val="nil"/>
                    <w:tr2bl w:val="nil"/>
                  </w:tcBorders>
                  <w:vAlign w:val="center"/>
                </w:tcPr>
                <w:p w14:paraId="349FA637">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新风系统</w:t>
                  </w:r>
                  <w:r>
                    <w:rPr>
                      <w:rFonts w:hint="eastAsia" w:cs="Times New Roman" w:eastAsiaTheme="minorEastAsia"/>
                      <w:color w:val="auto"/>
                      <w:sz w:val="21"/>
                      <w:szCs w:val="21"/>
                      <w:lang w:val="en-US" w:eastAsia="zh-CN"/>
                    </w:rPr>
                    <w:t>+紫</w:t>
                  </w:r>
                  <w:r>
                    <w:rPr>
                      <w:rFonts w:hint="eastAsia" w:ascii="Times New Roman" w:hAnsi="Times New Roman" w:cs="Times New Roman" w:eastAsiaTheme="minorEastAsia"/>
                      <w:color w:val="auto"/>
                      <w:sz w:val="21"/>
                      <w:szCs w:val="21"/>
                      <w:lang w:val="en-US" w:eastAsia="zh-CN"/>
                    </w:rPr>
                    <w:t>外灯消毒/</w:t>
                  </w:r>
                  <w:r>
                    <w:rPr>
                      <w:rFonts w:hint="default" w:ascii="Times New Roman" w:hAnsi="Times New Roman" w:cs="Times New Roman" w:eastAsiaTheme="minorEastAsia"/>
                      <w:color w:val="auto"/>
                      <w:sz w:val="21"/>
                      <w:szCs w:val="21"/>
                      <w:lang w:val="en-US" w:eastAsia="zh-CN"/>
                    </w:rPr>
                    <w:t>三氯异氰尿酸消毒</w:t>
                  </w:r>
                </w:p>
              </w:tc>
              <w:tc>
                <w:tcPr>
                  <w:tcW w:w="977" w:type="pct"/>
                  <w:tcBorders>
                    <w:tl2br w:val="nil"/>
                    <w:tr2bl w:val="nil"/>
                  </w:tcBorders>
                  <w:vAlign w:val="center"/>
                </w:tcPr>
                <w:p w14:paraId="4273B778">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r>
                    <w:rPr>
                      <w:rFonts w:hint="eastAsia" w:cs="Times New Roman" w:eastAsiaTheme="minorEastAsia"/>
                      <w:color w:val="auto"/>
                      <w:sz w:val="21"/>
                      <w:szCs w:val="21"/>
                      <w:lang w:val="en-US" w:eastAsia="zh-CN"/>
                    </w:rPr>
                    <w:t>.6</w:t>
                  </w:r>
                </w:p>
              </w:tc>
            </w:tr>
            <w:tr w14:paraId="6DC67A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pct"/>
                  <w:tcBorders>
                    <w:tl2br w:val="nil"/>
                    <w:tr2bl w:val="nil"/>
                  </w:tcBorders>
                  <w:vAlign w:val="center"/>
                </w:tcPr>
                <w:p w14:paraId="394506D5">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lang w:val="en-US" w:eastAsia="zh-CN"/>
                    </w:rPr>
                    <w:t>4</w:t>
                  </w:r>
                </w:p>
              </w:tc>
              <w:tc>
                <w:tcPr>
                  <w:tcW w:w="1017" w:type="pct"/>
                  <w:tcBorders>
                    <w:tl2br w:val="nil"/>
                    <w:tr2bl w:val="nil"/>
                  </w:tcBorders>
                  <w:vAlign w:val="center"/>
                </w:tcPr>
                <w:p w14:paraId="0BC555E0">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固废治理</w:t>
                  </w:r>
                </w:p>
              </w:tc>
              <w:tc>
                <w:tcPr>
                  <w:tcW w:w="2573" w:type="pct"/>
                  <w:tcBorders>
                    <w:tl2br w:val="nil"/>
                    <w:tr2bl w:val="nil"/>
                  </w:tcBorders>
                  <w:vAlign w:val="center"/>
                </w:tcPr>
                <w:p w14:paraId="7DD4BA54">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eastAsia="zh-CN"/>
                    </w:rPr>
                    <w:t>垃圾桶、医疗废物暂存间</w:t>
                  </w:r>
                  <w:r>
                    <w:rPr>
                      <w:rFonts w:hint="eastAsia" w:cs="Times New Roman" w:eastAsiaTheme="minorEastAsia"/>
                      <w:b w:val="0"/>
                      <w:bCs/>
                      <w:color w:val="auto"/>
                      <w:sz w:val="21"/>
                      <w:szCs w:val="21"/>
                      <w:lang w:eastAsia="zh-CN"/>
                    </w:rPr>
                    <w:t>（</w:t>
                  </w:r>
                  <w:r>
                    <w:rPr>
                      <w:rFonts w:hint="eastAsia" w:cs="Times New Roman" w:eastAsiaTheme="minorEastAsia"/>
                      <w:b w:val="0"/>
                      <w:bCs/>
                      <w:color w:val="auto"/>
                      <w:sz w:val="21"/>
                      <w:szCs w:val="21"/>
                      <w:lang w:val="en-US" w:eastAsia="zh-CN"/>
                    </w:rPr>
                    <w:t>3m</w:t>
                  </w:r>
                  <w:r>
                    <w:rPr>
                      <w:rFonts w:hint="eastAsia" w:cs="Times New Roman" w:eastAsiaTheme="minorEastAsia"/>
                      <w:b w:val="0"/>
                      <w:bCs/>
                      <w:color w:val="auto"/>
                      <w:sz w:val="21"/>
                      <w:szCs w:val="21"/>
                      <w:vertAlign w:val="superscript"/>
                      <w:lang w:val="en-US" w:eastAsia="zh-CN"/>
                    </w:rPr>
                    <w:t>2</w:t>
                  </w:r>
                  <w:r>
                    <w:rPr>
                      <w:rFonts w:hint="eastAsia" w:cs="Times New Roman" w:eastAsiaTheme="minorEastAsia"/>
                      <w:b w:val="0"/>
                      <w:bCs/>
                      <w:color w:val="auto"/>
                      <w:sz w:val="21"/>
                      <w:szCs w:val="21"/>
                      <w:lang w:eastAsia="zh-CN"/>
                    </w:rPr>
                    <w:t>）</w:t>
                  </w:r>
                </w:p>
              </w:tc>
              <w:tc>
                <w:tcPr>
                  <w:tcW w:w="977" w:type="pct"/>
                  <w:tcBorders>
                    <w:tl2br w:val="nil"/>
                    <w:tr2bl w:val="nil"/>
                  </w:tcBorders>
                  <w:vAlign w:val="center"/>
                </w:tcPr>
                <w:p w14:paraId="2264ABC6">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2.0</w:t>
                  </w:r>
                </w:p>
              </w:tc>
            </w:tr>
            <w:tr w14:paraId="457FDE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pct"/>
                  <w:tcBorders>
                    <w:tl2br w:val="nil"/>
                    <w:tr2bl w:val="nil"/>
                  </w:tcBorders>
                  <w:vAlign w:val="center"/>
                </w:tcPr>
                <w:p w14:paraId="54DCB7D3">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5</w:t>
                  </w:r>
                </w:p>
              </w:tc>
              <w:tc>
                <w:tcPr>
                  <w:tcW w:w="1017" w:type="pct"/>
                  <w:tcBorders>
                    <w:tl2br w:val="nil"/>
                    <w:tr2bl w:val="nil"/>
                  </w:tcBorders>
                  <w:vAlign w:val="center"/>
                </w:tcPr>
                <w:p w14:paraId="345E7089">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环境监测及管理</w:t>
                  </w:r>
                </w:p>
              </w:tc>
              <w:tc>
                <w:tcPr>
                  <w:tcW w:w="2573" w:type="pct"/>
                  <w:tcBorders>
                    <w:tl2br w:val="nil"/>
                    <w:tr2bl w:val="nil"/>
                  </w:tcBorders>
                  <w:vAlign w:val="center"/>
                </w:tcPr>
                <w:p w14:paraId="2EEC690E">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建立环境管理和监测体系</w:t>
                  </w:r>
                </w:p>
              </w:tc>
              <w:tc>
                <w:tcPr>
                  <w:tcW w:w="977" w:type="pct"/>
                  <w:tcBorders>
                    <w:tl2br w:val="nil"/>
                    <w:tr2bl w:val="nil"/>
                  </w:tcBorders>
                  <w:vAlign w:val="center"/>
                </w:tcPr>
                <w:p w14:paraId="4906CB69">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0.2</w:t>
                  </w:r>
                </w:p>
              </w:tc>
            </w:tr>
            <w:tr w14:paraId="1CBEBC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pct"/>
                  <w:tcBorders>
                    <w:tl2br w:val="nil"/>
                    <w:tr2bl w:val="nil"/>
                  </w:tcBorders>
                  <w:vAlign w:val="center"/>
                </w:tcPr>
                <w:p w14:paraId="3063E65C">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6</w:t>
                  </w:r>
                </w:p>
              </w:tc>
              <w:tc>
                <w:tcPr>
                  <w:tcW w:w="1017" w:type="pct"/>
                  <w:tcBorders>
                    <w:tl2br w:val="nil"/>
                    <w:tr2bl w:val="nil"/>
                  </w:tcBorders>
                  <w:vAlign w:val="center"/>
                </w:tcPr>
                <w:p w14:paraId="681378D7">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运行维护</w:t>
                  </w:r>
                </w:p>
              </w:tc>
              <w:tc>
                <w:tcPr>
                  <w:tcW w:w="2573" w:type="pct"/>
                  <w:tcBorders>
                    <w:tl2br w:val="nil"/>
                    <w:tr2bl w:val="nil"/>
                  </w:tcBorders>
                  <w:vAlign w:val="center"/>
                </w:tcPr>
                <w:p w14:paraId="32341902">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color w:val="auto"/>
                      <w:sz w:val="21"/>
                      <w:szCs w:val="21"/>
                      <w:highlight w:val="none"/>
                      <w:lang w:eastAsia="zh-CN"/>
                    </w:rPr>
                    <w:t>环保设施运行维护费用</w:t>
                  </w:r>
                </w:p>
              </w:tc>
              <w:tc>
                <w:tcPr>
                  <w:tcW w:w="977" w:type="pct"/>
                  <w:tcBorders>
                    <w:tl2br w:val="nil"/>
                    <w:tr2bl w:val="nil"/>
                  </w:tcBorders>
                  <w:vAlign w:val="center"/>
                </w:tcPr>
                <w:p w14:paraId="1B79DF79">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0.3</w:t>
                  </w:r>
                </w:p>
              </w:tc>
            </w:tr>
            <w:tr w14:paraId="0D59D4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22" w:type="pct"/>
                  <w:gridSpan w:val="3"/>
                  <w:tcBorders>
                    <w:tl2br w:val="nil"/>
                    <w:tr2bl w:val="nil"/>
                  </w:tcBorders>
                  <w:vAlign w:val="center"/>
                </w:tcPr>
                <w:p w14:paraId="1A1A236B">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合计</w:t>
                  </w:r>
                </w:p>
              </w:tc>
              <w:tc>
                <w:tcPr>
                  <w:tcW w:w="977" w:type="pct"/>
                  <w:tcBorders>
                    <w:tl2br w:val="nil"/>
                    <w:tr2bl w:val="nil"/>
                  </w:tcBorders>
                  <w:vAlign w:val="center"/>
                </w:tcPr>
                <w:p w14:paraId="25E70B28">
                  <w:pPr>
                    <w:pStyle w:val="64"/>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6.4</w:t>
                  </w:r>
                </w:p>
              </w:tc>
            </w:tr>
          </w:tbl>
          <w:p w14:paraId="602A9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37454A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7E680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7469E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5A2B9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62669B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5858EF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1F0CB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5EAA4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6B10A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39C64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2CC0E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7B4A1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79CF8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6862A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4F8C2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cs="Times New Roman" w:eastAsiaTheme="minorEastAsia"/>
                <w:color w:val="auto"/>
                <w:sz w:val="24"/>
                <w:lang w:val="en-US" w:eastAsia="zh-CN"/>
              </w:rPr>
            </w:pPr>
          </w:p>
          <w:p w14:paraId="456C9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cs="Times New Roman" w:eastAsiaTheme="minorEastAsia"/>
                <w:color w:val="auto"/>
                <w:sz w:val="24"/>
                <w:lang w:val="en-US" w:eastAsia="zh-CN"/>
              </w:rPr>
            </w:pPr>
          </w:p>
        </w:tc>
      </w:tr>
    </w:tbl>
    <w:p w14:paraId="5FDBDCCF">
      <w:pPr>
        <w:adjustRightInd w:val="0"/>
        <w:snapToGrid w:val="0"/>
        <w:spacing w:line="360" w:lineRule="auto"/>
        <w:rPr>
          <w:rFonts w:hint="default" w:ascii="Times New Roman" w:hAnsi="Times New Roman" w:cs="Times New Roman" w:eastAsiaTheme="minorEastAsia"/>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1DB09CA9">
      <w:pPr>
        <w:pStyle w:val="19"/>
        <w:jc w:val="center"/>
        <w:outlineLvl w:val="0"/>
        <w:rPr>
          <w:rFonts w:hint="default" w:ascii="Times New Roman" w:hAnsi="Times New Roman" w:cs="Times New Roman" w:eastAsiaTheme="minorEastAsia"/>
          <w:b/>
          <w:bCs/>
          <w:snapToGrid w:val="0"/>
          <w:color w:val="auto"/>
          <w:sz w:val="30"/>
          <w:szCs w:val="30"/>
        </w:rPr>
      </w:pPr>
      <w:r>
        <w:rPr>
          <w:rFonts w:hint="default" w:ascii="Times New Roman" w:hAnsi="Times New Roman" w:cs="Times New Roman" w:eastAsiaTheme="minorEastAsia"/>
          <w:b/>
          <w:bCs/>
          <w:snapToGrid w:val="0"/>
          <w:color w:val="auto"/>
          <w:sz w:val="30"/>
          <w:szCs w:val="30"/>
        </w:rPr>
        <w:t>五、</w:t>
      </w:r>
      <w:bookmarkStart w:id="4" w:name="_Hlk54167917"/>
      <w:r>
        <w:rPr>
          <w:rFonts w:hint="default" w:ascii="Times New Roman" w:hAnsi="Times New Roman" w:cs="Times New Roman" w:eastAsiaTheme="minorEastAsia"/>
          <w:b/>
          <w:bCs/>
          <w:snapToGrid w:val="0"/>
          <w:color w:val="auto"/>
          <w:sz w:val="30"/>
          <w:szCs w:val="30"/>
        </w:rPr>
        <w:t>环境保护措施监督检查清单</w:t>
      </w:r>
      <w:bookmarkEnd w:id="4"/>
    </w:p>
    <w:tbl>
      <w:tblPr>
        <w:tblStyle w:val="23"/>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00"/>
        <w:gridCol w:w="1450"/>
        <w:gridCol w:w="2126"/>
        <w:gridCol w:w="2335"/>
      </w:tblGrid>
      <w:tr w14:paraId="78139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9" w:type="dxa"/>
            <w:tcBorders>
              <w:tl2br w:val="single" w:color="auto" w:sz="4" w:space="0"/>
            </w:tcBorders>
          </w:tcPr>
          <w:p w14:paraId="3B3D11E1">
            <w:pPr>
              <w:keepNext w:val="0"/>
              <w:keepLines w:val="0"/>
              <w:suppressLineNumbers w:val="0"/>
              <w:adjustRightInd w:val="0"/>
              <w:snapToGrid w:val="0"/>
              <w:spacing w:before="0" w:beforeAutospacing="0" w:after="0" w:afterAutospacing="0"/>
              <w:ind w:left="0" w:right="0"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内容</w:t>
            </w:r>
          </w:p>
          <w:p w14:paraId="44710A14">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要素</w:t>
            </w:r>
          </w:p>
        </w:tc>
        <w:tc>
          <w:tcPr>
            <w:tcW w:w="1700" w:type="dxa"/>
            <w:vAlign w:val="center"/>
          </w:tcPr>
          <w:p w14:paraId="51A3E95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排放口（编号、</w:t>
            </w:r>
          </w:p>
          <w:p w14:paraId="19D714F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名称）/污染源</w:t>
            </w:r>
          </w:p>
        </w:tc>
        <w:tc>
          <w:tcPr>
            <w:tcW w:w="1450" w:type="dxa"/>
            <w:vAlign w:val="center"/>
          </w:tcPr>
          <w:p w14:paraId="69F3573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污染物项目</w:t>
            </w:r>
          </w:p>
        </w:tc>
        <w:tc>
          <w:tcPr>
            <w:tcW w:w="2126" w:type="dxa"/>
            <w:vAlign w:val="center"/>
          </w:tcPr>
          <w:p w14:paraId="301C839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环境保护措施</w:t>
            </w:r>
          </w:p>
        </w:tc>
        <w:tc>
          <w:tcPr>
            <w:tcW w:w="2335" w:type="dxa"/>
            <w:vAlign w:val="center"/>
          </w:tcPr>
          <w:p w14:paraId="721B1E2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执行标准</w:t>
            </w:r>
          </w:p>
        </w:tc>
      </w:tr>
      <w:tr w14:paraId="47028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89" w:type="dxa"/>
            <w:vMerge w:val="restart"/>
            <w:vAlign w:val="center"/>
          </w:tcPr>
          <w:p w14:paraId="581ABA16">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t>大气环境</w:t>
            </w:r>
          </w:p>
        </w:tc>
        <w:tc>
          <w:tcPr>
            <w:tcW w:w="1700" w:type="dxa"/>
            <w:vAlign w:val="center"/>
          </w:tcPr>
          <w:p w14:paraId="229E8D1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宠物本身散发或手术过程产生的异味</w:t>
            </w:r>
          </w:p>
        </w:tc>
        <w:tc>
          <w:tcPr>
            <w:tcW w:w="1450" w:type="dxa"/>
            <w:vMerge w:val="restart"/>
            <w:vAlign w:val="center"/>
          </w:tcPr>
          <w:p w14:paraId="6C4584E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臭气浓度</w:t>
            </w:r>
          </w:p>
        </w:tc>
        <w:tc>
          <w:tcPr>
            <w:tcW w:w="2126" w:type="dxa"/>
            <w:vAlign w:val="center"/>
          </w:tcPr>
          <w:p w14:paraId="0047216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加强通风和定期消毒处理</w:t>
            </w:r>
          </w:p>
        </w:tc>
        <w:tc>
          <w:tcPr>
            <w:tcW w:w="2335" w:type="dxa"/>
            <w:vMerge w:val="restart"/>
            <w:vAlign w:val="center"/>
          </w:tcPr>
          <w:p w14:paraId="5CF853CB">
            <w:pPr>
              <w:pStyle w:val="95"/>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恶臭污染物排放标准》</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GB14554-93</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中表1中</w:t>
            </w:r>
            <w:r>
              <w:rPr>
                <w:rFonts w:hint="eastAsia" w:cs="Times New Roman" w:eastAsiaTheme="minorEastAsia"/>
                <w:color w:val="auto"/>
                <w:sz w:val="24"/>
                <w:szCs w:val="24"/>
                <w:lang w:val="en-US" w:eastAsia="zh-CN"/>
              </w:rPr>
              <w:t>二级标准</w:t>
            </w:r>
            <w:r>
              <w:rPr>
                <w:rFonts w:hint="default" w:ascii="Times New Roman" w:hAnsi="Times New Roman" w:cs="Times New Roman" w:eastAsiaTheme="minorEastAsia"/>
                <w:color w:val="auto"/>
                <w:sz w:val="24"/>
                <w:szCs w:val="24"/>
              </w:rPr>
              <w:t>限值</w:t>
            </w:r>
          </w:p>
        </w:tc>
      </w:tr>
      <w:tr w14:paraId="0D9B4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89" w:type="dxa"/>
            <w:vMerge w:val="continue"/>
            <w:vAlign w:val="center"/>
          </w:tcPr>
          <w:p w14:paraId="2153E49D">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color w:val="auto"/>
                <w:kern w:val="2"/>
                <w:sz w:val="24"/>
                <w:szCs w:val="24"/>
                <w:lang w:val="en-US" w:eastAsia="zh-CN" w:bidi="ar-SA"/>
              </w:rPr>
            </w:pPr>
          </w:p>
        </w:tc>
        <w:tc>
          <w:tcPr>
            <w:tcW w:w="1700" w:type="dxa"/>
            <w:vAlign w:val="center"/>
          </w:tcPr>
          <w:p w14:paraId="3525CE6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污水处理设施异味</w:t>
            </w:r>
          </w:p>
        </w:tc>
        <w:tc>
          <w:tcPr>
            <w:tcW w:w="1450" w:type="dxa"/>
            <w:vMerge w:val="continue"/>
            <w:vAlign w:val="center"/>
          </w:tcPr>
          <w:p w14:paraId="076DFD7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p>
        </w:tc>
        <w:tc>
          <w:tcPr>
            <w:tcW w:w="2126" w:type="dxa"/>
            <w:vAlign w:val="center"/>
          </w:tcPr>
          <w:p w14:paraId="1619AA4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eastAsia="zh-CN"/>
              </w:rPr>
            </w:pPr>
            <w:r>
              <w:rPr>
                <w:rFonts w:hint="default" w:ascii="宋体" w:hAnsi="宋体" w:eastAsia="宋体" w:cs="宋体"/>
                <w:sz w:val="24"/>
                <w:szCs w:val="24"/>
              </w:rPr>
              <w:t>污水处理设施采用密闭加盖处理</w:t>
            </w:r>
          </w:p>
        </w:tc>
        <w:tc>
          <w:tcPr>
            <w:tcW w:w="2335" w:type="dxa"/>
            <w:vMerge w:val="continue"/>
            <w:vAlign w:val="center"/>
          </w:tcPr>
          <w:p w14:paraId="7A5E0049">
            <w:pPr>
              <w:pStyle w:val="95"/>
              <w:keepNext w:val="0"/>
              <w:keepLines w:val="0"/>
              <w:suppressLineNumbers w:val="0"/>
              <w:spacing w:before="0" w:beforeAutospacing="0" w:after="0" w:afterAutospacing="0"/>
              <w:ind w:left="0" w:right="0"/>
              <w:jc w:val="left"/>
              <w:rPr>
                <w:rFonts w:hint="default" w:ascii="Times New Roman" w:hAnsi="Times New Roman" w:cs="Times New Roman" w:eastAsiaTheme="minorEastAsia"/>
                <w:color w:val="auto"/>
                <w:sz w:val="24"/>
                <w:szCs w:val="24"/>
                <w:lang w:eastAsia="zh-CN"/>
              </w:rPr>
            </w:pPr>
          </w:p>
        </w:tc>
      </w:tr>
      <w:tr w14:paraId="7A956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189" w:type="dxa"/>
            <w:vMerge w:val="restart"/>
            <w:vAlign w:val="center"/>
          </w:tcPr>
          <w:p w14:paraId="10F53D46">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t>地表水环境</w:t>
            </w:r>
          </w:p>
        </w:tc>
        <w:tc>
          <w:tcPr>
            <w:tcW w:w="1700" w:type="dxa"/>
            <w:vAlign w:val="center"/>
          </w:tcPr>
          <w:p w14:paraId="64806FD5">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rPr>
              <w:t>诊疗废水</w:t>
            </w:r>
            <w:r>
              <w:rPr>
                <w:rFonts w:hint="eastAsia" w:cs="Times New Roman" w:eastAsiaTheme="minorEastAsia"/>
                <w:color w:val="auto"/>
                <w:sz w:val="24"/>
                <w:lang w:val="en-US" w:eastAsia="zh-CN"/>
              </w:rPr>
              <w:t>+</w:t>
            </w:r>
            <w:r>
              <w:rPr>
                <w:rFonts w:hint="default" w:ascii="Times New Roman" w:hAnsi="Times New Roman" w:cs="Times New Roman" w:eastAsiaTheme="minorEastAsia"/>
                <w:color w:val="auto"/>
                <w:kern w:val="2"/>
                <w:sz w:val="24"/>
                <w:szCs w:val="24"/>
                <w:lang w:val="en-US" w:eastAsia="zh-CN" w:bidi="ar-SA"/>
              </w:rPr>
              <w:t>宠物笼清洗污水</w:t>
            </w:r>
          </w:p>
        </w:tc>
        <w:tc>
          <w:tcPr>
            <w:tcW w:w="1450" w:type="dxa"/>
            <w:vAlign w:val="center"/>
          </w:tcPr>
          <w:p w14:paraId="098ABB1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color w:val="auto"/>
                <w:sz w:val="24"/>
                <w:szCs w:val="24"/>
                <w:lang w:val="en-US" w:eastAsia="zh-CN"/>
              </w:rPr>
              <w:t>pH、COD</w:t>
            </w:r>
            <w:r>
              <w:rPr>
                <w:rFonts w:hint="default" w:ascii="Times New Roman" w:hAnsi="Times New Roman" w:cs="Times New Roman" w:eastAsiaTheme="minorEastAsia"/>
                <w:b w:val="0"/>
                <w:bCs/>
                <w:color w:val="auto"/>
                <w:sz w:val="24"/>
                <w:szCs w:val="24"/>
                <w:vertAlign w:val="subscript"/>
                <w:lang w:val="en-US" w:eastAsia="zh-CN"/>
              </w:rPr>
              <w:t>cr</w:t>
            </w:r>
            <w:r>
              <w:rPr>
                <w:rFonts w:hint="default" w:ascii="Times New Roman" w:hAnsi="Times New Roman" w:cs="Times New Roman" w:eastAsiaTheme="minorEastAsia"/>
                <w:b w:val="0"/>
                <w:bCs/>
                <w:color w:val="auto"/>
                <w:sz w:val="24"/>
                <w:szCs w:val="24"/>
                <w:lang w:val="en-US" w:eastAsia="zh-CN"/>
              </w:rPr>
              <w:t>、SS、粪大肠菌群、BOD</w:t>
            </w:r>
            <w:r>
              <w:rPr>
                <w:rFonts w:hint="default" w:ascii="Times New Roman" w:hAnsi="Times New Roman" w:cs="Times New Roman" w:eastAsiaTheme="minorEastAsia"/>
                <w:b w:val="0"/>
                <w:bCs/>
                <w:color w:val="auto"/>
                <w:sz w:val="24"/>
                <w:szCs w:val="24"/>
                <w:vertAlign w:val="subscript"/>
                <w:lang w:val="en-US" w:eastAsia="zh-CN"/>
              </w:rPr>
              <w:t>5</w:t>
            </w:r>
            <w:r>
              <w:rPr>
                <w:rFonts w:hint="default" w:ascii="Times New Roman" w:hAnsi="Times New Roman" w:cs="Times New Roman" w:eastAsiaTheme="minorEastAsia"/>
                <w:b w:val="0"/>
                <w:bCs/>
                <w:color w:val="auto"/>
                <w:sz w:val="24"/>
                <w:szCs w:val="24"/>
                <w:lang w:val="en-US" w:eastAsia="zh-CN"/>
              </w:rPr>
              <w:t>、NH</w:t>
            </w:r>
            <w:r>
              <w:rPr>
                <w:rFonts w:hint="default" w:ascii="Times New Roman" w:hAnsi="Times New Roman" w:cs="Times New Roman" w:eastAsiaTheme="minorEastAsia"/>
                <w:b w:val="0"/>
                <w:bCs/>
                <w:color w:val="auto"/>
                <w:sz w:val="24"/>
                <w:szCs w:val="24"/>
                <w:vertAlign w:val="subscript"/>
                <w:lang w:val="en-US" w:eastAsia="zh-CN"/>
              </w:rPr>
              <w:t>3</w:t>
            </w:r>
            <w:r>
              <w:rPr>
                <w:rFonts w:hint="default" w:ascii="Times New Roman" w:hAnsi="Times New Roman" w:cs="Times New Roman" w:eastAsiaTheme="minorEastAsia"/>
                <w:b w:val="0"/>
                <w:bCs/>
                <w:color w:val="auto"/>
                <w:sz w:val="24"/>
                <w:szCs w:val="24"/>
                <w:lang w:val="en-US" w:eastAsia="zh-CN"/>
              </w:rPr>
              <w:t>-N</w:t>
            </w:r>
          </w:p>
        </w:tc>
        <w:tc>
          <w:tcPr>
            <w:tcW w:w="2126" w:type="dxa"/>
            <w:vAlign w:val="center"/>
          </w:tcPr>
          <w:p w14:paraId="22C3C9D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color w:val="auto"/>
                <w:sz w:val="24"/>
                <w:szCs w:val="24"/>
              </w:rPr>
              <w:t>一体化污水处理设施消毒处理后排入市政</w:t>
            </w:r>
            <w:r>
              <w:rPr>
                <w:rFonts w:hint="default" w:ascii="Times New Roman" w:hAnsi="Times New Roman" w:cs="Times New Roman" w:eastAsiaTheme="minorEastAsia"/>
                <w:b w:val="0"/>
                <w:bCs/>
                <w:color w:val="auto"/>
                <w:sz w:val="24"/>
                <w:szCs w:val="24"/>
                <w:lang w:val="en-US" w:eastAsia="zh-CN"/>
              </w:rPr>
              <w:t>管网</w:t>
            </w:r>
          </w:p>
        </w:tc>
        <w:tc>
          <w:tcPr>
            <w:tcW w:w="2335" w:type="dxa"/>
            <w:vAlign w:val="center"/>
          </w:tcPr>
          <w:p w14:paraId="7FA0164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4"/>
                <w:szCs w:val="24"/>
              </w:rPr>
            </w:pPr>
            <w:r>
              <w:rPr>
                <w:rFonts w:hint="default" w:ascii="Times New Roman" w:hAnsi="Times New Roman" w:cs="Times New Roman" w:eastAsiaTheme="minorEastAsia"/>
                <w:b w:val="0"/>
                <w:bCs/>
                <w:color w:val="auto"/>
                <w:sz w:val="24"/>
                <w:szCs w:val="24"/>
                <w:lang w:eastAsia="zh-CN"/>
              </w:rPr>
              <w:t>《</w:t>
            </w:r>
            <w:r>
              <w:rPr>
                <w:rFonts w:hint="default" w:ascii="Times New Roman" w:hAnsi="Times New Roman" w:cs="Times New Roman" w:eastAsiaTheme="minorEastAsia"/>
                <w:b w:val="0"/>
                <w:bCs/>
                <w:color w:val="auto"/>
                <w:sz w:val="24"/>
                <w:szCs w:val="24"/>
              </w:rPr>
              <w:t>医疗机构水污染物排放标准》</w:t>
            </w:r>
          </w:p>
          <w:p w14:paraId="529B2B4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color w:val="auto"/>
                <w:sz w:val="24"/>
                <w:szCs w:val="24"/>
                <w:lang w:eastAsia="zh-CN"/>
              </w:rPr>
              <w:t>（</w:t>
            </w:r>
            <w:r>
              <w:rPr>
                <w:rFonts w:hint="default" w:ascii="Times New Roman" w:hAnsi="Times New Roman" w:cs="Times New Roman" w:eastAsiaTheme="minorEastAsia"/>
                <w:b w:val="0"/>
                <w:bCs/>
                <w:color w:val="auto"/>
                <w:sz w:val="24"/>
                <w:szCs w:val="24"/>
              </w:rPr>
              <w:t>GB18466-2005</w:t>
            </w:r>
            <w:r>
              <w:rPr>
                <w:rFonts w:hint="default" w:ascii="Times New Roman" w:hAnsi="Times New Roman" w:cs="Times New Roman" w:eastAsiaTheme="minorEastAsia"/>
                <w:b w:val="0"/>
                <w:bCs/>
                <w:color w:val="auto"/>
                <w:sz w:val="24"/>
                <w:szCs w:val="24"/>
                <w:lang w:eastAsia="zh-CN"/>
              </w:rPr>
              <w:t>）</w:t>
            </w:r>
            <w:r>
              <w:rPr>
                <w:rFonts w:hint="default" w:ascii="Times New Roman" w:hAnsi="Times New Roman" w:cs="Times New Roman" w:eastAsiaTheme="minorEastAsia"/>
                <w:b w:val="0"/>
                <w:bCs/>
                <w:color w:val="auto"/>
                <w:sz w:val="24"/>
                <w:szCs w:val="24"/>
              </w:rPr>
              <w:t>表2预处理标准</w:t>
            </w:r>
          </w:p>
        </w:tc>
      </w:tr>
      <w:tr w14:paraId="103AA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189" w:type="dxa"/>
            <w:vMerge w:val="continue"/>
            <w:vAlign w:val="center"/>
          </w:tcPr>
          <w:p w14:paraId="2338CB5C">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color w:val="auto"/>
                <w:kern w:val="2"/>
                <w:sz w:val="24"/>
                <w:szCs w:val="24"/>
                <w:lang w:val="en-US" w:eastAsia="zh-CN" w:bidi="ar-SA"/>
              </w:rPr>
            </w:pPr>
          </w:p>
        </w:tc>
        <w:tc>
          <w:tcPr>
            <w:tcW w:w="1700" w:type="dxa"/>
            <w:vAlign w:val="center"/>
          </w:tcPr>
          <w:p w14:paraId="4B07601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其他废水</w:t>
            </w:r>
          </w:p>
          <w:p w14:paraId="0E079B80">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auto"/>
                <w:sz w:val="24"/>
                <w:lang w:eastAsia="zh-CN"/>
              </w:rPr>
            </w:pPr>
            <w:r>
              <w:rPr>
                <w:rFonts w:hint="eastAsia" w:cs="Times New Roman" w:eastAsiaTheme="minorEastAsia"/>
                <w:color w:val="auto"/>
                <w:sz w:val="24"/>
                <w:lang w:eastAsia="zh-CN"/>
              </w:rPr>
              <w:t>（</w:t>
            </w:r>
            <w:r>
              <w:rPr>
                <w:rFonts w:hint="default" w:ascii="Times New Roman" w:hAnsi="Times New Roman" w:cs="Times New Roman" w:eastAsiaTheme="minorEastAsia"/>
                <w:color w:val="auto"/>
                <w:kern w:val="2"/>
                <w:sz w:val="24"/>
                <w:szCs w:val="24"/>
                <w:lang w:val="en-US" w:eastAsia="zh-CN" w:bidi="ar-SA"/>
              </w:rPr>
              <w:t>美容废水、生活污水</w:t>
            </w:r>
            <w:r>
              <w:rPr>
                <w:rFonts w:hint="eastAsia" w:cs="Times New Roman" w:eastAsiaTheme="minorEastAsia"/>
                <w:color w:val="auto"/>
                <w:sz w:val="24"/>
                <w:lang w:eastAsia="zh-CN"/>
              </w:rPr>
              <w:t>）</w:t>
            </w:r>
          </w:p>
        </w:tc>
        <w:tc>
          <w:tcPr>
            <w:tcW w:w="1450" w:type="dxa"/>
            <w:vAlign w:val="center"/>
          </w:tcPr>
          <w:p w14:paraId="619CCAC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b w:val="0"/>
                <w:bCs/>
                <w:color w:val="auto"/>
                <w:sz w:val="24"/>
                <w:szCs w:val="24"/>
                <w:lang w:val="en-US" w:eastAsia="zh-CN"/>
              </w:rPr>
              <w:t>pH、COD</w:t>
            </w:r>
            <w:r>
              <w:rPr>
                <w:rFonts w:hint="default" w:ascii="Times New Roman" w:hAnsi="Times New Roman" w:cs="Times New Roman" w:eastAsiaTheme="minorEastAsia"/>
                <w:b w:val="0"/>
                <w:bCs/>
                <w:color w:val="auto"/>
                <w:sz w:val="24"/>
                <w:szCs w:val="24"/>
                <w:vertAlign w:val="subscript"/>
                <w:lang w:val="en-US" w:eastAsia="zh-CN"/>
              </w:rPr>
              <w:t>cr</w:t>
            </w:r>
            <w:r>
              <w:rPr>
                <w:rFonts w:hint="default" w:ascii="Times New Roman" w:hAnsi="Times New Roman" w:cs="Times New Roman" w:eastAsiaTheme="minorEastAsia"/>
                <w:b w:val="0"/>
                <w:bCs/>
                <w:color w:val="auto"/>
                <w:sz w:val="24"/>
                <w:szCs w:val="24"/>
                <w:lang w:val="en-US" w:eastAsia="zh-CN"/>
              </w:rPr>
              <w:t>、SS、NH</w:t>
            </w:r>
            <w:r>
              <w:rPr>
                <w:rFonts w:hint="default" w:ascii="Times New Roman" w:hAnsi="Times New Roman" w:cs="Times New Roman" w:eastAsiaTheme="minorEastAsia"/>
                <w:b w:val="0"/>
                <w:bCs/>
                <w:color w:val="auto"/>
                <w:sz w:val="24"/>
                <w:szCs w:val="24"/>
                <w:vertAlign w:val="subscript"/>
                <w:lang w:val="en-US" w:eastAsia="zh-CN"/>
              </w:rPr>
              <w:t>3</w:t>
            </w:r>
            <w:r>
              <w:rPr>
                <w:rFonts w:hint="default" w:ascii="Times New Roman" w:hAnsi="Times New Roman" w:cs="Times New Roman" w:eastAsiaTheme="minorEastAsia"/>
                <w:b w:val="0"/>
                <w:bCs/>
                <w:color w:val="auto"/>
                <w:sz w:val="24"/>
                <w:szCs w:val="24"/>
                <w:lang w:val="en-US" w:eastAsia="zh-CN"/>
              </w:rPr>
              <w:t>-N</w:t>
            </w:r>
            <w:r>
              <w:rPr>
                <w:rFonts w:hint="eastAsia" w:cs="Times New Roman" w:eastAsiaTheme="minorEastAsia"/>
                <w:b w:val="0"/>
                <w:bCs/>
                <w:color w:val="auto"/>
                <w:sz w:val="24"/>
                <w:szCs w:val="24"/>
                <w:lang w:val="en-US" w:eastAsia="zh-CN"/>
              </w:rPr>
              <w:t>等</w:t>
            </w:r>
          </w:p>
        </w:tc>
        <w:tc>
          <w:tcPr>
            <w:tcW w:w="2126" w:type="dxa"/>
            <w:vAlign w:val="center"/>
          </w:tcPr>
          <w:p w14:paraId="56D76DD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color w:val="auto"/>
                <w:sz w:val="24"/>
                <w:szCs w:val="24"/>
              </w:rPr>
              <w:t>排入市政</w:t>
            </w:r>
            <w:r>
              <w:rPr>
                <w:rFonts w:hint="default" w:ascii="Times New Roman" w:hAnsi="Times New Roman" w:cs="Times New Roman" w:eastAsiaTheme="minorEastAsia"/>
                <w:b w:val="0"/>
                <w:bCs/>
                <w:color w:val="auto"/>
                <w:sz w:val="24"/>
                <w:szCs w:val="24"/>
                <w:lang w:val="en-US" w:eastAsia="zh-CN"/>
              </w:rPr>
              <w:t>管网</w:t>
            </w:r>
          </w:p>
        </w:tc>
        <w:tc>
          <w:tcPr>
            <w:tcW w:w="2335" w:type="dxa"/>
            <w:vAlign w:val="center"/>
          </w:tcPr>
          <w:p w14:paraId="1EAA790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val="0"/>
                <w:bCs/>
                <w:color w:val="auto"/>
                <w:sz w:val="24"/>
                <w:szCs w:val="24"/>
                <w:lang w:val="en-US" w:eastAsia="zh-CN"/>
              </w:rPr>
              <w:t>/</w:t>
            </w:r>
          </w:p>
        </w:tc>
      </w:tr>
      <w:tr w14:paraId="0901B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189" w:type="dxa"/>
            <w:vMerge w:val="restart"/>
            <w:vAlign w:val="center"/>
          </w:tcPr>
          <w:p w14:paraId="17D9FA30">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t>声环境</w:t>
            </w:r>
          </w:p>
        </w:tc>
        <w:tc>
          <w:tcPr>
            <w:tcW w:w="1700" w:type="dxa"/>
            <w:vAlign w:val="center"/>
          </w:tcPr>
          <w:p w14:paraId="1F5B721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宠物叫声</w:t>
            </w:r>
          </w:p>
        </w:tc>
        <w:tc>
          <w:tcPr>
            <w:tcW w:w="1450" w:type="dxa"/>
            <w:vMerge w:val="restart"/>
            <w:vAlign w:val="center"/>
          </w:tcPr>
          <w:p w14:paraId="60F3C13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等效连续A声级</w:t>
            </w:r>
          </w:p>
        </w:tc>
        <w:tc>
          <w:tcPr>
            <w:tcW w:w="2126" w:type="dxa"/>
            <w:vAlign w:val="center"/>
          </w:tcPr>
          <w:p w14:paraId="67EAD97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4"/>
                <w:szCs w:val="24"/>
                <w:lang w:val="en-US"/>
              </w:rPr>
            </w:pPr>
            <w:r>
              <w:rPr>
                <w:rFonts w:hint="eastAsia" w:ascii="Times New Roman" w:hAnsi="Times New Roman" w:cs="Times New Roman" w:eastAsiaTheme="minorEastAsia"/>
                <w:b w:val="0"/>
                <w:bCs/>
                <w:color w:val="auto"/>
                <w:sz w:val="24"/>
                <w:szCs w:val="24"/>
                <w:lang w:val="en-US" w:eastAsia="zh-CN"/>
              </w:rPr>
              <w:t>隔声、合理喂食、加强管理、宠物嘴套等</w:t>
            </w:r>
          </w:p>
        </w:tc>
        <w:tc>
          <w:tcPr>
            <w:tcW w:w="2335" w:type="dxa"/>
            <w:vMerge w:val="restart"/>
            <w:vAlign w:val="center"/>
          </w:tcPr>
          <w:p w14:paraId="46F6C67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《工业企业厂界环境噪声排放标准》（GB12348-2008）2类功能区标准</w:t>
            </w:r>
          </w:p>
        </w:tc>
      </w:tr>
      <w:tr w14:paraId="50E7B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189" w:type="dxa"/>
            <w:vMerge w:val="continue"/>
            <w:vAlign w:val="center"/>
          </w:tcPr>
          <w:p w14:paraId="781AAA1B">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color w:val="auto"/>
                <w:kern w:val="2"/>
                <w:sz w:val="24"/>
                <w:szCs w:val="24"/>
                <w:lang w:val="en-US" w:eastAsia="zh-CN" w:bidi="ar-SA"/>
              </w:rPr>
            </w:pPr>
          </w:p>
        </w:tc>
        <w:tc>
          <w:tcPr>
            <w:tcW w:w="1700" w:type="dxa"/>
            <w:vAlign w:val="center"/>
          </w:tcPr>
          <w:p w14:paraId="4605100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lang w:val="en-US" w:eastAsia="zh-CN"/>
              </w:rPr>
            </w:pPr>
            <w:r>
              <w:rPr>
                <w:rFonts w:hint="eastAsia" w:cs="Times New Roman" w:eastAsiaTheme="minorEastAsia"/>
                <w:color w:val="auto"/>
                <w:sz w:val="24"/>
                <w:lang w:val="en-US" w:eastAsia="zh-CN"/>
              </w:rPr>
              <w:t>医疗设备</w:t>
            </w:r>
          </w:p>
        </w:tc>
        <w:tc>
          <w:tcPr>
            <w:tcW w:w="1450" w:type="dxa"/>
            <w:vMerge w:val="continue"/>
            <w:vAlign w:val="center"/>
          </w:tcPr>
          <w:p w14:paraId="407DE96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p>
        </w:tc>
        <w:tc>
          <w:tcPr>
            <w:tcW w:w="2126" w:type="dxa"/>
            <w:vAlign w:val="center"/>
          </w:tcPr>
          <w:p w14:paraId="60E9634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color w:val="auto"/>
                <w:sz w:val="24"/>
                <w:szCs w:val="24"/>
                <w:lang w:val="en-US" w:eastAsia="zh-CN"/>
              </w:rPr>
            </w:pPr>
            <w:r>
              <w:rPr>
                <w:rFonts w:hint="eastAsia" w:ascii="Times New Roman" w:hAnsi="Times New Roman" w:cs="Times New Roman" w:eastAsiaTheme="minorEastAsia"/>
                <w:b w:val="0"/>
                <w:bCs/>
                <w:color w:val="auto"/>
                <w:sz w:val="24"/>
                <w:szCs w:val="24"/>
                <w:lang w:val="en-US" w:eastAsia="zh-CN"/>
              </w:rPr>
              <w:t>墙体隔声、吸声等</w:t>
            </w:r>
          </w:p>
        </w:tc>
        <w:tc>
          <w:tcPr>
            <w:tcW w:w="2335" w:type="dxa"/>
            <w:vMerge w:val="continue"/>
            <w:vAlign w:val="center"/>
          </w:tcPr>
          <w:p w14:paraId="1B279DB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auto"/>
                <w:sz w:val="24"/>
              </w:rPr>
            </w:pPr>
          </w:p>
        </w:tc>
      </w:tr>
      <w:tr w14:paraId="5A317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89" w:type="dxa"/>
            <w:vAlign w:val="center"/>
          </w:tcPr>
          <w:p w14:paraId="6D29808D">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t>电磁辐射</w:t>
            </w:r>
          </w:p>
        </w:tc>
        <w:tc>
          <w:tcPr>
            <w:tcW w:w="7611" w:type="dxa"/>
            <w:gridSpan w:val="4"/>
            <w:vAlign w:val="center"/>
          </w:tcPr>
          <w:p w14:paraId="5F8442D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4"/>
              </w:rPr>
            </w:pPr>
            <w:r>
              <w:rPr>
                <w:rFonts w:hint="eastAsia" w:ascii="Times New Roman" w:hAnsi="Times New Roman" w:cs="Times New Roman" w:eastAsiaTheme="minorEastAsia"/>
                <w:b w:val="0"/>
                <w:color w:val="auto"/>
                <w:kern w:val="2"/>
                <w:sz w:val="24"/>
                <w:szCs w:val="24"/>
                <w:lang w:val="en-US" w:eastAsia="zh-CN" w:bidi="ar-SA"/>
              </w:rPr>
              <w:t>项目DR装置属于Ⅲ类射线装置，不在本次评价范围内</w:t>
            </w:r>
          </w:p>
        </w:tc>
      </w:tr>
      <w:tr w14:paraId="04C95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189" w:type="dxa"/>
            <w:vAlign w:val="center"/>
          </w:tcPr>
          <w:p w14:paraId="7ECB3065">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t>固体废物</w:t>
            </w:r>
          </w:p>
        </w:tc>
        <w:tc>
          <w:tcPr>
            <w:tcW w:w="7611" w:type="dxa"/>
            <w:gridSpan w:val="4"/>
            <w:vAlign w:val="center"/>
          </w:tcPr>
          <w:p w14:paraId="36E652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①</w:t>
            </w:r>
            <w:r>
              <w:rPr>
                <w:rFonts w:hint="eastAsia" w:cs="Times New Roman" w:eastAsiaTheme="minorEastAsia"/>
                <w:b w:val="0"/>
                <w:color w:val="auto"/>
                <w:kern w:val="2"/>
                <w:sz w:val="24"/>
                <w:szCs w:val="24"/>
                <w:lang w:val="en-US" w:eastAsia="zh-CN" w:bidi="ar-SA"/>
              </w:rPr>
              <w:t>宠物排泄物</w:t>
            </w:r>
            <w:r>
              <w:rPr>
                <w:rFonts w:hint="default" w:ascii="Times New Roman" w:hAnsi="Times New Roman" w:cs="Times New Roman" w:eastAsiaTheme="minorEastAsia"/>
                <w:b w:val="0"/>
                <w:color w:val="auto"/>
                <w:kern w:val="2"/>
                <w:sz w:val="24"/>
                <w:szCs w:val="24"/>
                <w:lang w:val="en-US" w:eastAsia="zh-CN" w:bidi="ar-SA"/>
              </w:rPr>
              <w:t>经清理消毒后袋装收集，与宠物</w:t>
            </w:r>
            <w:r>
              <w:rPr>
                <w:rFonts w:hint="eastAsia" w:cs="Times New Roman" w:eastAsiaTheme="minorEastAsia"/>
                <w:b w:val="0"/>
                <w:color w:val="auto"/>
                <w:kern w:val="2"/>
                <w:sz w:val="24"/>
                <w:szCs w:val="24"/>
                <w:lang w:val="en-US" w:eastAsia="zh-CN" w:bidi="ar-SA"/>
              </w:rPr>
              <w:t>废毛</w:t>
            </w:r>
            <w:r>
              <w:rPr>
                <w:rFonts w:hint="default" w:ascii="Times New Roman" w:hAnsi="Times New Roman" w:cs="Times New Roman" w:eastAsiaTheme="minorEastAsia"/>
                <w:b w:val="0"/>
                <w:color w:val="auto"/>
                <w:kern w:val="2"/>
                <w:sz w:val="24"/>
                <w:szCs w:val="24"/>
                <w:lang w:val="en-US" w:eastAsia="zh-CN" w:bidi="ar-SA"/>
              </w:rPr>
              <w:t>一同由环卫部门清运处理。</w:t>
            </w:r>
          </w:p>
          <w:p w14:paraId="443069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②医疗废物经分类收集，暂存于医疗废物暂存间，按要求委托有资质的危险废物处置单位进行处置。</w:t>
            </w:r>
          </w:p>
          <w:p w14:paraId="44B328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b w:val="0"/>
                <w:color w:val="auto"/>
                <w:kern w:val="2"/>
                <w:sz w:val="24"/>
                <w:szCs w:val="24"/>
                <w:lang w:val="en-US" w:eastAsia="zh-CN" w:bidi="ar-SA"/>
              </w:rPr>
              <w:t>③生活垃圾由环卫部门清运处理。</w:t>
            </w:r>
          </w:p>
        </w:tc>
      </w:tr>
      <w:tr w14:paraId="6CF1A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189" w:type="dxa"/>
            <w:vAlign w:val="center"/>
          </w:tcPr>
          <w:p w14:paraId="649CEC32">
            <w:pPr>
              <w:keepNext w:val="0"/>
              <w:keepLines w:val="0"/>
              <w:suppressLineNumbers w:val="0"/>
              <w:adjustRightInd/>
              <w:snapToGrid/>
              <w:spacing w:before="0" w:beforeAutospacing="0" w:after="0" w:afterAutospacing="0" w:line="240" w:lineRule="auto"/>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土壤及地下水污染防治措施</w:t>
            </w:r>
          </w:p>
        </w:tc>
        <w:tc>
          <w:tcPr>
            <w:tcW w:w="7611" w:type="dxa"/>
            <w:gridSpan w:val="4"/>
            <w:vAlign w:val="center"/>
          </w:tcPr>
          <w:p w14:paraId="0855EF6A">
            <w:pPr>
              <w:keepNext w:val="0"/>
              <w:keepLines w:val="0"/>
              <w:suppressLineNumbers w:val="0"/>
              <w:adjustRightInd/>
              <w:snapToGrid/>
              <w:spacing w:before="0" w:beforeAutospacing="0" w:after="0" w:afterAutospacing="0" w:line="520" w:lineRule="exact"/>
              <w:ind w:left="0" w:right="0"/>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val="en-US" w:eastAsia="zh-CN"/>
              </w:rPr>
              <w:t>/</w:t>
            </w:r>
          </w:p>
        </w:tc>
      </w:tr>
      <w:tr w14:paraId="5CCBE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89" w:type="dxa"/>
            <w:vAlign w:val="center"/>
          </w:tcPr>
          <w:p w14:paraId="38EBDBE3">
            <w:pPr>
              <w:keepNext w:val="0"/>
              <w:keepLines w:val="0"/>
              <w:suppressLineNumbers w:val="0"/>
              <w:adjustRightInd/>
              <w:snapToGrid/>
              <w:spacing w:before="0" w:beforeAutospacing="0" w:after="0" w:afterAutospacing="0" w:line="240" w:lineRule="auto"/>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生态保护措施</w:t>
            </w:r>
          </w:p>
        </w:tc>
        <w:tc>
          <w:tcPr>
            <w:tcW w:w="7611" w:type="dxa"/>
            <w:gridSpan w:val="4"/>
            <w:vAlign w:val="center"/>
          </w:tcPr>
          <w:p w14:paraId="1A2A8A44">
            <w:pPr>
              <w:keepNext w:val="0"/>
              <w:keepLines w:val="0"/>
              <w:suppressLineNumbers w:val="0"/>
              <w:adjustRightInd/>
              <w:snapToGrid/>
              <w:spacing w:before="0" w:beforeAutospacing="0" w:after="0" w:afterAutospacing="0" w:line="520" w:lineRule="exact"/>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b w:val="0"/>
                <w:bCs/>
                <w:color w:val="auto"/>
              </w:rPr>
              <w:t>/</w:t>
            </w:r>
          </w:p>
        </w:tc>
      </w:tr>
      <w:tr w14:paraId="54AAF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6" w:hRule="atLeast"/>
          <w:jc w:val="center"/>
        </w:trPr>
        <w:tc>
          <w:tcPr>
            <w:tcW w:w="1189" w:type="dxa"/>
            <w:vAlign w:val="center"/>
          </w:tcPr>
          <w:p w14:paraId="2717936D">
            <w:pPr>
              <w:keepNext w:val="0"/>
              <w:keepLines w:val="0"/>
              <w:suppressLineNumbers w:val="0"/>
              <w:adjustRightInd/>
              <w:snapToGrid/>
              <w:spacing w:before="0" w:beforeAutospacing="0" w:after="0" w:afterAutospacing="0" w:line="240" w:lineRule="auto"/>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环境风险</w:t>
            </w:r>
          </w:p>
          <w:p w14:paraId="4D754C8C">
            <w:pPr>
              <w:keepNext w:val="0"/>
              <w:keepLines w:val="0"/>
              <w:suppressLineNumbers w:val="0"/>
              <w:adjustRightInd/>
              <w:snapToGrid/>
              <w:spacing w:before="0" w:beforeAutospacing="0" w:after="0" w:afterAutospacing="0" w:line="240" w:lineRule="auto"/>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防范措施</w:t>
            </w:r>
          </w:p>
        </w:tc>
        <w:tc>
          <w:tcPr>
            <w:tcW w:w="7611" w:type="dxa"/>
            <w:gridSpan w:val="4"/>
            <w:vAlign w:val="center"/>
          </w:tcPr>
          <w:p w14:paraId="46E678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①建设单位应加强污水处理设备的运行管理和日常维护，避免管道堵塞、破裂等情况发生；配套建设完善的排水系统管网和切换系统，以应对消毒等设备损坏或失效、人为操作失误等事故，防止未经处理的医疗废水排入市政污水管网。</w:t>
            </w:r>
          </w:p>
          <w:p w14:paraId="63A86E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②项目产生的医疗废物必须经科学的分类收集、贮存运送后交由具有资质的处置单位进行处置。</w:t>
            </w:r>
          </w:p>
          <w:p w14:paraId="48541A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b w:val="0"/>
                <w:color w:val="auto"/>
                <w:kern w:val="2"/>
                <w:sz w:val="24"/>
                <w:szCs w:val="24"/>
                <w:lang w:val="en-US" w:eastAsia="zh-CN" w:bidi="ar-SA"/>
              </w:rPr>
              <w:t>③建设单位要严格按照消防部门所提要求落实消防措施，</w:t>
            </w:r>
            <w:r>
              <w:rPr>
                <w:rFonts w:hint="eastAsia" w:cs="Times New Roman" w:eastAsiaTheme="minorEastAsia"/>
                <w:b w:val="0"/>
                <w:color w:val="auto"/>
                <w:kern w:val="2"/>
                <w:sz w:val="24"/>
                <w:szCs w:val="24"/>
                <w:lang w:val="en-US" w:eastAsia="zh-CN" w:bidi="ar-SA"/>
              </w:rPr>
              <w:t>增强</w:t>
            </w:r>
            <w:r>
              <w:rPr>
                <w:rFonts w:hint="default" w:ascii="Times New Roman" w:hAnsi="Times New Roman" w:cs="Times New Roman" w:eastAsiaTheme="minorEastAsia"/>
                <w:b w:val="0"/>
                <w:color w:val="auto"/>
                <w:kern w:val="2"/>
                <w:sz w:val="24"/>
                <w:szCs w:val="24"/>
                <w:lang w:val="en-US" w:eastAsia="zh-CN" w:bidi="ar-SA"/>
              </w:rPr>
              <w:t>来往人员防火意识，杜绝火灾风险事故的发生。</w:t>
            </w:r>
          </w:p>
        </w:tc>
      </w:tr>
      <w:tr w14:paraId="25B21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5" w:hRule="atLeast"/>
          <w:jc w:val="center"/>
        </w:trPr>
        <w:tc>
          <w:tcPr>
            <w:tcW w:w="1189" w:type="dxa"/>
            <w:vAlign w:val="center"/>
          </w:tcPr>
          <w:p w14:paraId="76E710B1">
            <w:pPr>
              <w:keepNext w:val="0"/>
              <w:keepLines w:val="0"/>
              <w:suppressLineNumbers w:val="0"/>
              <w:adjustRightInd/>
              <w:snapToGrid/>
              <w:spacing w:before="0" w:beforeAutospacing="0" w:after="0" w:afterAutospacing="0" w:line="240" w:lineRule="auto"/>
              <w:ind w:left="0" w:right="0"/>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其他环境</w:t>
            </w:r>
          </w:p>
          <w:p w14:paraId="3A45E3E4">
            <w:pPr>
              <w:keepNext w:val="0"/>
              <w:keepLines w:val="0"/>
              <w:suppressLineNumbers w:val="0"/>
              <w:adjustRightInd/>
              <w:snapToGrid/>
              <w:spacing w:before="0" w:beforeAutospacing="0" w:after="0" w:afterAutospacing="0" w:line="240" w:lineRule="auto"/>
              <w:ind w:left="0" w:right="0"/>
              <w:jc w:val="center"/>
              <w:rPr>
                <w:rFonts w:hint="default" w:ascii="Times New Roman" w:hAnsi="Times New Roman" w:cs="Times New Roman" w:eastAsiaTheme="minorEastAsia"/>
                <w:color w:val="auto"/>
                <w:spacing w:val="-8"/>
                <w:sz w:val="24"/>
              </w:rPr>
            </w:pPr>
            <w:r>
              <w:rPr>
                <w:rFonts w:hint="default" w:ascii="Times New Roman" w:hAnsi="Times New Roman" w:cs="Times New Roman" w:eastAsiaTheme="minorEastAsia"/>
                <w:color w:val="auto"/>
                <w:sz w:val="24"/>
              </w:rPr>
              <w:t>管理要求</w:t>
            </w:r>
          </w:p>
        </w:tc>
        <w:tc>
          <w:tcPr>
            <w:tcW w:w="7611" w:type="dxa"/>
            <w:gridSpan w:val="4"/>
            <w:vAlign w:val="center"/>
          </w:tcPr>
          <w:p w14:paraId="45E28BE0">
            <w:pPr>
              <w:keepNext w:val="0"/>
              <w:keepLines w:val="0"/>
              <w:suppressLineNumbers w:val="0"/>
              <w:tabs>
                <w:tab w:val="left" w:pos="1100"/>
              </w:tabs>
              <w:spacing w:before="0" w:beforeAutospacing="0" w:after="0" w:afterAutospacing="0" w:line="520" w:lineRule="exact"/>
              <w:ind w:left="0" w:right="0"/>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1</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污染物排放口管理要求</w:t>
            </w:r>
          </w:p>
          <w:p w14:paraId="005C1A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排放口应预留监测口做到便于采样和测定流量，并设立标志（有要求监控的项目应论述）。执行《环境图形标准排污口（源）》（GB15563.1-1995）、《危险废物识别标志设置技术规范》（HJ1276-2022）、《环境保护图形标志-固体废物贮存（处置）场》（GB15562.2-1995）及其2023 年修改单要求，具体详见下图。标志牌应设在与之功能相应的醒目处，并保持清晰、完整。</w:t>
            </w:r>
          </w:p>
          <w:p w14:paraId="4EE679CE">
            <w:pPr>
              <w:keepNext w:val="0"/>
              <w:keepLines w:val="0"/>
              <w:suppressLineNumbers w:val="0"/>
              <w:spacing w:before="0" w:beforeAutospacing="0" w:after="0" w:afterAutospacing="0"/>
              <w:ind w:left="0" w:right="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drawing>
                <wp:inline distT="0" distB="0" distL="114300" distR="114300">
                  <wp:extent cx="4615815" cy="1557655"/>
                  <wp:effectExtent l="0" t="0" r="13335" b="4445"/>
                  <wp:docPr id="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
                          <pic:cNvPicPr>
                            <a:picLocks noChangeAspect="1"/>
                          </pic:cNvPicPr>
                        </pic:nvPicPr>
                        <pic:blipFill>
                          <a:blip r:embed="rId12"/>
                          <a:stretch>
                            <a:fillRect/>
                          </a:stretch>
                        </pic:blipFill>
                        <pic:spPr>
                          <a:xfrm>
                            <a:off x="0" y="0"/>
                            <a:ext cx="4615815" cy="1557655"/>
                          </a:xfrm>
                          <a:prstGeom prst="rect">
                            <a:avLst/>
                          </a:prstGeom>
                          <a:noFill/>
                          <a:ln>
                            <a:noFill/>
                          </a:ln>
                        </pic:spPr>
                      </pic:pic>
                    </a:graphicData>
                  </a:graphic>
                </wp:inline>
              </w:drawing>
            </w:r>
          </w:p>
          <w:p w14:paraId="361CAF2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 xml:space="preserve">图5-1 </w:t>
            </w:r>
            <w:r>
              <w:rPr>
                <w:rFonts w:hint="eastAsia" w:cs="Times New Roman" w:eastAsiaTheme="minorEastAsia"/>
                <w:b/>
                <w:color w:val="auto"/>
                <w:sz w:val="21"/>
                <w:szCs w:val="21"/>
                <w:lang w:val="en-US" w:eastAsia="zh-CN"/>
              </w:rPr>
              <w:t xml:space="preserve">  </w:t>
            </w:r>
            <w:r>
              <w:rPr>
                <w:rFonts w:hint="default" w:ascii="Times New Roman" w:hAnsi="Times New Roman" w:cs="Times New Roman" w:eastAsiaTheme="minorEastAsia"/>
                <w:b/>
                <w:color w:val="auto"/>
                <w:sz w:val="21"/>
                <w:szCs w:val="21"/>
                <w:lang w:val="en-US" w:eastAsia="zh-CN"/>
              </w:rPr>
              <w:t>排放口标识图</w:t>
            </w:r>
          </w:p>
          <w:p w14:paraId="2DBCA920">
            <w:pPr>
              <w:keepNext w:val="0"/>
              <w:keepLines w:val="0"/>
              <w:suppressLineNumbers w:val="0"/>
              <w:tabs>
                <w:tab w:val="left" w:pos="1100"/>
              </w:tabs>
              <w:spacing w:before="0" w:beforeAutospacing="0" w:after="0" w:afterAutospacing="0" w:line="520" w:lineRule="exact"/>
              <w:ind w:left="0" w:right="0"/>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2</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排污许可信息填报要求</w:t>
            </w:r>
          </w:p>
          <w:p w14:paraId="6148F6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b w:val="0"/>
                <w:color w:val="auto"/>
                <w:kern w:val="2"/>
                <w:sz w:val="24"/>
                <w:szCs w:val="24"/>
                <w:lang w:val="en-US" w:eastAsia="zh-CN" w:bidi="ar-SA"/>
              </w:rPr>
            </w:pPr>
            <w:r>
              <w:rPr>
                <w:rFonts w:hint="default" w:ascii="Times New Roman" w:hAnsi="Times New Roman" w:cs="Times New Roman" w:eastAsiaTheme="minorEastAsia"/>
                <w:b w:val="0"/>
                <w:color w:val="auto"/>
                <w:kern w:val="2"/>
                <w:sz w:val="24"/>
                <w:szCs w:val="24"/>
                <w:lang w:val="en-US" w:eastAsia="zh-CN" w:bidi="ar-SA"/>
              </w:rPr>
              <w:t>根据《排污许可管理条例（中华人民共和国国务院令第736号）》，排污单位应当在排放污染物前申请排污许可证，查阅《固定污染源排污许可分类管理名录（2019年版）》，本项目属于该名录未作规定的排污单位，不纳入排污许可管理。</w:t>
            </w:r>
          </w:p>
          <w:p w14:paraId="0519320F">
            <w:pPr>
              <w:keepNext w:val="0"/>
              <w:keepLines w:val="0"/>
              <w:suppressLineNumbers w:val="0"/>
              <w:tabs>
                <w:tab w:val="left" w:pos="1100"/>
              </w:tabs>
              <w:spacing w:before="0" w:beforeAutospacing="0" w:after="0" w:afterAutospacing="0" w:line="520" w:lineRule="exact"/>
              <w:ind w:left="0" w:right="0"/>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3</w:t>
            </w:r>
            <w:r>
              <w:rPr>
                <w:rFonts w:hint="eastAsia" w:cs="Times New Roman" w:eastAsiaTheme="minorEastAsia"/>
                <w:b/>
                <w:bCs/>
                <w:color w:val="auto"/>
                <w:sz w:val="24"/>
                <w:lang w:val="en-US" w:eastAsia="zh-CN"/>
              </w:rPr>
              <w:t>.</w:t>
            </w:r>
            <w:r>
              <w:rPr>
                <w:rFonts w:hint="default" w:ascii="Times New Roman" w:hAnsi="Times New Roman" w:cs="Times New Roman" w:eastAsiaTheme="minorEastAsia"/>
                <w:b/>
                <w:bCs/>
                <w:color w:val="auto"/>
                <w:sz w:val="24"/>
                <w:lang w:val="en-US" w:eastAsia="zh-CN"/>
              </w:rPr>
              <w:t>竣工环境保护验收</w:t>
            </w:r>
          </w:p>
          <w:p w14:paraId="7BC602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b w:val="0"/>
                <w:color w:val="auto"/>
                <w:kern w:val="2"/>
                <w:sz w:val="24"/>
                <w:szCs w:val="24"/>
                <w:lang w:val="en-US" w:eastAsia="zh-CN" w:bidi="ar-SA"/>
              </w:rPr>
              <w:t>根据《建设项目环境保护管理条例》（2017年版）有关规定，建设单位应当按照国务院生态环境主管部门规定的标准和程序，对配套建设的环境保护设施进行自主验收，编制验收报告，验收小组应由建设单位、环保设施设计单位、施工单位、环评机构等共同组成，对环保治理设施进行竣工验收，并在运营期间检查各项环保治理设施的运转情况和治理效果（含对排污口污染物浓度的监测），切实做好“三同时”。</w:t>
            </w:r>
          </w:p>
        </w:tc>
      </w:tr>
    </w:tbl>
    <w:p w14:paraId="592F3C66">
      <w:pPr>
        <w:pStyle w:val="19"/>
        <w:jc w:val="center"/>
        <w:outlineLvl w:val="0"/>
        <w:rPr>
          <w:rFonts w:hint="default" w:ascii="Times New Roman" w:hAnsi="Times New Roman" w:cs="Times New Roman" w:eastAsiaTheme="minorEastAsia"/>
          <w:snapToGrid w:val="0"/>
          <w:color w:val="auto"/>
          <w:sz w:val="30"/>
          <w:szCs w:val="30"/>
        </w:rPr>
      </w:pPr>
      <w:r>
        <w:rPr>
          <w:rFonts w:hint="default" w:ascii="Times New Roman" w:hAnsi="Times New Roman" w:cs="Times New Roman" w:eastAsiaTheme="minorEastAsia"/>
          <w:snapToGrid w:val="0"/>
          <w:color w:val="auto"/>
        </w:rPr>
        <w:br w:type="page"/>
      </w:r>
      <w:r>
        <w:rPr>
          <w:rFonts w:hint="default" w:ascii="Times New Roman" w:hAnsi="Times New Roman" w:cs="Times New Roman" w:eastAsiaTheme="minorEastAsia"/>
          <w:b/>
          <w:bCs/>
          <w:snapToGrid w:val="0"/>
          <w:color w:val="auto"/>
          <w:sz w:val="30"/>
          <w:szCs w:val="30"/>
        </w:rPr>
        <w:t>六、结论</w:t>
      </w:r>
    </w:p>
    <w:tbl>
      <w:tblPr>
        <w:tblStyle w:val="23"/>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9673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2925BCEF">
            <w:pPr>
              <w:keepNext w:val="0"/>
              <w:keepLines w:val="0"/>
              <w:suppressLineNumbers w:val="0"/>
              <w:spacing w:before="120" w:beforeLines="50" w:beforeAutospacing="0" w:after="0" w:afterAutospacing="0" w:line="360" w:lineRule="auto"/>
              <w:ind w:left="0" w:right="0" w:firstLine="480" w:firstLineChars="200"/>
              <w:jc w:val="left"/>
              <w:rPr>
                <w:rFonts w:hint="default" w:ascii="Times New Roman" w:hAnsi="Times New Roman" w:cs="Times New Roman" w:eastAsiaTheme="minorEastAsia"/>
                <w:color w:val="auto"/>
                <w:sz w:val="24"/>
              </w:rPr>
            </w:pPr>
          </w:p>
          <w:p w14:paraId="76853D35">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项目符合国家产业发展政策。在认真落实本报告要求的各项环境污染治理措施、环境管理措施和认真履行“三同时”的前提下，项目的废水、废气、噪声、固废等污染物均能实现达标排放或妥善处理；经本报告预测，项目达标排放的废气、废水、噪声等</w:t>
            </w:r>
            <w:r>
              <w:rPr>
                <w:rFonts w:hint="eastAsia" w:cs="Times New Roman" w:eastAsiaTheme="minorEastAsia"/>
                <w:color w:val="auto"/>
                <w:sz w:val="24"/>
                <w:lang w:val="en-US" w:eastAsia="zh-CN"/>
              </w:rPr>
              <w:t>在</w:t>
            </w:r>
            <w:r>
              <w:rPr>
                <w:rFonts w:hint="default" w:ascii="Times New Roman" w:hAnsi="Times New Roman" w:cs="Times New Roman" w:eastAsiaTheme="minorEastAsia"/>
                <w:color w:val="auto"/>
                <w:sz w:val="24"/>
              </w:rPr>
              <w:t>正常工况下对周围环境的贡献值结果为环境可接受，不会对区域现有的环境功能造成较大的影响；环境风险属于可接受水平；根据国家规定的污染物总量控制指标要求</w:t>
            </w:r>
            <w:r>
              <w:rPr>
                <w:rFonts w:hint="default" w:ascii="Times New Roman" w:hAnsi="Times New Roman" w:cs="Times New Roman" w:eastAsiaTheme="minorEastAsia"/>
                <w:color w:val="auto"/>
                <w:sz w:val="24"/>
                <w:lang w:val="en-US" w:eastAsia="zh-CN"/>
              </w:rPr>
              <w:t>项目不</w:t>
            </w:r>
            <w:r>
              <w:rPr>
                <w:rFonts w:hint="default" w:ascii="Times New Roman" w:hAnsi="Times New Roman" w:cs="Times New Roman" w:eastAsiaTheme="minorEastAsia"/>
                <w:color w:val="auto"/>
                <w:sz w:val="24"/>
              </w:rPr>
              <w:t>设置污染物总量控制指标。</w:t>
            </w:r>
          </w:p>
          <w:p w14:paraId="21768494">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本项目用地为</w:t>
            </w:r>
            <w:r>
              <w:rPr>
                <w:rFonts w:hint="default" w:ascii="Times New Roman" w:hAnsi="Times New Roman" w:cs="Times New Roman" w:eastAsiaTheme="minorEastAsia"/>
                <w:color w:val="auto"/>
                <w:sz w:val="24"/>
                <w:lang w:val="en-US" w:eastAsia="zh-CN"/>
              </w:rPr>
              <w:t>商业</w:t>
            </w:r>
            <w:r>
              <w:rPr>
                <w:rFonts w:hint="default" w:ascii="Times New Roman" w:hAnsi="Times New Roman" w:cs="Times New Roman" w:eastAsiaTheme="minorEastAsia"/>
                <w:color w:val="auto"/>
                <w:sz w:val="24"/>
              </w:rPr>
              <w:t>用地。符合相关国家规定及用地布局规划。</w:t>
            </w:r>
          </w:p>
          <w:p w14:paraId="69E438E7">
            <w:pPr>
              <w:keepNext w:val="0"/>
              <w:keepLines w:val="0"/>
              <w:suppressLineNumbers w:val="0"/>
              <w:spacing w:before="0" w:beforeAutospacing="0" w:after="0" w:afterAutospacing="0" w:line="520" w:lineRule="exact"/>
              <w:ind w:left="0" w:right="0" w:firstLine="480" w:firstLineChars="200"/>
              <w:jc w:val="left"/>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因此从环保角度分析，本评价认为，在严格执行国家各项环保规章制度，并切实落实本报告所提出的各项污染物防治措施，保证环保设施正常运转的前提下，从环境保护的角度上看，本项目是可行的。</w:t>
            </w:r>
          </w:p>
          <w:p w14:paraId="505BD3DD">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eastAsiaTheme="minorEastAsia"/>
                <w:color w:val="auto"/>
                <w:sz w:val="24"/>
              </w:rPr>
            </w:pPr>
          </w:p>
          <w:p w14:paraId="508DAACC">
            <w:pPr>
              <w:pStyle w:val="57"/>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cs="Times New Roman" w:eastAsiaTheme="minorEastAsia"/>
                <w:color w:val="auto"/>
                <w:kern w:val="0"/>
                <w:sz w:val="24"/>
              </w:rPr>
            </w:pPr>
          </w:p>
          <w:p w14:paraId="12D9FD79">
            <w:pPr>
              <w:pStyle w:val="50"/>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eastAsiaTheme="minorEastAsia"/>
                <w:color w:val="auto"/>
              </w:rPr>
            </w:pPr>
          </w:p>
          <w:p w14:paraId="5408516F">
            <w:pPr>
              <w:pStyle w:val="50"/>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eastAsiaTheme="minorEastAsia"/>
                <w:color w:val="auto"/>
              </w:rPr>
            </w:pPr>
          </w:p>
          <w:p w14:paraId="022072C7">
            <w:pPr>
              <w:pStyle w:val="50"/>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eastAsiaTheme="minorEastAsia"/>
                <w:color w:val="auto"/>
              </w:rPr>
            </w:pPr>
          </w:p>
          <w:p w14:paraId="7ACED5D3">
            <w:pPr>
              <w:pStyle w:val="50"/>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eastAsiaTheme="minorEastAsia"/>
                <w:color w:val="auto"/>
              </w:rPr>
            </w:pPr>
          </w:p>
          <w:p w14:paraId="1B54E920">
            <w:pPr>
              <w:pStyle w:val="50"/>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eastAsiaTheme="minorEastAsia"/>
                <w:color w:val="auto"/>
              </w:rPr>
            </w:pPr>
          </w:p>
          <w:p w14:paraId="6A21F009">
            <w:pPr>
              <w:pStyle w:val="50"/>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eastAsiaTheme="minorEastAsia"/>
                <w:color w:val="auto"/>
              </w:rPr>
            </w:pPr>
          </w:p>
          <w:p w14:paraId="022541CC">
            <w:pPr>
              <w:pStyle w:val="50"/>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eastAsiaTheme="minorEastAsia"/>
                <w:color w:val="auto"/>
              </w:rPr>
            </w:pPr>
          </w:p>
        </w:tc>
      </w:tr>
    </w:tbl>
    <w:p w14:paraId="09B5E61A">
      <w:pPr>
        <w:rPr>
          <w:rFonts w:hint="default" w:ascii="Times New Roman" w:hAnsi="Times New Roman" w:cs="Times New Roman" w:eastAsiaTheme="minorEastAsia"/>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048A9802">
      <w:pPr>
        <w:pStyle w:val="19"/>
        <w:adjustRightInd w:val="0"/>
        <w:snapToGrid w:val="0"/>
        <w:spacing w:before="0" w:beforeAutospacing="0" w:after="0" w:afterAutospacing="0" w:line="648" w:lineRule="auto"/>
        <w:outlineLvl w:val="0"/>
        <w:rPr>
          <w:rFonts w:hint="default" w:ascii="Times New Roman" w:hAnsi="Times New Roman" w:cs="Times New Roman" w:eastAsiaTheme="minorEastAsia"/>
          <w:snapToGrid w:val="0"/>
          <w:color w:val="auto"/>
          <w:sz w:val="32"/>
          <w:szCs w:val="32"/>
        </w:rPr>
      </w:pPr>
      <w:r>
        <w:rPr>
          <w:rFonts w:hint="default" w:ascii="Times New Roman" w:hAnsi="Times New Roman" w:cs="Times New Roman" w:eastAsiaTheme="minorEastAsia"/>
          <w:snapToGrid w:val="0"/>
          <w:color w:val="auto"/>
          <w:sz w:val="32"/>
          <w:szCs w:val="32"/>
        </w:rPr>
        <w:t>附表</w:t>
      </w:r>
    </w:p>
    <w:p w14:paraId="0E3D39A7">
      <w:pPr>
        <w:pStyle w:val="19"/>
        <w:spacing w:before="0" w:beforeAutospacing="0" w:after="0" w:afterAutospacing="0"/>
        <w:jc w:val="center"/>
        <w:outlineLvl w:val="0"/>
        <w:rPr>
          <w:rFonts w:hint="default" w:ascii="Times New Roman" w:hAnsi="Times New Roman" w:cs="Times New Roman" w:eastAsiaTheme="minorEastAsia"/>
          <w:snapToGrid w:val="0"/>
          <w:color w:val="auto"/>
          <w:sz w:val="38"/>
          <w:szCs w:val="38"/>
        </w:rPr>
      </w:pPr>
      <w:r>
        <w:rPr>
          <w:rFonts w:hint="default" w:ascii="Times New Roman" w:hAnsi="Times New Roman" w:cs="Times New Roman" w:eastAsiaTheme="minorEastAsia"/>
          <w:snapToGrid w:val="0"/>
          <w:color w:val="auto"/>
          <w:sz w:val="38"/>
          <w:szCs w:val="38"/>
        </w:rPr>
        <w:t>建设项目污染物排放量汇总表</w:t>
      </w:r>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30"/>
        <w:gridCol w:w="1155"/>
      </w:tblGrid>
      <w:tr w14:paraId="3DE68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6A927DF3">
            <w:pPr>
              <w:pStyle w:val="31"/>
              <w:keepNext w:val="0"/>
              <w:keepLines w:val="0"/>
              <w:suppressLineNumbers w:val="0"/>
              <w:spacing w:before="0" w:beforeLines="0" w:beforeAutospacing="0" w:after="0" w:afterLines="0" w:afterAutospacing="0" w:line="240" w:lineRule="auto"/>
              <w:ind w:right="0"/>
              <w:jc w:val="right"/>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项目</w:t>
            </w:r>
          </w:p>
          <w:p w14:paraId="12803BAC">
            <w:pPr>
              <w:pStyle w:val="31"/>
              <w:keepNext w:val="0"/>
              <w:keepLines w:val="0"/>
              <w:suppressLineNumbers w:val="0"/>
              <w:spacing w:before="0" w:beforeLines="0" w:beforeAutospacing="0" w:after="0" w:afterLines="0" w:afterAutospacing="0" w:line="240" w:lineRule="auto"/>
              <w:ind w:right="0"/>
              <w:jc w:val="left"/>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分类</w:t>
            </w:r>
          </w:p>
        </w:tc>
        <w:tc>
          <w:tcPr>
            <w:tcW w:w="1417" w:type="dxa"/>
            <w:tcMar>
              <w:left w:w="28" w:type="dxa"/>
              <w:right w:w="28" w:type="dxa"/>
            </w:tcMar>
            <w:vAlign w:val="center"/>
          </w:tcPr>
          <w:p w14:paraId="3B4B43AA">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污染物名称</w:t>
            </w:r>
          </w:p>
        </w:tc>
        <w:tc>
          <w:tcPr>
            <w:tcW w:w="1701" w:type="dxa"/>
            <w:tcMar>
              <w:left w:w="28" w:type="dxa"/>
              <w:right w:w="28" w:type="dxa"/>
            </w:tcMar>
            <w:vAlign w:val="center"/>
          </w:tcPr>
          <w:p w14:paraId="57D26A9B">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现有工程</w:t>
            </w:r>
          </w:p>
          <w:p w14:paraId="01A53CD8">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排放量（固体废物产生量）</w:t>
            </w: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1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color w:val="auto"/>
                <w:kern w:val="2"/>
                <w:szCs w:val="21"/>
              </w:rPr>
              <w:t>①</w:t>
            </w:r>
            <w:r>
              <w:rPr>
                <w:rFonts w:hint="default" w:ascii="Times New Roman" w:hAnsi="Times New Roman" w:cs="Times New Roman" w:eastAsiaTheme="minorEastAsia"/>
                <w:snapToGrid w:val="0"/>
                <w:color w:val="auto"/>
                <w:spacing w:val="-6"/>
                <w:kern w:val="21"/>
                <w:szCs w:val="21"/>
              </w:rPr>
              <w:fldChar w:fldCharType="end"/>
            </w:r>
          </w:p>
        </w:tc>
        <w:tc>
          <w:tcPr>
            <w:tcW w:w="1276" w:type="dxa"/>
            <w:tcMar>
              <w:left w:w="28" w:type="dxa"/>
              <w:right w:w="28" w:type="dxa"/>
            </w:tcMar>
            <w:vAlign w:val="center"/>
          </w:tcPr>
          <w:p w14:paraId="3523B4F1">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现有工程</w:t>
            </w:r>
          </w:p>
          <w:p w14:paraId="20A0140F">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许可排放量</w:t>
            </w:r>
          </w:p>
          <w:p w14:paraId="02C12A02">
            <w:pPr>
              <w:pStyle w:val="31"/>
              <w:keepNext w:val="0"/>
              <w:keepLines w:val="0"/>
              <w:suppressLineNumbers w:val="0"/>
              <w:spacing w:before="0" w:beforeLines="0" w:beforeAutospacing="0" w:after="0" w:afterLines="0" w:afterAutospacing="0"/>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2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snapToGrid w:val="0"/>
                <w:color w:val="auto"/>
                <w:spacing w:val="-6"/>
                <w:kern w:val="21"/>
                <w:szCs w:val="21"/>
              </w:rPr>
              <w:t>②</w:t>
            </w:r>
            <w:r>
              <w:rPr>
                <w:rFonts w:hint="default" w:ascii="Times New Roman" w:hAnsi="Times New Roman" w:cs="Times New Roman" w:eastAsiaTheme="minorEastAsia"/>
                <w:snapToGrid w:val="0"/>
                <w:color w:val="auto"/>
                <w:spacing w:val="-6"/>
                <w:kern w:val="21"/>
                <w:szCs w:val="21"/>
              </w:rPr>
              <w:fldChar w:fldCharType="end"/>
            </w:r>
          </w:p>
        </w:tc>
        <w:tc>
          <w:tcPr>
            <w:tcW w:w="1701" w:type="dxa"/>
            <w:tcMar>
              <w:left w:w="28" w:type="dxa"/>
              <w:right w:w="28" w:type="dxa"/>
            </w:tcMar>
            <w:vAlign w:val="center"/>
          </w:tcPr>
          <w:p w14:paraId="20E2E31B">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在建工程</w:t>
            </w:r>
          </w:p>
          <w:p w14:paraId="017E4533">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排放量（固体废物产生量）</w:t>
            </w: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3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color w:val="auto"/>
                <w:kern w:val="2"/>
                <w:szCs w:val="21"/>
              </w:rPr>
              <w:t>③</w:t>
            </w:r>
            <w:r>
              <w:rPr>
                <w:rFonts w:hint="default" w:ascii="Times New Roman" w:hAnsi="Times New Roman" w:cs="Times New Roman" w:eastAsiaTheme="minorEastAsia"/>
                <w:snapToGrid w:val="0"/>
                <w:color w:val="auto"/>
                <w:spacing w:val="-6"/>
                <w:kern w:val="21"/>
                <w:szCs w:val="21"/>
              </w:rPr>
              <w:fldChar w:fldCharType="end"/>
            </w:r>
          </w:p>
        </w:tc>
        <w:tc>
          <w:tcPr>
            <w:tcW w:w="1559" w:type="dxa"/>
            <w:tcMar>
              <w:left w:w="28" w:type="dxa"/>
              <w:right w:w="28" w:type="dxa"/>
            </w:tcMar>
            <w:vAlign w:val="center"/>
          </w:tcPr>
          <w:p w14:paraId="23F99251">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本项目</w:t>
            </w:r>
          </w:p>
          <w:p w14:paraId="57D6DA8B">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排放量（固体废物产生量）</w:t>
            </w: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4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color w:val="auto"/>
                <w:kern w:val="2"/>
                <w:szCs w:val="21"/>
              </w:rPr>
              <w:t>④</w:t>
            </w:r>
            <w:r>
              <w:rPr>
                <w:rFonts w:hint="default" w:ascii="Times New Roman" w:hAnsi="Times New Roman" w:cs="Times New Roman" w:eastAsiaTheme="minorEastAsia"/>
                <w:snapToGrid w:val="0"/>
                <w:color w:val="auto"/>
                <w:spacing w:val="-6"/>
                <w:kern w:val="21"/>
                <w:szCs w:val="21"/>
              </w:rPr>
              <w:fldChar w:fldCharType="end"/>
            </w:r>
          </w:p>
        </w:tc>
        <w:tc>
          <w:tcPr>
            <w:tcW w:w="1761" w:type="dxa"/>
            <w:tcMar>
              <w:left w:w="28" w:type="dxa"/>
              <w:right w:w="28" w:type="dxa"/>
            </w:tcMar>
            <w:vAlign w:val="center"/>
          </w:tcPr>
          <w:p w14:paraId="6626852B">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16"/>
                <w:kern w:val="21"/>
                <w:szCs w:val="21"/>
              </w:rPr>
            </w:pPr>
            <w:r>
              <w:rPr>
                <w:rFonts w:hint="default" w:ascii="Times New Roman" w:hAnsi="Times New Roman" w:cs="Times New Roman" w:eastAsiaTheme="minorEastAsia"/>
                <w:snapToGrid w:val="0"/>
                <w:color w:val="auto"/>
                <w:spacing w:val="-16"/>
                <w:kern w:val="21"/>
                <w:szCs w:val="21"/>
              </w:rPr>
              <w:t>以新带老削减量</w:t>
            </w:r>
          </w:p>
          <w:p w14:paraId="68A99490">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16"/>
                <w:kern w:val="21"/>
                <w:szCs w:val="21"/>
              </w:rPr>
            </w:pPr>
            <w:r>
              <w:rPr>
                <w:rFonts w:hint="default" w:ascii="Times New Roman" w:hAnsi="Times New Roman" w:cs="Times New Roman" w:eastAsiaTheme="minorEastAsia"/>
                <w:snapToGrid w:val="0"/>
                <w:color w:val="auto"/>
                <w:spacing w:val="-16"/>
                <w:kern w:val="21"/>
                <w:szCs w:val="21"/>
              </w:rPr>
              <w:t>（新建项目不填）</w:t>
            </w:r>
            <w:r>
              <w:rPr>
                <w:rFonts w:hint="default" w:ascii="Times New Roman" w:hAnsi="Times New Roman" w:cs="Times New Roman" w:eastAsiaTheme="minorEastAsia"/>
                <w:snapToGrid w:val="0"/>
                <w:color w:val="auto"/>
                <w:spacing w:val="-16"/>
                <w:kern w:val="21"/>
                <w:szCs w:val="21"/>
              </w:rPr>
              <w:fldChar w:fldCharType="begin"/>
            </w:r>
            <w:r>
              <w:rPr>
                <w:rFonts w:hint="default" w:ascii="Times New Roman" w:hAnsi="Times New Roman" w:cs="Times New Roman" w:eastAsiaTheme="minorEastAsia"/>
                <w:snapToGrid w:val="0"/>
                <w:color w:val="auto"/>
                <w:spacing w:val="-16"/>
                <w:kern w:val="21"/>
                <w:szCs w:val="21"/>
              </w:rPr>
              <w:instrText xml:space="preserve"> = 5 \* GB3 \* MERGEFORMAT </w:instrText>
            </w:r>
            <w:r>
              <w:rPr>
                <w:rFonts w:hint="default" w:ascii="Times New Roman" w:hAnsi="Times New Roman" w:cs="Times New Roman" w:eastAsiaTheme="minorEastAsia"/>
                <w:snapToGrid w:val="0"/>
                <w:color w:val="auto"/>
                <w:spacing w:val="-16"/>
                <w:kern w:val="21"/>
                <w:szCs w:val="21"/>
              </w:rPr>
              <w:fldChar w:fldCharType="separate"/>
            </w:r>
            <w:r>
              <w:rPr>
                <w:rFonts w:hint="default" w:ascii="Times New Roman" w:hAnsi="Times New Roman" w:cs="Times New Roman" w:eastAsiaTheme="minorEastAsia"/>
                <w:color w:val="auto"/>
                <w:kern w:val="2"/>
                <w:szCs w:val="21"/>
              </w:rPr>
              <w:t>⑤</w:t>
            </w:r>
            <w:r>
              <w:rPr>
                <w:rFonts w:hint="default" w:ascii="Times New Roman" w:hAnsi="Times New Roman" w:cs="Times New Roman" w:eastAsiaTheme="minorEastAsia"/>
                <w:snapToGrid w:val="0"/>
                <w:color w:val="auto"/>
                <w:spacing w:val="-16"/>
                <w:kern w:val="21"/>
                <w:szCs w:val="21"/>
              </w:rPr>
              <w:fldChar w:fldCharType="end"/>
            </w:r>
          </w:p>
        </w:tc>
        <w:tc>
          <w:tcPr>
            <w:tcW w:w="1630" w:type="dxa"/>
            <w:tcMar>
              <w:left w:w="28" w:type="dxa"/>
              <w:right w:w="28" w:type="dxa"/>
            </w:tcMar>
            <w:vAlign w:val="center"/>
          </w:tcPr>
          <w:p w14:paraId="06E49001">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16"/>
                <w:kern w:val="21"/>
                <w:szCs w:val="21"/>
              </w:rPr>
            </w:pPr>
            <w:r>
              <w:rPr>
                <w:rFonts w:hint="default" w:ascii="Times New Roman" w:hAnsi="Times New Roman" w:cs="Times New Roman" w:eastAsiaTheme="minorEastAsia"/>
                <w:snapToGrid w:val="0"/>
                <w:color w:val="auto"/>
                <w:spacing w:val="-16"/>
                <w:kern w:val="21"/>
                <w:szCs w:val="21"/>
              </w:rPr>
              <w:t>本项目建成后</w:t>
            </w:r>
          </w:p>
          <w:p w14:paraId="3F5794B2">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16"/>
                <w:kern w:val="21"/>
                <w:szCs w:val="21"/>
              </w:rPr>
            </w:pPr>
            <w:r>
              <w:rPr>
                <w:rFonts w:hint="default" w:ascii="Times New Roman" w:hAnsi="Times New Roman" w:cs="Times New Roman" w:eastAsiaTheme="minorEastAsia"/>
                <w:snapToGrid w:val="0"/>
                <w:color w:val="auto"/>
                <w:spacing w:val="-16"/>
                <w:kern w:val="21"/>
                <w:szCs w:val="21"/>
              </w:rPr>
              <w:t>全厂排放量（固体废物产生量）</w:t>
            </w:r>
            <w:r>
              <w:rPr>
                <w:rFonts w:hint="default" w:ascii="Times New Roman" w:hAnsi="Times New Roman" w:cs="Times New Roman" w:eastAsiaTheme="minorEastAsia"/>
                <w:snapToGrid w:val="0"/>
                <w:color w:val="auto"/>
                <w:spacing w:val="-16"/>
                <w:kern w:val="21"/>
                <w:szCs w:val="21"/>
              </w:rPr>
              <w:fldChar w:fldCharType="begin"/>
            </w:r>
            <w:r>
              <w:rPr>
                <w:rFonts w:hint="default" w:ascii="Times New Roman" w:hAnsi="Times New Roman" w:cs="Times New Roman" w:eastAsiaTheme="minorEastAsia"/>
                <w:snapToGrid w:val="0"/>
                <w:color w:val="auto"/>
                <w:spacing w:val="-16"/>
                <w:kern w:val="21"/>
                <w:szCs w:val="21"/>
              </w:rPr>
              <w:instrText xml:space="preserve"> = 6 \* GB3 \* MERGEFORMAT </w:instrText>
            </w:r>
            <w:r>
              <w:rPr>
                <w:rFonts w:hint="default" w:ascii="Times New Roman" w:hAnsi="Times New Roman" w:cs="Times New Roman" w:eastAsiaTheme="minorEastAsia"/>
                <w:snapToGrid w:val="0"/>
                <w:color w:val="auto"/>
                <w:spacing w:val="-16"/>
                <w:kern w:val="21"/>
                <w:szCs w:val="21"/>
              </w:rPr>
              <w:fldChar w:fldCharType="separate"/>
            </w:r>
            <w:r>
              <w:rPr>
                <w:rFonts w:hint="default" w:ascii="Times New Roman" w:hAnsi="Times New Roman" w:cs="Times New Roman" w:eastAsiaTheme="minorEastAsia"/>
                <w:color w:val="auto"/>
                <w:kern w:val="2"/>
                <w:szCs w:val="21"/>
              </w:rPr>
              <w:t>⑥</w:t>
            </w:r>
            <w:r>
              <w:rPr>
                <w:rFonts w:hint="default" w:ascii="Times New Roman" w:hAnsi="Times New Roman" w:cs="Times New Roman" w:eastAsiaTheme="minorEastAsia"/>
                <w:snapToGrid w:val="0"/>
                <w:color w:val="auto"/>
                <w:spacing w:val="-16"/>
                <w:kern w:val="21"/>
                <w:szCs w:val="21"/>
              </w:rPr>
              <w:fldChar w:fldCharType="end"/>
            </w:r>
          </w:p>
        </w:tc>
        <w:tc>
          <w:tcPr>
            <w:tcW w:w="1155" w:type="dxa"/>
            <w:tcMar>
              <w:left w:w="28" w:type="dxa"/>
              <w:right w:w="28" w:type="dxa"/>
            </w:tcMar>
            <w:vAlign w:val="center"/>
          </w:tcPr>
          <w:p w14:paraId="682747D3">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t>变化量</w:t>
            </w:r>
          </w:p>
          <w:p w14:paraId="7D60038E">
            <w:pPr>
              <w:pStyle w:val="31"/>
              <w:keepNext w:val="0"/>
              <w:keepLines w:val="0"/>
              <w:suppressLineNumbers w:val="0"/>
              <w:spacing w:before="0" w:beforeLines="0" w:beforeAutospacing="0" w:after="0" w:afterLines="0" w:afterAutospacing="0" w:line="240" w:lineRule="auto"/>
              <w:ind w:right="0"/>
              <w:rPr>
                <w:rFonts w:hint="default" w:ascii="Times New Roman" w:hAnsi="Times New Roman" w:cs="Times New Roman" w:eastAsiaTheme="minorEastAsia"/>
                <w:snapToGrid w:val="0"/>
                <w:color w:val="auto"/>
                <w:spacing w:val="-6"/>
                <w:kern w:val="21"/>
                <w:szCs w:val="21"/>
              </w:rPr>
            </w:pP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7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color w:val="auto"/>
                <w:kern w:val="2"/>
                <w:szCs w:val="21"/>
              </w:rPr>
              <w:t>⑦</w:t>
            </w:r>
            <w:r>
              <w:rPr>
                <w:rFonts w:hint="default" w:ascii="Times New Roman" w:hAnsi="Times New Roman" w:cs="Times New Roman" w:eastAsiaTheme="minorEastAsia"/>
                <w:snapToGrid w:val="0"/>
                <w:color w:val="auto"/>
                <w:spacing w:val="-6"/>
                <w:kern w:val="21"/>
                <w:szCs w:val="21"/>
              </w:rPr>
              <w:fldChar w:fldCharType="end"/>
            </w:r>
          </w:p>
        </w:tc>
      </w:tr>
      <w:tr w14:paraId="57571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88" w:type="dxa"/>
            <w:vMerge w:val="restart"/>
            <w:vAlign w:val="center"/>
          </w:tcPr>
          <w:p w14:paraId="7E491FDC">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rPr>
              <w:t>废</w:t>
            </w:r>
            <w:r>
              <w:rPr>
                <w:rFonts w:hint="default" w:ascii="Times New Roman" w:hAnsi="Times New Roman" w:cs="Times New Roman" w:eastAsiaTheme="minorEastAsia"/>
                <w:b w:val="0"/>
                <w:bCs/>
                <w:snapToGrid w:val="0"/>
                <w:color w:val="auto"/>
                <w:kern w:val="21"/>
                <w:sz w:val="21"/>
                <w:szCs w:val="21"/>
                <w:lang w:val="en-US" w:eastAsia="zh-CN"/>
              </w:rPr>
              <w:t>水</w:t>
            </w:r>
          </w:p>
        </w:tc>
        <w:tc>
          <w:tcPr>
            <w:tcW w:w="1417" w:type="dxa"/>
            <w:vAlign w:val="center"/>
          </w:tcPr>
          <w:p w14:paraId="6B906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color w:val="auto"/>
                <w:lang w:val="en-US" w:eastAsia="zh-CN"/>
              </w:rPr>
              <w:t>COD</w:t>
            </w:r>
            <w:r>
              <w:rPr>
                <w:rFonts w:hint="default" w:ascii="Times New Roman" w:hAnsi="Times New Roman" w:cs="Times New Roman" w:eastAsiaTheme="minorEastAsia"/>
                <w:b w:val="0"/>
                <w:bCs/>
                <w:color w:val="auto"/>
                <w:vertAlign w:val="subscript"/>
                <w:lang w:val="en-US" w:eastAsia="zh-CN"/>
              </w:rPr>
              <w:t>cr</w:t>
            </w:r>
          </w:p>
        </w:tc>
        <w:tc>
          <w:tcPr>
            <w:tcW w:w="1701" w:type="dxa"/>
            <w:vAlign w:val="center"/>
          </w:tcPr>
          <w:p w14:paraId="3AA980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276" w:type="dxa"/>
            <w:vAlign w:val="center"/>
          </w:tcPr>
          <w:p w14:paraId="69D4561B">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7BF36965">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26475835">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0.0875</w:t>
            </w:r>
            <w:r>
              <w:rPr>
                <w:rFonts w:hint="default" w:ascii="Times New Roman" w:hAnsi="Times New Roman" w:cs="Times New Roman" w:eastAsiaTheme="minorEastAsia"/>
                <w:b w:val="0"/>
                <w:bCs/>
                <w:color w:val="auto"/>
                <w:kern w:val="2"/>
                <w:sz w:val="21"/>
                <w:szCs w:val="24"/>
                <w:lang w:val="en-US" w:eastAsia="zh-CN" w:bidi="ar-SA"/>
              </w:rPr>
              <w:t>t/a</w:t>
            </w:r>
          </w:p>
        </w:tc>
        <w:tc>
          <w:tcPr>
            <w:tcW w:w="1761" w:type="dxa"/>
            <w:vAlign w:val="center"/>
          </w:tcPr>
          <w:p w14:paraId="389F2EC5">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3B4B985E">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0.0875</w:t>
            </w:r>
            <w:r>
              <w:rPr>
                <w:rFonts w:hint="default" w:ascii="Times New Roman" w:hAnsi="Times New Roman" w:cs="Times New Roman" w:eastAsiaTheme="minorEastAsia"/>
                <w:b w:val="0"/>
                <w:bCs/>
                <w:color w:val="auto"/>
                <w:kern w:val="2"/>
                <w:sz w:val="21"/>
                <w:szCs w:val="24"/>
                <w:lang w:val="en-US" w:eastAsia="zh-CN" w:bidi="ar-SA"/>
              </w:rPr>
              <w:t>t/a</w:t>
            </w:r>
          </w:p>
        </w:tc>
        <w:tc>
          <w:tcPr>
            <w:tcW w:w="1155" w:type="dxa"/>
            <w:vAlign w:val="center"/>
          </w:tcPr>
          <w:p w14:paraId="5E3E5B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snapToGrid w:val="0"/>
                <w:color w:val="auto"/>
                <w:kern w:val="21"/>
                <w:sz w:val="21"/>
                <w:szCs w:val="21"/>
                <w:lang w:val="en-US" w:eastAsia="zh-CN"/>
              </w:rPr>
            </w:pPr>
            <w:r>
              <w:rPr>
                <w:rFonts w:hint="eastAsia" w:ascii="Times New Roman" w:hAnsi="Times New Roman" w:cs="Times New Roman" w:eastAsiaTheme="minorEastAsia"/>
                <w:b w:val="0"/>
                <w:bCs/>
                <w:snapToGrid w:val="0"/>
                <w:color w:val="auto"/>
                <w:kern w:val="21"/>
                <w:sz w:val="21"/>
                <w:szCs w:val="21"/>
                <w:lang w:val="en-US" w:eastAsia="zh-CN"/>
              </w:rPr>
              <w:t>+</w:t>
            </w:r>
            <w:r>
              <w:rPr>
                <w:rFonts w:hint="default" w:ascii="Times New Roman" w:hAnsi="Times New Roman" w:cs="Times New Roman" w:eastAsiaTheme="minorEastAsia"/>
                <w:b w:val="0"/>
                <w:bCs/>
                <w:snapToGrid w:val="0"/>
                <w:color w:val="auto"/>
                <w:kern w:val="21"/>
                <w:sz w:val="21"/>
                <w:szCs w:val="21"/>
                <w:lang w:val="en-US" w:eastAsia="zh-CN"/>
              </w:rPr>
              <w:t>0.</w:t>
            </w:r>
            <w:r>
              <w:rPr>
                <w:rFonts w:hint="eastAsia" w:ascii="Times New Roman" w:hAnsi="Times New Roman" w:cs="Times New Roman" w:eastAsiaTheme="minorEastAsia"/>
                <w:b w:val="0"/>
                <w:bCs/>
                <w:snapToGrid w:val="0"/>
                <w:color w:val="auto"/>
                <w:kern w:val="21"/>
                <w:sz w:val="21"/>
                <w:szCs w:val="21"/>
                <w:lang w:val="en-US" w:eastAsia="zh-CN"/>
              </w:rPr>
              <w:t>0</w:t>
            </w:r>
            <w:r>
              <w:rPr>
                <w:rFonts w:hint="eastAsia" w:cs="Times New Roman" w:eastAsiaTheme="minorEastAsia"/>
                <w:b w:val="0"/>
                <w:bCs/>
                <w:snapToGrid w:val="0"/>
                <w:color w:val="auto"/>
                <w:kern w:val="21"/>
                <w:sz w:val="21"/>
                <w:szCs w:val="21"/>
                <w:lang w:val="en-US" w:eastAsia="zh-CN"/>
              </w:rPr>
              <w:t>875</w:t>
            </w:r>
            <w:r>
              <w:rPr>
                <w:rFonts w:hint="default" w:ascii="Times New Roman" w:hAnsi="Times New Roman" w:cs="Times New Roman" w:eastAsiaTheme="minorEastAsia"/>
                <w:b w:val="0"/>
                <w:bCs/>
                <w:snapToGrid w:val="0"/>
                <w:color w:val="auto"/>
                <w:kern w:val="21"/>
                <w:sz w:val="21"/>
                <w:szCs w:val="21"/>
                <w:lang w:val="en-US" w:eastAsia="zh-CN"/>
              </w:rPr>
              <w:t>t/a</w:t>
            </w:r>
          </w:p>
        </w:tc>
      </w:tr>
      <w:tr w14:paraId="5BB21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88" w:type="dxa"/>
            <w:vMerge w:val="continue"/>
            <w:vAlign w:val="center"/>
          </w:tcPr>
          <w:p w14:paraId="5703F1CE">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p>
        </w:tc>
        <w:tc>
          <w:tcPr>
            <w:tcW w:w="1417" w:type="dxa"/>
            <w:vAlign w:val="center"/>
          </w:tcPr>
          <w:p w14:paraId="03560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b w:val="0"/>
                <w:bCs/>
                <w:color w:val="auto"/>
                <w:lang w:val="en-US" w:eastAsia="zh-CN"/>
              </w:rPr>
              <w:t>SS</w:t>
            </w:r>
          </w:p>
        </w:tc>
        <w:tc>
          <w:tcPr>
            <w:tcW w:w="1701" w:type="dxa"/>
            <w:vAlign w:val="center"/>
          </w:tcPr>
          <w:p w14:paraId="6648A1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276" w:type="dxa"/>
            <w:vAlign w:val="center"/>
          </w:tcPr>
          <w:p w14:paraId="330E92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4945D8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1864DC55">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0.0035</w:t>
            </w:r>
            <w:r>
              <w:rPr>
                <w:rFonts w:hint="default" w:ascii="Times New Roman" w:hAnsi="Times New Roman" w:cs="Times New Roman" w:eastAsiaTheme="minorEastAsia"/>
                <w:b w:val="0"/>
                <w:bCs/>
                <w:color w:val="auto"/>
                <w:kern w:val="2"/>
                <w:sz w:val="21"/>
                <w:szCs w:val="24"/>
                <w:lang w:val="en-US" w:eastAsia="zh-CN" w:bidi="ar-SA"/>
              </w:rPr>
              <w:t>t/a</w:t>
            </w:r>
          </w:p>
        </w:tc>
        <w:tc>
          <w:tcPr>
            <w:tcW w:w="1761" w:type="dxa"/>
            <w:vAlign w:val="center"/>
          </w:tcPr>
          <w:p w14:paraId="47416CAD">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5B879C18">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0.0035</w:t>
            </w:r>
            <w:r>
              <w:rPr>
                <w:rFonts w:hint="default" w:ascii="Times New Roman" w:hAnsi="Times New Roman" w:cs="Times New Roman" w:eastAsiaTheme="minorEastAsia"/>
                <w:b w:val="0"/>
                <w:bCs/>
                <w:color w:val="auto"/>
                <w:kern w:val="2"/>
                <w:sz w:val="21"/>
                <w:szCs w:val="24"/>
                <w:lang w:val="en-US" w:eastAsia="zh-CN" w:bidi="ar-SA"/>
              </w:rPr>
              <w:t>t/a</w:t>
            </w:r>
          </w:p>
        </w:tc>
        <w:tc>
          <w:tcPr>
            <w:tcW w:w="1155" w:type="dxa"/>
            <w:vAlign w:val="center"/>
          </w:tcPr>
          <w:p w14:paraId="1218FF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snapToGrid w:val="0"/>
                <w:color w:val="auto"/>
                <w:kern w:val="21"/>
                <w:sz w:val="21"/>
                <w:szCs w:val="21"/>
                <w:lang w:val="en-US" w:eastAsia="zh-CN"/>
              </w:rPr>
            </w:pPr>
            <w:r>
              <w:rPr>
                <w:rFonts w:hint="eastAsia" w:ascii="Times New Roman" w:hAnsi="Times New Roman" w:cs="Times New Roman" w:eastAsiaTheme="minorEastAsia"/>
                <w:b w:val="0"/>
                <w:bCs/>
                <w:snapToGrid w:val="0"/>
                <w:color w:val="auto"/>
                <w:kern w:val="21"/>
                <w:sz w:val="21"/>
                <w:szCs w:val="21"/>
                <w:lang w:val="en-US" w:eastAsia="zh-CN"/>
              </w:rPr>
              <w:t>+</w:t>
            </w:r>
            <w:r>
              <w:rPr>
                <w:rFonts w:hint="default" w:ascii="Times New Roman" w:hAnsi="Times New Roman" w:cs="Times New Roman" w:eastAsiaTheme="minorEastAsia"/>
                <w:b w:val="0"/>
                <w:bCs/>
                <w:snapToGrid w:val="0"/>
                <w:color w:val="auto"/>
                <w:kern w:val="21"/>
                <w:sz w:val="21"/>
                <w:szCs w:val="21"/>
                <w:lang w:val="en-US" w:eastAsia="zh-CN"/>
              </w:rPr>
              <w:t>0</w:t>
            </w:r>
            <w:r>
              <w:rPr>
                <w:rFonts w:hint="eastAsia" w:ascii="Times New Roman" w:hAnsi="Times New Roman" w:cs="Times New Roman" w:eastAsiaTheme="minorEastAsia"/>
                <w:b w:val="0"/>
                <w:bCs/>
                <w:snapToGrid w:val="0"/>
                <w:color w:val="auto"/>
                <w:kern w:val="21"/>
                <w:sz w:val="21"/>
                <w:szCs w:val="21"/>
                <w:lang w:val="en-US" w:eastAsia="zh-CN"/>
              </w:rPr>
              <w:t>.003</w:t>
            </w:r>
            <w:r>
              <w:rPr>
                <w:rFonts w:hint="eastAsia" w:cs="Times New Roman" w:eastAsiaTheme="minorEastAsia"/>
                <w:b w:val="0"/>
                <w:bCs/>
                <w:snapToGrid w:val="0"/>
                <w:color w:val="auto"/>
                <w:kern w:val="21"/>
                <w:sz w:val="21"/>
                <w:szCs w:val="21"/>
                <w:lang w:val="en-US" w:eastAsia="zh-CN"/>
              </w:rPr>
              <w:t>5</w:t>
            </w:r>
            <w:r>
              <w:rPr>
                <w:rFonts w:hint="default" w:ascii="Times New Roman" w:hAnsi="Times New Roman" w:cs="Times New Roman" w:eastAsiaTheme="minorEastAsia"/>
                <w:b w:val="0"/>
                <w:bCs/>
                <w:snapToGrid w:val="0"/>
                <w:color w:val="auto"/>
                <w:kern w:val="21"/>
                <w:sz w:val="21"/>
                <w:szCs w:val="21"/>
                <w:lang w:val="en-US" w:eastAsia="zh-CN"/>
              </w:rPr>
              <w:t>t/a</w:t>
            </w:r>
          </w:p>
        </w:tc>
      </w:tr>
      <w:tr w14:paraId="16EB6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88" w:type="dxa"/>
            <w:vMerge w:val="continue"/>
            <w:vAlign w:val="center"/>
          </w:tcPr>
          <w:p w14:paraId="1533EB8C">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p>
        </w:tc>
        <w:tc>
          <w:tcPr>
            <w:tcW w:w="1417" w:type="dxa"/>
            <w:vAlign w:val="center"/>
          </w:tcPr>
          <w:p w14:paraId="1189C4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b w:val="0"/>
                <w:bCs/>
                <w:color w:val="auto"/>
                <w:lang w:val="en-US" w:eastAsia="zh-CN"/>
              </w:rPr>
              <w:t>NH</w:t>
            </w:r>
            <w:r>
              <w:rPr>
                <w:rFonts w:hint="default" w:ascii="Times New Roman" w:hAnsi="Times New Roman" w:cs="Times New Roman" w:eastAsiaTheme="minorEastAsia"/>
                <w:b w:val="0"/>
                <w:bCs/>
                <w:color w:val="auto"/>
                <w:vertAlign w:val="subscript"/>
                <w:lang w:val="en-US" w:eastAsia="zh-CN"/>
              </w:rPr>
              <w:t>3</w:t>
            </w:r>
            <w:r>
              <w:rPr>
                <w:rFonts w:hint="default" w:ascii="Times New Roman" w:hAnsi="Times New Roman" w:cs="Times New Roman" w:eastAsiaTheme="minorEastAsia"/>
                <w:b w:val="0"/>
                <w:bCs/>
                <w:color w:val="auto"/>
                <w:lang w:val="en-US" w:eastAsia="zh-CN"/>
              </w:rPr>
              <w:t>-N</w:t>
            </w:r>
          </w:p>
        </w:tc>
        <w:tc>
          <w:tcPr>
            <w:tcW w:w="1701" w:type="dxa"/>
            <w:vAlign w:val="center"/>
          </w:tcPr>
          <w:p w14:paraId="73684C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276" w:type="dxa"/>
            <w:vAlign w:val="center"/>
          </w:tcPr>
          <w:p w14:paraId="788778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5267EC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70F53DDB">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0.0098</w:t>
            </w:r>
            <w:r>
              <w:rPr>
                <w:rFonts w:hint="default" w:ascii="Times New Roman" w:hAnsi="Times New Roman" w:cs="Times New Roman" w:eastAsiaTheme="minorEastAsia"/>
                <w:b w:val="0"/>
                <w:bCs/>
                <w:color w:val="auto"/>
                <w:kern w:val="2"/>
                <w:sz w:val="21"/>
                <w:szCs w:val="24"/>
                <w:lang w:val="en-US" w:eastAsia="zh-CN" w:bidi="ar-SA"/>
              </w:rPr>
              <w:t>t/a</w:t>
            </w:r>
          </w:p>
        </w:tc>
        <w:tc>
          <w:tcPr>
            <w:tcW w:w="1761" w:type="dxa"/>
            <w:vAlign w:val="center"/>
          </w:tcPr>
          <w:p w14:paraId="690346FB">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225CDC53">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0.0098</w:t>
            </w:r>
            <w:r>
              <w:rPr>
                <w:rFonts w:hint="default" w:ascii="Times New Roman" w:hAnsi="Times New Roman" w:cs="Times New Roman" w:eastAsiaTheme="minorEastAsia"/>
                <w:b w:val="0"/>
                <w:bCs/>
                <w:color w:val="auto"/>
                <w:kern w:val="2"/>
                <w:sz w:val="21"/>
                <w:szCs w:val="24"/>
                <w:lang w:val="en-US" w:eastAsia="zh-CN" w:bidi="ar-SA"/>
              </w:rPr>
              <w:t>t/a</w:t>
            </w:r>
          </w:p>
        </w:tc>
        <w:tc>
          <w:tcPr>
            <w:tcW w:w="1155" w:type="dxa"/>
            <w:vAlign w:val="center"/>
          </w:tcPr>
          <w:p w14:paraId="089DD3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snapToGrid w:val="0"/>
                <w:color w:val="auto"/>
                <w:kern w:val="21"/>
                <w:sz w:val="21"/>
                <w:szCs w:val="21"/>
                <w:lang w:val="en-US" w:eastAsia="zh-CN"/>
              </w:rPr>
            </w:pPr>
            <w:r>
              <w:rPr>
                <w:rFonts w:hint="eastAsia" w:ascii="Times New Roman" w:hAnsi="Times New Roman" w:cs="Times New Roman" w:eastAsiaTheme="minorEastAsia"/>
                <w:b w:val="0"/>
                <w:bCs/>
                <w:snapToGrid w:val="0"/>
                <w:color w:val="auto"/>
                <w:kern w:val="21"/>
                <w:sz w:val="21"/>
                <w:szCs w:val="21"/>
                <w:lang w:val="en-US" w:eastAsia="zh-CN"/>
              </w:rPr>
              <w:t>+</w:t>
            </w:r>
            <w:r>
              <w:rPr>
                <w:rFonts w:hint="default" w:ascii="Times New Roman" w:hAnsi="Times New Roman" w:cs="Times New Roman" w:eastAsiaTheme="minorEastAsia"/>
                <w:b w:val="0"/>
                <w:bCs/>
                <w:snapToGrid w:val="0"/>
                <w:color w:val="auto"/>
                <w:kern w:val="21"/>
                <w:sz w:val="21"/>
                <w:szCs w:val="21"/>
                <w:lang w:val="en-US" w:eastAsia="zh-CN"/>
              </w:rPr>
              <w:t>0.0</w:t>
            </w:r>
            <w:r>
              <w:rPr>
                <w:rFonts w:hint="eastAsia" w:cs="Times New Roman" w:eastAsiaTheme="minorEastAsia"/>
                <w:b w:val="0"/>
                <w:bCs/>
                <w:snapToGrid w:val="0"/>
                <w:color w:val="auto"/>
                <w:kern w:val="21"/>
                <w:sz w:val="21"/>
                <w:szCs w:val="21"/>
                <w:lang w:val="en-US" w:eastAsia="zh-CN"/>
              </w:rPr>
              <w:t>098</w:t>
            </w:r>
            <w:r>
              <w:rPr>
                <w:rFonts w:hint="default" w:ascii="Times New Roman" w:hAnsi="Times New Roman" w:cs="Times New Roman" w:eastAsiaTheme="minorEastAsia"/>
                <w:b w:val="0"/>
                <w:bCs/>
                <w:snapToGrid w:val="0"/>
                <w:color w:val="auto"/>
                <w:kern w:val="21"/>
                <w:sz w:val="21"/>
                <w:szCs w:val="21"/>
                <w:lang w:val="en-US" w:eastAsia="zh-CN"/>
              </w:rPr>
              <w:t>t/a</w:t>
            </w:r>
          </w:p>
        </w:tc>
      </w:tr>
      <w:tr w14:paraId="449E1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88" w:type="dxa"/>
            <w:vMerge w:val="continue"/>
            <w:vAlign w:val="center"/>
          </w:tcPr>
          <w:p w14:paraId="2F55718E">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p>
        </w:tc>
        <w:tc>
          <w:tcPr>
            <w:tcW w:w="1417" w:type="dxa"/>
            <w:vAlign w:val="center"/>
          </w:tcPr>
          <w:p w14:paraId="6267E1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val="0"/>
                <w:bCs/>
                <w:color w:val="auto"/>
                <w:lang w:val="en-US" w:eastAsia="zh-CN"/>
              </w:rPr>
              <w:t>BOD</w:t>
            </w:r>
            <w:r>
              <w:rPr>
                <w:rFonts w:hint="default" w:ascii="Times New Roman" w:hAnsi="Times New Roman" w:cs="Times New Roman" w:eastAsiaTheme="minorEastAsia"/>
                <w:b w:val="0"/>
                <w:bCs/>
                <w:color w:val="auto"/>
                <w:vertAlign w:val="subscript"/>
                <w:lang w:val="en-US" w:eastAsia="zh-CN"/>
              </w:rPr>
              <w:t>5</w:t>
            </w:r>
          </w:p>
        </w:tc>
        <w:tc>
          <w:tcPr>
            <w:tcW w:w="1701" w:type="dxa"/>
            <w:vAlign w:val="center"/>
          </w:tcPr>
          <w:p w14:paraId="7D9A6C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276" w:type="dxa"/>
            <w:vAlign w:val="center"/>
          </w:tcPr>
          <w:p w14:paraId="00B64AB2">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1BE334DE">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7B41659E">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0.0022</w:t>
            </w:r>
            <w:r>
              <w:rPr>
                <w:rFonts w:hint="default" w:ascii="Times New Roman" w:hAnsi="Times New Roman" w:cs="Times New Roman" w:eastAsiaTheme="minorEastAsia"/>
                <w:b w:val="0"/>
                <w:bCs/>
                <w:color w:val="auto"/>
                <w:kern w:val="2"/>
                <w:sz w:val="21"/>
                <w:szCs w:val="24"/>
                <w:lang w:val="en-US" w:eastAsia="zh-CN" w:bidi="ar-SA"/>
              </w:rPr>
              <w:t>t/a</w:t>
            </w:r>
          </w:p>
        </w:tc>
        <w:tc>
          <w:tcPr>
            <w:tcW w:w="1761" w:type="dxa"/>
            <w:vAlign w:val="center"/>
          </w:tcPr>
          <w:p w14:paraId="4180133D">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46540005">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0.0022</w:t>
            </w:r>
            <w:r>
              <w:rPr>
                <w:rFonts w:hint="default" w:ascii="Times New Roman" w:hAnsi="Times New Roman" w:cs="Times New Roman" w:eastAsiaTheme="minorEastAsia"/>
                <w:b w:val="0"/>
                <w:bCs/>
                <w:color w:val="auto"/>
                <w:kern w:val="2"/>
                <w:sz w:val="21"/>
                <w:szCs w:val="24"/>
                <w:lang w:val="en-US" w:eastAsia="zh-CN" w:bidi="ar-SA"/>
              </w:rPr>
              <w:t>t/a</w:t>
            </w:r>
          </w:p>
        </w:tc>
        <w:tc>
          <w:tcPr>
            <w:tcW w:w="1155" w:type="dxa"/>
            <w:vAlign w:val="center"/>
          </w:tcPr>
          <w:p w14:paraId="2C1611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snapToGrid w:val="0"/>
                <w:color w:val="auto"/>
                <w:kern w:val="21"/>
                <w:sz w:val="21"/>
                <w:szCs w:val="21"/>
                <w:lang w:val="en-US" w:eastAsia="zh-CN"/>
              </w:rPr>
            </w:pPr>
            <w:r>
              <w:rPr>
                <w:rFonts w:hint="eastAsia" w:ascii="Times New Roman" w:hAnsi="Times New Roman" w:cs="Times New Roman" w:eastAsiaTheme="minorEastAsia"/>
                <w:b w:val="0"/>
                <w:bCs/>
                <w:snapToGrid w:val="0"/>
                <w:color w:val="auto"/>
                <w:kern w:val="21"/>
                <w:sz w:val="21"/>
                <w:szCs w:val="21"/>
                <w:lang w:val="en-US" w:eastAsia="zh-CN"/>
              </w:rPr>
              <w:t>+</w:t>
            </w:r>
            <w:r>
              <w:rPr>
                <w:rFonts w:hint="default" w:ascii="Times New Roman" w:hAnsi="Times New Roman" w:cs="Times New Roman" w:eastAsiaTheme="minorEastAsia"/>
                <w:b w:val="0"/>
                <w:bCs/>
                <w:snapToGrid w:val="0"/>
                <w:color w:val="auto"/>
                <w:kern w:val="21"/>
                <w:sz w:val="21"/>
                <w:szCs w:val="21"/>
                <w:lang w:val="en-US" w:eastAsia="zh-CN"/>
              </w:rPr>
              <w:t>0.0</w:t>
            </w:r>
            <w:r>
              <w:rPr>
                <w:rFonts w:hint="eastAsia" w:ascii="Times New Roman" w:hAnsi="Times New Roman" w:cs="Times New Roman" w:eastAsiaTheme="minorEastAsia"/>
                <w:b w:val="0"/>
                <w:bCs/>
                <w:snapToGrid w:val="0"/>
                <w:color w:val="auto"/>
                <w:kern w:val="21"/>
                <w:sz w:val="21"/>
                <w:szCs w:val="21"/>
                <w:lang w:val="en-US" w:eastAsia="zh-CN"/>
              </w:rPr>
              <w:t>02</w:t>
            </w:r>
            <w:r>
              <w:rPr>
                <w:rFonts w:hint="eastAsia" w:cs="Times New Roman" w:eastAsiaTheme="minorEastAsia"/>
                <w:b w:val="0"/>
                <w:bCs/>
                <w:snapToGrid w:val="0"/>
                <w:color w:val="auto"/>
                <w:kern w:val="21"/>
                <w:sz w:val="21"/>
                <w:szCs w:val="21"/>
                <w:lang w:val="en-US" w:eastAsia="zh-CN"/>
              </w:rPr>
              <w:t>2</w:t>
            </w:r>
            <w:r>
              <w:rPr>
                <w:rFonts w:hint="default" w:ascii="Times New Roman" w:hAnsi="Times New Roman" w:cs="Times New Roman" w:eastAsiaTheme="minorEastAsia"/>
                <w:b w:val="0"/>
                <w:bCs/>
                <w:snapToGrid w:val="0"/>
                <w:color w:val="auto"/>
                <w:kern w:val="21"/>
                <w:sz w:val="21"/>
                <w:szCs w:val="21"/>
                <w:lang w:val="en-US" w:eastAsia="zh-CN"/>
              </w:rPr>
              <w:t>t/a</w:t>
            </w:r>
          </w:p>
        </w:tc>
      </w:tr>
      <w:tr w14:paraId="3D2E6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6EB39DF8">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rPr>
              <w:t>一般工业固体废物</w:t>
            </w:r>
          </w:p>
        </w:tc>
        <w:tc>
          <w:tcPr>
            <w:tcW w:w="1417" w:type="dxa"/>
            <w:vAlign w:val="center"/>
          </w:tcPr>
          <w:p w14:paraId="26A6EA75">
            <w:pPr>
              <w:pStyle w:val="64"/>
              <w:keepNext w:val="0"/>
              <w:keepLines w:val="0"/>
              <w:widowControl w:val="0"/>
              <w:suppressLineNumbers w:val="0"/>
              <w:bidi w:val="0"/>
              <w:spacing w:before="0" w:beforeAutospacing="0" w:after="0" w:afterAutospacing="0"/>
              <w:ind w:left="0" w:right="0"/>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color w:val="auto"/>
                <w:kern w:val="2"/>
                <w:sz w:val="21"/>
                <w:szCs w:val="24"/>
                <w:lang w:val="en-US" w:eastAsia="zh-CN" w:bidi="ar-SA"/>
              </w:rPr>
              <w:t>宠物毛发</w:t>
            </w:r>
          </w:p>
        </w:tc>
        <w:tc>
          <w:tcPr>
            <w:tcW w:w="1701" w:type="dxa"/>
            <w:vAlign w:val="center"/>
          </w:tcPr>
          <w:p w14:paraId="7AFF258F">
            <w:pPr>
              <w:keepNext w:val="0"/>
              <w:keepLines w:val="0"/>
              <w:widowControl w:val="0"/>
              <w:suppressLineNumbers w:val="0"/>
              <w:bidi w:val="0"/>
              <w:spacing w:before="0" w:beforeAutospacing="0" w:after="0" w:afterAutospacing="0"/>
              <w:ind w:left="0" w:right="0"/>
              <w:jc w:val="center"/>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color w:val="auto"/>
                <w:kern w:val="2"/>
                <w:sz w:val="21"/>
                <w:szCs w:val="24"/>
                <w:lang w:val="en-US" w:eastAsia="zh-CN" w:bidi="ar-SA"/>
              </w:rPr>
              <w:t>0</w:t>
            </w:r>
          </w:p>
        </w:tc>
        <w:tc>
          <w:tcPr>
            <w:tcW w:w="1276" w:type="dxa"/>
            <w:vAlign w:val="center"/>
          </w:tcPr>
          <w:p w14:paraId="3D9B10EE">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0B54FC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70F7305C">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0.04t/a</w:t>
            </w:r>
          </w:p>
        </w:tc>
        <w:tc>
          <w:tcPr>
            <w:tcW w:w="1761" w:type="dxa"/>
            <w:vAlign w:val="center"/>
          </w:tcPr>
          <w:p w14:paraId="2D57BCD0">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3EA17EED">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0.04t/a</w:t>
            </w:r>
          </w:p>
        </w:tc>
        <w:tc>
          <w:tcPr>
            <w:tcW w:w="1155" w:type="dxa"/>
            <w:vAlign w:val="center"/>
          </w:tcPr>
          <w:p w14:paraId="37497D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snapToGrid w:val="0"/>
                <w:color w:val="auto"/>
                <w:kern w:val="21"/>
                <w:sz w:val="21"/>
                <w:szCs w:val="21"/>
                <w:lang w:val="en-US" w:eastAsia="zh-CN"/>
              </w:rPr>
            </w:pPr>
            <w:r>
              <w:rPr>
                <w:rFonts w:hint="default" w:ascii="Times New Roman" w:hAnsi="Times New Roman" w:cs="Times New Roman" w:eastAsiaTheme="minorEastAsia"/>
                <w:b w:val="0"/>
                <w:bCs/>
                <w:snapToGrid w:val="0"/>
                <w:color w:val="auto"/>
                <w:kern w:val="21"/>
                <w:sz w:val="21"/>
                <w:szCs w:val="21"/>
                <w:lang w:val="en-US" w:eastAsia="zh-CN"/>
              </w:rPr>
              <w:t>+0.04t/a</w:t>
            </w:r>
          </w:p>
        </w:tc>
      </w:tr>
      <w:tr w14:paraId="5563A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3DA0EB0">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p>
        </w:tc>
        <w:tc>
          <w:tcPr>
            <w:tcW w:w="1417" w:type="dxa"/>
            <w:vAlign w:val="center"/>
          </w:tcPr>
          <w:p w14:paraId="342581ED">
            <w:pPr>
              <w:pStyle w:val="64"/>
              <w:keepNext w:val="0"/>
              <w:keepLines w:val="0"/>
              <w:widowControl w:val="0"/>
              <w:suppressLineNumbers w:val="0"/>
              <w:bidi w:val="0"/>
              <w:spacing w:before="0" w:beforeAutospacing="0" w:after="0" w:afterAutospacing="0"/>
              <w:ind w:left="0" w:right="0"/>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color w:val="auto"/>
                <w:szCs w:val="21"/>
                <w:lang w:eastAsia="zh-CN"/>
              </w:rPr>
              <w:t>宠物</w:t>
            </w:r>
            <w:r>
              <w:rPr>
                <w:rFonts w:hint="eastAsia" w:cs="Times New Roman" w:eastAsiaTheme="minorEastAsia"/>
                <w:color w:val="auto"/>
                <w:szCs w:val="21"/>
                <w:lang w:val="en-US" w:eastAsia="zh-CN"/>
              </w:rPr>
              <w:t>排泄物</w:t>
            </w:r>
          </w:p>
        </w:tc>
        <w:tc>
          <w:tcPr>
            <w:tcW w:w="1701" w:type="dxa"/>
            <w:vAlign w:val="center"/>
          </w:tcPr>
          <w:p w14:paraId="72B3B4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276" w:type="dxa"/>
            <w:vAlign w:val="center"/>
          </w:tcPr>
          <w:p w14:paraId="2910BE7A">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0E4566C4">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6B2155DA">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0.03</w:t>
            </w:r>
            <w:r>
              <w:rPr>
                <w:rFonts w:hint="eastAsia" w:ascii="Times New Roman" w:hAnsi="Times New Roman" w:cs="Times New Roman" w:eastAsiaTheme="minorEastAsia"/>
                <w:b w:val="0"/>
                <w:bCs/>
                <w:color w:val="auto"/>
                <w:kern w:val="2"/>
                <w:sz w:val="21"/>
                <w:szCs w:val="24"/>
                <w:lang w:val="en-US" w:eastAsia="zh-CN" w:bidi="ar-SA"/>
              </w:rPr>
              <w:t>5</w:t>
            </w:r>
            <w:r>
              <w:rPr>
                <w:rFonts w:hint="default" w:ascii="Times New Roman" w:hAnsi="Times New Roman" w:cs="Times New Roman" w:eastAsiaTheme="minorEastAsia"/>
                <w:b w:val="0"/>
                <w:bCs/>
                <w:color w:val="auto"/>
                <w:kern w:val="2"/>
                <w:sz w:val="21"/>
                <w:szCs w:val="24"/>
                <w:lang w:val="en-US" w:eastAsia="zh-CN" w:bidi="ar-SA"/>
              </w:rPr>
              <w:t>t/a</w:t>
            </w:r>
          </w:p>
        </w:tc>
        <w:tc>
          <w:tcPr>
            <w:tcW w:w="1761" w:type="dxa"/>
            <w:vAlign w:val="center"/>
          </w:tcPr>
          <w:p w14:paraId="1D688F4D">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7F3DE216">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0.03</w:t>
            </w:r>
            <w:r>
              <w:rPr>
                <w:rFonts w:hint="eastAsia" w:ascii="Times New Roman" w:hAnsi="Times New Roman" w:cs="Times New Roman" w:eastAsiaTheme="minorEastAsia"/>
                <w:b w:val="0"/>
                <w:bCs/>
                <w:color w:val="auto"/>
                <w:kern w:val="2"/>
                <w:sz w:val="21"/>
                <w:szCs w:val="24"/>
                <w:lang w:val="en-US" w:eastAsia="zh-CN" w:bidi="ar-SA"/>
              </w:rPr>
              <w:t>5</w:t>
            </w:r>
            <w:r>
              <w:rPr>
                <w:rFonts w:hint="default" w:ascii="Times New Roman" w:hAnsi="Times New Roman" w:cs="Times New Roman" w:eastAsiaTheme="minorEastAsia"/>
                <w:b w:val="0"/>
                <w:bCs/>
                <w:color w:val="auto"/>
                <w:kern w:val="2"/>
                <w:sz w:val="21"/>
                <w:szCs w:val="24"/>
                <w:lang w:val="en-US" w:eastAsia="zh-CN" w:bidi="ar-SA"/>
              </w:rPr>
              <w:t>t/a</w:t>
            </w:r>
          </w:p>
        </w:tc>
        <w:tc>
          <w:tcPr>
            <w:tcW w:w="1155" w:type="dxa"/>
            <w:vAlign w:val="center"/>
          </w:tcPr>
          <w:p w14:paraId="7C59EF3A">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color w:val="auto"/>
                <w:kern w:val="2"/>
                <w:sz w:val="21"/>
                <w:szCs w:val="24"/>
                <w:lang w:val="en-US" w:eastAsia="zh-CN" w:bidi="ar-SA"/>
              </w:rPr>
              <w:t>+</w:t>
            </w:r>
            <w:r>
              <w:rPr>
                <w:rFonts w:hint="default" w:ascii="Times New Roman" w:hAnsi="Times New Roman" w:cs="Times New Roman" w:eastAsiaTheme="minorEastAsia"/>
                <w:b w:val="0"/>
                <w:bCs/>
                <w:snapToGrid w:val="0"/>
                <w:color w:val="auto"/>
                <w:kern w:val="21"/>
                <w:sz w:val="21"/>
                <w:szCs w:val="21"/>
                <w:lang w:val="en-US" w:eastAsia="zh-CN"/>
              </w:rPr>
              <w:t>0.03</w:t>
            </w:r>
            <w:r>
              <w:rPr>
                <w:rFonts w:hint="eastAsia" w:ascii="Times New Roman" w:cs="Times New Roman" w:eastAsiaTheme="minorEastAsia"/>
                <w:b w:val="0"/>
                <w:bCs/>
                <w:snapToGrid w:val="0"/>
                <w:color w:val="auto"/>
                <w:kern w:val="21"/>
                <w:sz w:val="21"/>
                <w:szCs w:val="21"/>
                <w:lang w:val="en-US" w:eastAsia="zh-CN"/>
              </w:rPr>
              <w:t>5</w:t>
            </w:r>
            <w:r>
              <w:rPr>
                <w:rFonts w:hint="default" w:ascii="Times New Roman" w:hAnsi="Times New Roman" w:cs="Times New Roman" w:eastAsiaTheme="minorEastAsia"/>
                <w:b w:val="0"/>
                <w:bCs/>
                <w:snapToGrid w:val="0"/>
                <w:color w:val="auto"/>
                <w:kern w:val="21"/>
                <w:sz w:val="21"/>
                <w:szCs w:val="21"/>
                <w:lang w:val="en-US" w:eastAsia="zh-CN"/>
              </w:rPr>
              <w:t>t/a</w:t>
            </w:r>
          </w:p>
        </w:tc>
      </w:tr>
      <w:tr w14:paraId="0947A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52519C4">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p>
        </w:tc>
        <w:tc>
          <w:tcPr>
            <w:tcW w:w="1417" w:type="dxa"/>
            <w:vAlign w:val="center"/>
          </w:tcPr>
          <w:p w14:paraId="463206A8">
            <w:pPr>
              <w:pStyle w:val="64"/>
              <w:keepNext w:val="0"/>
              <w:keepLines w:val="0"/>
              <w:widowControl w:val="0"/>
              <w:suppressLineNumbers w:val="0"/>
              <w:bidi w:val="0"/>
              <w:spacing w:before="0" w:beforeAutospacing="0" w:after="0" w:afterAutospacing="0"/>
              <w:ind w:left="0" w:right="0"/>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color w:val="auto"/>
                <w:szCs w:val="21"/>
                <w:lang w:val="en-US" w:eastAsia="zh-CN"/>
              </w:rPr>
              <w:t>生活垃圾</w:t>
            </w:r>
          </w:p>
        </w:tc>
        <w:tc>
          <w:tcPr>
            <w:tcW w:w="1701" w:type="dxa"/>
            <w:vAlign w:val="center"/>
          </w:tcPr>
          <w:p w14:paraId="29A06B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276" w:type="dxa"/>
            <w:vAlign w:val="center"/>
          </w:tcPr>
          <w:p w14:paraId="6ED57765">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47CFB7B0">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5045D35B">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0.825</w:t>
            </w:r>
            <w:r>
              <w:rPr>
                <w:rFonts w:hint="default" w:ascii="Times New Roman" w:hAnsi="Times New Roman" w:cs="Times New Roman" w:eastAsiaTheme="minorEastAsia"/>
                <w:b w:val="0"/>
                <w:bCs/>
                <w:color w:val="auto"/>
                <w:kern w:val="2"/>
                <w:sz w:val="21"/>
                <w:szCs w:val="24"/>
                <w:lang w:val="en-US" w:eastAsia="zh-CN" w:bidi="ar-SA"/>
              </w:rPr>
              <w:t>t/a</w:t>
            </w:r>
          </w:p>
        </w:tc>
        <w:tc>
          <w:tcPr>
            <w:tcW w:w="1761" w:type="dxa"/>
            <w:vAlign w:val="center"/>
          </w:tcPr>
          <w:p w14:paraId="309EE2E0">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7E99FD53">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eastAsia" w:ascii="Times New Roman" w:hAnsi="Times New Roman" w:cs="Times New Roman" w:eastAsiaTheme="minorEastAsia"/>
                <w:b w:val="0"/>
                <w:bCs/>
                <w:color w:val="auto"/>
                <w:kern w:val="2"/>
                <w:sz w:val="21"/>
                <w:szCs w:val="24"/>
                <w:lang w:val="en-US" w:eastAsia="zh-CN" w:bidi="ar-SA"/>
              </w:rPr>
              <w:t>0.825</w:t>
            </w:r>
            <w:r>
              <w:rPr>
                <w:rFonts w:hint="default" w:ascii="Times New Roman" w:hAnsi="Times New Roman" w:cs="Times New Roman" w:eastAsiaTheme="minorEastAsia"/>
                <w:b w:val="0"/>
                <w:bCs/>
                <w:color w:val="auto"/>
                <w:kern w:val="2"/>
                <w:sz w:val="21"/>
                <w:szCs w:val="24"/>
                <w:lang w:val="en-US" w:eastAsia="zh-CN" w:bidi="ar-SA"/>
              </w:rPr>
              <w:t>t/a</w:t>
            </w:r>
          </w:p>
        </w:tc>
        <w:tc>
          <w:tcPr>
            <w:tcW w:w="1155" w:type="dxa"/>
            <w:vAlign w:val="center"/>
          </w:tcPr>
          <w:p w14:paraId="7B1CB0CE">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color w:val="auto"/>
                <w:kern w:val="2"/>
                <w:sz w:val="21"/>
                <w:szCs w:val="24"/>
                <w:lang w:val="en-US" w:eastAsia="zh-CN" w:bidi="ar-SA"/>
              </w:rPr>
              <w:t>+</w:t>
            </w:r>
            <w:r>
              <w:rPr>
                <w:rFonts w:hint="eastAsia" w:ascii="Times New Roman" w:cs="Times New Roman" w:eastAsiaTheme="minorEastAsia"/>
                <w:b w:val="0"/>
                <w:bCs/>
                <w:snapToGrid w:val="0"/>
                <w:color w:val="auto"/>
                <w:kern w:val="21"/>
                <w:sz w:val="21"/>
                <w:szCs w:val="21"/>
                <w:lang w:val="en-US" w:eastAsia="zh-CN"/>
              </w:rPr>
              <w:t>0.825</w:t>
            </w:r>
            <w:r>
              <w:rPr>
                <w:rFonts w:hint="default" w:ascii="Times New Roman" w:hAnsi="Times New Roman" w:cs="Times New Roman" w:eastAsiaTheme="minorEastAsia"/>
                <w:b w:val="0"/>
                <w:bCs/>
                <w:snapToGrid w:val="0"/>
                <w:color w:val="auto"/>
                <w:kern w:val="21"/>
                <w:sz w:val="21"/>
                <w:szCs w:val="21"/>
                <w:lang w:val="en-US" w:eastAsia="zh-CN"/>
              </w:rPr>
              <w:t>t/a</w:t>
            </w:r>
          </w:p>
        </w:tc>
      </w:tr>
      <w:tr w14:paraId="619AA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25D2EFBE">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危险废物</w:t>
            </w:r>
          </w:p>
        </w:tc>
        <w:tc>
          <w:tcPr>
            <w:tcW w:w="1417" w:type="dxa"/>
            <w:vAlign w:val="center"/>
          </w:tcPr>
          <w:p w14:paraId="5EC7930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b w:val="0"/>
                <w:color w:val="auto"/>
                <w:kern w:val="2"/>
                <w:sz w:val="21"/>
                <w:szCs w:val="21"/>
                <w:lang w:val="en-US" w:eastAsia="zh-CN" w:bidi="ar-SA"/>
              </w:rPr>
              <w:t>医疗废物</w:t>
            </w:r>
          </w:p>
        </w:tc>
        <w:tc>
          <w:tcPr>
            <w:tcW w:w="1701" w:type="dxa"/>
            <w:vAlign w:val="center"/>
          </w:tcPr>
          <w:p w14:paraId="20EA83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276" w:type="dxa"/>
            <w:vAlign w:val="center"/>
          </w:tcPr>
          <w:p w14:paraId="227F22E4">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4AEEE5C6">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79D165FF">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r>
              <w:rPr>
                <w:rFonts w:hint="eastAsia" w:ascii="Times New Roman" w:hAnsi="Times New Roman" w:cs="Times New Roman" w:eastAsiaTheme="minorEastAsia"/>
                <w:b w:val="0"/>
                <w:bCs/>
                <w:color w:val="auto"/>
                <w:kern w:val="2"/>
                <w:sz w:val="21"/>
                <w:szCs w:val="24"/>
                <w:lang w:val="en-US" w:eastAsia="zh-CN" w:bidi="ar-SA"/>
              </w:rPr>
              <w:t>52</w:t>
            </w:r>
            <w:r>
              <w:rPr>
                <w:rFonts w:hint="default" w:ascii="Times New Roman" w:hAnsi="Times New Roman" w:cs="Times New Roman" w:eastAsiaTheme="minorEastAsia"/>
                <w:b w:val="0"/>
                <w:bCs/>
                <w:color w:val="auto"/>
                <w:kern w:val="2"/>
                <w:sz w:val="21"/>
                <w:szCs w:val="24"/>
                <w:lang w:val="en-US" w:eastAsia="zh-CN" w:bidi="ar-SA"/>
              </w:rPr>
              <w:t>t/a</w:t>
            </w:r>
          </w:p>
        </w:tc>
        <w:tc>
          <w:tcPr>
            <w:tcW w:w="1761" w:type="dxa"/>
            <w:vAlign w:val="center"/>
          </w:tcPr>
          <w:p w14:paraId="4236DD61">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4FD084A8">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r>
              <w:rPr>
                <w:rFonts w:hint="eastAsia" w:ascii="Times New Roman" w:hAnsi="Times New Roman" w:cs="Times New Roman" w:eastAsiaTheme="minorEastAsia"/>
                <w:b w:val="0"/>
                <w:bCs/>
                <w:color w:val="auto"/>
                <w:kern w:val="2"/>
                <w:sz w:val="21"/>
                <w:szCs w:val="24"/>
                <w:lang w:val="en-US" w:eastAsia="zh-CN" w:bidi="ar-SA"/>
              </w:rPr>
              <w:t>52</w:t>
            </w:r>
            <w:r>
              <w:rPr>
                <w:rFonts w:hint="default" w:ascii="Times New Roman" w:hAnsi="Times New Roman" w:cs="Times New Roman" w:eastAsiaTheme="minorEastAsia"/>
                <w:b w:val="0"/>
                <w:bCs/>
                <w:color w:val="auto"/>
                <w:kern w:val="2"/>
                <w:sz w:val="21"/>
                <w:szCs w:val="24"/>
                <w:lang w:val="en-US" w:eastAsia="zh-CN" w:bidi="ar-SA"/>
              </w:rPr>
              <w:t>t/a</w:t>
            </w:r>
          </w:p>
        </w:tc>
        <w:tc>
          <w:tcPr>
            <w:tcW w:w="1155" w:type="dxa"/>
            <w:vAlign w:val="center"/>
          </w:tcPr>
          <w:p w14:paraId="744EF686">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color w:val="auto"/>
                <w:kern w:val="2"/>
                <w:sz w:val="21"/>
                <w:szCs w:val="24"/>
                <w:lang w:val="en-US" w:eastAsia="zh-CN" w:bidi="ar-SA"/>
              </w:rPr>
              <w:t>+</w:t>
            </w:r>
            <w:r>
              <w:rPr>
                <w:rFonts w:hint="default" w:ascii="Times New Roman" w:hAnsi="Times New Roman" w:cs="Times New Roman" w:eastAsiaTheme="minorEastAsia"/>
                <w:b w:val="0"/>
                <w:bCs/>
                <w:snapToGrid w:val="0"/>
                <w:color w:val="auto"/>
                <w:kern w:val="21"/>
                <w:sz w:val="21"/>
                <w:szCs w:val="21"/>
                <w:lang w:val="en-US" w:eastAsia="zh-CN"/>
              </w:rPr>
              <w:t>0.</w:t>
            </w:r>
            <w:r>
              <w:rPr>
                <w:rFonts w:hint="eastAsia" w:ascii="Times New Roman" w:cs="Times New Roman" w:eastAsiaTheme="minorEastAsia"/>
                <w:b w:val="0"/>
                <w:bCs/>
                <w:snapToGrid w:val="0"/>
                <w:color w:val="auto"/>
                <w:kern w:val="21"/>
                <w:sz w:val="21"/>
                <w:szCs w:val="21"/>
                <w:lang w:val="en-US" w:eastAsia="zh-CN"/>
              </w:rPr>
              <w:t>52</w:t>
            </w:r>
            <w:r>
              <w:rPr>
                <w:rFonts w:hint="default" w:ascii="Times New Roman" w:hAnsi="Times New Roman" w:cs="Times New Roman" w:eastAsiaTheme="minorEastAsia"/>
                <w:b w:val="0"/>
                <w:bCs/>
                <w:snapToGrid w:val="0"/>
                <w:color w:val="auto"/>
                <w:kern w:val="21"/>
                <w:sz w:val="21"/>
                <w:szCs w:val="21"/>
                <w:lang w:val="en-US" w:eastAsia="zh-CN"/>
              </w:rPr>
              <w:t>t/a</w:t>
            </w:r>
          </w:p>
        </w:tc>
      </w:tr>
      <w:tr w14:paraId="6D52F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A7401A8">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p>
        </w:tc>
        <w:tc>
          <w:tcPr>
            <w:tcW w:w="1417" w:type="dxa"/>
            <w:vAlign w:val="center"/>
          </w:tcPr>
          <w:p w14:paraId="394A15E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b w:val="0"/>
                <w:color w:val="auto"/>
                <w:kern w:val="2"/>
                <w:sz w:val="21"/>
                <w:szCs w:val="21"/>
                <w:lang w:val="en-US" w:eastAsia="zh-CN" w:bidi="ar-SA"/>
              </w:rPr>
              <w:t>污泥</w:t>
            </w:r>
          </w:p>
        </w:tc>
        <w:tc>
          <w:tcPr>
            <w:tcW w:w="1701" w:type="dxa"/>
            <w:vAlign w:val="center"/>
          </w:tcPr>
          <w:p w14:paraId="5C4FDE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276" w:type="dxa"/>
            <w:vAlign w:val="center"/>
          </w:tcPr>
          <w:p w14:paraId="587247A1">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3F3F6490">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3B7DA9BF">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0.01t/a</w:t>
            </w:r>
          </w:p>
        </w:tc>
        <w:tc>
          <w:tcPr>
            <w:tcW w:w="1761" w:type="dxa"/>
            <w:vAlign w:val="center"/>
          </w:tcPr>
          <w:p w14:paraId="4F4CC79A">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704F9C04">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0.01t/a</w:t>
            </w:r>
          </w:p>
        </w:tc>
        <w:tc>
          <w:tcPr>
            <w:tcW w:w="1155" w:type="dxa"/>
            <w:vAlign w:val="center"/>
          </w:tcPr>
          <w:p w14:paraId="3ACF8B91">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color w:val="auto"/>
                <w:kern w:val="2"/>
                <w:sz w:val="21"/>
                <w:szCs w:val="24"/>
                <w:lang w:val="en-US" w:eastAsia="zh-CN" w:bidi="ar-SA"/>
              </w:rPr>
              <w:t>+</w:t>
            </w:r>
            <w:r>
              <w:rPr>
                <w:rFonts w:hint="default" w:ascii="Times New Roman" w:hAnsi="Times New Roman" w:cs="Times New Roman" w:eastAsiaTheme="minorEastAsia"/>
                <w:b w:val="0"/>
                <w:bCs/>
                <w:snapToGrid w:val="0"/>
                <w:color w:val="auto"/>
                <w:kern w:val="21"/>
                <w:sz w:val="21"/>
                <w:szCs w:val="21"/>
                <w:lang w:val="en-US" w:eastAsia="zh-CN"/>
              </w:rPr>
              <w:t>0.01t/a</w:t>
            </w:r>
          </w:p>
        </w:tc>
      </w:tr>
      <w:tr w14:paraId="0775D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EF6C0C7">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p>
        </w:tc>
        <w:tc>
          <w:tcPr>
            <w:tcW w:w="1417" w:type="dxa"/>
            <w:vAlign w:val="center"/>
          </w:tcPr>
          <w:p w14:paraId="69A9D8A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b w:val="0"/>
                <w:color w:val="auto"/>
                <w:kern w:val="2"/>
                <w:sz w:val="21"/>
                <w:szCs w:val="21"/>
                <w:lang w:val="en-US" w:eastAsia="zh-CN" w:bidi="ar-SA"/>
              </w:rPr>
              <w:t>废紫外灯管</w:t>
            </w:r>
          </w:p>
        </w:tc>
        <w:tc>
          <w:tcPr>
            <w:tcW w:w="1701" w:type="dxa"/>
            <w:vAlign w:val="center"/>
          </w:tcPr>
          <w:p w14:paraId="43F6A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276" w:type="dxa"/>
            <w:vAlign w:val="center"/>
          </w:tcPr>
          <w:p w14:paraId="55511EFF">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701" w:type="dxa"/>
            <w:vAlign w:val="center"/>
          </w:tcPr>
          <w:p w14:paraId="0DC80226">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snapToGrid w:val="0"/>
                <w:color w:val="auto"/>
                <w:kern w:val="21"/>
                <w:sz w:val="21"/>
                <w:szCs w:val="21"/>
                <w:lang w:val="en-US" w:eastAsia="zh-CN"/>
              </w:rPr>
              <w:t>0</w:t>
            </w:r>
          </w:p>
        </w:tc>
        <w:tc>
          <w:tcPr>
            <w:tcW w:w="1559" w:type="dxa"/>
            <w:vAlign w:val="center"/>
          </w:tcPr>
          <w:p w14:paraId="5739A4D7">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0.005t/3a</w:t>
            </w:r>
          </w:p>
        </w:tc>
        <w:tc>
          <w:tcPr>
            <w:tcW w:w="1761" w:type="dxa"/>
            <w:vAlign w:val="center"/>
          </w:tcPr>
          <w:p w14:paraId="4FC2667F">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w:t>
            </w:r>
          </w:p>
        </w:tc>
        <w:tc>
          <w:tcPr>
            <w:tcW w:w="1630" w:type="dxa"/>
            <w:vAlign w:val="center"/>
          </w:tcPr>
          <w:p w14:paraId="604758EF">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kern w:val="2"/>
                <w:sz w:val="21"/>
                <w:szCs w:val="24"/>
                <w:lang w:val="en-US" w:eastAsia="zh-CN" w:bidi="ar-SA"/>
              </w:rPr>
            </w:pPr>
            <w:r>
              <w:rPr>
                <w:rFonts w:hint="default" w:ascii="Times New Roman" w:hAnsi="Times New Roman" w:cs="Times New Roman" w:eastAsiaTheme="minorEastAsia"/>
                <w:b w:val="0"/>
                <w:bCs/>
                <w:color w:val="auto"/>
                <w:kern w:val="2"/>
                <w:sz w:val="21"/>
                <w:szCs w:val="24"/>
                <w:lang w:val="en-US" w:eastAsia="zh-CN" w:bidi="ar-SA"/>
              </w:rPr>
              <w:t>0.005t/3a</w:t>
            </w:r>
          </w:p>
        </w:tc>
        <w:tc>
          <w:tcPr>
            <w:tcW w:w="1155" w:type="dxa"/>
            <w:vAlign w:val="center"/>
          </w:tcPr>
          <w:p w14:paraId="322E528F">
            <w:pPr>
              <w:pStyle w:val="31"/>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b w:val="0"/>
                <w:bCs/>
                <w:color w:val="auto"/>
                <w:kern w:val="2"/>
                <w:sz w:val="21"/>
                <w:szCs w:val="24"/>
                <w:lang w:val="en-US" w:eastAsia="zh-CN" w:bidi="ar-SA"/>
              </w:rPr>
              <w:t>+</w:t>
            </w:r>
            <w:r>
              <w:rPr>
                <w:rFonts w:hint="default" w:ascii="Times New Roman" w:hAnsi="Times New Roman" w:cs="Times New Roman" w:eastAsiaTheme="minorEastAsia"/>
                <w:b w:val="0"/>
                <w:bCs/>
                <w:snapToGrid w:val="0"/>
                <w:color w:val="auto"/>
                <w:kern w:val="21"/>
                <w:sz w:val="21"/>
                <w:szCs w:val="21"/>
                <w:lang w:val="en-US" w:eastAsia="zh-CN"/>
              </w:rPr>
              <w:t>0.005t/3a</w:t>
            </w:r>
          </w:p>
        </w:tc>
      </w:tr>
    </w:tbl>
    <w:p w14:paraId="259C99DA">
      <w:pPr>
        <w:pStyle w:val="31"/>
        <w:spacing w:before="192" w:beforeLines="80" w:after="24"/>
        <w:jc w:val="left"/>
        <w:rPr>
          <w:rFonts w:hint="default" w:ascii="Times New Roman" w:hAnsi="Times New Roman" w:cs="Times New Roman" w:eastAsiaTheme="minorEastAsia"/>
          <w:color w:val="auto"/>
        </w:rPr>
        <w:sectPr>
          <w:footerReference r:id="rId4"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r>
        <w:rPr>
          <w:rFonts w:hint="default" w:ascii="Times New Roman" w:hAnsi="Times New Roman" w:cs="Times New Roman" w:eastAsiaTheme="minorEastAsia"/>
          <w:snapToGrid w:val="0"/>
          <w:color w:val="auto"/>
          <w:kern w:val="21"/>
          <w:szCs w:val="21"/>
        </w:rPr>
        <w:t>注：</w:t>
      </w:r>
      <w:r>
        <w:rPr>
          <w:rFonts w:hint="default" w:ascii="Times New Roman" w:hAnsi="Times New Roman" w:cs="Times New Roman" w:eastAsiaTheme="minorEastAsia"/>
          <w:snapToGrid w:val="0"/>
          <w:color w:val="auto"/>
          <w:spacing w:val="-16"/>
          <w:kern w:val="21"/>
          <w:szCs w:val="21"/>
        </w:rPr>
        <w:fldChar w:fldCharType="begin"/>
      </w:r>
      <w:r>
        <w:rPr>
          <w:rFonts w:hint="default" w:ascii="Times New Roman" w:hAnsi="Times New Roman" w:cs="Times New Roman" w:eastAsiaTheme="minorEastAsia"/>
          <w:snapToGrid w:val="0"/>
          <w:color w:val="auto"/>
          <w:spacing w:val="-16"/>
          <w:kern w:val="21"/>
          <w:szCs w:val="21"/>
        </w:rPr>
        <w:instrText xml:space="preserve"> = 6 \* GB3 \* MERGEFORMAT </w:instrText>
      </w:r>
      <w:r>
        <w:rPr>
          <w:rFonts w:hint="default" w:ascii="Times New Roman" w:hAnsi="Times New Roman" w:cs="Times New Roman" w:eastAsiaTheme="minorEastAsia"/>
          <w:snapToGrid w:val="0"/>
          <w:color w:val="auto"/>
          <w:spacing w:val="-16"/>
          <w:kern w:val="21"/>
          <w:szCs w:val="21"/>
        </w:rPr>
        <w:fldChar w:fldCharType="separate"/>
      </w:r>
      <w:r>
        <w:rPr>
          <w:rFonts w:hint="default" w:ascii="Times New Roman" w:hAnsi="Times New Roman" w:cs="Times New Roman" w:eastAsiaTheme="minorEastAsia"/>
          <w:color w:val="auto"/>
          <w:szCs w:val="21"/>
        </w:rPr>
        <w:t>⑥</w:t>
      </w:r>
      <w:r>
        <w:rPr>
          <w:rFonts w:hint="default" w:ascii="Times New Roman" w:hAnsi="Times New Roman" w:cs="Times New Roman" w:eastAsiaTheme="minorEastAsia"/>
          <w:snapToGrid w:val="0"/>
          <w:color w:val="auto"/>
          <w:spacing w:val="-16"/>
          <w:kern w:val="21"/>
          <w:szCs w:val="21"/>
        </w:rPr>
        <w:fldChar w:fldCharType="end"/>
      </w:r>
      <w:r>
        <w:rPr>
          <w:rFonts w:hint="default" w:ascii="Times New Roman" w:hAnsi="Times New Roman" w:cs="Times New Roman" w:eastAsiaTheme="minorEastAsia"/>
          <w:snapToGrid w:val="0"/>
          <w:color w:val="auto"/>
          <w:spacing w:val="-16"/>
          <w:kern w:val="21"/>
          <w:szCs w:val="21"/>
        </w:rPr>
        <w:t>=</w:t>
      </w: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1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color w:val="auto"/>
          <w:szCs w:val="21"/>
        </w:rPr>
        <w:t>①</w:t>
      </w:r>
      <w:r>
        <w:rPr>
          <w:rFonts w:hint="default" w:ascii="Times New Roman" w:hAnsi="Times New Roman" w:cs="Times New Roman" w:eastAsiaTheme="minorEastAsia"/>
          <w:snapToGrid w:val="0"/>
          <w:color w:val="auto"/>
          <w:spacing w:val="-6"/>
          <w:kern w:val="21"/>
          <w:szCs w:val="21"/>
        </w:rPr>
        <w:fldChar w:fldCharType="end"/>
      </w:r>
      <w:r>
        <w:rPr>
          <w:rFonts w:hint="default" w:ascii="Times New Roman" w:hAnsi="Times New Roman" w:cs="Times New Roman" w:eastAsiaTheme="minorEastAsia"/>
          <w:snapToGrid w:val="0"/>
          <w:color w:val="auto"/>
          <w:spacing w:val="-6"/>
          <w:kern w:val="21"/>
          <w:szCs w:val="21"/>
        </w:rPr>
        <w:t>+</w:t>
      </w: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3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color w:val="auto"/>
          <w:szCs w:val="21"/>
        </w:rPr>
        <w:t>③</w:t>
      </w:r>
      <w:r>
        <w:rPr>
          <w:rFonts w:hint="default" w:ascii="Times New Roman" w:hAnsi="Times New Roman" w:cs="Times New Roman" w:eastAsiaTheme="minorEastAsia"/>
          <w:snapToGrid w:val="0"/>
          <w:color w:val="auto"/>
          <w:spacing w:val="-6"/>
          <w:kern w:val="21"/>
          <w:szCs w:val="21"/>
        </w:rPr>
        <w:fldChar w:fldCharType="end"/>
      </w:r>
      <w:r>
        <w:rPr>
          <w:rFonts w:hint="default" w:ascii="Times New Roman" w:hAnsi="Times New Roman" w:cs="Times New Roman" w:eastAsiaTheme="minorEastAsia"/>
          <w:snapToGrid w:val="0"/>
          <w:color w:val="auto"/>
          <w:spacing w:val="-6"/>
          <w:kern w:val="21"/>
          <w:szCs w:val="21"/>
        </w:rPr>
        <w:t>+</w:t>
      </w: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4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color w:val="auto"/>
          <w:szCs w:val="21"/>
        </w:rPr>
        <w:t>④</w:t>
      </w:r>
      <w:r>
        <w:rPr>
          <w:rFonts w:hint="default" w:ascii="Times New Roman" w:hAnsi="Times New Roman" w:cs="Times New Roman" w:eastAsiaTheme="minorEastAsia"/>
          <w:snapToGrid w:val="0"/>
          <w:color w:val="auto"/>
          <w:spacing w:val="-6"/>
          <w:kern w:val="21"/>
          <w:szCs w:val="21"/>
        </w:rPr>
        <w:fldChar w:fldCharType="end"/>
      </w:r>
      <w:r>
        <w:rPr>
          <w:rFonts w:hint="default" w:ascii="Times New Roman" w:hAnsi="Times New Roman" w:cs="Times New Roman" w:eastAsiaTheme="minorEastAsia"/>
          <w:snapToGrid w:val="0"/>
          <w:color w:val="auto"/>
          <w:spacing w:val="-6"/>
          <w:kern w:val="21"/>
          <w:szCs w:val="21"/>
        </w:rPr>
        <w:t>-</w:t>
      </w:r>
      <w:r>
        <w:rPr>
          <w:rFonts w:hint="default" w:ascii="Times New Roman" w:hAnsi="Times New Roman" w:cs="Times New Roman" w:eastAsiaTheme="minorEastAsia"/>
          <w:snapToGrid w:val="0"/>
          <w:color w:val="auto"/>
          <w:spacing w:val="-16"/>
          <w:kern w:val="21"/>
          <w:szCs w:val="21"/>
        </w:rPr>
        <w:fldChar w:fldCharType="begin"/>
      </w:r>
      <w:r>
        <w:rPr>
          <w:rFonts w:hint="default" w:ascii="Times New Roman" w:hAnsi="Times New Roman" w:cs="Times New Roman" w:eastAsiaTheme="minorEastAsia"/>
          <w:snapToGrid w:val="0"/>
          <w:color w:val="auto"/>
          <w:spacing w:val="-16"/>
          <w:kern w:val="21"/>
          <w:szCs w:val="21"/>
        </w:rPr>
        <w:instrText xml:space="preserve"> = 5 \* GB3 \* MERGEFORMAT </w:instrText>
      </w:r>
      <w:r>
        <w:rPr>
          <w:rFonts w:hint="default" w:ascii="Times New Roman" w:hAnsi="Times New Roman" w:cs="Times New Roman" w:eastAsiaTheme="minorEastAsia"/>
          <w:snapToGrid w:val="0"/>
          <w:color w:val="auto"/>
          <w:spacing w:val="-16"/>
          <w:kern w:val="21"/>
          <w:szCs w:val="21"/>
        </w:rPr>
        <w:fldChar w:fldCharType="separate"/>
      </w:r>
      <w:r>
        <w:rPr>
          <w:rFonts w:hint="default" w:ascii="Times New Roman" w:hAnsi="Times New Roman" w:cs="Times New Roman" w:eastAsiaTheme="minorEastAsia"/>
          <w:color w:val="auto"/>
          <w:szCs w:val="21"/>
        </w:rPr>
        <w:t>⑤</w:t>
      </w:r>
      <w:r>
        <w:rPr>
          <w:rFonts w:hint="default" w:ascii="Times New Roman" w:hAnsi="Times New Roman" w:cs="Times New Roman" w:eastAsiaTheme="minorEastAsia"/>
          <w:snapToGrid w:val="0"/>
          <w:color w:val="auto"/>
          <w:spacing w:val="-16"/>
          <w:kern w:val="21"/>
          <w:szCs w:val="21"/>
        </w:rPr>
        <w:fldChar w:fldCharType="end"/>
      </w:r>
      <w:r>
        <w:rPr>
          <w:rFonts w:hint="default" w:ascii="Times New Roman" w:hAnsi="Times New Roman" w:cs="Times New Roman" w:eastAsiaTheme="minorEastAsia"/>
          <w:snapToGrid w:val="0"/>
          <w:color w:val="auto"/>
          <w:spacing w:val="-16"/>
          <w:kern w:val="21"/>
          <w:szCs w:val="21"/>
        </w:rPr>
        <w:t>；</w:t>
      </w: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7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color w:val="auto"/>
          <w:szCs w:val="21"/>
        </w:rPr>
        <w:t>⑦</w:t>
      </w:r>
      <w:r>
        <w:rPr>
          <w:rFonts w:hint="default" w:ascii="Times New Roman" w:hAnsi="Times New Roman" w:cs="Times New Roman" w:eastAsiaTheme="minorEastAsia"/>
          <w:snapToGrid w:val="0"/>
          <w:color w:val="auto"/>
          <w:spacing w:val="-6"/>
          <w:kern w:val="21"/>
          <w:szCs w:val="21"/>
        </w:rPr>
        <w:fldChar w:fldCharType="end"/>
      </w:r>
      <w:r>
        <w:rPr>
          <w:rFonts w:hint="default" w:ascii="Times New Roman" w:hAnsi="Times New Roman" w:cs="Times New Roman" w:eastAsiaTheme="minorEastAsia"/>
          <w:snapToGrid w:val="0"/>
          <w:color w:val="auto"/>
          <w:spacing w:val="-6"/>
          <w:kern w:val="21"/>
          <w:szCs w:val="21"/>
        </w:rPr>
        <w:t>=</w:t>
      </w:r>
      <w:r>
        <w:rPr>
          <w:rFonts w:hint="default" w:ascii="Times New Roman" w:hAnsi="Times New Roman" w:cs="Times New Roman" w:eastAsiaTheme="minorEastAsia"/>
          <w:snapToGrid w:val="0"/>
          <w:color w:val="auto"/>
          <w:spacing w:val="-16"/>
          <w:kern w:val="21"/>
          <w:szCs w:val="21"/>
        </w:rPr>
        <w:fldChar w:fldCharType="begin"/>
      </w:r>
      <w:r>
        <w:rPr>
          <w:rFonts w:hint="default" w:ascii="Times New Roman" w:hAnsi="Times New Roman" w:cs="Times New Roman" w:eastAsiaTheme="minorEastAsia"/>
          <w:snapToGrid w:val="0"/>
          <w:color w:val="auto"/>
          <w:spacing w:val="-16"/>
          <w:kern w:val="21"/>
          <w:szCs w:val="21"/>
        </w:rPr>
        <w:instrText xml:space="preserve"> = 6 \* GB3 \* MERGEFORMAT </w:instrText>
      </w:r>
      <w:r>
        <w:rPr>
          <w:rFonts w:hint="default" w:ascii="Times New Roman" w:hAnsi="Times New Roman" w:cs="Times New Roman" w:eastAsiaTheme="minorEastAsia"/>
          <w:snapToGrid w:val="0"/>
          <w:color w:val="auto"/>
          <w:spacing w:val="-16"/>
          <w:kern w:val="21"/>
          <w:szCs w:val="21"/>
        </w:rPr>
        <w:fldChar w:fldCharType="separate"/>
      </w:r>
      <w:r>
        <w:rPr>
          <w:rFonts w:hint="default" w:ascii="Times New Roman" w:hAnsi="Times New Roman" w:cs="Times New Roman" w:eastAsiaTheme="minorEastAsia"/>
          <w:color w:val="auto"/>
          <w:szCs w:val="21"/>
        </w:rPr>
        <w:t>⑥</w:t>
      </w:r>
      <w:r>
        <w:rPr>
          <w:rFonts w:hint="default" w:ascii="Times New Roman" w:hAnsi="Times New Roman" w:cs="Times New Roman" w:eastAsiaTheme="minorEastAsia"/>
          <w:snapToGrid w:val="0"/>
          <w:color w:val="auto"/>
          <w:spacing w:val="-16"/>
          <w:kern w:val="21"/>
          <w:szCs w:val="21"/>
        </w:rPr>
        <w:fldChar w:fldCharType="end"/>
      </w:r>
      <w:r>
        <w:rPr>
          <w:rFonts w:hint="default" w:ascii="Times New Roman" w:hAnsi="Times New Roman" w:cs="Times New Roman" w:eastAsiaTheme="minorEastAsia"/>
          <w:snapToGrid w:val="0"/>
          <w:color w:val="auto"/>
          <w:spacing w:val="-16"/>
          <w:kern w:val="21"/>
          <w:szCs w:val="21"/>
        </w:rPr>
        <w:t>-</w:t>
      </w:r>
      <w:r>
        <w:rPr>
          <w:rFonts w:hint="default" w:ascii="Times New Roman" w:hAnsi="Times New Roman" w:cs="Times New Roman" w:eastAsiaTheme="minorEastAsia"/>
          <w:snapToGrid w:val="0"/>
          <w:color w:val="auto"/>
          <w:spacing w:val="-6"/>
          <w:kern w:val="21"/>
          <w:szCs w:val="21"/>
        </w:rPr>
        <w:fldChar w:fldCharType="begin"/>
      </w:r>
      <w:r>
        <w:rPr>
          <w:rFonts w:hint="default" w:ascii="Times New Roman" w:hAnsi="Times New Roman" w:cs="Times New Roman" w:eastAsiaTheme="minorEastAsia"/>
          <w:snapToGrid w:val="0"/>
          <w:color w:val="auto"/>
          <w:spacing w:val="-6"/>
          <w:kern w:val="21"/>
          <w:szCs w:val="21"/>
        </w:rPr>
        <w:instrText xml:space="preserve"> = 1 \* GB3 \* MERGEFORMAT </w:instrText>
      </w:r>
      <w:r>
        <w:rPr>
          <w:rFonts w:hint="default" w:ascii="Times New Roman" w:hAnsi="Times New Roman" w:cs="Times New Roman" w:eastAsiaTheme="minorEastAsia"/>
          <w:snapToGrid w:val="0"/>
          <w:color w:val="auto"/>
          <w:spacing w:val="-6"/>
          <w:kern w:val="21"/>
          <w:szCs w:val="21"/>
        </w:rPr>
        <w:fldChar w:fldCharType="separate"/>
      </w:r>
      <w:r>
        <w:rPr>
          <w:rFonts w:hint="default" w:ascii="Times New Roman" w:hAnsi="Times New Roman" w:cs="Times New Roman" w:eastAsiaTheme="minorEastAsia"/>
          <w:color w:val="auto"/>
          <w:szCs w:val="21"/>
        </w:rPr>
        <w:t>①</w:t>
      </w:r>
      <w:r>
        <w:rPr>
          <w:rFonts w:hint="default" w:ascii="Times New Roman" w:hAnsi="Times New Roman" w:cs="Times New Roman" w:eastAsiaTheme="minorEastAsia"/>
          <w:snapToGrid w:val="0"/>
          <w:color w:val="auto"/>
          <w:spacing w:val="-6"/>
          <w:kern w:val="21"/>
          <w:szCs w:val="21"/>
        </w:rPr>
        <w:fldChar w:fldCharType="end"/>
      </w:r>
    </w:p>
    <w:p w14:paraId="0C08D266">
      <w:pPr>
        <w:pStyle w:val="9"/>
        <w:ind w:firstLine="0" w:firstLineChars="0"/>
        <w:rPr>
          <w:rFonts w:hint="default" w:ascii="Times New Roman" w:hAnsi="Times New Roman" w:cs="Times New Roman" w:eastAsiaTheme="minorEastAsia"/>
          <w:b/>
          <w:bCs/>
          <w:color w:val="auto"/>
          <w:sz w:val="28"/>
          <w:szCs w:val="36"/>
        </w:rPr>
      </w:pPr>
      <w:r>
        <w:rPr>
          <w:rFonts w:hint="default" w:ascii="Times New Roman" w:hAnsi="Times New Roman" w:cs="Times New Roman" w:eastAsiaTheme="minorEastAsia"/>
          <w:b/>
          <w:bCs/>
          <w:color w:val="auto"/>
          <w:sz w:val="28"/>
          <w:szCs w:val="36"/>
        </w:rPr>
        <w:t>附图：</w:t>
      </w:r>
    </w:p>
    <w:p w14:paraId="6A955369">
      <w:pPr>
        <w:spacing w:line="360" w:lineRule="auto"/>
        <w:ind w:firstLine="480" w:firstLineChars="200"/>
        <w:rPr>
          <w:rFonts w:hint="default" w:ascii="Times New Roman" w:hAnsi="Times New Roman" w:cs="Times New Roman" w:eastAsiaTheme="minorEastAsia"/>
          <w:b w:val="0"/>
          <w:bCs/>
          <w:color w:val="auto"/>
          <w:sz w:val="24"/>
          <w:szCs w:val="24"/>
        </w:rPr>
      </w:pPr>
      <w:r>
        <w:rPr>
          <w:rFonts w:hint="default" w:ascii="Times New Roman" w:hAnsi="Times New Roman" w:cs="Times New Roman" w:eastAsiaTheme="minorEastAsia"/>
          <w:b w:val="0"/>
          <w:bCs/>
          <w:color w:val="auto"/>
          <w:sz w:val="24"/>
          <w:szCs w:val="24"/>
        </w:rPr>
        <w:t>附图1：</w:t>
      </w:r>
      <w:r>
        <w:rPr>
          <w:rFonts w:hint="default" w:ascii="Times New Roman" w:hAnsi="Times New Roman" w:cs="Times New Roman" w:eastAsiaTheme="minorEastAsia"/>
          <w:b w:val="0"/>
          <w:bCs/>
          <w:color w:val="auto"/>
          <w:sz w:val="24"/>
          <w:szCs w:val="24"/>
          <w:lang w:val="en-US" w:eastAsia="zh-CN"/>
        </w:rPr>
        <w:t>环境管控单元分类图</w:t>
      </w:r>
    </w:p>
    <w:p w14:paraId="35B72CD9">
      <w:pPr>
        <w:spacing w:line="360" w:lineRule="auto"/>
        <w:ind w:firstLine="480" w:firstLineChars="200"/>
        <w:rPr>
          <w:rFonts w:hint="default" w:ascii="Times New Roman" w:hAnsi="Times New Roman" w:cs="Times New Roman" w:eastAsiaTheme="minorEastAsia"/>
          <w:b w:val="0"/>
          <w:bCs/>
          <w:color w:val="auto"/>
          <w:sz w:val="24"/>
          <w:szCs w:val="24"/>
        </w:rPr>
      </w:pPr>
      <w:r>
        <w:rPr>
          <w:rFonts w:hint="default" w:ascii="Times New Roman" w:hAnsi="Times New Roman" w:cs="Times New Roman" w:eastAsiaTheme="minorEastAsia"/>
          <w:b w:val="0"/>
          <w:bCs/>
          <w:color w:val="auto"/>
          <w:sz w:val="24"/>
          <w:szCs w:val="24"/>
        </w:rPr>
        <w:t>附图2：</w:t>
      </w:r>
      <w:r>
        <w:rPr>
          <w:rFonts w:hint="default" w:ascii="Times New Roman" w:hAnsi="Times New Roman" w:cs="Times New Roman" w:eastAsiaTheme="minorEastAsia"/>
          <w:b w:val="0"/>
          <w:bCs/>
          <w:color w:val="auto"/>
          <w:sz w:val="24"/>
          <w:szCs w:val="24"/>
          <w:lang w:val="en-US" w:eastAsia="zh-CN"/>
        </w:rPr>
        <w:t>地理位置图</w:t>
      </w:r>
    </w:p>
    <w:p w14:paraId="2A85F166">
      <w:pPr>
        <w:spacing w:line="360" w:lineRule="auto"/>
        <w:ind w:firstLine="480" w:firstLineChars="200"/>
        <w:rPr>
          <w:rFonts w:hint="default" w:ascii="Times New Roman" w:hAnsi="Times New Roman" w:cs="Times New Roman" w:eastAsiaTheme="minorEastAsia"/>
          <w:b w:val="0"/>
          <w:bCs/>
          <w:color w:val="auto"/>
          <w:sz w:val="24"/>
          <w:szCs w:val="24"/>
        </w:rPr>
      </w:pPr>
      <w:r>
        <w:rPr>
          <w:rFonts w:hint="default" w:ascii="Times New Roman" w:hAnsi="Times New Roman" w:cs="Times New Roman" w:eastAsiaTheme="minorEastAsia"/>
          <w:b w:val="0"/>
          <w:bCs/>
          <w:color w:val="auto"/>
          <w:sz w:val="24"/>
          <w:szCs w:val="24"/>
        </w:rPr>
        <w:t>附图3：</w:t>
      </w:r>
      <w:r>
        <w:rPr>
          <w:rFonts w:hint="default" w:ascii="Times New Roman" w:hAnsi="Times New Roman" w:cs="Times New Roman" w:eastAsiaTheme="minorEastAsia"/>
          <w:b w:val="0"/>
          <w:bCs/>
          <w:color w:val="auto"/>
          <w:sz w:val="24"/>
          <w:szCs w:val="24"/>
          <w:lang w:val="en-US" w:eastAsia="zh-CN"/>
        </w:rPr>
        <w:t>周边关系图</w:t>
      </w:r>
    </w:p>
    <w:p w14:paraId="58D33ECC">
      <w:pPr>
        <w:spacing w:line="360" w:lineRule="auto"/>
        <w:ind w:firstLine="480" w:firstLineChars="200"/>
        <w:rPr>
          <w:rFonts w:hint="default" w:ascii="Times New Roman" w:hAnsi="Times New Roman" w:cs="Times New Roman" w:eastAsiaTheme="minorEastAsia"/>
          <w:b w:val="0"/>
          <w:bCs/>
          <w:color w:val="auto"/>
          <w:sz w:val="24"/>
          <w:szCs w:val="24"/>
        </w:rPr>
      </w:pPr>
      <w:r>
        <w:rPr>
          <w:rFonts w:hint="default" w:ascii="Times New Roman" w:hAnsi="Times New Roman" w:cs="Times New Roman" w:eastAsiaTheme="minorEastAsia"/>
          <w:b w:val="0"/>
          <w:bCs/>
          <w:color w:val="auto"/>
          <w:sz w:val="24"/>
          <w:szCs w:val="24"/>
        </w:rPr>
        <w:t>附图4：</w:t>
      </w:r>
      <w:r>
        <w:rPr>
          <w:rFonts w:hint="default" w:ascii="Times New Roman" w:hAnsi="Times New Roman" w:cs="Times New Roman" w:eastAsiaTheme="minorEastAsia"/>
          <w:b w:val="0"/>
          <w:bCs/>
          <w:color w:val="auto"/>
          <w:sz w:val="24"/>
          <w:szCs w:val="24"/>
          <w:lang w:val="en-US" w:eastAsia="zh-CN"/>
        </w:rPr>
        <w:t>平面布置图</w:t>
      </w:r>
    </w:p>
    <w:p w14:paraId="70279F58">
      <w:pPr>
        <w:spacing w:line="360" w:lineRule="auto"/>
        <w:ind w:firstLine="480" w:firstLineChars="200"/>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eastAsiaTheme="minorEastAsia"/>
          <w:b w:val="0"/>
          <w:bCs/>
          <w:color w:val="auto"/>
          <w:sz w:val="24"/>
          <w:szCs w:val="24"/>
          <w:lang w:val="en-US" w:eastAsia="zh-CN"/>
        </w:rPr>
        <w:t>附图</w:t>
      </w:r>
      <w:r>
        <w:rPr>
          <w:rFonts w:hint="eastAsia" w:ascii="Times New Roman" w:hAnsi="Times New Roman" w:cs="Times New Roman" w:eastAsiaTheme="minorEastAsia"/>
          <w:b w:val="0"/>
          <w:bCs/>
          <w:color w:val="auto"/>
          <w:sz w:val="24"/>
          <w:szCs w:val="24"/>
          <w:lang w:val="en-US" w:eastAsia="zh-CN"/>
        </w:rPr>
        <w:t>5</w:t>
      </w:r>
      <w:r>
        <w:rPr>
          <w:rFonts w:hint="default" w:ascii="Times New Roman" w:hAnsi="Times New Roman" w:cs="Times New Roman" w:eastAsiaTheme="minorEastAsia"/>
          <w:b w:val="0"/>
          <w:bCs/>
          <w:color w:val="auto"/>
          <w:sz w:val="24"/>
          <w:szCs w:val="24"/>
          <w:lang w:val="en-US" w:eastAsia="zh-CN"/>
        </w:rPr>
        <w:t>：监测布点图</w:t>
      </w:r>
    </w:p>
    <w:p w14:paraId="33C1DD22">
      <w:pPr>
        <w:spacing w:line="360" w:lineRule="auto"/>
        <w:ind w:firstLine="480" w:firstLineChars="200"/>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eastAsiaTheme="minorEastAsia"/>
          <w:b w:val="0"/>
          <w:bCs/>
          <w:color w:val="auto"/>
          <w:sz w:val="24"/>
          <w:szCs w:val="24"/>
          <w:lang w:val="en-US" w:eastAsia="zh-CN"/>
        </w:rPr>
        <w:t>附图</w:t>
      </w:r>
      <w:r>
        <w:rPr>
          <w:rFonts w:hint="eastAsia" w:ascii="Times New Roman" w:hAnsi="Times New Roman" w:cs="Times New Roman" w:eastAsiaTheme="minorEastAsia"/>
          <w:b w:val="0"/>
          <w:bCs/>
          <w:color w:val="auto"/>
          <w:sz w:val="24"/>
          <w:szCs w:val="24"/>
          <w:lang w:val="en-US" w:eastAsia="zh-CN"/>
        </w:rPr>
        <w:t>6</w:t>
      </w:r>
      <w:r>
        <w:rPr>
          <w:rFonts w:hint="default" w:ascii="Times New Roman" w:hAnsi="Times New Roman" w:cs="Times New Roman" w:eastAsiaTheme="minorEastAsia"/>
          <w:b w:val="0"/>
          <w:bCs/>
          <w:color w:val="auto"/>
          <w:sz w:val="24"/>
          <w:szCs w:val="24"/>
          <w:lang w:val="en-US" w:eastAsia="zh-CN"/>
        </w:rPr>
        <w:t>：分区防渗图</w:t>
      </w:r>
    </w:p>
    <w:p w14:paraId="63514F66">
      <w:pPr>
        <w:rPr>
          <w:rFonts w:hint="default" w:ascii="Times New Roman" w:hAnsi="Times New Roman" w:cs="Times New Roman" w:eastAsiaTheme="minorEastAsia"/>
          <w:color w:val="auto"/>
        </w:rPr>
      </w:pPr>
    </w:p>
    <w:p w14:paraId="47D6CE8A">
      <w:pPr>
        <w:pStyle w:val="9"/>
        <w:ind w:firstLine="0" w:firstLineChars="0"/>
        <w:rPr>
          <w:rFonts w:hint="default" w:ascii="Times New Roman" w:hAnsi="Times New Roman" w:cs="Times New Roman" w:eastAsiaTheme="minorEastAsia"/>
          <w:b/>
          <w:bCs/>
          <w:color w:val="auto"/>
          <w:sz w:val="28"/>
          <w:szCs w:val="36"/>
        </w:rPr>
      </w:pPr>
    </w:p>
    <w:p w14:paraId="25597C89">
      <w:pPr>
        <w:pStyle w:val="9"/>
        <w:ind w:firstLine="0" w:firstLineChars="0"/>
        <w:rPr>
          <w:rFonts w:hint="default" w:ascii="Times New Roman" w:hAnsi="Times New Roman" w:cs="Times New Roman" w:eastAsiaTheme="minorEastAsia"/>
          <w:b/>
          <w:bCs/>
          <w:color w:val="auto"/>
          <w:sz w:val="28"/>
          <w:szCs w:val="36"/>
        </w:rPr>
      </w:pPr>
    </w:p>
    <w:p w14:paraId="3BB1146F">
      <w:pPr>
        <w:pStyle w:val="9"/>
        <w:ind w:firstLine="0" w:firstLineChars="0"/>
        <w:rPr>
          <w:rFonts w:hint="default" w:ascii="Times New Roman" w:hAnsi="Times New Roman" w:cs="Times New Roman" w:eastAsiaTheme="minorEastAsia"/>
          <w:b/>
          <w:bCs/>
          <w:color w:val="auto"/>
          <w:sz w:val="28"/>
          <w:szCs w:val="36"/>
        </w:rPr>
      </w:pPr>
      <w:r>
        <w:rPr>
          <w:rFonts w:hint="default" w:ascii="Times New Roman" w:hAnsi="Times New Roman" w:cs="Times New Roman" w:eastAsiaTheme="minorEastAsia"/>
          <w:b/>
          <w:bCs/>
          <w:color w:val="auto"/>
          <w:sz w:val="28"/>
          <w:szCs w:val="36"/>
        </w:rPr>
        <w:t>附件：</w:t>
      </w:r>
    </w:p>
    <w:p w14:paraId="5112A605">
      <w:pPr>
        <w:spacing w:line="360" w:lineRule="auto"/>
        <w:ind w:firstLine="480" w:firstLineChars="200"/>
        <w:rPr>
          <w:rFonts w:hint="default" w:ascii="Times New Roman" w:hAnsi="Times New Roman" w:cs="Times New Roman" w:eastAsiaTheme="minorEastAsia"/>
          <w:b w:val="0"/>
          <w:bCs/>
          <w:color w:val="auto"/>
          <w:sz w:val="24"/>
          <w:szCs w:val="24"/>
        </w:rPr>
      </w:pPr>
      <w:r>
        <w:rPr>
          <w:rFonts w:hint="default" w:ascii="Times New Roman" w:hAnsi="Times New Roman" w:cs="Times New Roman" w:eastAsiaTheme="minorEastAsia"/>
          <w:b w:val="0"/>
          <w:bCs/>
          <w:color w:val="auto"/>
          <w:sz w:val="24"/>
          <w:szCs w:val="24"/>
        </w:rPr>
        <w:t>附件1：委托书</w:t>
      </w:r>
    </w:p>
    <w:p w14:paraId="217CC1DD">
      <w:pPr>
        <w:spacing w:line="360" w:lineRule="auto"/>
        <w:ind w:firstLine="480" w:firstLineChars="200"/>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eastAsiaTheme="minorEastAsia"/>
          <w:b w:val="0"/>
          <w:bCs/>
          <w:color w:val="auto"/>
          <w:sz w:val="24"/>
          <w:szCs w:val="24"/>
          <w:lang w:val="en-US" w:eastAsia="zh-CN"/>
        </w:rPr>
        <w:t>附件2：动物诊疗许可证</w:t>
      </w:r>
    </w:p>
    <w:p w14:paraId="5C5BA5AC">
      <w:pPr>
        <w:spacing w:line="360" w:lineRule="auto"/>
        <w:ind w:firstLine="480" w:firstLineChars="200"/>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eastAsiaTheme="minorEastAsia"/>
          <w:b w:val="0"/>
          <w:bCs/>
          <w:color w:val="auto"/>
          <w:sz w:val="24"/>
          <w:szCs w:val="24"/>
          <w:lang w:val="en-US" w:eastAsia="zh-CN"/>
        </w:rPr>
        <w:t>附件3：未批先建处理意见</w:t>
      </w:r>
    </w:p>
    <w:p w14:paraId="60F9EF3E">
      <w:pPr>
        <w:spacing w:line="360" w:lineRule="auto"/>
        <w:ind w:firstLine="480" w:firstLineChars="200"/>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eastAsiaTheme="minorEastAsia"/>
          <w:b w:val="0"/>
          <w:bCs/>
          <w:color w:val="auto"/>
          <w:sz w:val="24"/>
          <w:szCs w:val="24"/>
          <w:lang w:val="en-US" w:eastAsia="zh-CN"/>
        </w:rPr>
        <w:t>附件4：责令通知书</w:t>
      </w:r>
    </w:p>
    <w:p w14:paraId="08648033">
      <w:pPr>
        <w:spacing w:line="360" w:lineRule="auto"/>
        <w:ind w:firstLine="480" w:firstLineChars="200"/>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eastAsiaTheme="minorEastAsia"/>
          <w:b w:val="0"/>
          <w:bCs/>
          <w:color w:val="auto"/>
          <w:sz w:val="24"/>
          <w:szCs w:val="24"/>
          <w:lang w:val="en-US" w:eastAsia="zh-CN"/>
        </w:rPr>
        <w:t>附件</w:t>
      </w:r>
      <w:r>
        <w:rPr>
          <w:rFonts w:hint="eastAsia" w:ascii="Times New Roman" w:hAnsi="Times New Roman" w:cs="Times New Roman" w:eastAsiaTheme="minorEastAsia"/>
          <w:b w:val="0"/>
          <w:bCs/>
          <w:color w:val="auto"/>
          <w:sz w:val="24"/>
          <w:szCs w:val="24"/>
          <w:lang w:val="en-US" w:eastAsia="zh-CN"/>
        </w:rPr>
        <w:t>5</w:t>
      </w:r>
      <w:r>
        <w:rPr>
          <w:rFonts w:hint="default" w:ascii="Times New Roman" w:hAnsi="Times New Roman" w:cs="Times New Roman" w:eastAsiaTheme="minorEastAsia"/>
          <w:b w:val="0"/>
          <w:bCs/>
          <w:color w:val="auto"/>
          <w:sz w:val="24"/>
          <w:szCs w:val="24"/>
          <w:lang w:val="en-US" w:eastAsia="zh-CN"/>
        </w:rPr>
        <w:t>：租赁合同</w:t>
      </w:r>
    </w:p>
    <w:p w14:paraId="27B22C4B">
      <w:pPr>
        <w:spacing w:line="360" w:lineRule="auto"/>
        <w:ind w:firstLine="480" w:firstLineChars="200"/>
        <w:rPr>
          <w:rFonts w:hint="default" w:ascii="Times New Roman" w:hAnsi="Times New Roman" w:cs="Times New Roman" w:eastAsiaTheme="minorEastAsia"/>
          <w:b w:val="0"/>
          <w:bCs/>
          <w:color w:val="auto"/>
          <w:sz w:val="24"/>
          <w:szCs w:val="24"/>
          <w:lang w:val="en-US" w:eastAsia="zh-CN"/>
        </w:rPr>
      </w:pPr>
      <w:r>
        <w:rPr>
          <w:rFonts w:hint="eastAsia" w:ascii="Times New Roman" w:hAnsi="Times New Roman" w:cs="Times New Roman" w:eastAsiaTheme="minorEastAsia"/>
          <w:b w:val="0"/>
          <w:bCs/>
          <w:color w:val="auto"/>
          <w:sz w:val="24"/>
          <w:szCs w:val="24"/>
          <w:lang w:val="en-US" w:eastAsia="zh-CN"/>
        </w:rPr>
        <w:t>附件6：引用废水检测报告</w:t>
      </w:r>
    </w:p>
    <w:p w14:paraId="222A7ACA">
      <w:pPr>
        <w:spacing w:line="360" w:lineRule="auto"/>
        <w:ind w:firstLine="480" w:firstLineChars="200"/>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eastAsiaTheme="minorEastAsia"/>
          <w:b w:val="0"/>
          <w:bCs/>
          <w:color w:val="auto"/>
          <w:sz w:val="24"/>
          <w:szCs w:val="24"/>
          <w:lang w:val="en-US" w:eastAsia="zh-CN"/>
        </w:rPr>
        <w:t>附件</w:t>
      </w:r>
      <w:r>
        <w:rPr>
          <w:rFonts w:hint="eastAsia" w:cs="Times New Roman" w:eastAsiaTheme="minorEastAsia"/>
          <w:b w:val="0"/>
          <w:bCs/>
          <w:color w:val="auto"/>
          <w:sz w:val="24"/>
          <w:szCs w:val="24"/>
          <w:lang w:val="en-US" w:eastAsia="zh-CN"/>
        </w:rPr>
        <w:t>7</w:t>
      </w:r>
      <w:r>
        <w:rPr>
          <w:rFonts w:hint="default" w:ascii="Times New Roman" w:hAnsi="Times New Roman" w:cs="Times New Roman" w:eastAsiaTheme="minorEastAsia"/>
          <w:b w:val="0"/>
          <w:bCs/>
          <w:color w:val="auto"/>
          <w:sz w:val="24"/>
          <w:szCs w:val="24"/>
          <w:lang w:val="en-US" w:eastAsia="zh-CN"/>
        </w:rPr>
        <w:t>：噪声现状监测报告</w:t>
      </w:r>
    </w:p>
    <w:p w14:paraId="4BC16210">
      <w:pPr>
        <w:pStyle w:val="18"/>
        <w:jc w:val="left"/>
        <w:rPr>
          <w:rFonts w:hint="default" w:ascii="Times New Roman" w:hAnsi="Times New Roman" w:cs="Times New Roman" w:eastAsiaTheme="minorEastAsia"/>
          <w:color w:val="auto"/>
        </w:rPr>
      </w:pPr>
      <w:bookmarkStart w:id="5" w:name="_GoBack"/>
      <w:bookmarkEnd w:id="5"/>
    </w:p>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59D653A-F933-4BE5-8B99-7F0F6994E3AC}"/>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AEA5089-496C-456F-AD26-8E5B20E1FBF6}"/>
  </w:font>
  <w:font w:name="楷体_GB2312">
    <w:panose1 w:val="02010609030101010101"/>
    <w:charset w:val="86"/>
    <w:family w:val="modern"/>
    <w:pitch w:val="default"/>
    <w:sig w:usb0="00000001" w:usb1="080E0000" w:usb2="00000000" w:usb3="00000000" w:csb0="00040000" w:csb1="00000000"/>
    <w:embedRegular r:id="rId3" w:fontKey="{51CF06B3-E605-4E4F-90BA-4F7F4AC2C788}"/>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4FB6150F-E1F3-497F-A793-421D9A55BD7F}"/>
  </w:font>
  <w:font w:name="方正小标宋_GBK">
    <w:altName w:val="微软雅黑"/>
    <w:panose1 w:val="02000000000000000000"/>
    <w:charset w:val="86"/>
    <w:family w:val="script"/>
    <w:pitch w:val="default"/>
    <w:sig w:usb0="00000000" w:usb1="00000000" w:usb2="00082016" w:usb3="00000000" w:csb0="00040001" w:csb1="00000000"/>
    <w:embedRegular r:id="rId5" w:fontKey="{E9F087F0-DEB7-49F8-A997-46133BAB097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583DDEE3-B78E-4A79-BC01-277622FFF1FF}"/>
  </w:font>
  <w:font w:name="方正仿宋_GB2312">
    <w:panose1 w:val="02000000000000000000"/>
    <w:charset w:val="86"/>
    <w:family w:val="auto"/>
    <w:pitch w:val="default"/>
    <w:sig w:usb0="A00002BF" w:usb1="184F6CFA" w:usb2="00000012" w:usb3="00000000" w:csb0="00040001" w:csb1="00000000"/>
    <w:embedRegular r:id="rId7" w:fontKey="{4F3E5240-94BA-4871-881C-90004E1D742B}"/>
  </w:font>
  <w:font w:name="Wingdings 2">
    <w:panose1 w:val="05020102010507070707"/>
    <w:charset w:val="02"/>
    <w:family w:val="roman"/>
    <w:pitch w:val="default"/>
    <w:sig w:usb0="00000000" w:usb1="00000000" w:usb2="00000000" w:usb3="00000000" w:csb0="80000000" w:csb1="00000000"/>
    <w:embedRegular r:id="rId8" w:fontKey="{D62B8E07-69C9-44B5-8783-BE3B6F2E57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AC59">
    <w:pPr>
      <w:pStyle w:val="1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7979FD">
                          <w:pPr>
                            <w:pStyle w:val="15"/>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8eNIMUBAACRAwAADgAAAGRycy9lMm9Eb2MueG1srVPNjtMwEL4j8Q6W&#10;79RptUI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VlS4rjFiV++f7v8+HX5+ZWs&#10;qptXWaI+QI2Z9wFz0/DGD7g4sx/QmZkPKtr8RU4E4yjw+SqwHBIR+dF6tV5XGBIYmy+Izx6ehwjp&#10;rfSWZKOhESdYhOWn95DG1DklV3P+ThtTpmjcXw7EzB6Wex97zFYa9sNEaO/bM/LpcfgNdbjrlJh3&#10;DrXNezIbcTb2k5FrQHh9TFi49JNRR6ipGE6qMJq2Kq/Cn/eS9fAnb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PHjSDFAQAAkQMAAA4AAAAAAAAAAQAgAAAAHgEAAGRycy9lMm9Eb2MueG1s&#10;UEsFBgAAAAAGAAYAWQEAAFUFAAAAAA==&#10;">
              <v:fill on="f" focussize="0,0"/>
              <v:stroke on="f"/>
              <v:imagedata o:title=""/>
              <o:lock v:ext="edit" aspectratio="f"/>
              <v:textbox inset="0mm,0mm,0mm,0mm" style="mso-fit-shape-to-text:t;">
                <w:txbxContent>
                  <w:p w14:paraId="307979FD">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FB00">
    <w:pPr>
      <w:pStyle w:val="1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E3277">
                          <w:pPr>
                            <w:pStyle w:val="15"/>
                          </w:pPr>
                          <w:r>
                            <w:fldChar w:fldCharType="begin"/>
                          </w:r>
                          <w:r>
                            <w:instrText xml:space="preserve"> PAGE  \* MERGEFORMAT </w:instrText>
                          </w:r>
                          <w:r>
                            <w:fldChar w:fldCharType="separate"/>
                          </w:r>
                          <w:r>
                            <w:t>59</w:t>
                          </w:r>
                          <w:r>
                            <w:fldChar w:fldCharType="end"/>
                          </w:r>
                        </w:p>
                      </w:txbxContent>
                    </wps:txbx>
                    <wps:bodyPr wrap="none" lIns="0" tIns="0" rIns="0" bIns="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bnyhcQBAACRAwAADgAAAAAAAAABACAAAAAeAQAAZHJzL2Uyb0RvYy54bWxQ&#10;SwUGAAAAAAYABgBZAQAAVAUAAAAA&#10;">
              <v:fill on="f" focussize="0,0"/>
              <v:stroke on="f"/>
              <v:imagedata o:title=""/>
              <o:lock v:ext="edit" aspectratio="f"/>
              <v:textbox inset="0mm,0mm,0mm,0mm" style="mso-fit-shape-to-text:t;">
                <w:txbxContent>
                  <w:p w14:paraId="751E3277">
                    <w:pPr>
                      <w:pStyle w:val="1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EC3B">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6C7E6"/>
    <w:multiLevelType w:val="singleLevel"/>
    <w:tmpl w:val="DEB6C7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ZDY2N2RjMDc5MmZjMWJhZjA2ZTBhNWFmZDZkNGQifQ=="/>
  </w:docVars>
  <w:rsids>
    <w:rsidRoot w:val="00172A27"/>
    <w:rsid w:val="006420AF"/>
    <w:rsid w:val="00694038"/>
    <w:rsid w:val="006A5E32"/>
    <w:rsid w:val="006D5FBD"/>
    <w:rsid w:val="00AA7457"/>
    <w:rsid w:val="00B936CA"/>
    <w:rsid w:val="00D41A38"/>
    <w:rsid w:val="025D6DD0"/>
    <w:rsid w:val="03C00D09"/>
    <w:rsid w:val="080F0C57"/>
    <w:rsid w:val="088F4710"/>
    <w:rsid w:val="08901D23"/>
    <w:rsid w:val="0A0D35EF"/>
    <w:rsid w:val="0C3812A6"/>
    <w:rsid w:val="0D5B518F"/>
    <w:rsid w:val="0F5C47D0"/>
    <w:rsid w:val="125E6B71"/>
    <w:rsid w:val="13760AF9"/>
    <w:rsid w:val="174C2C48"/>
    <w:rsid w:val="183708CD"/>
    <w:rsid w:val="1D3C21F3"/>
    <w:rsid w:val="1F29471D"/>
    <w:rsid w:val="1FFC3119"/>
    <w:rsid w:val="20407DE5"/>
    <w:rsid w:val="20F63824"/>
    <w:rsid w:val="21A63ED9"/>
    <w:rsid w:val="229A593B"/>
    <w:rsid w:val="257E62D8"/>
    <w:rsid w:val="267358E8"/>
    <w:rsid w:val="26CC7C68"/>
    <w:rsid w:val="27616776"/>
    <w:rsid w:val="27901BC1"/>
    <w:rsid w:val="2B2414BE"/>
    <w:rsid w:val="2C787441"/>
    <w:rsid w:val="2ED21196"/>
    <w:rsid w:val="2FAE1E75"/>
    <w:rsid w:val="2FB012A1"/>
    <w:rsid w:val="30255911"/>
    <w:rsid w:val="36B50576"/>
    <w:rsid w:val="37B17BB4"/>
    <w:rsid w:val="3AE039D2"/>
    <w:rsid w:val="3B604A7E"/>
    <w:rsid w:val="3C3C4696"/>
    <w:rsid w:val="3CAC7B5D"/>
    <w:rsid w:val="40A61EED"/>
    <w:rsid w:val="42DC7E3D"/>
    <w:rsid w:val="44514068"/>
    <w:rsid w:val="45D20C2F"/>
    <w:rsid w:val="472523A1"/>
    <w:rsid w:val="48396200"/>
    <w:rsid w:val="48975EA1"/>
    <w:rsid w:val="4A753519"/>
    <w:rsid w:val="4AEC1EF8"/>
    <w:rsid w:val="4BFB5D3F"/>
    <w:rsid w:val="4DE50459"/>
    <w:rsid w:val="50247F89"/>
    <w:rsid w:val="540E158C"/>
    <w:rsid w:val="54DB33B8"/>
    <w:rsid w:val="54E65AEA"/>
    <w:rsid w:val="573F5588"/>
    <w:rsid w:val="5D4C0C7E"/>
    <w:rsid w:val="617E2136"/>
    <w:rsid w:val="625B7BF1"/>
    <w:rsid w:val="626D57F4"/>
    <w:rsid w:val="63386941"/>
    <w:rsid w:val="669E68AD"/>
    <w:rsid w:val="679D44B7"/>
    <w:rsid w:val="67B80C28"/>
    <w:rsid w:val="695E4393"/>
    <w:rsid w:val="6A7173A4"/>
    <w:rsid w:val="6BEA34E1"/>
    <w:rsid w:val="6EE102CE"/>
    <w:rsid w:val="6F5005D1"/>
    <w:rsid w:val="6FA511D8"/>
    <w:rsid w:val="71C34279"/>
    <w:rsid w:val="72CC3188"/>
    <w:rsid w:val="73930DA2"/>
    <w:rsid w:val="75B62B31"/>
    <w:rsid w:val="76D900CE"/>
    <w:rsid w:val="77105507"/>
    <w:rsid w:val="777A2396"/>
    <w:rsid w:val="7D7B6CB8"/>
    <w:rsid w:val="7E20449F"/>
    <w:rsid w:val="7FEF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99"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locked/>
    <w:uiPriority w:val="0"/>
    <w:pPr>
      <w:keepNext/>
      <w:keepLines/>
      <w:spacing w:line="360" w:lineRule="auto"/>
      <w:outlineLvl w:val="2"/>
    </w:p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locked/>
    <w:uiPriority w:val="0"/>
    <w:pPr>
      <w:ind w:firstLine="420" w:firstLineChars="200"/>
    </w:pPr>
  </w:style>
  <w:style w:type="paragraph" w:styleId="6">
    <w:name w:val="caption"/>
    <w:basedOn w:val="1"/>
    <w:next w:val="1"/>
    <w:qFormat/>
    <w:locked/>
    <w:uiPriority w:val="0"/>
    <w:pPr>
      <w:spacing w:before="50" w:beforeLines="50"/>
      <w:jc w:val="center"/>
    </w:pPr>
    <w:rPr>
      <w:rFonts w:ascii="黑体" w:hAnsi="黑体"/>
      <w:b/>
      <w:kern w:val="0"/>
      <w:szCs w:val="20"/>
    </w:rPr>
  </w:style>
  <w:style w:type="paragraph" w:styleId="7">
    <w:name w:val="annotation text"/>
    <w:basedOn w:val="1"/>
    <w:link w:val="33"/>
    <w:semiHidden/>
    <w:qFormat/>
    <w:uiPriority w:val="0"/>
    <w:pPr>
      <w:jc w:val="left"/>
    </w:pPr>
    <w:rPr>
      <w:kern w:val="0"/>
      <w:sz w:val="24"/>
      <w:szCs w:val="20"/>
    </w:rPr>
  </w:style>
  <w:style w:type="paragraph" w:styleId="8">
    <w:name w:val="Body Text"/>
    <w:basedOn w:val="1"/>
    <w:next w:val="9"/>
    <w:link w:val="34"/>
    <w:qFormat/>
    <w:uiPriority w:val="0"/>
    <w:pPr>
      <w:widowControl/>
      <w:snapToGrid w:val="0"/>
      <w:spacing w:before="60" w:after="160" w:line="259" w:lineRule="auto"/>
      <w:ind w:right="113"/>
    </w:pPr>
    <w:rPr>
      <w:kern w:val="0"/>
      <w:sz w:val="18"/>
      <w:szCs w:val="20"/>
    </w:rPr>
  </w:style>
  <w:style w:type="paragraph" w:styleId="9">
    <w:name w:val="Body Text 2"/>
    <w:basedOn w:val="1"/>
    <w:qFormat/>
    <w:locked/>
    <w:uiPriority w:val="0"/>
    <w:pPr>
      <w:spacing w:after="120" w:line="480" w:lineRule="auto"/>
    </w:pPr>
  </w:style>
  <w:style w:type="paragraph" w:styleId="10">
    <w:name w:val="Body Text Indent"/>
    <w:basedOn w:val="1"/>
    <w:link w:val="35"/>
    <w:qFormat/>
    <w:uiPriority w:val="0"/>
    <w:pPr>
      <w:spacing w:after="120"/>
      <w:ind w:left="420" w:leftChars="200"/>
    </w:pPr>
    <w:rPr>
      <w:kern w:val="0"/>
      <w:sz w:val="24"/>
      <w:szCs w:val="20"/>
    </w:rPr>
  </w:style>
  <w:style w:type="paragraph" w:styleId="11">
    <w:name w:val="Plain Text"/>
    <w:basedOn w:val="1"/>
    <w:next w:val="1"/>
    <w:qFormat/>
    <w:locked/>
    <w:uiPriority w:val="0"/>
    <w:rPr>
      <w:rFonts w:ascii="宋体" w:hAnsi="Courier New"/>
    </w:rPr>
  </w:style>
  <w:style w:type="paragraph" w:styleId="12">
    <w:name w:val="Date"/>
    <w:basedOn w:val="1"/>
    <w:next w:val="1"/>
    <w:link w:val="36"/>
    <w:qFormat/>
    <w:uiPriority w:val="0"/>
    <w:pPr>
      <w:ind w:left="100" w:leftChars="2500"/>
    </w:pPr>
    <w:rPr>
      <w:kern w:val="0"/>
      <w:sz w:val="24"/>
      <w:szCs w:val="20"/>
    </w:rPr>
  </w:style>
  <w:style w:type="paragraph" w:styleId="13">
    <w:name w:val="Body Text Indent 2"/>
    <w:basedOn w:val="1"/>
    <w:next w:val="1"/>
    <w:qFormat/>
    <w:locked/>
    <w:uiPriority w:val="0"/>
    <w:pPr>
      <w:spacing w:after="120" w:line="480" w:lineRule="auto"/>
      <w:ind w:left="420" w:leftChars="200"/>
    </w:pPr>
  </w:style>
  <w:style w:type="paragraph" w:styleId="14">
    <w:name w:val="Balloon Text"/>
    <w:basedOn w:val="1"/>
    <w:link w:val="37"/>
    <w:semiHidden/>
    <w:qFormat/>
    <w:uiPriority w:val="0"/>
    <w:rPr>
      <w:kern w:val="0"/>
      <w:sz w:val="18"/>
      <w:szCs w:val="20"/>
    </w:rPr>
  </w:style>
  <w:style w:type="paragraph" w:styleId="15">
    <w:name w:val="footer"/>
    <w:basedOn w:val="1"/>
    <w:link w:val="38"/>
    <w:qFormat/>
    <w:uiPriority w:val="99"/>
    <w:pPr>
      <w:tabs>
        <w:tab w:val="center" w:pos="4153"/>
        <w:tab w:val="right" w:pos="8306"/>
      </w:tabs>
      <w:snapToGrid w:val="0"/>
      <w:jc w:val="left"/>
    </w:pPr>
    <w:rPr>
      <w:kern w:val="0"/>
      <w:sz w:val="18"/>
      <w:szCs w:val="20"/>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List"/>
    <w:basedOn w:val="1"/>
    <w:next w:val="1"/>
    <w:qFormat/>
    <w:locked/>
    <w:uiPriority w:val="0"/>
    <w:pPr>
      <w:ind w:left="200" w:hanging="200" w:hangingChars="200"/>
    </w:pPr>
  </w:style>
  <w:style w:type="paragraph" w:styleId="18">
    <w:name w:val="table of figures"/>
    <w:basedOn w:val="1"/>
    <w:next w:val="1"/>
    <w:semiHidden/>
    <w:qFormat/>
    <w:locked/>
    <w:uiPriority w:val="99"/>
    <w:pPr>
      <w:jc w:val="center"/>
    </w:pPr>
    <w:rPr>
      <w:rFonts w:eastAsia="楷体_GB2312"/>
      <w:color w:val="000000"/>
      <w:spacing w:val="-4"/>
      <w:szCs w:val="20"/>
    </w:rPr>
  </w:style>
  <w:style w:type="paragraph" w:styleId="19">
    <w:name w:val="Normal (Web)"/>
    <w:basedOn w:val="1"/>
    <w:link w:val="40"/>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7"/>
    <w:next w:val="7"/>
    <w:link w:val="41"/>
    <w:semiHidden/>
    <w:qFormat/>
    <w:uiPriority w:val="0"/>
    <w:rPr>
      <w:b/>
    </w:rPr>
  </w:style>
  <w:style w:type="paragraph" w:styleId="21">
    <w:name w:val="Body Text First Indent"/>
    <w:basedOn w:val="8"/>
    <w:next w:val="1"/>
    <w:qFormat/>
    <w:locked/>
    <w:uiPriority w:val="0"/>
    <w:pPr>
      <w:spacing w:after="120" w:line="240" w:lineRule="auto"/>
      <w:ind w:firstLine="420" w:firstLineChars="100"/>
    </w:pPr>
    <w:rPr>
      <w:sz w:val="21"/>
      <w:szCs w:val="24"/>
    </w:rPr>
  </w:style>
  <w:style w:type="paragraph" w:styleId="22">
    <w:name w:val="Body Text First Indent 2"/>
    <w:basedOn w:val="10"/>
    <w:next w:val="10"/>
    <w:qFormat/>
    <w:locked/>
    <w:uiPriority w:val="0"/>
    <w:pPr>
      <w:ind w:firstLine="420" w:firstLineChars="200"/>
    </w:pPr>
    <w:rPr>
      <w:szCs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locked/>
    <w:uiPriority w:val="0"/>
  </w:style>
  <w:style w:type="character" w:styleId="27">
    <w:name w:val="Hyperlink"/>
    <w:unhideWhenUsed/>
    <w:qFormat/>
    <w:locked/>
    <w:uiPriority w:val="99"/>
    <w:rPr>
      <w:color w:val="0000FF"/>
      <w:u w:val="single"/>
    </w:rPr>
  </w:style>
  <w:style w:type="character" w:styleId="28">
    <w:name w:val="annotation reference"/>
    <w:semiHidden/>
    <w:qFormat/>
    <w:uiPriority w:val="0"/>
    <w:rPr>
      <w:sz w:val="21"/>
    </w:rPr>
  </w:style>
  <w:style w:type="paragraph" w:customStyle="1" w:styleId="29">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customStyle="1" w:styleId="30">
    <w:name w:val="表头"/>
    <w:basedOn w:val="21"/>
    <w:next w:val="1"/>
    <w:qFormat/>
    <w:uiPriority w:val="0"/>
    <w:pPr>
      <w:tabs>
        <w:tab w:val="left" w:pos="360"/>
        <w:tab w:val="left" w:pos="1620"/>
      </w:tabs>
      <w:spacing w:line="560" w:lineRule="exact"/>
      <w:jc w:val="center"/>
    </w:pPr>
    <w:rPr>
      <w:rFonts w:ascii="宋体" w:hAnsi="宋体"/>
      <w:b/>
      <w:color w:val="000000"/>
      <w:szCs w:val="21"/>
    </w:rPr>
  </w:style>
  <w:style w:type="paragraph" w:customStyle="1" w:styleId="31">
    <w:name w:val="表格"/>
    <w:basedOn w:val="17"/>
    <w:link w:val="48"/>
    <w:qFormat/>
    <w:uiPriority w:val="0"/>
    <w:pPr>
      <w:adjustRightInd w:val="0"/>
      <w:snapToGrid w:val="0"/>
      <w:spacing w:beforeLines="10" w:afterLines="10" w:line="259" w:lineRule="auto"/>
      <w:jc w:val="center"/>
    </w:pPr>
    <w:rPr>
      <w:rFonts w:ascii="宋体"/>
      <w:kern w:val="0"/>
      <w:szCs w:val="20"/>
    </w:rPr>
  </w:style>
  <w:style w:type="paragraph" w:customStyle="1" w:styleId="32">
    <w:name w:val="Body Text 21"/>
    <w:basedOn w:val="1"/>
    <w:qFormat/>
    <w:uiPriority w:val="0"/>
    <w:pPr>
      <w:spacing w:after="120" w:line="480" w:lineRule="auto"/>
    </w:pPr>
  </w:style>
  <w:style w:type="character" w:customStyle="1" w:styleId="33">
    <w:name w:val="批注文字 字符"/>
    <w:link w:val="7"/>
    <w:qFormat/>
    <w:locked/>
    <w:uiPriority w:val="0"/>
    <w:rPr>
      <w:rFonts w:ascii="Times New Roman" w:hAnsi="Times New Roman" w:eastAsia="宋体"/>
      <w:sz w:val="24"/>
    </w:rPr>
  </w:style>
  <w:style w:type="character" w:customStyle="1" w:styleId="34">
    <w:name w:val="正文文本 字符"/>
    <w:link w:val="8"/>
    <w:qFormat/>
    <w:locked/>
    <w:uiPriority w:val="0"/>
    <w:rPr>
      <w:sz w:val="18"/>
    </w:rPr>
  </w:style>
  <w:style w:type="character" w:customStyle="1" w:styleId="35">
    <w:name w:val="正文文本缩进 字符"/>
    <w:link w:val="10"/>
    <w:semiHidden/>
    <w:qFormat/>
    <w:locked/>
    <w:uiPriority w:val="0"/>
    <w:rPr>
      <w:rFonts w:ascii="Times New Roman" w:hAnsi="Times New Roman" w:eastAsia="宋体"/>
      <w:sz w:val="24"/>
    </w:rPr>
  </w:style>
  <w:style w:type="character" w:customStyle="1" w:styleId="36">
    <w:name w:val="日期 字符1"/>
    <w:link w:val="12"/>
    <w:qFormat/>
    <w:locked/>
    <w:uiPriority w:val="0"/>
    <w:rPr>
      <w:rFonts w:ascii="Times New Roman" w:hAnsi="Times New Roman" w:eastAsia="宋体"/>
      <w:sz w:val="24"/>
    </w:rPr>
  </w:style>
  <w:style w:type="character" w:customStyle="1" w:styleId="37">
    <w:name w:val="批注框文本 字符"/>
    <w:link w:val="14"/>
    <w:semiHidden/>
    <w:qFormat/>
    <w:locked/>
    <w:uiPriority w:val="0"/>
    <w:rPr>
      <w:rFonts w:ascii="Times New Roman" w:hAnsi="Times New Roman" w:eastAsia="宋体"/>
      <w:sz w:val="18"/>
    </w:rPr>
  </w:style>
  <w:style w:type="character" w:customStyle="1" w:styleId="38">
    <w:name w:val="页脚 字符1"/>
    <w:link w:val="15"/>
    <w:qFormat/>
    <w:locked/>
    <w:uiPriority w:val="99"/>
    <w:rPr>
      <w:sz w:val="18"/>
    </w:rPr>
  </w:style>
  <w:style w:type="character" w:customStyle="1" w:styleId="39">
    <w:name w:val="页眉 字符"/>
    <w:link w:val="16"/>
    <w:qFormat/>
    <w:locked/>
    <w:uiPriority w:val="0"/>
    <w:rPr>
      <w:sz w:val="18"/>
    </w:rPr>
  </w:style>
  <w:style w:type="character" w:customStyle="1" w:styleId="40">
    <w:name w:val="普通(网站) 字符"/>
    <w:link w:val="19"/>
    <w:qFormat/>
    <w:locked/>
    <w:uiPriority w:val="0"/>
    <w:rPr>
      <w:rFonts w:ascii="宋体" w:hAnsi="宋体" w:eastAsia="宋体"/>
      <w:sz w:val="24"/>
    </w:rPr>
  </w:style>
  <w:style w:type="character" w:customStyle="1" w:styleId="41">
    <w:name w:val="批注主题 字符"/>
    <w:link w:val="20"/>
    <w:semiHidden/>
    <w:qFormat/>
    <w:locked/>
    <w:uiPriority w:val="0"/>
    <w:rPr>
      <w:rFonts w:ascii="Times New Roman" w:hAnsi="Times New Roman" w:eastAsia="宋体"/>
      <w:b/>
      <w:kern w:val="2"/>
      <w:sz w:val="24"/>
    </w:rPr>
  </w:style>
  <w:style w:type="character" w:customStyle="1" w:styleId="42">
    <w:name w:val="日期 字符"/>
    <w:semiHidden/>
    <w:qFormat/>
    <w:uiPriority w:val="0"/>
    <w:rPr>
      <w:rFonts w:ascii="Times New Roman" w:hAnsi="Times New Roman" w:eastAsia="宋体"/>
      <w:sz w:val="24"/>
    </w:rPr>
  </w:style>
  <w:style w:type="character" w:customStyle="1" w:styleId="43">
    <w:name w:val="font41"/>
    <w:qFormat/>
    <w:uiPriority w:val="0"/>
    <w:rPr>
      <w:rFonts w:hint="default" w:ascii="Times New Roman" w:hAnsi="Times New Roman" w:cs="Times New Roman"/>
      <w:color w:val="000000"/>
      <w:sz w:val="22"/>
      <w:szCs w:val="22"/>
      <w:u w:val="none"/>
    </w:rPr>
  </w:style>
  <w:style w:type="character" w:customStyle="1" w:styleId="44">
    <w:name w:val="页脚 字符"/>
    <w:qFormat/>
    <w:uiPriority w:val="99"/>
  </w:style>
  <w:style w:type="character" w:customStyle="1" w:styleId="45">
    <w:name w:val="fontstyle01"/>
    <w:qFormat/>
    <w:uiPriority w:val="0"/>
    <w:rPr>
      <w:rFonts w:hint="eastAsia" w:ascii="宋体" w:hAnsi="宋体" w:eastAsia="宋体" w:cs="宋体"/>
      <w:color w:val="000000"/>
      <w:sz w:val="24"/>
      <w:szCs w:val="24"/>
    </w:rPr>
  </w:style>
  <w:style w:type="character" w:customStyle="1" w:styleId="46">
    <w:name w:val="批注文字 字符1"/>
    <w:semiHidden/>
    <w:qFormat/>
    <w:uiPriority w:val="0"/>
    <w:rPr>
      <w:rFonts w:ascii="Times New Roman" w:hAnsi="Times New Roman" w:eastAsia="宋体"/>
      <w:sz w:val="24"/>
    </w:rPr>
  </w:style>
  <w:style w:type="character" w:customStyle="1" w:styleId="47">
    <w:name w:val="正文文本 字符1"/>
    <w:semiHidden/>
    <w:qFormat/>
    <w:uiPriority w:val="0"/>
    <w:rPr>
      <w:rFonts w:ascii="Times New Roman" w:hAnsi="Times New Roman" w:eastAsia="宋体"/>
      <w:sz w:val="24"/>
    </w:rPr>
  </w:style>
  <w:style w:type="character" w:customStyle="1" w:styleId="48">
    <w:name w:val="表格 Char"/>
    <w:link w:val="31"/>
    <w:qFormat/>
    <w:locked/>
    <w:uiPriority w:val="0"/>
    <w:rPr>
      <w:rFonts w:ascii="宋体"/>
      <w:sz w:val="21"/>
    </w:rPr>
  </w:style>
  <w:style w:type="paragraph" w:customStyle="1" w:styleId="49">
    <w:name w:val="Normal1"/>
    <w:qFormat/>
    <w:uiPriority w:val="0"/>
    <w:pPr>
      <w:widowControl w:val="0"/>
      <w:adjustRightInd w:val="0"/>
      <w:spacing w:line="312" w:lineRule="atLeast"/>
      <w:jc w:val="both"/>
      <w:textAlignment w:val="baseline"/>
    </w:pPr>
    <w:rPr>
      <w:rFonts w:ascii="Arial" w:hAnsi="Times New Roman" w:eastAsia="楷体_GB2312" w:cs="Times New Roman"/>
      <w:spacing w:val="-6"/>
      <w:sz w:val="28"/>
      <w:lang w:val="en-US" w:eastAsia="zh-CN" w:bidi="ar-SA"/>
    </w:rPr>
  </w:style>
  <w:style w:type="paragraph" w:customStyle="1" w:styleId="50">
    <w:name w:val="Default"/>
    <w:basedOn w:val="51"/>
    <w:qFormat/>
    <w:uiPriority w:val="0"/>
    <w:pPr>
      <w:autoSpaceDE w:val="0"/>
      <w:autoSpaceDN w:val="0"/>
    </w:pPr>
    <w:rPr>
      <w:sz w:val="24"/>
      <w:szCs w:val="24"/>
    </w:rPr>
  </w:style>
  <w:style w:type="paragraph" w:customStyle="1" w:styleId="51">
    <w:name w:val="1 表头"/>
    <w:basedOn w:val="1"/>
    <w:qFormat/>
    <w:uiPriority w:val="0"/>
    <w:pPr>
      <w:adjustRightInd w:val="0"/>
      <w:snapToGrid w:val="0"/>
      <w:jc w:val="center"/>
    </w:pPr>
    <w:rPr>
      <w:b/>
      <w:color w:val="000000"/>
      <w:szCs w:val="21"/>
    </w:rPr>
  </w:style>
  <w:style w:type="paragraph" w:customStyle="1" w:styleId="52">
    <w:name w:val="表格正文"/>
    <w:basedOn w:val="1"/>
    <w:qFormat/>
    <w:uiPriority w:val="0"/>
    <w:pPr>
      <w:spacing w:line="360" w:lineRule="exact"/>
      <w:jc w:val="center"/>
    </w:pPr>
  </w:style>
  <w:style w:type="paragraph" w:customStyle="1" w:styleId="53">
    <w:name w:val="标题表格"/>
    <w:basedOn w:val="1"/>
    <w:qFormat/>
    <w:uiPriority w:val="0"/>
    <w:pPr>
      <w:spacing w:beforeLines="50"/>
      <w:jc w:val="center"/>
    </w:pPr>
    <w:rPr>
      <w:rFonts w:ascii="黑体" w:hAnsi="楷体_GB2312" w:eastAsia="黑体" w:cs="宋体"/>
    </w:rPr>
  </w:style>
  <w:style w:type="paragraph" w:customStyle="1" w:styleId="54">
    <w:name w:val="样式 正文缩进 + 宋体 行距: 固定值 22 磅"/>
    <w:basedOn w:val="5"/>
    <w:qFormat/>
    <w:uiPriority w:val="0"/>
    <w:pPr>
      <w:ind w:firstLine="0" w:firstLineChars="0"/>
    </w:pPr>
    <w:rPr>
      <w:rFonts w:ascii="Arial Unicode MS" w:hAnsi="Arial Unicode MS" w:cs="宋体"/>
      <w:szCs w:val="20"/>
    </w:rPr>
  </w:style>
  <w:style w:type="paragraph" w:customStyle="1" w:styleId="55">
    <w:name w:val="Char"/>
    <w:basedOn w:val="1"/>
    <w:qFormat/>
    <w:uiPriority w:val="0"/>
    <w:pPr>
      <w:spacing w:after="160" w:line="240" w:lineRule="exact"/>
      <w:jc w:val="left"/>
    </w:pPr>
    <w:rPr>
      <w:rFonts w:ascii="Arial" w:hAnsi="Arial" w:eastAsia="Times New Roman" w:cs="Verdana"/>
      <w:b/>
      <w:kern w:val="0"/>
      <w:sz w:val="24"/>
      <w:lang w:eastAsia="en-US"/>
    </w:rPr>
  </w:style>
  <w:style w:type="paragraph" w:customStyle="1" w:styleId="56">
    <w:name w:val="表格1"/>
    <w:basedOn w:val="1"/>
    <w:qFormat/>
    <w:uiPriority w:val="0"/>
    <w:pPr>
      <w:widowControl/>
      <w:jc w:val="center"/>
    </w:pPr>
    <w:rPr>
      <w:color w:val="000000"/>
      <w:kern w:val="0"/>
      <w:szCs w:val="21"/>
    </w:rPr>
  </w:style>
  <w:style w:type="paragraph" w:customStyle="1" w:styleId="57">
    <w:name w:val="Block Text1"/>
    <w:basedOn w:val="1"/>
    <w:qFormat/>
    <w:uiPriority w:val="0"/>
    <w:pPr>
      <w:spacing w:line="480" w:lineRule="exact"/>
      <w:ind w:left="-125" w:right="-56" w:firstLine="570"/>
    </w:pPr>
    <w:rPr>
      <w:sz w:val="28"/>
    </w:rPr>
  </w:style>
  <w:style w:type="paragraph" w:customStyle="1" w:styleId="58">
    <w:name w:val="xl31"/>
    <w:basedOn w:val="1"/>
    <w:qFormat/>
    <w:uiPriority w:val="0"/>
    <w:pPr>
      <w:widowControl/>
      <w:spacing w:before="100" w:beforeAutospacing="1" w:after="100" w:afterAutospacing="1"/>
      <w:jc w:val="center"/>
      <w:textAlignment w:val="center"/>
    </w:pPr>
    <w:rPr>
      <w:rFonts w:ascii="Arial Unicode MS" w:hAnsi="Arial Unicode MS" w:eastAsia="Arial Unicode MS"/>
      <w:kern w:val="0"/>
    </w:rPr>
  </w:style>
  <w:style w:type="paragraph" w:customStyle="1" w:styleId="59">
    <w:name w:val="表+五号"/>
    <w:basedOn w:val="1"/>
    <w:qFormat/>
    <w:uiPriority w:val="99"/>
    <w:rPr>
      <w:szCs w:val="28"/>
    </w:rPr>
  </w:style>
  <w:style w:type="paragraph" w:customStyle="1" w:styleId="60">
    <w:name w:val="[Normal]"/>
    <w:qFormat/>
    <w:uiPriority w:val="0"/>
    <w:rPr>
      <w:rFonts w:ascii="宋体" w:hAnsi="宋体" w:eastAsia="宋体" w:cs="Times New Roman"/>
      <w:sz w:val="24"/>
      <w:szCs w:val="22"/>
      <w:lang w:val="zh-CN" w:eastAsia="zh-CN" w:bidi="ar-SA"/>
    </w:rPr>
  </w:style>
  <w:style w:type="paragraph" w:customStyle="1" w:styleId="61">
    <w:name w:val="A-z正文"/>
    <w:basedOn w:val="1"/>
    <w:qFormat/>
    <w:uiPriority w:val="0"/>
    <w:pPr>
      <w:spacing w:line="360" w:lineRule="auto"/>
      <w:ind w:firstLine="200"/>
    </w:pPr>
    <w:rPr>
      <w:rFonts w:cs="宋体"/>
      <w:szCs w:val="20"/>
    </w:rPr>
  </w:style>
  <w:style w:type="paragraph" w:customStyle="1" w:styleId="62">
    <w:name w:val="表格内容格式"/>
    <w:basedOn w:val="1"/>
    <w:next w:val="8"/>
    <w:qFormat/>
    <w:uiPriority w:val="1"/>
    <w:pPr>
      <w:jc w:val="center"/>
    </w:pPr>
    <w:rPr>
      <w:rFonts w:ascii="Calibri" w:hAnsi="Calibri"/>
      <w:kern w:val="0"/>
      <w:sz w:val="22"/>
      <w:szCs w:val="20"/>
      <w:lang w:eastAsia="en-US"/>
    </w:rPr>
  </w:style>
  <w:style w:type="paragraph" w:customStyle="1" w:styleId="63">
    <w:name w:val="样式 加粗 居中 行距: 固定值 25 磅"/>
    <w:basedOn w:val="1"/>
    <w:qFormat/>
    <w:uiPriority w:val="0"/>
    <w:pPr>
      <w:spacing w:line="500" w:lineRule="exact"/>
      <w:jc w:val="center"/>
    </w:pPr>
    <w:rPr>
      <w:rFonts w:cs="宋体"/>
      <w:b/>
      <w:bCs/>
      <w:szCs w:val="20"/>
    </w:rPr>
  </w:style>
  <w:style w:type="paragraph" w:customStyle="1" w:styleId="64">
    <w:name w:val="表格内容"/>
    <w:basedOn w:val="1"/>
    <w:next w:val="65"/>
    <w:qFormat/>
    <w:uiPriority w:val="0"/>
    <w:pPr>
      <w:adjustRightInd w:val="0"/>
      <w:snapToGrid w:val="0"/>
      <w:jc w:val="center"/>
    </w:pPr>
    <w:rPr>
      <w:rFonts w:cs="宋体"/>
      <w:szCs w:val="21"/>
    </w:rPr>
  </w:style>
  <w:style w:type="paragraph" w:customStyle="1" w:styleId="65">
    <w:name w:val="文本正文"/>
    <w:basedOn w:val="1"/>
    <w:autoRedefine/>
    <w:qFormat/>
    <w:uiPriority w:val="0"/>
    <w:pPr>
      <w:ind w:firstLine="480"/>
    </w:pPr>
  </w:style>
  <w:style w:type="paragraph" w:customStyle="1" w:styleId="66">
    <w:name w:val="正文新"/>
    <w:basedOn w:val="1"/>
    <w:qFormat/>
    <w:uiPriority w:val="0"/>
    <w:pPr>
      <w:spacing w:line="348" w:lineRule="auto"/>
      <w:ind w:firstLine="200"/>
    </w:pPr>
    <w:rPr>
      <w:color w:val="000000"/>
    </w:rPr>
  </w:style>
  <w:style w:type="paragraph" w:customStyle="1" w:styleId="67">
    <w:name w:val="文本"/>
    <w:basedOn w:val="1"/>
    <w:qFormat/>
    <w:uiPriority w:val="0"/>
    <w:pPr>
      <w:adjustRightInd w:val="0"/>
      <w:snapToGrid w:val="0"/>
      <w:spacing w:line="360" w:lineRule="auto"/>
      <w:ind w:firstLine="480" w:firstLineChars="200"/>
      <w:jc w:val="left"/>
    </w:pPr>
    <w:rPr>
      <w:sz w:val="24"/>
    </w:rPr>
  </w:style>
  <w:style w:type="paragraph" w:customStyle="1" w:styleId="68">
    <w:name w:val="表格文字"/>
    <w:basedOn w:val="1"/>
    <w:qFormat/>
    <w:uiPriority w:val="0"/>
    <w:pPr>
      <w:adjustRightInd w:val="0"/>
      <w:snapToGrid w:val="0"/>
      <w:jc w:val="center"/>
    </w:pPr>
    <w:rPr>
      <w:sz w:val="18"/>
    </w:rPr>
  </w:style>
  <w:style w:type="paragraph" w:customStyle="1" w:styleId="69">
    <w:name w:val="表格222"/>
    <w:basedOn w:val="1"/>
    <w:qFormat/>
    <w:uiPriority w:val="0"/>
    <w:pPr>
      <w:adjustRightInd w:val="0"/>
      <w:snapToGrid w:val="0"/>
      <w:spacing w:line="320" w:lineRule="exact"/>
      <w:jc w:val="center"/>
    </w:pPr>
    <w:rPr>
      <w:kern w:val="10"/>
      <w:sz w:val="22"/>
    </w:rPr>
  </w:style>
  <w:style w:type="paragraph" w:customStyle="1" w:styleId="70">
    <w:name w:val="正文内容"/>
    <w:basedOn w:val="1"/>
    <w:qFormat/>
    <w:uiPriority w:val="0"/>
    <w:pPr>
      <w:spacing w:line="360" w:lineRule="auto"/>
      <w:ind w:firstLine="200" w:firstLineChars="200"/>
    </w:pPr>
    <w:rPr>
      <w:rFonts w:ascii="宋体"/>
      <w:sz w:val="24"/>
      <w:szCs w:val="20"/>
    </w:rPr>
  </w:style>
  <w:style w:type="paragraph" w:customStyle="1" w:styleId="71">
    <w:name w:val="Table Paragraph"/>
    <w:basedOn w:val="1"/>
    <w:qFormat/>
    <w:uiPriority w:val="1"/>
  </w:style>
  <w:style w:type="paragraph" w:customStyle="1" w:styleId="7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3">
    <w:name w:val="简单回函地址"/>
    <w:basedOn w:val="1"/>
    <w:unhideWhenUsed/>
    <w:qFormat/>
    <w:uiPriority w:val="0"/>
    <w:pPr>
      <w:widowControl/>
      <w:jc w:val="left"/>
    </w:pPr>
    <w:rPr>
      <w:rFonts w:hint="eastAsia" w:ascii="宋体" w:hAnsi="宋体"/>
      <w:kern w:val="0"/>
      <w:sz w:val="24"/>
    </w:rPr>
  </w:style>
  <w:style w:type="paragraph" w:customStyle="1" w:styleId="7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5">
    <w:name w:val="报告表正文"/>
    <w:basedOn w:val="76"/>
    <w:qFormat/>
    <w:uiPriority w:val="0"/>
    <w:pPr>
      <w:adjustRightInd w:val="0"/>
      <w:spacing w:line="312" w:lineRule="auto"/>
      <w:ind w:left="113" w:right="113" w:firstLine="482"/>
      <w:jc w:val="left"/>
      <w:textAlignment w:val="baseline"/>
    </w:pPr>
    <w:rPr>
      <w:rFonts w:ascii="宋体" w:hAnsi="宋体"/>
      <w:color w:val="000000"/>
    </w:rPr>
  </w:style>
  <w:style w:type="paragraph" w:customStyle="1" w:styleId="76">
    <w:name w:val="报告正文"/>
    <w:basedOn w:val="77"/>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77">
    <w:name w:val="p17"/>
    <w:basedOn w:val="1"/>
    <w:qFormat/>
    <w:uiPriority w:val="0"/>
    <w:pPr>
      <w:widowControl/>
    </w:pPr>
    <w:rPr>
      <w:rFonts w:ascii="宋体" w:hAnsi="宋体" w:cs="宋体"/>
      <w:kern w:val="0"/>
      <w:szCs w:val="21"/>
    </w:rPr>
  </w:style>
  <w:style w:type="paragraph" w:customStyle="1" w:styleId="78">
    <w:name w:val="样式9"/>
    <w:basedOn w:val="1"/>
    <w:qFormat/>
    <w:uiPriority w:val="0"/>
    <w:pPr>
      <w:spacing w:line="520" w:lineRule="exact"/>
      <w:ind w:firstLine="560" w:firstLineChars="200"/>
    </w:pPr>
    <w:rPr>
      <w:color w:val="000000"/>
      <w:sz w:val="28"/>
      <w:szCs w:val="28"/>
    </w:rPr>
  </w:style>
  <w:style w:type="paragraph" w:customStyle="1" w:styleId="79">
    <w:name w:val="wen"/>
    <w:basedOn w:val="1"/>
    <w:qFormat/>
    <w:uiPriority w:val="0"/>
    <w:pPr>
      <w:spacing w:line="360" w:lineRule="auto"/>
      <w:ind w:firstLine="200" w:firstLineChars="200"/>
    </w:pPr>
    <w:rPr>
      <w:sz w:val="24"/>
    </w:rPr>
  </w:style>
  <w:style w:type="paragraph" w:customStyle="1" w:styleId="8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1">
    <w:name w:val="font31"/>
    <w:qFormat/>
    <w:uiPriority w:val="0"/>
    <w:rPr>
      <w:rFonts w:hint="default" w:ascii="Calibri" w:hAnsi="Calibri" w:cs="Calibri"/>
      <w:color w:val="000000"/>
      <w:sz w:val="20"/>
      <w:szCs w:val="20"/>
      <w:u w:val="none"/>
    </w:rPr>
  </w:style>
  <w:style w:type="character" w:customStyle="1" w:styleId="82">
    <w:name w:val="font11"/>
    <w:qFormat/>
    <w:uiPriority w:val="0"/>
    <w:rPr>
      <w:rFonts w:hint="eastAsia" w:ascii="宋体" w:hAnsi="宋体" w:eastAsia="宋体" w:cs="宋体"/>
      <w:color w:val="000000"/>
      <w:sz w:val="20"/>
      <w:szCs w:val="20"/>
      <w:u w:val="none"/>
    </w:rPr>
  </w:style>
  <w:style w:type="character" w:customStyle="1" w:styleId="83">
    <w:name w:val="font51"/>
    <w:qFormat/>
    <w:uiPriority w:val="0"/>
    <w:rPr>
      <w:rFonts w:hint="default" w:ascii="Calibri" w:hAnsi="Calibri" w:cs="Calibri"/>
      <w:color w:val="FF0000"/>
      <w:sz w:val="20"/>
      <w:szCs w:val="20"/>
      <w:u w:val="none"/>
    </w:rPr>
  </w:style>
  <w:style w:type="character" w:customStyle="1" w:styleId="84">
    <w:name w:val="font21"/>
    <w:qFormat/>
    <w:uiPriority w:val="0"/>
    <w:rPr>
      <w:rFonts w:hint="eastAsia" w:ascii="宋体" w:hAnsi="宋体" w:eastAsia="宋体" w:cs="宋体"/>
      <w:color w:val="FF0000"/>
      <w:sz w:val="20"/>
      <w:szCs w:val="20"/>
      <w:u w:val="none"/>
    </w:rPr>
  </w:style>
  <w:style w:type="character" w:customStyle="1" w:styleId="85">
    <w:name w:val="Subtle Emphasis1"/>
    <w:qFormat/>
    <w:uiPriority w:val="99"/>
    <w:rPr>
      <w:rFonts w:hint="default" w:ascii="Times New Roman" w:hAnsi="Times New Roman" w:cs="Times New Roman"/>
      <w:i/>
      <w:iCs/>
      <w:color w:val="808080"/>
    </w:rPr>
  </w:style>
  <w:style w:type="paragraph" w:customStyle="1" w:styleId="86">
    <w:name w:val="缩进"/>
    <w:basedOn w:val="1"/>
    <w:qFormat/>
    <w:uiPriority w:val="0"/>
    <w:pPr>
      <w:spacing w:line="360" w:lineRule="auto"/>
      <w:ind w:firstLine="200" w:firstLineChars="200"/>
    </w:pPr>
    <w:rPr>
      <w:sz w:val="24"/>
    </w:rPr>
  </w:style>
  <w:style w:type="paragraph" w:customStyle="1" w:styleId="87">
    <w:name w:val="邵玉敏-正文"/>
    <w:basedOn w:val="1"/>
    <w:qFormat/>
    <w:uiPriority w:val="0"/>
    <w:pPr>
      <w:widowControl/>
      <w:ind w:firstLine="482"/>
    </w:pPr>
  </w:style>
  <w:style w:type="paragraph" w:customStyle="1" w:styleId="88">
    <w:name w:val="列表段落1"/>
    <w:basedOn w:val="1"/>
    <w:qFormat/>
    <w:uiPriority w:val="99"/>
  </w:style>
  <w:style w:type="paragraph" w:customStyle="1" w:styleId="89">
    <w:name w:val="dy正文2"/>
    <w:qFormat/>
    <w:uiPriority w:val="0"/>
    <w:pPr>
      <w:tabs>
        <w:tab w:val="left" w:pos="567"/>
      </w:tabs>
      <w:adjustRightInd w:val="0"/>
      <w:snapToGrid w:val="0"/>
      <w:spacing w:line="440" w:lineRule="atLeast"/>
      <w:ind w:firstLine="567"/>
      <w:textAlignment w:val="baseline"/>
    </w:pPr>
    <w:rPr>
      <w:rFonts w:ascii="Times New Roman" w:hAnsi="Times New Roman" w:eastAsia="宋体" w:cs="Times New Roman"/>
      <w:snapToGrid w:val="0"/>
      <w:sz w:val="24"/>
      <w:szCs w:val="22"/>
      <w:lang w:val="en-US" w:eastAsia="zh-CN" w:bidi="ar-SA"/>
    </w:rPr>
  </w:style>
  <w:style w:type="paragraph" w:customStyle="1" w:styleId="9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表头字体"/>
    <w:basedOn w:val="1"/>
    <w:autoRedefine/>
    <w:qFormat/>
    <w:uiPriority w:val="0"/>
    <w:pPr>
      <w:spacing w:line="360" w:lineRule="auto"/>
      <w:jc w:val="center"/>
    </w:pPr>
  </w:style>
  <w:style w:type="paragraph" w:customStyle="1" w:styleId="92">
    <w:name w:val="正文样式"/>
    <w:basedOn w:val="1"/>
    <w:qFormat/>
    <w:uiPriority w:val="0"/>
    <w:pPr>
      <w:adjustRightInd w:val="0"/>
      <w:snapToGrid w:val="0"/>
      <w:spacing w:line="360" w:lineRule="auto"/>
      <w:ind w:firstLine="542" w:firstLineChars="225"/>
      <w:jc w:val="center"/>
    </w:pPr>
    <w:rPr>
      <w:color w:val="FF0000"/>
    </w:rPr>
  </w:style>
  <w:style w:type="paragraph" w:customStyle="1" w:styleId="93">
    <w:name w:val="Table Text"/>
    <w:basedOn w:val="1"/>
    <w:semiHidden/>
    <w:qFormat/>
    <w:uiPriority w:val="0"/>
    <w:rPr>
      <w:rFonts w:ascii="宋体" w:hAnsi="宋体" w:eastAsia="宋体" w:cs="宋体"/>
      <w:sz w:val="24"/>
      <w:szCs w:val="24"/>
      <w:lang w:val="en-US" w:eastAsia="en-US" w:bidi="ar-SA"/>
    </w:rPr>
  </w:style>
  <w:style w:type="table" w:customStyle="1" w:styleId="94">
    <w:name w:val="Table Normal"/>
    <w:basedOn w:val="23"/>
    <w:semiHidden/>
    <w:unhideWhenUsed/>
    <w:qFormat/>
    <w:uiPriority w:val="0"/>
    <w:rPr>
      <w:rFonts w:hint="default" w:ascii="Calibri" w:hAnsi="Calibri" w:cs="Calibri"/>
      <w:sz w:val="22"/>
      <w:szCs w:val="22"/>
      <w:lang w:val="en-US" w:eastAsia="en-US"/>
    </w:rPr>
    <w:tblPr>
      <w:tblCellMar>
        <w:top w:w="0" w:type="dxa"/>
        <w:left w:w="0" w:type="dxa"/>
        <w:bottom w:w="0" w:type="dxa"/>
        <w:right w:w="0" w:type="dxa"/>
      </w:tblCellMar>
    </w:tblPr>
  </w:style>
  <w:style w:type="paragraph" w:customStyle="1" w:styleId="95">
    <w:name w:val="表格字体"/>
    <w:basedOn w:val="91"/>
    <w:autoRedefine/>
    <w:qFormat/>
    <w:uiPriority w:val="0"/>
    <w:pPr>
      <w:spacing w:line="240" w:lineRule="auto"/>
    </w:pPr>
  </w:style>
  <w:style w:type="paragraph" w:styleId="96">
    <w:name w:val="List Paragraph"/>
    <w:basedOn w:val="1"/>
    <w:qFormat/>
    <w:uiPriority w:val="99"/>
    <w:pPr>
      <w:autoSpaceDE w:val="0"/>
      <w:autoSpaceDN w:val="0"/>
      <w:adjustRightInd w:val="0"/>
      <w:snapToGrid w:val="0"/>
      <w:spacing w:line="288" w:lineRule="auto"/>
      <w:ind w:firstLine="420" w:firstLineChars="200"/>
      <w:jc w:val="center"/>
    </w:pPr>
    <w:rPr>
      <w:rFonts w:cs="Times New Roman"/>
      <w:sz w:val="21"/>
      <w:szCs w:val="21"/>
    </w:rPr>
  </w:style>
  <w:style w:type="character" w:customStyle="1" w:styleId="97">
    <w:name w:val="10"/>
    <w:basedOn w:val="25"/>
    <w:qFormat/>
    <w:uiPriority w:val="0"/>
    <w:rPr>
      <w:rFonts w:hint="default" w:ascii="Times New Roman" w:hAnsi="Times New Roman" w:cs="Times New Roman"/>
    </w:rPr>
  </w:style>
  <w:style w:type="character" w:customStyle="1" w:styleId="98">
    <w:name w:val="15"/>
    <w:basedOn w:val="25"/>
    <w:qFormat/>
    <w:uiPriority w:val="0"/>
    <w:rPr>
      <w:rFonts w:hint="default" w:ascii="Times New Roman" w:hAnsi="Times New Roman" w:cs="Times New Roman"/>
    </w:rPr>
  </w:style>
  <w:style w:type="paragraph" w:customStyle="1" w:styleId="99">
    <w:name w:val="A-表格文字"/>
    <w:basedOn w:val="1"/>
    <w:qFormat/>
    <w:uiPriority w:val="0"/>
    <w:pPr>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center"/>
      <w:textAlignment w:val="center"/>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12036</Words>
  <Characters>12667</Characters>
  <Lines>1</Lines>
  <Paragraphs>1</Paragraphs>
  <TotalTime>4</TotalTime>
  <ScaleCrop>false</ScaleCrop>
  <LinksUpToDate>false</LinksUpToDate>
  <CharactersWithSpaces>12770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2020-12-25T01:29:00Z</dcterms:created>
  <dc:creator>lhj</dc:creator>
  <cp:lastModifiedBy>_ 喜你人多</cp:lastModifiedBy>
  <cp:lastPrinted>2021-06-23T03:27:00Z</cp:lastPrinted>
  <dcterms:modified xsi:type="dcterms:W3CDTF">2024-12-10T08:20:00Z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1125E27EA4BA4C62994BD822522A6E0F_13</vt:lpwstr>
  </property>
</Properties>
</file>